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jc w:val="center"/>
        <w:spacing w:after="0" w:line="215" w:lineRule="auto"/>
        <w:rPr>
          <w:sz w:val="20"/>
          <w:szCs w:val="20"/>
          <w:color w:val="auto"/>
        </w:rPr>
      </w:pPr>
      <w:r>
        <w:rPr>
          <w:rFonts w:ascii="Arial" w:cs="Arial" w:eastAsia="Arial" w:hAnsi="Arial"/>
          <w:sz w:val="29"/>
          <w:szCs w:val="29"/>
          <w:b w:val="1"/>
          <w:bCs w:val="1"/>
          <w:color w:val="auto"/>
        </w:rPr>
        <w:t>SECURITIES AND EXCHANGE COMMISSION</w:t>
      </w:r>
    </w:p>
    <w:p>
      <w:pPr>
        <w:jc w:val="center"/>
        <w:spacing w:after="0" w:line="203" w:lineRule="auto"/>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_____________________________</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10-Q/A</w:t>
      </w:r>
    </w:p>
    <w:p>
      <w:pPr>
        <w:jc w:val="center"/>
        <w:spacing w:after="0" w:line="203" w:lineRule="auto"/>
        <w:rPr>
          <w:sz w:val="20"/>
          <w:szCs w:val="20"/>
          <w:color w:val="auto"/>
        </w:rPr>
      </w:pPr>
      <w:r>
        <w:rPr>
          <w:rFonts w:ascii="Arial" w:cs="Arial" w:eastAsia="Arial" w:hAnsi="Arial"/>
          <w:sz w:val="18"/>
          <w:szCs w:val="18"/>
          <w:b w:val="1"/>
          <w:bCs w:val="1"/>
          <w:color w:val="auto"/>
        </w:rPr>
        <w:t>Amendment No. 1</w:t>
      </w:r>
    </w:p>
    <w:p>
      <w:pPr>
        <w:ind w:left="3720"/>
        <w:spacing w:after="0"/>
        <w:rPr>
          <w:sz w:val="20"/>
          <w:szCs w:val="20"/>
          <w:color w:val="auto"/>
        </w:rPr>
      </w:pPr>
      <w:r>
        <w:rPr>
          <w:rFonts w:ascii="Arial" w:cs="Arial" w:eastAsia="Arial" w:hAnsi="Arial"/>
          <w:sz w:val="18"/>
          <w:szCs w:val="18"/>
          <w:b w:val="1"/>
          <w:bCs w:val="1"/>
          <w:color w:val="auto"/>
        </w:rPr>
        <w:t>_____________________________</w:t>
      </w:r>
    </w:p>
    <w:p>
      <w:pPr>
        <w:spacing w:after="0" w:line="18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54" w:lineRule="exact"/>
        <w:rPr>
          <w:sz w:val="24"/>
          <w:szCs w:val="24"/>
          <w:color w:val="auto"/>
        </w:rPr>
      </w:pPr>
    </w:p>
    <w:p>
      <w:pPr>
        <w:jc w:val="center"/>
        <w:spacing w:after="0" w:line="412" w:lineRule="auto"/>
        <w:rPr>
          <w:sz w:val="20"/>
          <w:szCs w:val="20"/>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68" w:lineRule="exact"/>
        <w:rPr>
          <w:sz w:val="24"/>
          <w:szCs w:val="24"/>
          <w:color w:val="auto"/>
        </w:rPr>
      </w:pPr>
    </w:p>
    <w:p>
      <w:pPr>
        <w:jc w:val="center"/>
        <w:ind w:left="940" w:right="440"/>
        <w:spacing w:after="0" w:line="316" w:lineRule="auto"/>
        <w:rPr>
          <w:sz w:val="20"/>
          <w:szCs w:val="20"/>
          <w:color w:val="auto"/>
        </w:rPr>
      </w:pPr>
      <w:r>
        <w:rPr>
          <w:rFonts w:ascii="Arial" w:cs="Arial" w:eastAsia="Arial" w:hAnsi="Arial"/>
          <w:sz w:val="18"/>
          <w:szCs w:val="18"/>
          <w:b w:val="1"/>
          <w:bCs w:val="1"/>
          <w:color w:val="auto"/>
        </w:rPr>
        <w:t>TRANSITION REPORT PURSUANT TO SECTION 13 OR 15(d) OF THE SECURITIES EXCHANGE ACT OF 1934 Commission file number 001-37359</w:t>
      </w:r>
    </w:p>
    <w:p>
      <w:pPr>
        <w:spacing w:after="0" w:line="2"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_____________________________</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BLUEPRINT MEDICINES CORPORATION</w:t>
      </w:r>
    </w:p>
    <w:p>
      <w:pPr>
        <w:jc w:val="center"/>
        <w:spacing w:after="0" w:line="213" w:lineRule="auto"/>
        <w:rPr>
          <w:sz w:val="20"/>
          <w:szCs w:val="20"/>
          <w:color w:val="auto"/>
        </w:rPr>
      </w:pPr>
      <w:r>
        <w:rPr>
          <w:rFonts w:ascii="Arial" w:cs="Arial" w:eastAsia="Arial" w:hAnsi="Arial"/>
          <w:sz w:val="14"/>
          <w:szCs w:val="14"/>
          <w:b w:val="1"/>
          <w:bCs w:val="1"/>
          <w:color w:val="auto"/>
        </w:rPr>
        <w:t>(Exact Name of Registrant as Specified in Its Charter)</w:t>
      </w:r>
    </w:p>
    <w:p>
      <w:pPr>
        <w:spacing w:after="0" w:line="1"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_____________________________</w:t>
      </w:r>
    </w:p>
    <w:p>
      <w:pPr>
        <w:spacing w:after="0" w:line="98" w:lineRule="exact"/>
        <w:rPr>
          <w:sz w:val="24"/>
          <w:szCs w:val="24"/>
          <w:color w:val="auto"/>
        </w:rPr>
      </w:pPr>
    </w:p>
    <w:tbl>
      <w:tblPr>
        <w:tblLayout w:type="fixed"/>
        <w:tblInd w:w="1500" w:type="dxa"/>
        <w:tblCellMar>
          <w:top w:w="0" w:type="dxa"/>
          <w:left w:w="0" w:type="dxa"/>
          <w:bottom w:w="0" w:type="dxa"/>
          <w:right w:w="0" w:type="dxa"/>
        </w:tblCellMar>
      </w:tblPr>
      <w:tr>
        <w:trPr>
          <w:trHeight w:val="207"/>
        </w:trPr>
        <w:tc>
          <w:tcPr>
            <w:tcW w:w="5640" w:type="dxa"/>
            <w:vAlign w:val="bottom"/>
          </w:tcPr>
          <w:p>
            <w:pPr>
              <w:jc w:val="center"/>
              <w:ind w:right="3488"/>
              <w:spacing w:after="0"/>
              <w:rPr>
                <w:sz w:val="20"/>
                <w:szCs w:val="20"/>
                <w:color w:val="auto"/>
              </w:rPr>
            </w:pPr>
            <w:r>
              <w:rPr>
                <w:rFonts w:ascii="Arial" w:cs="Arial" w:eastAsia="Arial" w:hAnsi="Arial"/>
                <w:sz w:val="18"/>
                <w:szCs w:val="18"/>
                <w:b w:val="1"/>
                <w:bCs w:val="1"/>
                <w:color w:val="auto"/>
                <w:w w:val="91"/>
              </w:rPr>
              <w:t>Delaware</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5"/>
              </w:rPr>
              <w:t>26-3632015</w:t>
            </w:r>
          </w:p>
        </w:tc>
        <w:tc>
          <w:tcPr>
            <w:tcW w:w="0" w:type="dxa"/>
            <w:vAlign w:val="bottom"/>
          </w:tcPr>
          <w:p>
            <w:pPr>
              <w:spacing w:after="0"/>
              <w:rPr>
                <w:sz w:val="1"/>
                <w:szCs w:val="1"/>
                <w:color w:val="auto"/>
              </w:rPr>
            </w:pPr>
          </w:p>
        </w:tc>
      </w:tr>
      <w:tr>
        <w:trPr>
          <w:trHeight w:val="108"/>
        </w:trPr>
        <w:tc>
          <w:tcPr>
            <w:tcW w:w="5640" w:type="dxa"/>
            <w:vAlign w:val="bottom"/>
          </w:tcPr>
          <w:p>
            <w:pPr>
              <w:jc w:val="center"/>
              <w:ind w:right="3488"/>
              <w:spacing w:after="0" w:line="109" w:lineRule="exact"/>
              <w:rPr>
                <w:sz w:val="20"/>
                <w:szCs w:val="20"/>
                <w:color w:val="auto"/>
              </w:rPr>
            </w:pPr>
            <w:r>
              <w:rPr>
                <w:rFonts w:ascii="Arial" w:cs="Arial" w:eastAsia="Arial" w:hAnsi="Arial"/>
                <w:sz w:val="11"/>
                <w:szCs w:val="11"/>
                <w:b w:val="1"/>
                <w:bCs w:val="1"/>
                <w:color w:val="auto"/>
                <w:w w:val="89"/>
              </w:rPr>
              <w:t>(State or Other Jurisdiction of</w:t>
            </w:r>
          </w:p>
        </w:tc>
        <w:tc>
          <w:tcPr>
            <w:tcW w:w="940" w:type="dxa"/>
            <w:vAlign w:val="bottom"/>
          </w:tcPr>
          <w:p>
            <w:pPr>
              <w:jc w:val="center"/>
              <w:ind w:left="12"/>
              <w:spacing w:after="0" w:line="109" w:lineRule="exact"/>
              <w:rPr>
                <w:sz w:val="20"/>
                <w:szCs w:val="20"/>
                <w:color w:val="auto"/>
              </w:rPr>
            </w:pPr>
            <w:r>
              <w:rPr>
                <w:rFonts w:ascii="Arial" w:cs="Arial" w:eastAsia="Arial" w:hAnsi="Arial"/>
                <w:sz w:val="11"/>
                <w:szCs w:val="11"/>
                <w:b w:val="1"/>
                <w:bCs w:val="1"/>
                <w:color w:val="auto"/>
                <w:w w:val="92"/>
              </w:rPr>
              <w:t>(I.R.S. Employer</w:t>
            </w:r>
          </w:p>
        </w:tc>
        <w:tc>
          <w:tcPr>
            <w:tcW w:w="0" w:type="dxa"/>
            <w:vAlign w:val="bottom"/>
          </w:tcPr>
          <w:p>
            <w:pPr>
              <w:spacing w:after="0"/>
              <w:rPr>
                <w:sz w:val="1"/>
                <w:szCs w:val="1"/>
                <w:color w:val="auto"/>
              </w:rPr>
            </w:pPr>
          </w:p>
        </w:tc>
      </w:tr>
      <w:tr>
        <w:trPr>
          <w:trHeight w:val="140"/>
        </w:trPr>
        <w:tc>
          <w:tcPr>
            <w:tcW w:w="5640" w:type="dxa"/>
            <w:vAlign w:val="bottom"/>
          </w:tcPr>
          <w:p>
            <w:pPr>
              <w:jc w:val="center"/>
              <w:ind w:right="3488"/>
              <w:spacing w:after="0"/>
              <w:rPr>
                <w:sz w:val="20"/>
                <w:szCs w:val="20"/>
                <w:color w:val="auto"/>
              </w:rPr>
            </w:pPr>
            <w:r>
              <w:rPr>
                <w:rFonts w:ascii="Arial" w:cs="Arial" w:eastAsia="Arial" w:hAnsi="Arial"/>
                <w:sz w:val="11"/>
                <w:szCs w:val="11"/>
                <w:b w:val="1"/>
                <w:bCs w:val="1"/>
                <w:color w:val="auto"/>
                <w:w w:val="90"/>
              </w:rPr>
              <w:t>Incorporation or Organization)</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0"/>
              </w:rPr>
              <w:t>Identification No.)</w:t>
            </w:r>
          </w:p>
        </w:tc>
        <w:tc>
          <w:tcPr>
            <w:tcW w:w="0" w:type="dxa"/>
            <w:vAlign w:val="bottom"/>
          </w:tcPr>
          <w:p>
            <w:pPr>
              <w:spacing w:after="0"/>
              <w:rPr>
                <w:sz w:val="1"/>
                <w:szCs w:val="1"/>
                <w:color w:val="auto"/>
              </w:rPr>
            </w:pPr>
          </w:p>
        </w:tc>
      </w:tr>
      <w:tr>
        <w:trPr>
          <w:trHeight w:val="251"/>
        </w:trPr>
        <w:tc>
          <w:tcPr>
            <w:tcW w:w="5640" w:type="dxa"/>
            <w:vAlign w:val="bottom"/>
          </w:tcPr>
          <w:p>
            <w:pPr>
              <w:jc w:val="center"/>
              <w:ind w:right="3488"/>
              <w:spacing w:after="0"/>
              <w:rPr>
                <w:sz w:val="20"/>
                <w:szCs w:val="20"/>
                <w:color w:val="auto"/>
              </w:rPr>
            </w:pPr>
            <w:r>
              <w:rPr>
                <w:rFonts w:ascii="Arial" w:cs="Arial" w:eastAsia="Arial" w:hAnsi="Arial"/>
                <w:sz w:val="18"/>
                <w:szCs w:val="18"/>
                <w:b w:val="1"/>
                <w:bCs w:val="1"/>
                <w:color w:val="auto"/>
                <w:w w:val="88"/>
              </w:rPr>
              <w:t>45 Sidney Street</w:t>
            </w:r>
          </w:p>
        </w:tc>
        <w:tc>
          <w:tcPr>
            <w:tcW w:w="94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02139</w:t>
            </w:r>
          </w:p>
        </w:tc>
        <w:tc>
          <w:tcPr>
            <w:tcW w:w="0" w:type="dxa"/>
            <w:vAlign w:val="bottom"/>
          </w:tcPr>
          <w:p>
            <w:pPr>
              <w:spacing w:after="0"/>
              <w:rPr>
                <w:sz w:val="1"/>
                <w:szCs w:val="1"/>
                <w:color w:val="auto"/>
              </w:rPr>
            </w:pPr>
          </w:p>
        </w:tc>
      </w:tr>
      <w:tr>
        <w:trPr>
          <w:trHeight w:val="176"/>
        </w:trPr>
        <w:tc>
          <w:tcPr>
            <w:tcW w:w="5640" w:type="dxa"/>
            <w:vAlign w:val="bottom"/>
          </w:tcPr>
          <w:p>
            <w:pPr>
              <w:jc w:val="center"/>
              <w:ind w:right="3488"/>
              <w:spacing w:after="0" w:line="176" w:lineRule="exact"/>
              <w:rPr>
                <w:sz w:val="20"/>
                <w:szCs w:val="20"/>
                <w:color w:val="auto"/>
              </w:rPr>
            </w:pPr>
            <w:r>
              <w:rPr>
                <w:rFonts w:ascii="Arial" w:cs="Arial" w:eastAsia="Arial" w:hAnsi="Arial"/>
                <w:sz w:val="18"/>
                <w:szCs w:val="18"/>
                <w:b w:val="1"/>
                <w:bCs w:val="1"/>
                <w:color w:val="auto"/>
                <w:w w:val="89"/>
              </w:rPr>
              <w:t>Cambridge, Massachusetts</w:t>
            </w: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5640" w:type="dxa"/>
            <w:vAlign w:val="bottom"/>
          </w:tcPr>
          <w:p>
            <w:pPr>
              <w:jc w:val="center"/>
              <w:ind w:right="3488"/>
              <w:spacing w:after="0" w:line="109" w:lineRule="exact"/>
              <w:rPr>
                <w:sz w:val="20"/>
                <w:szCs w:val="20"/>
                <w:color w:val="auto"/>
              </w:rPr>
            </w:pPr>
            <w:r>
              <w:rPr>
                <w:rFonts w:ascii="Arial" w:cs="Arial" w:eastAsia="Arial" w:hAnsi="Arial"/>
                <w:sz w:val="11"/>
                <w:szCs w:val="11"/>
                <w:b w:val="1"/>
                <w:bCs w:val="1"/>
                <w:color w:val="auto"/>
                <w:w w:val="87"/>
              </w:rPr>
              <w:t>(Address of Principal Executive Offices)</w:t>
            </w:r>
          </w:p>
        </w:tc>
        <w:tc>
          <w:tcPr>
            <w:tcW w:w="94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5"/>
              </w:rPr>
              <w:t>(Zip Code)</w:t>
            </w:r>
          </w:p>
        </w:tc>
        <w:tc>
          <w:tcPr>
            <w:tcW w:w="0" w:type="dxa"/>
            <w:vAlign w:val="bottom"/>
          </w:tcPr>
          <w:p>
            <w:pPr>
              <w:spacing w:after="0"/>
              <w:rPr>
                <w:sz w:val="1"/>
                <w:szCs w:val="1"/>
                <w:color w:val="auto"/>
              </w:rPr>
            </w:pPr>
          </w:p>
        </w:tc>
      </w:tr>
      <w:tr>
        <w:trPr>
          <w:trHeight w:val="176"/>
        </w:trPr>
        <w:tc>
          <w:tcPr>
            <w:tcW w:w="5640" w:type="dxa"/>
            <w:vAlign w:val="bottom"/>
          </w:tcPr>
          <w:p>
            <w:pPr>
              <w:jc w:val="right"/>
              <w:ind w:right="1468"/>
              <w:spacing w:after="0" w:line="176" w:lineRule="exact"/>
              <w:rPr>
                <w:sz w:val="20"/>
                <w:szCs w:val="20"/>
                <w:color w:val="auto"/>
              </w:rPr>
            </w:pPr>
            <w:r>
              <w:rPr>
                <w:rFonts w:ascii="Arial" w:cs="Arial" w:eastAsia="Arial" w:hAnsi="Arial"/>
                <w:sz w:val="18"/>
                <w:szCs w:val="18"/>
                <w:b w:val="1"/>
                <w:bCs w:val="1"/>
                <w:color w:val="auto"/>
              </w:rPr>
              <w:t>(617) 374-7580</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5640" w:type="dxa"/>
            <w:vAlign w:val="bottom"/>
          </w:tcPr>
          <w:p>
            <w:pPr>
              <w:jc w:val="center"/>
              <w:ind w:left="1348"/>
              <w:spacing w:after="0"/>
              <w:rPr>
                <w:sz w:val="20"/>
                <w:szCs w:val="20"/>
                <w:color w:val="auto"/>
              </w:rPr>
            </w:pPr>
            <w:r>
              <w:rPr>
                <w:rFonts w:ascii="Arial" w:cs="Arial" w:eastAsia="Arial" w:hAnsi="Arial"/>
                <w:sz w:val="11"/>
                <w:szCs w:val="11"/>
                <w:b w:val="1"/>
                <w:bCs w:val="1"/>
                <w:color w:val="auto"/>
                <w:w w:val="88"/>
              </w:rPr>
              <w:t>(Registrant’s Telephone Number, Including Area Code)</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5640" w:type="dxa"/>
            <w:vAlign w:val="bottom"/>
          </w:tcPr>
          <w:p>
            <w:pPr>
              <w:jc w:val="center"/>
              <w:ind w:left="1348"/>
              <w:spacing w:after="0"/>
              <w:rPr>
                <w:sz w:val="20"/>
                <w:szCs w:val="20"/>
                <w:color w:val="auto"/>
              </w:rPr>
            </w:pPr>
            <w:r>
              <w:rPr>
                <w:rFonts w:ascii="Arial" w:cs="Arial" w:eastAsia="Arial" w:hAnsi="Arial"/>
                <w:sz w:val="11"/>
                <w:szCs w:val="11"/>
                <w:b w:val="1"/>
                <w:bCs w:val="1"/>
                <w:color w:val="auto"/>
                <w:w w:val="89"/>
              </w:rPr>
              <w:t>(Former Name, Former Address and Former Fiscal Year, if Changed Since Last Report)</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40" w:type="dxa"/>
            <w:vAlign w:val="bottom"/>
          </w:tcPr>
          <w:p>
            <w:pPr>
              <w:jc w:val="right"/>
              <w:ind w:right="728"/>
              <w:spacing w:after="0"/>
              <w:rPr>
                <w:sz w:val="20"/>
                <w:szCs w:val="20"/>
                <w:color w:val="auto"/>
              </w:rPr>
            </w:pPr>
            <w:r>
              <w:rPr>
                <w:rFonts w:ascii="Arial" w:cs="Arial" w:eastAsia="Arial" w:hAnsi="Arial"/>
                <w:sz w:val="18"/>
                <w:szCs w:val="18"/>
                <w:b w:val="1"/>
                <w:bCs w:val="1"/>
                <w:color w:val="auto"/>
              </w:rPr>
              <w:t>_____________________________</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7" w:lineRule="exact"/>
        <w:rPr>
          <w:sz w:val="24"/>
          <w:szCs w:val="24"/>
          <w:color w:val="auto"/>
        </w:rPr>
      </w:pPr>
    </w:p>
    <w:p>
      <w:pPr>
        <w:ind w:right="240" w:firstLine="415"/>
        <w:spacing w:after="0" w:line="15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4" w:lineRule="exact"/>
        <w:rPr>
          <w:sz w:val="24"/>
          <w:szCs w:val="24"/>
          <w:color w:val="auto"/>
        </w:rPr>
      </w:pPr>
    </w:p>
    <w:p>
      <w:pPr>
        <w:ind w:right="280" w:firstLine="415"/>
        <w:spacing w:after="0" w:line="156"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4" w:lineRule="exact"/>
        <w:rPr>
          <w:sz w:val="24"/>
          <w:szCs w:val="24"/>
          <w:color w:val="auto"/>
        </w:rPr>
      </w:pPr>
    </w:p>
    <w:p>
      <w:pPr>
        <w:ind w:firstLine="415"/>
        <w:spacing w:after="0" w:line="293"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0060"/>
          </w:cols>
          <w:pgMar w:left="920" w:top="171" w:right="919" w:bottom="1440" w:gutter="0" w:footer="0" w:header="0"/>
        </w:sectPr>
      </w:pPr>
    </w:p>
    <w:p>
      <w:pPr>
        <w:ind w:left="178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54" w:lineRule="exact"/>
        <w:rPr>
          <w:sz w:val="24"/>
          <w:szCs w:val="24"/>
          <w:color w:val="auto"/>
        </w:rPr>
      </w:pPr>
    </w:p>
    <w:p>
      <w:pPr>
        <w:ind w:left="184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15" w:lineRule="exact"/>
        <w:rPr>
          <w:sz w:val="24"/>
          <w:szCs w:val="24"/>
          <w:color w:val="auto"/>
        </w:rPr>
      </w:pPr>
    </w:p>
    <w:p>
      <w:pPr>
        <w:ind w:left="1220"/>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ind w:left="320"/>
        <w:spacing w:after="0" w:line="14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p>
      <w:pPr>
        <w:spacing w:after="0" w:line="54"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34" w:lineRule="exact"/>
        <w:rPr>
          <w:sz w:val="24"/>
          <w:szCs w:val="24"/>
          <w:color w:val="auto"/>
        </w:rPr>
      </w:pPr>
    </w:p>
    <w:p>
      <w:pPr>
        <w:sectPr>
          <w:pgSz w:w="11900" w:h="16838" w:orient="portrait"/>
          <w:cols w:equalWidth="0" w:num="3">
            <w:col w:w="5900" w:space="720"/>
            <w:col w:w="1580" w:space="80"/>
            <w:col w:w="1780"/>
          </w:cols>
          <w:pgMar w:left="920" w:top="171" w:right="919" w:bottom="1440" w:gutter="0" w:footer="0" w:header="0"/>
          <w:type w:val="continuous"/>
        </w:sectPr>
      </w:pPr>
    </w:p>
    <w:p>
      <w:pPr>
        <w:spacing w:after="0" w:line="30" w:lineRule="exact"/>
        <w:rPr>
          <w:sz w:val="24"/>
          <w:szCs w:val="24"/>
          <w:color w:val="auto"/>
        </w:rPr>
      </w:pPr>
    </w:p>
    <w:p>
      <w:pPr>
        <w:ind w:right="180" w:firstLine="415"/>
        <w:spacing w:after="0" w:line="236"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42" w:lineRule="exact"/>
        <w:rPr>
          <w:sz w:val="24"/>
          <w:szCs w:val="24"/>
          <w:color w:val="auto"/>
        </w:rPr>
      </w:pPr>
    </w:p>
    <w:p>
      <w:pPr>
        <w:ind w:left="420"/>
        <w:spacing w:after="0" w:line="161" w:lineRule="exact"/>
        <w:tabs>
          <w:tab w:leader="none" w:pos="7080" w:val="left"/>
          <w:tab w:leader="none" w:pos="766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17" w:lineRule="exact"/>
        <w:rPr>
          <w:sz w:val="24"/>
          <w:szCs w:val="24"/>
          <w:color w:val="auto"/>
        </w:rPr>
      </w:pPr>
    </w:p>
    <w:p>
      <w:pPr>
        <w:ind w:left="420"/>
        <w:spacing w:after="0"/>
        <w:rPr>
          <w:sz w:val="20"/>
          <w:szCs w:val="20"/>
          <w:color w:val="auto"/>
        </w:rPr>
      </w:pPr>
      <w:r>
        <w:rPr>
          <w:rFonts w:ascii="Arial" w:cs="Arial" w:eastAsia="Arial" w:hAnsi="Arial"/>
          <w:sz w:val="14"/>
          <w:szCs w:val="14"/>
          <w:color w:val="auto"/>
        </w:rPr>
        <w:t>Number of shares of the registrant’s common stock, $0.001 par value, outstanding on April 30, 2018: 43,837,337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827405</wp:posOffset>
            </wp:positionV>
            <wp:extent cx="638873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71" w:right="91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189"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This Amendment No. 1 to Form 10-Q/A (this “Amendment”) amends the Quarterly Report on Form 10-Q of Blueprint Medicines Corporation (the “Company”) for the quarterly period ended March 31, 2018, originally filed with the Securities and Exchange Commission (“SEC”) on May 2, 2018 (the “Original Filing”). This Amendment is being filed solely to include revised Exhibits 31.1 and 31.2, which replace the previously filed versions of those exhibits, to add language regarding internal control over financial reporting in the introduction of paragraph 4 of the certifications of its principal executive officer and principal financial officer pursuant to Section 302 of the Sarbanes-Oxley Act of 2002 (the “Section 302 Certifications”) as required by Item 601(b)(31) of Regulation S-K. This language was inadvertently omitted from the Section 302 Certifications attached to the Original Filing.</w:t>
      </w:r>
    </w:p>
    <w:p>
      <w:pPr>
        <w:spacing w:after="0" w:line="165" w:lineRule="exact"/>
        <w:rPr>
          <w:sz w:val="20"/>
          <w:szCs w:val="20"/>
          <w:color w:val="auto"/>
        </w:rPr>
      </w:pPr>
    </w:p>
    <w:p>
      <w:pPr>
        <w:ind w:right="120" w:firstLine="648"/>
        <w:spacing w:after="0" w:line="241" w:lineRule="auto"/>
        <w:rPr>
          <w:sz w:val="20"/>
          <w:szCs w:val="20"/>
          <w:color w:val="auto"/>
        </w:rPr>
      </w:pPr>
      <w:r>
        <w:rPr>
          <w:rFonts w:ascii="Arial" w:cs="Arial" w:eastAsia="Arial" w:hAnsi="Arial"/>
          <w:sz w:val="16"/>
          <w:szCs w:val="16"/>
          <w:color w:val="auto"/>
        </w:rPr>
        <w:t>Except as described as above, no changes have been made to the Original Filing. The Original Filing continues to speak as of the date of the Original Filing, and the Company has not updated the disclosures contained therein to reflect any events that have occurred as of a date subsequent to the date of the Original Filing. Accordingly, this Amendment should be read in conjunction with the Original Filing and the Company’s filings made with the SEC subsequent to the filing of the Original Filing. The filing of this Amendment is not an admission that the Original Filing, when filed, included any untrue statement of a material fact or omitted to state a material fact necessary to make a statement not misleading.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as part of this Amendment.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jc w:val="right"/>
              <w:ind w:right="70"/>
              <w:spacing w:after="0"/>
              <w:rPr>
                <w:sz w:val="20"/>
                <w:szCs w:val="20"/>
                <w:color w:val="auto"/>
              </w:rPr>
            </w:pPr>
            <w:r>
              <w:rPr>
                <w:rFonts w:ascii="Arial" w:cs="Arial" w:eastAsia="Arial" w:hAnsi="Arial"/>
                <w:sz w:val="18"/>
                <w:szCs w:val="18"/>
                <w:b w:val="1"/>
                <w:bCs w:val="1"/>
                <w:color w:val="auto"/>
              </w:rPr>
              <w:t>Exhibit</w:t>
            </w:r>
          </w:p>
        </w:tc>
        <w:tc>
          <w:tcPr>
            <w:tcW w:w="28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21"/>
        </w:trPr>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Number</w:t>
            </w:r>
          </w:p>
        </w:tc>
        <w:tc>
          <w:tcPr>
            <w:tcW w:w="280" w:type="dxa"/>
            <w:vAlign w:val="bottom"/>
          </w:tcPr>
          <w:p>
            <w:pPr>
              <w:spacing w:after="0"/>
              <w:rPr>
                <w:sz w:val="19"/>
                <w:szCs w:val="19"/>
                <w:color w:val="auto"/>
              </w:rPr>
            </w:pPr>
          </w:p>
        </w:tc>
        <w:tc>
          <w:tcPr>
            <w:tcW w:w="7860" w:type="dxa"/>
            <w:vAlign w:val="bottom"/>
            <w:tcBorders>
              <w:bottom w:val="single" w:sz="8" w:color="auto"/>
            </w:tcBorders>
            <w:gridSpan w:val="4"/>
          </w:tcPr>
          <w:p>
            <w:pPr>
              <w:ind w:left="3060"/>
              <w:spacing w:after="0"/>
              <w:rPr>
                <w:sz w:val="20"/>
                <w:szCs w:val="20"/>
                <w:color w:val="auto"/>
              </w:rPr>
            </w:pPr>
            <w:r>
              <w:rPr>
                <w:rFonts w:ascii="Arial" w:cs="Arial" w:eastAsia="Arial" w:hAnsi="Arial"/>
                <w:sz w:val="18"/>
                <w:szCs w:val="18"/>
                <w:b w:val="1"/>
                <w:bCs w:val="1"/>
                <w:color w:val="auto"/>
              </w:rPr>
              <w:t>Description of Exhibit</w:t>
            </w:r>
          </w:p>
        </w:tc>
      </w:tr>
      <w:tr>
        <w:trPr>
          <w:trHeight w:val="156"/>
        </w:trPr>
        <w:tc>
          <w:tcPr>
            <w:tcW w:w="880" w:type="dxa"/>
            <w:vAlign w:val="bottom"/>
          </w:tcPr>
          <w:p>
            <w:pPr>
              <w:jc w:val="right"/>
              <w:ind w:right="390"/>
              <w:spacing w:after="0" w:line="156" w:lineRule="exact"/>
              <w:rPr>
                <w:sz w:val="20"/>
                <w:szCs w:val="20"/>
                <w:color w:val="auto"/>
              </w:rPr>
            </w:pPr>
            <w:r>
              <w:rPr>
                <w:rFonts w:ascii="Arial" w:cs="Arial" w:eastAsia="Arial" w:hAnsi="Arial"/>
                <w:sz w:val="18"/>
                <w:szCs w:val="18"/>
                <w:color w:val="auto"/>
                <w:w w:val="90"/>
              </w:rPr>
              <w:t>31.1*</w:t>
            </w:r>
          </w:p>
        </w:tc>
        <w:tc>
          <w:tcPr>
            <w:tcW w:w="280" w:type="dxa"/>
            <w:vAlign w:val="bottom"/>
          </w:tcPr>
          <w:p>
            <w:pPr>
              <w:spacing w:after="0"/>
              <w:rPr>
                <w:sz w:val="13"/>
                <w:szCs w:val="13"/>
                <w:color w:val="auto"/>
              </w:rPr>
            </w:pPr>
          </w:p>
        </w:tc>
        <w:tc>
          <w:tcPr>
            <w:tcW w:w="7860" w:type="dxa"/>
            <w:vAlign w:val="bottom"/>
            <w:gridSpan w:val="4"/>
          </w:tcPr>
          <w:p>
            <w:pPr>
              <w:spacing w:after="0" w:line="15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Certification of Principal Executive Officer pursuant to Rule 13a-14(a) or Rule 15d-14(a) of the Exchange</w:t>
              </w:r>
            </w:hyperlink>
          </w:p>
        </w:tc>
      </w:tr>
      <w:tr>
        <w:trPr>
          <w:trHeight w:val="156"/>
        </w:trPr>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40" w:type="dxa"/>
            <w:vAlign w:val="bottom"/>
            <w:tcBorders>
              <w:top w:val="single" w:sz="8" w:color="0000EE"/>
            </w:tcBorders>
            <w:gridSpan w:val="3"/>
          </w:tcPr>
          <w:p>
            <w:pPr>
              <w:spacing w:after="0" w:line="156" w:lineRule="exact"/>
              <w:rPr>
                <w:rFonts w:ascii="Arial" w:cs="Arial" w:eastAsia="Arial" w:hAnsi="Arial"/>
                <w:sz w:val="18"/>
                <w:szCs w:val="18"/>
                <w:color w:val="0000EE"/>
              </w:rPr>
            </w:pPr>
            <w:hyperlink w:anchor="page4">
              <w:r>
                <w:rPr>
                  <w:rFonts w:ascii="Arial" w:cs="Arial" w:eastAsia="Arial" w:hAnsi="Arial"/>
                  <w:sz w:val="18"/>
                  <w:szCs w:val="18"/>
                  <w:color w:val="0000EE"/>
                </w:rPr>
                <w:t>Act, as adopted pursuant to Section 302 of the Sarbanes-Oxley Act of 2002</w:t>
              </w:r>
            </w:hyperlink>
          </w:p>
        </w:tc>
        <w:tc>
          <w:tcPr>
            <w:tcW w:w="220" w:type="dxa"/>
            <w:vAlign w:val="bottom"/>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400" w:type="dxa"/>
            <w:vAlign w:val="bottom"/>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r>
      <w:tr>
        <w:trPr>
          <w:trHeight w:val="264"/>
        </w:trPr>
        <w:tc>
          <w:tcPr>
            <w:tcW w:w="880" w:type="dxa"/>
            <w:vAlign w:val="bottom"/>
          </w:tcPr>
          <w:p>
            <w:pPr>
              <w:jc w:val="right"/>
              <w:ind w:right="390"/>
              <w:spacing w:after="0"/>
              <w:rPr>
                <w:sz w:val="20"/>
                <w:szCs w:val="20"/>
                <w:color w:val="auto"/>
              </w:rPr>
            </w:pPr>
            <w:r>
              <w:rPr>
                <w:rFonts w:ascii="Arial" w:cs="Arial" w:eastAsia="Arial" w:hAnsi="Arial"/>
                <w:sz w:val="18"/>
                <w:szCs w:val="18"/>
                <w:color w:val="auto"/>
                <w:w w:val="90"/>
              </w:rPr>
              <w:t>31.2*</w:t>
            </w:r>
          </w:p>
        </w:tc>
        <w:tc>
          <w:tcPr>
            <w:tcW w:w="280" w:type="dxa"/>
            <w:vAlign w:val="bottom"/>
          </w:tcPr>
          <w:p>
            <w:pPr>
              <w:spacing w:after="0"/>
              <w:rPr>
                <w:sz w:val="22"/>
                <w:szCs w:val="22"/>
                <w:color w:val="auto"/>
              </w:rPr>
            </w:pPr>
          </w:p>
        </w:tc>
        <w:tc>
          <w:tcPr>
            <w:tcW w:w="7860" w:type="dxa"/>
            <w:vAlign w:val="bottom"/>
            <w:gridSpan w:val="4"/>
          </w:tcPr>
          <w:p>
            <w:pPr>
              <w:spacing w:after="0"/>
              <w:rPr>
                <w:rFonts w:ascii="Arial" w:cs="Arial" w:eastAsia="Arial" w:hAnsi="Arial"/>
                <w:sz w:val="18"/>
                <w:szCs w:val="18"/>
                <w:color w:val="0000EE"/>
                <w:w w:val="94"/>
              </w:rPr>
            </w:pPr>
            <w:hyperlink w:anchor="page5">
              <w:r>
                <w:rPr>
                  <w:rFonts w:ascii="Arial" w:cs="Arial" w:eastAsia="Arial" w:hAnsi="Arial"/>
                  <w:sz w:val="18"/>
                  <w:szCs w:val="18"/>
                  <w:color w:val="0000EE"/>
                  <w:w w:val="94"/>
                </w:rPr>
                <w:t>Certification of Principal Financial Officer pursuant to Rule 13a-14(a) or Rule 15d-14(a) of the Exchange</w:t>
              </w:r>
            </w:hyperlink>
          </w:p>
        </w:tc>
      </w:tr>
      <w:tr>
        <w:trPr>
          <w:trHeight w:val="156"/>
        </w:trPr>
        <w:tc>
          <w:tcPr>
            <w:tcW w:w="8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580" w:type="dxa"/>
            <w:vAlign w:val="bottom"/>
            <w:tcBorders>
              <w:top w:val="single" w:sz="8" w:color="0000EE"/>
            </w:tcBorders>
            <w:gridSpan w:val="2"/>
          </w:tcPr>
          <w:p>
            <w:pPr>
              <w:spacing w:after="0" w:line="156" w:lineRule="exact"/>
              <w:rPr>
                <w:rFonts w:ascii="Arial" w:cs="Arial" w:eastAsia="Arial" w:hAnsi="Arial"/>
                <w:sz w:val="18"/>
                <w:szCs w:val="18"/>
                <w:color w:val="0000EE"/>
              </w:rPr>
            </w:pPr>
            <w:hyperlink w:anchor="page5">
              <w:r>
                <w:rPr>
                  <w:rFonts w:ascii="Arial" w:cs="Arial" w:eastAsia="Arial" w:hAnsi="Arial"/>
                  <w:sz w:val="18"/>
                  <w:szCs w:val="18"/>
                  <w:color w:val="0000EE"/>
                </w:rPr>
                <w:t>Act, as adopted pursuant to Section 302 of the Sarbanes-Oxley Act of 2002</w:t>
              </w:r>
            </w:hyperlink>
          </w:p>
        </w:tc>
        <w:tc>
          <w:tcPr>
            <w:tcW w:w="280" w:type="dxa"/>
            <w:vAlign w:val="bottom"/>
            <w:gridSpan w:val="2"/>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5400" w:type="dxa"/>
            <w:vAlign w:val="bottom"/>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14408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283" w:right="14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right="339" w:firstLine="441"/>
        <w:spacing w:after="0" w:line="25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5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BLUEPRINT MEDICINES CORPORATION</w:t>
      </w:r>
    </w:p>
    <w:p>
      <w:pPr>
        <w:spacing w:after="0" w:line="216" w:lineRule="exact"/>
        <w:rPr>
          <w:sz w:val="20"/>
          <w:szCs w:val="20"/>
          <w:color w:val="auto"/>
        </w:rPr>
      </w:pPr>
    </w:p>
    <w:p>
      <w:pPr>
        <w:spacing w:after="0"/>
        <w:tabs>
          <w:tab w:leader="none" w:pos="4340" w:val="left"/>
          <w:tab w:leader="none" w:pos="4760" w:val="left"/>
        </w:tabs>
        <w:rPr>
          <w:sz w:val="20"/>
          <w:szCs w:val="20"/>
          <w:color w:val="auto"/>
        </w:rPr>
      </w:pPr>
      <w:r>
        <w:rPr>
          <w:rFonts w:ascii="Arial" w:cs="Arial" w:eastAsia="Arial" w:hAnsi="Arial"/>
          <w:sz w:val="18"/>
          <w:szCs w:val="18"/>
          <w:color w:val="auto"/>
        </w:rPr>
        <w:t>Date: August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6350</wp:posOffset>
            </wp:positionV>
            <wp:extent cx="27184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Jeffrey W. Albers</w:t>
      </w:r>
    </w:p>
    <w:p>
      <w:pPr>
        <w:ind w:left="4780"/>
        <w:spacing w:after="0"/>
        <w:rPr>
          <w:sz w:val="20"/>
          <w:szCs w:val="20"/>
          <w:color w:val="auto"/>
        </w:rPr>
      </w:pPr>
      <w:r>
        <w:rPr>
          <w:rFonts w:ascii="Arial" w:cs="Arial" w:eastAsia="Arial" w:hAnsi="Arial"/>
          <w:sz w:val="16"/>
          <w:szCs w:val="16"/>
          <w:i w:val="1"/>
          <w:iCs w:val="1"/>
          <w:color w:val="auto"/>
        </w:rPr>
        <w:t>President, Chief Executive Officer and Director (Principal</w:t>
      </w:r>
    </w:p>
    <w:p>
      <w:pPr>
        <w:spacing w:after="0" w:line="19" w:lineRule="exact"/>
        <w:rPr>
          <w:sz w:val="20"/>
          <w:szCs w:val="20"/>
          <w:color w:val="auto"/>
        </w:rPr>
      </w:pPr>
    </w:p>
    <w:p>
      <w:pPr>
        <w:ind w:left="4780"/>
        <w:spacing w:after="0"/>
        <w:rPr>
          <w:sz w:val="20"/>
          <w:szCs w:val="20"/>
          <w:color w:val="auto"/>
        </w:rPr>
      </w:pPr>
      <w:r>
        <w:rPr>
          <w:rFonts w:ascii="Arial" w:cs="Arial" w:eastAsia="Arial" w:hAnsi="Arial"/>
          <w:sz w:val="18"/>
          <w:szCs w:val="18"/>
          <w:i w:val="1"/>
          <w:iCs w:val="1"/>
          <w:color w:val="auto"/>
        </w:rPr>
        <w:t>Executive Officer)</w:t>
      </w:r>
    </w:p>
    <w:p>
      <w:pPr>
        <w:spacing w:after="0" w:line="196" w:lineRule="exact"/>
        <w:rPr>
          <w:sz w:val="20"/>
          <w:szCs w:val="20"/>
          <w:color w:val="auto"/>
        </w:rPr>
      </w:pPr>
    </w:p>
    <w:p>
      <w:pPr>
        <w:spacing w:after="0"/>
        <w:tabs>
          <w:tab w:leader="none" w:pos="4340" w:val="left"/>
          <w:tab w:leader="none" w:pos="4760" w:val="left"/>
        </w:tabs>
        <w:rPr>
          <w:sz w:val="20"/>
          <w:szCs w:val="20"/>
          <w:color w:val="auto"/>
        </w:rPr>
      </w:pPr>
      <w:r>
        <w:rPr>
          <w:rFonts w:ascii="Arial" w:cs="Arial" w:eastAsia="Arial" w:hAnsi="Arial"/>
          <w:sz w:val="18"/>
          <w:szCs w:val="18"/>
          <w:color w:val="auto"/>
        </w:rPr>
        <w:t>Date: August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6350</wp:posOffset>
            </wp:positionV>
            <wp:extent cx="27184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Michael Landsittel</w:t>
      </w:r>
    </w:p>
    <w:p>
      <w:pPr>
        <w:ind w:left="4780"/>
        <w:spacing w:after="0" w:line="234" w:lineRule="auto"/>
        <w:rPr>
          <w:sz w:val="20"/>
          <w:szCs w:val="20"/>
          <w:color w:val="auto"/>
        </w:rPr>
      </w:pPr>
      <w:r>
        <w:rPr>
          <w:rFonts w:ascii="Arial" w:cs="Arial" w:eastAsia="Arial" w:hAnsi="Arial"/>
          <w:sz w:val="18"/>
          <w:szCs w:val="18"/>
          <w:i w:val="1"/>
          <w:iCs w:val="1"/>
          <w:color w:val="auto"/>
        </w:rPr>
        <w:t>Vice President of Finance</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459" w:right="1440" w:bottom="1440" w:gutter="0" w:footer="0" w:header="0"/>
        </w:sectPr>
      </w:pPr>
    </w:p>
    <w:bookmarkStart w:id="3" w:name="page4"/>
    <w:bookmarkEnd w:id="3"/>
    <w:p>
      <w:pPr>
        <w:jc w:val="right"/>
        <w:ind w:right="139"/>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Jeffrey W. Albers, certify that:</w:t>
      </w:r>
    </w:p>
    <w:p>
      <w:pPr>
        <w:spacing w:after="0" w:line="185" w:lineRule="exact"/>
        <w:rPr>
          <w:sz w:val="20"/>
          <w:szCs w:val="20"/>
          <w:color w:val="auto"/>
        </w:rPr>
      </w:pPr>
    </w:p>
    <w:p>
      <w:pPr>
        <w:ind w:left="1460" w:hanging="661"/>
        <w:spacing w:after="0"/>
        <w:tabs>
          <w:tab w:leader="none" w:pos="1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Blueprint Medicines Corporation;</w:t>
      </w:r>
    </w:p>
    <w:p>
      <w:pPr>
        <w:spacing w:after="0" w:line="184" w:lineRule="exact"/>
        <w:rPr>
          <w:rFonts w:ascii="Arial" w:cs="Arial" w:eastAsia="Arial" w:hAnsi="Arial"/>
          <w:sz w:val="18"/>
          <w:szCs w:val="18"/>
          <w:color w:val="auto"/>
        </w:rPr>
      </w:pPr>
    </w:p>
    <w:p>
      <w:pPr>
        <w:ind w:left="160" w:right="159" w:firstLine="639"/>
        <w:spacing w:after="0" w:line="224" w:lineRule="auto"/>
        <w:tabs>
          <w:tab w:leader="none" w:pos="1474"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160" w:right="219" w:firstLine="639"/>
        <w:spacing w:after="0" w:line="224" w:lineRule="auto"/>
        <w:tabs>
          <w:tab w:leader="none" w:pos="1474"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160" w:right="159" w:firstLine="639"/>
        <w:spacing w:after="0" w:line="259" w:lineRule="auto"/>
        <w:tabs>
          <w:tab w:leader="none" w:pos="1474"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800" w:right="259" w:firstLine="647"/>
        <w:spacing w:after="0" w:line="219" w:lineRule="auto"/>
        <w:tabs>
          <w:tab w:leader="none" w:pos="2098" w:val="left"/>
        </w:tabs>
        <w:numPr>
          <w:ilvl w:val="1"/>
          <w:numId w:val="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800" w:right="239" w:firstLine="647"/>
        <w:spacing w:after="0" w:line="219" w:lineRule="auto"/>
        <w:tabs>
          <w:tab w:leader="none" w:pos="2108" w:val="left"/>
        </w:tabs>
        <w:numPr>
          <w:ilvl w:val="1"/>
          <w:numId w:val="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800" w:right="259" w:firstLine="647"/>
        <w:spacing w:after="0" w:line="224" w:lineRule="auto"/>
        <w:tabs>
          <w:tab w:leader="none" w:pos="2125" w:val="left"/>
        </w:tabs>
        <w:numPr>
          <w:ilvl w:val="1"/>
          <w:numId w:val="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00" w:right="199" w:firstLine="647"/>
        <w:spacing w:after="0" w:line="219" w:lineRule="auto"/>
        <w:tabs>
          <w:tab w:leader="none" w:pos="2108" w:val="left"/>
        </w:tabs>
        <w:numPr>
          <w:ilvl w:val="1"/>
          <w:numId w:val="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160" w:right="179" w:firstLine="639"/>
        <w:spacing w:after="0" w:line="224" w:lineRule="auto"/>
        <w:tabs>
          <w:tab w:leader="none" w:pos="147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00" w:right="219" w:firstLine="647"/>
        <w:spacing w:after="0" w:line="224" w:lineRule="auto"/>
        <w:tabs>
          <w:tab w:leader="none" w:pos="2098" w:val="left"/>
        </w:tabs>
        <w:numPr>
          <w:ilvl w:val="1"/>
          <w:numId w:val="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00" w:right="259" w:firstLine="647"/>
        <w:spacing w:after="0" w:line="235" w:lineRule="auto"/>
        <w:tabs>
          <w:tab w:leader="none" w:pos="2108" w:val="left"/>
        </w:tabs>
        <w:numPr>
          <w:ilvl w:val="1"/>
          <w:numId w:val="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9" w:lineRule="exact"/>
        <w:rPr>
          <w:sz w:val="20"/>
          <w:szCs w:val="20"/>
          <w:color w:val="auto"/>
        </w:rPr>
      </w:pPr>
    </w:p>
    <w:p>
      <w:pPr>
        <w:ind w:left="160"/>
        <w:spacing w:after="0"/>
        <w:tabs>
          <w:tab w:leader="none" w:pos="4480" w:val="left"/>
        </w:tabs>
        <w:rPr>
          <w:sz w:val="20"/>
          <w:szCs w:val="20"/>
          <w:color w:val="auto"/>
        </w:rPr>
      </w:pPr>
      <w:r>
        <w:rPr>
          <w:rFonts w:ascii="Arial" w:cs="Arial" w:eastAsia="Arial" w:hAnsi="Arial"/>
          <w:sz w:val="18"/>
          <w:szCs w:val="18"/>
          <w:color w:val="auto"/>
        </w:rPr>
        <w:t>Date: August 1, 2018</w:t>
      </w:r>
      <w:r>
        <w:rPr>
          <w:sz w:val="20"/>
          <w:szCs w:val="20"/>
          <w:color w:val="auto"/>
        </w:rPr>
        <w:tab/>
      </w:r>
      <w:r>
        <w:rPr>
          <w:rFonts w:ascii="Arial" w:cs="Arial" w:eastAsia="Arial" w:hAnsi="Arial"/>
          <w:sz w:val="16"/>
          <w:szCs w:val="16"/>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-635</wp:posOffset>
            </wp:positionV>
            <wp:extent cx="26073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4760"/>
        <w:spacing w:after="0" w:line="203" w:lineRule="auto"/>
        <w:rPr>
          <w:sz w:val="20"/>
          <w:szCs w:val="20"/>
          <w:color w:val="auto"/>
        </w:rPr>
      </w:pPr>
      <w:r>
        <w:rPr>
          <w:rFonts w:ascii="Arial" w:cs="Arial" w:eastAsia="Arial" w:hAnsi="Arial"/>
          <w:sz w:val="18"/>
          <w:szCs w:val="18"/>
          <w:color w:val="auto"/>
        </w:rPr>
        <w:t>Jeffrey W. Albers</w:t>
      </w:r>
    </w:p>
    <w:p>
      <w:pPr>
        <w:ind w:left="4760"/>
        <w:spacing w:after="0" w:line="204" w:lineRule="auto"/>
        <w:rPr>
          <w:sz w:val="20"/>
          <w:szCs w:val="20"/>
          <w:color w:val="auto"/>
        </w:rPr>
      </w:pPr>
      <w:r>
        <w:rPr>
          <w:rFonts w:ascii="Arial" w:cs="Arial" w:eastAsia="Arial" w:hAnsi="Arial"/>
          <w:sz w:val="18"/>
          <w:szCs w:val="18"/>
          <w:color w:val="auto"/>
        </w:rPr>
        <w:t>President and Chief Executive Officer</w:t>
      </w:r>
    </w:p>
    <w:p>
      <w:pPr>
        <w:ind w:left="47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4" w:name="page5"/>
    <w:bookmarkEnd w:id="4"/>
    <w:p>
      <w:pPr>
        <w:jc w:val="right"/>
        <w:ind w:right="139"/>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Michael Landsittel, certify that:</w:t>
      </w:r>
    </w:p>
    <w:p>
      <w:pPr>
        <w:spacing w:after="0" w:line="185" w:lineRule="exact"/>
        <w:rPr>
          <w:sz w:val="20"/>
          <w:szCs w:val="20"/>
          <w:color w:val="auto"/>
        </w:rPr>
      </w:pPr>
    </w:p>
    <w:p>
      <w:pPr>
        <w:ind w:left="1460" w:hanging="661"/>
        <w:spacing w:after="0"/>
        <w:tabs>
          <w:tab w:leader="none" w:pos="1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Blueprint Medicines Corporation;</w:t>
      </w:r>
    </w:p>
    <w:p>
      <w:pPr>
        <w:spacing w:after="0" w:line="184" w:lineRule="exact"/>
        <w:rPr>
          <w:rFonts w:ascii="Arial" w:cs="Arial" w:eastAsia="Arial" w:hAnsi="Arial"/>
          <w:sz w:val="18"/>
          <w:szCs w:val="18"/>
          <w:color w:val="auto"/>
        </w:rPr>
      </w:pPr>
    </w:p>
    <w:p>
      <w:pPr>
        <w:ind w:left="160" w:right="159" w:firstLine="639"/>
        <w:spacing w:after="0" w:line="224" w:lineRule="auto"/>
        <w:tabs>
          <w:tab w:leader="none" w:pos="1474"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160" w:right="219" w:firstLine="639"/>
        <w:spacing w:after="0" w:line="224" w:lineRule="auto"/>
        <w:tabs>
          <w:tab w:leader="none" w:pos="1474"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160" w:right="159" w:firstLine="639"/>
        <w:spacing w:after="0" w:line="259" w:lineRule="auto"/>
        <w:tabs>
          <w:tab w:leader="none" w:pos="1474"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800" w:right="259" w:firstLine="647"/>
        <w:spacing w:after="0" w:line="219" w:lineRule="auto"/>
        <w:tabs>
          <w:tab w:leader="none" w:pos="2098"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800" w:right="239" w:firstLine="647"/>
        <w:spacing w:after="0" w:line="219" w:lineRule="auto"/>
        <w:tabs>
          <w:tab w:leader="none" w:pos="2108" w:val="left"/>
        </w:tabs>
        <w:numPr>
          <w:ilvl w:val="1"/>
          <w:numId w:val="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800" w:right="259" w:firstLine="647"/>
        <w:spacing w:after="0" w:line="224" w:lineRule="auto"/>
        <w:tabs>
          <w:tab w:leader="none" w:pos="2125" w:val="left"/>
        </w:tabs>
        <w:numPr>
          <w:ilvl w:val="1"/>
          <w:numId w:val="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00" w:right="199" w:firstLine="647"/>
        <w:spacing w:after="0" w:line="219" w:lineRule="auto"/>
        <w:tabs>
          <w:tab w:leader="none" w:pos="2108" w:val="left"/>
        </w:tabs>
        <w:numPr>
          <w:ilvl w:val="1"/>
          <w:numId w:val="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160" w:right="179" w:firstLine="639"/>
        <w:spacing w:after="0" w:line="224" w:lineRule="auto"/>
        <w:tabs>
          <w:tab w:leader="none" w:pos="147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00" w:right="219" w:firstLine="647"/>
        <w:spacing w:after="0" w:line="224" w:lineRule="auto"/>
        <w:tabs>
          <w:tab w:leader="none" w:pos="2098" w:val="left"/>
        </w:tabs>
        <w:numPr>
          <w:ilvl w:val="1"/>
          <w:numId w:val="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00" w:right="259" w:firstLine="647"/>
        <w:spacing w:after="0" w:line="235" w:lineRule="auto"/>
        <w:tabs>
          <w:tab w:leader="none" w:pos="2108"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9" w:lineRule="exact"/>
        <w:rPr>
          <w:sz w:val="20"/>
          <w:szCs w:val="20"/>
          <w:color w:val="auto"/>
        </w:rPr>
      </w:pPr>
    </w:p>
    <w:p>
      <w:pPr>
        <w:ind w:left="160"/>
        <w:spacing w:after="0"/>
        <w:tabs>
          <w:tab w:leader="none" w:pos="4460" w:val="left"/>
        </w:tabs>
        <w:rPr>
          <w:sz w:val="20"/>
          <w:szCs w:val="20"/>
          <w:color w:val="auto"/>
        </w:rPr>
      </w:pPr>
      <w:r>
        <w:rPr>
          <w:rFonts w:ascii="Arial" w:cs="Arial" w:eastAsia="Arial" w:hAnsi="Arial"/>
          <w:sz w:val="18"/>
          <w:szCs w:val="18"/>
          <w:color w:val="auto"/>
        </w:rPr>
        <w:t>Date: August 1, 2018</w:t>
      </w:r>
      <w:r>
        <w:rPr>
          <w:sz w:val="20"/>
          <w:szCs w:val="20"/>
          <w:color w:val="auto"/>
        </w:rPr>
        <w:tab/>
      </w:r>
      <w:r>
        <w:rPr>
          <w:rFonts w:ascii="Arial" w:cs="Arial" w:eastAsia="Arial" w:hAnsi="Arial"/>
          <w:sz w:val="17"/>
          <w:szCs w:val="17"/>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-635</wp:posOffset>
            </wp:positionV>
            <wp:extent cx="26155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4760"/>
        <w:spacing w:after="0" w:line="203" w:lineRule="auto"/>
        <w:rPr>
          <w:sz w:val="20"/>
          <w:szCs w:val="20"/>
          <w:color w:val="auto"/>
        </w:rPr>
      </w:pPr>
      <w:r>
        <w:rPr>
          <w:rFonts w:ascii="Arial" w:cs="Arial" w:eastAsia="Arial" w:hAnsi="Arial"/>
          <w:sz w:val="18"/>
          <w:szCs w:val="18"/>
          <w:color w:val="auto"/>
        </w:rPr>
        <w:t>Michael Landsittel</w:t>
      </w:r>
    </w:p>
    <w:p>
      <w:pPr>
        <w:ind w:left="4760"/>
        <w:spacing w:after="0" w:line="204" w:lineRule="auto"/>
        <w:rPr>
          <w:sz w:val="20"/>
          <w:szCs w:val="20"/>
          <w:color w:val="auto"/>
        </w:rPr>
      </w:pPr>
      <w:r>
        <w:rPr>
          <w:rFonts w:ascii="Arial" w:cs="Arial" w:eastAsia="Arial" w:hAnsi="Arial"/>
          <w:sz w:val="18"/>
          <w:szCs w:val="18"/>
          <w:color w:val="auto"/>
        </w:rPr>
        <w:t>Vice President of Finance</w:t>
      </w:r>
    </w:p>
    <w:p>
      <w:pPr>
        <w:ind w:left="47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416560</wp:posOffset>
            </wp:positionV>
            <wp:extent cx="554863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2)"/>
      <w:numFmt w:val="lowerLetter"/>
      <w:start w:val="1"/>
    </w:lvl>
  </w:abstractNum>
  <w:abstractNum w:abstractNumId="1">
    <w:nsid w:val="6633487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2019-12-28T20:35:15Z</dcterms:created>
  <dcterms:modified xsi:type="dcterms:W3CDTF">2019-12-28T20:35:15Z</dcterms:modified>
</cp:coreProperties>
</file>