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432"/>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August 2, 2022, Blueprint Medicines Corporation announced its financial results for the quarter ended June 30, 2022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700" w:type="dxa"/>
            <w:vAlign w:val="bottom"/>
          </w:tcPr>
          <w:p>
            <w:pPr>
              <w:spacing w:after="0"/>
              <w:rPr>
                <w:sz w:val="16"/>
                <w:szCs w:val="16"/>
                <w:color w:val="auto"/>
              </w:rPr>
            </w:pPr>
          </w:p>
        </w:tc>
        <w:tc>
          <w:tcPr>
            <w:tcW w:w="558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0000EE"/>
                <w:w w:val="99"/>
              </w:rPr>
              <w:t>Press release issued by Blueprint Medicines Corporation on August 2, 2022</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r>
    </w:tbl>
    <w:p>
      <w:pPr>
        <w:spacing w:after="0" w:line="9" w:lineRule="exact"/>
        <w:rPr>
          <w:sz w:val="20"/>
          <w:szCs w:val="20"/>
          <w:color w:val="auto"/>
        </w:rPr>
      </w:pPr>
    </w:p>
    <w:p>
      <w:pPr>
        <w:ind w:left="1480" w:hanging="1135"/>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p>
      <w:pPr>
        <w:spacing w:after="0" w:line="221"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8"/>
          <w:szCs w:val="18"/>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360" w:right="5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Reports Second Quarter 2022 Results</w:t>
      </w:r>
    </w:p>
    <w:p>
      <w:pPr>
        <w:spacing w:after="0" w:line="172" w:lineRule="exact"/>
        <w:rPr>
          <w:sz w:val="20"/>
          <w:szCs w:val="20"/>
          <w:color w:val="auto"/>
        </w:rPr>
      </w:pPr>
    </w:p>
    <w:p>
      <w:pPr>
        <w:ind w:left="360" w:hanging="16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Achieved $36.5 million in total revenues, including $28.5 million in AYVAKIT</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(avapritinib) net product revenues representing 20 percent AYVAKIT</w:t>
      </w:r>
    </w:p>
    <w:p>
      <w:pPr>
        <w:ind w:left="4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growth from Q1 2022 –</w:t>
      </w:r>
    </w:p>
    <w:p>
      <w:pPr>
        <w:spacing w:after="0" w:line="203" w:lineRule="exact"/>
        <w:rPr>
          <w:rFonts w:ascii="Times New Roman" w:cs="Times New Roman" w:eastAsia="Times New Roman" w:hAnsi="Times New Roman"/>
          <w:sz w:val="18"/>
          <w:szCs w:val="18"/>
          <w:color w:val="auto"/>
        </w:rPr>
      </w:pPr>
    </w:p>
    <w:p>
      <w:pPr>
        <w:ind w:left="1380" w:hanging="165"/>
        <w:spacing w:after="0"/>
        <w:tabs>
          <w:tab w:leader="none" w:pos="13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to report topline data for registration-enabling PIONEER trial of AYVAKIT in non-advanced SM in August 2022 --</w:t>
      </w:r>
    </w:p>
    <w:p>
      <w:pPr>
        <w:spacing w:after="0" w:line="225" w:lineRule="exact"/>
        <w:rPr>
          <w:rFonts w:ascii="Times New Roman" w:cs="Times New Roman" w:eastAsia="Times New Roman" w:hAnsi="Times New Roman"/>
          <w:sz w:val="18"/>
          <w:szCs w:val="18"/>
          <w:color w:val="auto"/>
        </w:rPr>
      </w:pPr>
    </w:p>
    <w:p>
      <w:pPr>
        <w:jc w:val="center"/>
        <w:ind w:left="2140" w:right="220" w:hanging="1903"/>
        <w:spacing w:after="0" w:line="284" w:lineRule="auto"/>
        <w:tabs>
          <w:tab w:leader="none" w:pos="405"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Licensed KIT exon 13 inhibitor to IDRx in exchange for a 15 percent Series A preferred equity investment, and the potential to receive up to $217.5 million in development, regulatory, and sales-based milestones and tiered percentage royalties --</w:t>
      </w:r>
    </w:p>
    <w:p>
      <w:pPr>
        <w:spacing w:after="0" w:line="158" w:lineRule="exact"/>
        <w:rPr>
          <w:rFonts w:ascii="Times New Roman" w:cs="Times New Roman" w:eastAsia="Times New Roman" w:hAnsi="Times New Roman"/>
          <w:sz w:val="18"/>
          <w:szCs w:val="18"/>
          <w:i w:val="1"/>
          <w:iCs w:val="1"/>
          <w:color w:val="auto"/>
        </w:rPr>
      </w:pPr>
    </w:p>
    <w:p>
      <w:pPr>
        <w:ind w:left="3420" w:hanging="167"/>
        <w:spacing w:after="0"/>
        <w:tabs>
          <w:tab w:leader="none" w:pos="342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Investor Day planned for November 1, 2022 in New York, NY --</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CAMBRIDGE, Mass., August 2, 2022 – Blueprint Medicines Corporation (NASDAQ: BPMC) today reported financial results and provided a business update for the second quarter ended June 30, 2022.</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now one year into the AYVAKIT launch in advanced systemic mastocytosis (SM) and continue to see a significant expansion of our prescriber base as well as strong patient demand, reinforcing our conviction in the growth opportunity in SM. ” said Kate Haviland, Chief Executive Officer of Blueprint Medicines. “We are on track to announce topline data from our registration-enabling PIONEER trial in August, which will catalyze our ability to bring AYVAKIT’s transformative potential to patients living with non-advanced SM. In addition, we continue to make significant progress across our pipeline of innovative investigational medicines in EGFR-mutant and CDK2-vulnerable cancers. We look forward to sharing more about our strategic vision, including the opportunities we see in SM, EGFR-mutant lung cancer, and CDK2-vulnerable cancers, and how our expanding research platform will continue to drive innovation at an Investor Day on November 1, 2022 in New York, NY. With our strong revenue performance, a clinical-stage pipeline of five significant assets, and well over $1 billion in cash on our balance sheet as of today, we are uniquely positioned to drive near- and long-term value for all of our stakeholders by delivering transformative precision medicines to patients around the world.”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Highlights and Recent Progress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AYVAKIT</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/AYVAKYT</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(avapritinib): systemic mastocytosis (SM) and PDGFRA gastrointestinal stromal tumor (GIST)</w:t>
      </w:r>
    </w:p>
    <w:p>
      <w:pPr>
        <w:spacing w:after="0" w:line="13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global net product revenues of $28.5 million for the second quarter of 2022.</w:t>
      </w:r>
    </w:p>
    <w:p>
      <w:pPr>
        <w:spacing w:after="0" w:line="27" w:lineRule="exact"/>
        <w:rPr>
          <w:rFonts w:ascii="Times New Roman" w:cs="Times New Roman" w:eastAsia="Times New Roman" w:hAnsi="Times New Roman"/>
          <w:sz w:val="18"/>
          <w:szCs w:val="18"/>
          <w:color w:val="auto"/>
        </w:rPr>
      </w:pPr>
    </w:p>
    <w:p>
      <w:pPr>
        <w:ind w:left="340" w:right="6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new retrospective analyses at the European Hematology Association (EHA) 2022 Congress, showing that AYVAKIT significantly improved overall survival in patients with advanced SM when compared to real-world data for prior best available therapies, including midostaurin and cladribine. Read the press release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340" w:right="140" w:hanging="332"/>
        <w:spacing w:after="0" w:line="27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FDA, changed the primary endpoint for the registrational PIONEER Part 2 trial of AYVAKIT in patients with non-advanced SM to the mean change in total symptom score (TSS).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GAVRETO</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(pralsetinib): RET-altered cancers</w:t>
      </w:r>
    </w:p>
    <w:p>
      <w:pPr>
        <w:spacing w:after="0" w:line="139" w:lineRule="exact"/>
        <w:rPr>
          <w:sz w:val="20"/>
          <w:szCs w:val="20"/>
          <w:color w:val="auto"/>
        </w:rPr>
      </w:pPr>
    </w:p>
    <w:p>
      <w:pPr>
        <w:ind w:left="340" w:right="56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recorded and reported by Roche, GAVRETO global product sales were 7 million CHF, which excludes sales in the Greater China territory driven by CStone Pharmaceuticals.</w:t>
      </w:r>
    </w:p>
    <w:p>
      <w:pPr>
        <w:ind w:left="340" w:right="180" w:hanging="332"/>
        <w:spacing w:after="0" w:line="27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approval in Hong Kong, China, via the collaboration with CStone Pharmaceuticals, for the treatment of RET fusion-positive non-small cell lung cancer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229" w:lineRule="exact"/>
        <w:rPr>
          <w:sz w:val="20"/>
          <w:szCs w:val="20"/>
          <w:color w:val="auto"/>
        </w:rPr>
      </w:pPr>
    </w:p>
    <w:p>
      <w:pPr>
        <w:ind w:left="340" w:right="10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strategic financing collaborations with Sixth Street and Royalty Pharma plc (Royalty Pharma) (NASDAQ: RPRX) for up to $1.25 billion, of which $175 million was funded as of June 30, 2022, and an additional $400 million funded in July 2022. Read the press release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ind w:left="340" w:right="10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a development candidate-stage KIT exon 13 inhibitor, and licensed the compound to IDRx, Inc., a recently launched clinical-stage biopharmaceutical company, in exchange for a 15 percent Series A preferred equity investment and up to $217.5 million in future milestone payments and tiered percentage royalty payments.</w:t>
      </w:r>
    </w:p>
    <w:p>
      <w:pPr>
        <w:spacing w:after="0" w:line="1" w:lineRule="exact"/>
        <w:rPr>
          <w:rFonts w:ascii="Times New Roman" w:cs="Times New Roman" w:eastAsia="Times New Roman" w:hAnsi="Times New Roman"/>
          <w:sz w:val="18"/>
          <w:szCs w:val="18"/>
          <w:color w:val="auto"/>
        </w:rPr>
      </w:pPr>
    </w:p>
    <w:p>
      <w:pPr>
        <w:ind w:left="340" w:right="2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an inaugural Corporate Responsibility Report, highlighting the company’s long-standing commitment to delivering sustainable value to patients with cancer and blood disorders, as well as the communities in which Blueprint Medicines operates. Read the press release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and access the report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340" w:right="240" w:hanging="332"/>
        <w:spacing w:after="0" w:line="27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the appointment of Habib Dable, former Chief Executive Officer of Acceleron Pharma, Inc., to the company’s Board of Directors. Read the press release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Upcoming Milestones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achieve the following near-term milestones:</w:t>
      </w:r>
    </w:p>
    <w:p>
      <w:pPr>
        <w:spacing w:after="0" w:line="225" w:lineRule="exact"/>
        <w:rPr>
          <w:sz w:val="20"/>
          <w:szCs w:val="20"/>
          <w:color w:val="auto"/>
        </w:rPr>
      </w:pPr>
    </w:p>
    <w:p>
      <w:pPr>
        <w:ind w:left="340" w:right="12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topline data from the registrational PIONEER Part 2 trial for avapritinib in non-advanced SM in August 2022 and submit a supplemental new drug application to the FDA for AYVAKIT in non-advanced SM in the second half of 2022.</w:t>
      </w:r>
    </w:p>
    <w:p>
      <w:pPr>
        <w:ind w:left="340" w:right="20" w:hanging="332"/>
        <w:spacing w:after="0" w:line="255"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the strategic vision for Blueprint, including opportunities in SM, EGFR-mutant lung cancer, and CDK2-vulnerable cancers, and how our expanding research platform has the potential to deliver the promise of precision medicine to more patients at an Investor Day on November 1, 2022 in New York, NY.</w:t>
      </w:r>
    </w:p>
    <w:p>
      <w:pPr>
        <w:spacing w:after="0" w:line="1" w:lineRule="exact"/>
        <w:rPr>
          <w:rFonts w:ascii="Times New Roman" w:cs="Times New Roman" w:eastAsia="Times New Roman" w:hAnsi="Times New Roman"/>
          <w:sz w:val="18"/>
          <w:szCs w:val="18"/>
          <w:color w:val="auto"/>
        </w:rPr>
      </w:pPr>
    </w:p>
    <w:p>
      <w:pPr>
        <w:ind w:left="340" w:right="660" w:hanging="332"/>
        <w:spacing w:after="0" w:line="25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updated BLU-945 monotherapy data and initial dose escalation data for BLU-945 in combination with osimertinib from the Phase 1/2 SYMPHONY trial in EGFR-mutant NSCLC in the second half of 2022.</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initial clinical data from the Phase 1/2 HARMONY trial of BLU-701 in EGFR-mutant NSCLC in the second half of 2022.</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initial data from the HARBOR trial of BLU-263 in non-advanced SM in the second half of 2022.</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initial clinical data from the Phase 1/2 CONCERTO trial of BLU-451 in EGFR-mutant NSCLC in the first half of 2023.</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initial clinical data from the Phase 1/2 VELA trial of BLU-222 in CDK2-vulnerable cancers in the first half of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Results</w:t>
      </w:r>
    </w:p>
    <w:p>
      <w:pPr>
        <w:spacing w:after="0" w:line="225" w:lineRule="exact"/>
        <w:rPr>
          <w:sz w:val="20"/>
          <w:szCs w:val="20"/>
          <w:color w:val="auto"/>
        </w:rPr>
      </w:pPr>
    </w:p>
    <w:p>
      <w:pPr>
        <w:ind w:left="340" w:right="240" w:hanging="332"/>
        <w:spacing w:after="0" w:line="25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 Revenues were $36.5 million for the second quarter of 2022, including $28.5 million of net product revenues from sales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AYVAKIT/AYVAKYT and $8.0 million in collaboration revenues. Blueprint Medicines recorded revenues of $27.3 million in the second quarter of 2021, including $8.5 million of net product revenues from sales of AYVAKIT/AYVAKIT, $2.9 million of net product revenues from sales of GAVRETO and $15.9 million in collaboration revenues.</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Cost of sales was $4.9 million for the second quarter of 2022, as compared to $6.5 million for the second quarter of 2021.</w:t>
      </w:r>
    </w:p>
    <w:p>
      <w:pPr>
        <w:spacing w:after="0" w:line="22" w:lineRule="exact"/>
        <w:rPr>
          <w:rFonts w:ascii="Times New Roman" w:cs="Times New Roman" w:eastAsia="Times New Roman" w:hAnsi="Times New Roman"/>
          <w:sz w:val="18"/>
          <w:szCs w:val="18"/>
          <w:color w:val="auto"/>
        </w:rPr>
      </w:pPr>
    </w:p>
    <w:p>
      <w:pPr>
        <w:ind w:left="340" w:hanging="332"/>
        <w:spacing w:after="0" w:line="25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$128.5 million for the second quarter of 2022, as compared to $80.0 million for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2021. This increase was primarily due to increased costs associated with the progression of our clinical trials and increased costs related to early discovery effort. Research and development expenses included $10.5 million in stock-based compensation expenses for the second quarter of 2022.</w:t>
      </w:r>
    </w:p>
    <w:p>
      <w:pPr>
        <w:spacing w:after="0" w:line="1" w:lineRule="exact"/>
        <w:rPr>
          <w:rFonts w:ascii="Times New Roman" w:cs="Times New Roman" w:eastAsia="Times New Roman" w:hAnsi="Times New Roman"/>
          <w:sz w:val="18"/>
          <w:szCs w:val="18"/>
          <w:color w:val="auto"/>
        </w:rPr>
      </w:pPr>
    </w:p>
    <w:p>
      <w:pPr>
        <w:ind w:left="340" w:right="140" w:hanging="332"/>
        <w:spacing w:after="0" w:line="25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$58.7 million for the second quarter of 2022, as compared to $49.3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quarter of 2021. This increase was primarily due to increased costs associated with expanding our commercial infrastructure for commercialization of AYVAKIT/AYVAKYT. General and administrative expenses included $14.9 million in stock-based compensation expenses for the second quarter of 2022.</w:t>
      </w:r>
    </w:p>
    <w:p>
      <w:pPr>
        <w:spacing w:after="0" w:line="1" w:lineRule="exact"/>
        <w:rPr>
          <w:rFonts w:ascii="Times New Roman" w:cs="Times New Roman" w:eastAsia="Times New Roman" w:hAnsi="Times New Roman"/>
          <w:sz w:val="18"/>
          <w:szCs w:val="18"/>
          <w:color w:val="auto"/>
        </w:rPr>
      </w:pPr>
    </w:p>
    <w:p>
      <w:pPr>
        <w:ind w:left="340" w:right="14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was $159.7 million for the second quarter of 2022, or a net loss per share of $2.68, as compared to a net loss of $108.4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quarter of 2021, or a net loss per share of $1.86.</w:t>
      </w:r>
    </w:p>
    <w:p>
      <w:pPr>
        <w:jc w:val="both"/>
        <w:ind w:left="340" w:hanging="332"/>
        <w:spacing w:after="0" w:line="263"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As of June 30, 2022, cash, cash equivalents and investments were $947.2 million, as compared to $1,034.6 million as of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Cash as of June 30, 2022, does not include $400 million gross proceeds received from our strategic non-dilutive financing agreements with Sixth Street, which closed and was funded in July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Blueprint Medicines anticipates approximately $180M to $200M in total revenues in 2022, including approximately $115M to $130M in AYVAKIT net product revenues. The company continues to expect that its existing cash, cash equivalents and investments, together with anticipated future product revenues, will provide sufficient capital to enable the company to achieve a self-sustainable financial profile.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Blueprint Medicines will host a live conference call and webcast at 8:00 a.m. ET today to discuss second quarter 2022 financial results and recent business activities. The conference call may be accessed by dialing 844-200-6205 (domestic) or 929-526-1599 (international), and referring to conference ID 694684. A webcast of the call will also be available under "Events and Presentations" in the Investors &amp; Media section of the Blueprint Medicines website at </w:t>
      </w:r>
      <w:r>
        <w:rPr>
          <w:rFonts w:ascii="Times New Roman" w:cs="Times New Roman" w:eastAsia="Times New Roman" w:hAnsi="Times New Roman"/>
          <w:sz w:val="18"/>
          <w:szCs w:val="18"/>
          <w:u w:val="single" w:color="auto"/>
          <w:color w:val="auto"/>
        </w:rPr>
        <w:t>http://ir.blueprintmedicines.com/</w:t>
      </w:r>
      <w:r>
        <w:rPr>
          <w:rFonts w:ascii="Times New Roman" w:cs="Times New Roman" w:eastAsia="Times New Roman" w:hAnsi="Times New Roman"/>
          <w:sz w:val="18"/>
          <w:szCs w:val="18"/>
          <w:color w:val="auto"/>
        </w:rPr>
        <w:t>. The archived webcast will be available on Blueprint Medicines' website approximately two hours after the conference call and will be available for 30 days following the call.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Blueprint Medicines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www.BlueprintMedicines.com and follow us on Twitter (@BlueprintMeds) and LinkedIn.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as amended, including, without limitation, statements regarding plans, strategies, timelines and expectations for interactions with the FDA and other regulatory authorities; plans and timelines to update the primary endpoint of the registrational PIONEER trial of AYVAKIT in patients with non-advanced SM; expectations regarding the potential benefits of AYVAKIT in treating patients with non-advanced SM; and the potential benefits of Blueprint Medicines' collaborations;</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and Blueprint Medicines' financial performance,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successfully expand its operations, research platform and portfolio of therapeutic candidates, and the timing and costs thereof; Blueprint Medicines' ability to realize the anticipated benefits of its executive leadership transition plan; and the success of Blueprint Medicines’ current and future collaborations, financing arrangements,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AYVAKIT, AYVAKYT, GAVRETO and associated logos are trademarks of Blueprint Medicines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Condensed Consolidated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7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947,159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1,034,643</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(1)</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793,419</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404,260</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1,192,446</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1,252,225</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(2)</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22,139</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36,576</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(2)</w:t>
            </w:r>
          </w:p>
        </w:tc>
        <w:tc>
          <w:tcPr>
            <w:tcW w:w="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171,254</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444,696</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281,490</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747,750</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970,735</w:t>
            </w:r>
          </w:p>
        </w:tc>
      </w:tr>
    </w:tbl>
    <w:p>
      <w:pPr>
        <w:spacing w:after="0" w:line="225"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Blueprint defines working capital as current assets less current liabilities.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current and long-term portions of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62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28,454</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11,433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52,295</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20,388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8,093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15,862</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28,483</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6,493</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9,964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6,595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128,466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80,027</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231,599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159,738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58,688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49,286</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115,747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91,288</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135,806</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(108,251</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(262,396</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(108,444</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(208,159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(2.68</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2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Weighted-average number of common shares used in net loss per</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 basic and diluted</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59,617</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58,406</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59,465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58,216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Mena Guerrero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617-714-6684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media@blueprintmedicines.com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Jenna Cohen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857-209-3147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2022-08-02T06:49:10Z</dcterms:created>
  <dcterms:modified xsi:type="dcterms:W3CDTF">2022-08-02T06:49:10Z</dcterms:modified>
</cp:coreProperties>
</file>