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194945</wp:posOffset>
            </wp:positionH>
            <wp:positionV relativeFrom="page">
              <wp:posOffset>268605</wp:posOffset>
            </wp:positionV>
            <wp:extent cx="715899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13970"/>
                    </a:xfrm>
                    <a:prstGeom prst="rect">
                      <a:avLst/>
                    </a:prstGeom>
                    <a:noFill/>
                  </pic:spPr>
                </pic:pic>
              </a:graphicData>
            </a:graphic>
          </wp:anchor>
        </w:drawing>
        <w:drawing>
          <wp:anchor simplePos="0" relativeHeight="251657728" behindDoc="1" locked="0" layoutInCell="0" allowOverlap="1">
            <wp:simplePos x="0" y="0"/>
            <wp:positionH relativeFrom="page">
              <wp:posOffset>194945</wp:posOffset>
            </wp:positionH>
            <wp:positionV relativeFrom="page">
              <wp:posOffset>295910</wp:posOffset>
            </wp:positionV>
            <wp:extent cx="71589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6985"/>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589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589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August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71589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Blueprint Medicines Corporation</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589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p>
      <w:pPr>
        <w:spacing w:after="0" w:line="200" w:lineRule="exact"/>
        <w:rPr>
          <w:sz w:val="24"/>
          <w:szCs w:val="24"/>
          <w:color w:val="auto"/>
        </w:rPr>
      </w:pPr>
    </w:p>
    <w:p>
      <w:pPr>
        <w:spacing w:after="0" w:line="252"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30"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13"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2"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001-37359</w:t>
      </w:r>
    </w:p>
    <w:p>
      <w:pPr>
        <w:spacing w:after="0" w:line="30"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2"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26-3632015</w:t>
      </w:r>
    </w:p>
    <w:p>
      <w:pPr>
        <w:spacing w:after="0" w:line="30"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4"/>
          <w:szCs w:val="14"/>
          <w:color w:val="auto"/>
        </w:rPr>
        <w:t>(I.R.S. Employer</w:t>
      </w:r>
    </w:p>
    <w:p>
      <w:pPr>
        <w:spacing w:after="0" w:line="13"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70" w:lineRule="exact"/>
        <w:rPr>
          <w:sz w:val="24"/>
          <w:szCs w:val="24"/>
          <w:color w:val="auto"/>
        </w:rPr>
      </w:pPr>
    </w:p>
    <w:p>
      <w:pPr>
        <w:sectPr>
          <w:pgSz w:w="11900" w:h="16838" w:orient="portrait"/>
          <w:cols w:equalWidth="0" w:num="3">
            <w:col w:w="4120" w:space="720"/>
            <w:col w:w="3380" w:space="720"/>
            <w:col w:w="2340"/>
          </w:cols>
          <w:pgMar w:left="300" w:top="634" w:right="319" w:bottom="1440" w:gutter="0" w:footer="0" w:header="0"/>
          <w:type w:val="continuous"/>
        </w:sect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45 Sidney Street</w:t>
      </w:r>
    </w:p>
    <w:p>
      <w:pPr>
        <w:spacing w:after="0" w:line="30"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Cambridge, Massachusetts</w:t>
      </w:r>
    </w:p>
    <w:p>
      <w:pPr>
        <w:spacing w:after="0" w:line="13"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02139</w:t>
      </w:r>
    </w:p>
    <w:p>
      <w:pPr>
        <w:spacing w:after="0" w:line="30"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color w:val="auto"/>
        </w:rPr>
        <w:t>(Zip Code)</w:t>
      </w:r>
    </w:p>
    <w:p>
      <w:pPr>
        <w:spacing w:after="0" w:line="170" w:lineRule="exact"/>
        <w:rPr>
          <w:sz w:val="24"/>
          <w:szCs w:val="24"/>
          <w:color w:val="auto"/>
        </w:rPr>
      </w:pPr>
    </w:p>
    <w:p>
      <w:pPr>
        <w:sectPr>
          <w:pgSz w:w="11900" w:h="16838" w:orient="portrait"/>
          <w:cols w:equalWidth="0" w:num="2">
            <w:col w:w="7480" w:space="720"/>
            <w:col w:w="3080"/>
          </w:cols>
          <w:pgMar w:left="300" w:top="634"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374-7580</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5899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18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7" w:lineRule="exact"/>
        <w:rPr>
          <w:sz w:val="24"/>
          <w:szCs w:val="24"/>
          <w:color w:val="auto"/>
        </w:rPr>
      </w:pPr>
    </w:p>
    <w:p>
      <w:pPr>
        <w:ind w:left="780" w:hanging="251"/>
        <w:spacing w:after="0"/>
        <w:tabs>
          <w:tab w:leader="none" w:pos="7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8" w:lineRule="exact"/>
        <w:rPr>
          <w:rFonts w:ascii="MS PGothic" w:cs="MS PGothic" w:eastAsia="MS PGothic" w:hAnsi="MS PGothic"/>
          <w:sz w:val="14"/>
          <w:szCs w:val="14"/>
          <w:color w:val="auto"/>
        </w:rPr>
      </w:pPr>
    </w:p>
    <w:p>
      <w:pPr>
        <w:ind w:left="780" w:hanging="251"/>
        <w:spacing w:after="0"/>
        <w:tabs>
          <w:tab w:leader="none" w:pos="7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2" w:lineRule="exact"/>
        <w:rPr>
          <w:rFonts w:ascii="MS PGothic" w:cs="MS PGothic" w:eastAsia="MS PGothic" w:hAnsi="MS PGothic"/>
          <w:sz w:val="14"/>
          <w:szCs w:val="14"/>
          <w:color w:val="auto"/>
        </w:rPr>
      </w:pPr>
    </w:p>
    <w:p>
      <w:pPr>
        <w:ind w:left="780" w:hanging="251"/>
        <w:spacing w:after="0"/>
        <w:tabs>
          <w:tab w:leader="none" w:pos="7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 w:lineRule="exact"/>
        <w:rPr>
          <w:rFonts w:ascii="MS PGothic" w:cs="MS PGothic" w:eastAsia="MS PGothic" w:hAnsi="MS PGothic"/>
          <w:sz w:val="14"/>
          <w:szCs w:val="14"/>
          <w:color w:val="auto"/>
        </w:rPr>
      </w:pPr>
    </w:p>
    <w:p>
      <w:pPr>
        <w:ind w:left="780" w:hanging="251"/>
        <w:spacing w:after="0"/>
        <w:tabs>
          <w:tab w:leader="none" w:pos="7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1" w:lineRule="exact"/>
        <w:rPr>
          <w:sz w:val="24"/>
          <w:szCs w:val="24"/>
          <w:color w:val="auto"/>
        </w:rPr>
      </w:pPr>
    </w:p>
    <w:p>
      <w:pPr>
        <w:ind w:right="400" w:firstLine="522"/>
        <w:spacing w:after="0" w:line="30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5" w:lineRule="exact"/>
        <w:rPr>
          <w:sz w:val="24"/>
          <w:szCs w:val="24"/>
          <w:color w:val="auto"/>
        </w:rPr>
      </w:pPr>
    </w:p>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0" w:lineRule="exact"/>
        <w:rPr>
          <w:sz w:val="24"/>
          <w:szCs w:val="24"/>
          <w:color w:val="auto"/>
        </w:rPr>
      </w:pPr>
    </w:p>
    <w:p>
      <w:pPr>
        <w:ind w:right="20" w:firstLine="522"/>
        <w:spacing w:after="0" w:line="30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p>
      <w:pPr>
        <w:spacing w:after="0" w:line="182"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45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w:t>
            </w:r>
          </w:p>
        </w:tc>
      </w:tr>
      <w:tr>
        <w:trPr>
          <w:trHeight w:val="189"/>
        </w:trPr>
        <w:tc>
          <w:tcPr>
            <w:tcW w:w="454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registered</w:t>
            </w:r>
          </w:p>
        </w:tc>
      </w:tr>
      <w:tr>
        <w:trPr>
          <w:trHeight w:val="165"/>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BPMC</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65"/>
        </w:trPr>
        <w:tc>
          <w:tcPr>
            <w:tcW w:w="45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tcPr>
          <w:p>
            <w:pPr>
              <w:spacing w:after="0"/>
              <w:rPr>
                <w:sz w:val="14"/>
                <w:szCs w:val="14"/>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342"/>
        </w:trPr>
        <w:tc>
          <w:tcPr>
            <w:tcW w:w="45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34"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18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On August 17, 2022, Blueprint Medicines Corporation issued a press release and hosted an investor call and live webcast to announce the top-line data from the registrational Part 2 of its PIONEER clinical trial of AYVAKIT® (avapritinib) in patients with non-advanced systemic mastocytosis (SM) demonstrating clinically meaningful and highly significant improvements across the primary and all key secondary endpoints. A copy of the press release and the presentation from the investor call are filed herewith as Exhibit 99.1 and Exhibit 99.2, respectively, to this Current Report on Form 8-K and incorporated herein by reference.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color w:val="212529"/>
              </w:rPr>
              <w:t>(d) Exhibits.</w:t>
            </w:r>
          </w:p>
        </w:tc>
        <w:tc>
          <w:tcPr>
            <w:tcW w:w="44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33"/>
        </w:trPr>
        <w:tc>
          <w:tcPr>
            <w:tcW w:w="5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56"/>
        </w:trPr>
        <w:tc>
          <w:tcPr>
            <w:tcW w:w="520" w:type="dxa"/>
            <w:vAlign w:val="bottom"/>
          </w:tcPr>
          <w:p>
            <w:pPr>
              <w:spacing w:after="0"/>
              <w:rPr>
                <w:sz w:val="13"/>
                <w:szCs w:val="13"/>
                <w:color w:val="auto"/>
              </w:rPr>
            </w:pPr>
          </w:p>
        </w:tc>
        <w:tc>
          <w:tcPr>
            <w:tcW w:w="2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0000EE"/>
                <w:w w:val="97"/>
              </w:rPr>
              <w:t>99.</w:t>
            </w:r>
            <w:r>
              <w:rPr>
                <w:rFonts w:ascii="Times New Roman" w:cs="Times New Roman" w:eastAsia="Times New Roman" w:hAnsi="Times New Roman"/>
                <w:sz w:val="14"/>
                <w:szCs w:val="14"/>
                <w:u w:val="single" w:color="auto"/>
                <w:color w:val="0000EE"/>
                <w:w w:val="97"/>
              </w:rPr>
              <w:t>1</w:t>
            </w:r>
          </w:p>
        </w:tc>
        <w:tc>
          <w:tcPr>
            <w:tcW w:w="920" w:type="dxa"/>
            <w:vAlign w:val="bottom"/>
          </w:tcPr>
          <w:p>
            <w:pPr>
              <w:spacing w:after="0"/>
              <w:rPr>
                <w:sz w:val="13"/>
                <w:szCs w:val="13"/>
                <w:color w:val="auto"/>
              </w:rPr>
            </w:pPr>
          </w:p>
        </w:tc>
        <w:tc>
          <w:tcPr>
            <w:tcW w:w="492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0000EE"/>
              </w:rPr>
              <w:t>Press release issued by Blueprint Medicines Corporation on August 17, 2022</w:t>
            </w:r>
          </w:p>
        </w:tc>
      </w:tr>
      <w:tr>
        <w:trPr>
          <w:trHeight w:val="20"/>
        </w:trPr>
        <w:tc>
          <w:tcPr>
            <w:tcW w:w="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4"/>
        </w:trPr>
        <w:tc>
          <w:tcPr>
            <w:tcW w:w="520" w:type="dxa"/>
            <w:vAlign w:val="bottom"/>
          </w:tcPr>
          <w:p>
            <w:pPr>
              <w:spacing w:after="0"/>
              <w:rPr>
                <w:sz w:val="13"/>
                <w:szCs w:val="13"/>
                <w:color w:val="auto"/>
              </w:rPr>
            </w:pPr>
          </w:p>
        </w:tc>
        <w:tc>
          <w:tcPr>
            <w:tcW w:w="26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4"/>
                <w:szCs w:val="14"/>
                <w:color w:val="0000EE"/>
                <w:w w:val="97"/>
              </w:rPr>
              <w:t>99.</w:t>
            </w:r>
            <w:r>
              <w:rPr>
                <w:rFonts w:ascii="Times New Roman" w:cs="Times New Roman" w:eastAsia="Times New Roman" w:hAnsi="Times New Roman"/>
                <w:sz w:val="14"/>
                <w:szCs w:val="14"/>
                <w:u w:val="single" w:color="auto"/>
                <w:color w:val="0000EE"/>
                <w:w w:val="97"/>
              </w:rPr>
              <w:t>2</w:t>
            </w:r>
          </w:p>
        </w:tc>
        <w:tc>
          <w:tcPr>
            <w:tcW w:w="920" w:type="dxa"/>
            <w:vAlign w:val="bottom"/>
          </w:tcPr>
          <w:p>
            <w:pPr>
              <w:spacing w:after="0"/>
              <w:rPr>
                <w:sz w:val="13"/>
                <w:szCs w:val="13"/>
                <w:color w:val="auto"/>
              </w:rPr>
            </w:pPr>
          </w:p>
        </w:tc>
        <w:tc>
          <w:tcPr>
            <w:tcW w:w="4920" w:type="dxa"/>
            <w:vAlign w:val="bottom"/>
            <w:tcBorders>
              <w:bottom w:val="single" w:sz="8" w:color="0000EE"/>
            </w:tcBorders>
            <w:gridSpan w:val="2"/>
          </w:tcPr>
          <w:p>
            <w:pPr>
              <w:spacing w:after="0" w:line="154" w:lineRule="exact"/>
              <w:rPr>
                <w:sz w:val="20"/>
                <w:szCs w:val="20"/>
                <w:color w:val="auto"/>
              </w:rPr>
            </w:pPr>
            <w:r>
              <w:rPr>
                <w:rFonts w:ascii="Times New Roman" w:cs="Times New Roman" w:eastAsia="Times New Roman" w:hAnsi="Times New Roman"/>
                <w:sz w:val="14"/>
                <w:szCs w:val="14"/>
                <w:color w:val="0000EE"/>
              </w:rPr>
              <w:t>Presentation by Blueprint Medicines Corporation at investor call on August 17, 2022</w:t>
            </w:r>
          </w:p>
        </w:tc>
      </w:tr>
    </w:tbl>
    <w:p>
      <w:pPr>
        <w:spacing w:after="0" w:line="7" w:lineRule="exact"/>
        <w:rPr>
          <w:sz w:val="20"/>
          <w:szCs w:val="20"/>
          <w:color w:val="auto"/>
        </w:rPr>
      </w:pPr>
    </w:p>
    <w:p>
      <w:pPr>
        <w:ind w:left="1700" w:hanging="1171"/>
        <w:spacing w:after="0"/>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and incorporated as Exhibit 101)</w:t>
      </w:r>
    </w:p>
    <w:p>
      <w:pPr>
        <w:spacing w:after="0" w:line="184" w:lineRule="exact"/>
        <w:rPr>
          <w:rFonts w:ascii="Times New Roman" w:cs="Times New Roman" w:eastAsia="Times New Roman" w:hAnsi="Times New Roman"/>
          <w:sz w:val="14"/>
          <w:szCs w:val="14"/>
          <w:color w:val="auto"/>
        </w:rPr>
      </w:pPr>
    </w:p>
    <w:p>
      <w:pPr>
        <w:ind w:left="51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SIGNATURES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BLUEPRINT MEDICINES CORPORATION</w:t>
      </w:r>
    </w:p>
    <w:p>
      <w:pPr>
        <w:spacing w:after="0" w:line="189" w:lineRule="exact"/>
        <w:rPr>
          <w:sz w:val="20"/>
          <w:szCs w:val="20"/>
          <w:color w:val="auto"/>
        </w:rPr>
      </w:pPr>
    </w:p>
    <w:p>
      <w:pPr>
        <w:spacing w:after="0"/>
        <w:tabs>
          <w:tab w:leader="none" w:pos="5620" w:val="left"/>
          <w:tab w:leader="none" w:pos="5960" w:val="left"/>
        </w:tabs>
        <w:rPr>
          <w:sz w:val="20"/>
          <w:szCs w:val="20"/>
          <w:color w:val="auto"/>
        </w:rPr>
      </w:pPr>
      <w:r>
        <w:rPr>
          <w:rFonts w:ascii="Times New Roman" w:cs="Times New Roman" w:eastAsia="Times New Roman" w:hAnsi="Times New Roman"/>
          <w:sz w:val="14"/>
          <w:szCs w:val="14"/>
          <w:color w:val="auto"/>
        </w:rPr>
        <w:t>Date: August 17, 2022</w:t>
      </w:r>
      <w:r>
        <w:rPr>
          <w:sz w:val="20"/>
          <w:szCs w:val="20"/>
          <w:color w:val="auto"/>
        </w:rPr>
        <w:tab/>
      </w:r>
      <w:r>
        <w:rPr>
          <w:rFonts w:ascii="Times New Roman" w:cs="Times New Roman" w:eastAsia="Times New Roman" w:hAnsi="Times New Roman"/>
          <w:sz w:val="14"/>
          <w:szCs w:val="14"/>
          <w:color w:val="auto"/>
        </w:rPr>
        <w:t>By:</w:t>
        <w:tab/>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17780</wp:posOffset>
            </wp:positionV>
            <wp:extent cx="33623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2325" cy="6985"/>
                    </a:xfrm>
                    <a:prstGeom prst="rect">
                      <a:avLst/>
                    </a:prstGeom>
                    <a:noFill/>
                  </pic:spPr>
                </pic:pic>
              </a:graphicData>
            </a:graphic>
          </wp:anchor>
        </w:drawing>
      </w:r>
    </w:p>
    <w:p>
      <w:pPr>
        <w:spacing w:after="0" w:line="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Kathryn Haviland</w:t>
      </w:r>
    </w:p>
    <w:p>
      <w:pPr>
        <w:spacing w:after="0" w:line="2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228600</wp:posOffset>
            </wp:positionV>
            <wp:extent cx="71589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00"/>
          </w:cols>
          <w:pgMar w:left="300" w:top="319" w:right="399" w:bottom="1440" w:gutter="0" w:footer="0" w:header="0"/>
        </w:sectPr>
      </w:pPr>
    </w:p>
    <w:bookmarkStart w:id="2" w:name="page3"/>
    <w:bookmarkEnd w:id="2"/>
    <w:p>
      <w:pPr>
        <w:ind w:left="1038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6" w:lineRule="exact"/>
        <w:rPr>
          <w:sz w:val="20"/>
          <w:szCs w:val="20"/>
          <w:color w:val="auto"/>
        </w:rPr>
      </w:pPr>
    </w:p>
    <w:p>
      <w:pPr>
        <w:jc w:val="center"/>
        <w:ind w:left="320"/>
        <w:spacing w:after="0" w:line="217" w:lineRule="auto"/>
        <w:rPr>
          <w:sz w:val="20"/>
          <w:szCs w:val="20"/>
          <w:color w:val="auto"/>
        </w:rPr>
      </w:pPr>
      <w:r>
        <w:rPr>
          <w:rFonts w:ascii="Times New Roman" w:cs="Times New Roman" w:eastAsia="Times New Roman" w:hAnsi="Times New Roman"/>
          <w:sz w:val="14"/>
          <w:szCs w:val="14"/>
          <w:b w:val="1"/>
          <w:bCs w:val="1"/>
          <w:color w:val="333333"/>
        </w:rPr>
        <w:t>Blueprint Medicines Announces Positive Top-line Results from PIONEER Trial of AYVAKIT</w:t>
      </w:r>
      <w:r>
        <w:rPr>
          <w:rFonts w:ascii="Times New Roman" w:cs="Times New Roman" w:eastAsia="Times New Roman" w:hAnsi="Times New Roman"/>
          <w:sz w:val="24"/>
          <w:szCs w:val="24"/>
          <w:b w:val="1"/>
          <w:bCs w:val="1"/>
          <w:color w:val="333333"/>
          <w:vertAlign w:val="superscript"/>
        </w:rPr>
        <w:t>®</w:t>
      </w:r>
      <w:r>
        <w:rPr>
          <w:rFonts w:ascii="Times New Roman" w:cs="Times New Roman" w:eastAsia="Times New Roman" w:hAnsi="Times New Roman"/>
          <w:sz w:val="14"/>
          <w:szCs w:val="14"/>
          <w:b w:val="1"/>
          <w:bCs w:val="1"/>
          <w:color w:val="333333"/>
        </w:rPr>
        <w:t xml:space="preserve"> (avapritinib) in Patients with Non-Advanced Systemic Mastocytosis Achieving Primary and All Key Secondary Endpoints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 AYVAKIT showed a superior mean change in total symptom score (p=0.003), compared to placebo plus best available care --</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 Highly significant reductions across all objective measures of mast cell burden reinforce the disease modifying activity of AYVAKIT --</w:t>
      </w:r>
    </w:p>
    <w:p>
      <w:pPr>
        <w:spacing w:after="0" w:line="187" w:lineRule="exact"/>
        <w:rPr>
          <w:sz w:val="20"/>
          <w:szCs w:val="20"/>
          <w:color w:val="auto"/>
        </w:rPr>
      </w:pPr>
    </w:p>
    <w:p>
      <w:pPr>
        <w:ind w:left="2680" w:hanging="130"/>
        <w:spacing w:after="0"/>
        <w:tabs>
          <w:tab w:leader="none" w:pos="268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AYVAKIT had a favorable safety profile compared to the control arm, supporting potential for long-term</w:t>
      </w:r>
    </w:p>
    <w:p>
      <w:pPr>
        <w:spacing w:after="0" w:line="30" w:lineRule="exact"/>
        <w:rPr>
          <w:rFonts w:ascii="Times New Roman" w:cs="Times New Roman" w:eastAsia="Times New Roman" w:hAnsi="Times New Roman"/>
          <w:sz w:val="14"/>
          <w:szCs w:val="14"/>
          <w:i w:val="1"/>
          <w:iCs w:val="1"/>
          <w:color w:val="auto"/>
        </w:rPr>
      </w:pPr>
    </w:p>
    <w:p>
      <w:pPr>
        <w:ind w:left="5300"/>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treatment --</w:t>
      </w:r>
    </w:p>
    <w:p>
      <w:pPr>
        <w:spacing w:after="0" w:line="169" w:lineRule="exact"/>
        <w:rPr>
          <w:rFonts w:ascii="Times New Roman" w:cs="Times New Roman" w:eastAsia="Times New Roman" w:hAnsi="Times New Roman"/>
          <w:sz w:val="14"/>
          <w:szCs w:val="14"/>
          <w:i w:val="1"/>
          <w:iCs w:val="1"/>
          <w:color w:val="auto"/>
        </w:rPr>
      </w:pPr>
    </w:p>
    <w:p>
      <w:pPr>
        <w:ind w:left="3200" w:hanging="130"/>
        <w:spacing w:after="0"/>
        <w:tabs>
          <w:tab w:leader="none" w:pos="3200" w:val="left"/>
        </w:tabs>
        <w:numPr>
          <w:ilvl w:val="1"/>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Plan to submit supplemental new drug application to FDA in fourth quarter of 2022 --</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 Blueprint Medicines to host investor conference call and webcast today at 8:00 a.m. ET --</w:t>
      </w:r>
    </w:p>
    <w:p>
      <w:pPr>
        <w:spacing w:after="0" w:line="18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4"/>
          <w:szCs w:val="14"/>
          <w:b w:val="1"/>
          <w:bCs w:val="1"/>
          <w:color w:val="auto"/>
        </w:rPr>
        <w:t xml:space="preserve">CAMBRIDGE, Mass. </w:t>
      </w:r>
      <w:r>
        <w:rPr>
          <w:rFonts w:ascii="Times New Roman" w:cs="Times New Roman" w:eastAsia="Times New Roman" w:hAnsi="Times New Roman"/>
          <w:sz w:val="14"/>
          <w:szCs w:val="14"/>
          <w:color w:val="auto"/>
        </w:rPr>
        <w:t>– August 17, 2022 – Blueprint Medicines Corporation (NASDAQ: BPMC) today announced positive top-line results from the registrational Part 2 of the PIONEER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clinical trial of AYVAKIT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 (avapritinib) in patients with non-advanced systemic mastocytosis (SM) demonstrating clinically meaningful and highly significant improvements across the primary and all key secondary endpoints, including patient-reported symptoms and objective measures of mast cell burden. Based on these top-line data, Blueprint Medicines plans to submit a supplemental new drug application (sNDA) to the U.S. Food and Drug Administration (FDA) for AYVAKIT in non-advanced SM in the fourth quarter of 2022, with a subsequent submission of a type II variation marketing authorization application to the European Medicines Agency (EMA) anticipated in 2023. In addition, Blueprint Medicines plans to present detailed data from the PIONEER trial at an upcoming medical meeting.</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trial, which was designed to assess AYVAKIT plus best available care versus placebo plus best available care (control arm), achieved its primary endpoint with a highly significant difference in the mean change in total symptom score (TSS) at 24 weeks (p=0.003). TSS was assessed by the Indolent SM Symptom Assessment Form (ISM-SAF). The AYVAKIT arm had a reduction of 15.6 points in mean TSS at 24 weeks, which continued to deepen to 20.2 points at 48 weeks in patients who rolled over to the Part 3 open-label extension study. At 24 weeks, the control arm had a reduction of 9.2 points in mean TSS. In addition, the PIONEER trial met all key secondary endpoints, including significant improvements across all measures of mast cell burden. More than half of AYVAKIT-treated patients had a ≥50 percent reduction of serum tryptase, compared to no patients in the control arm (53.9% vs. 0%; p&lt;0.0001). AYVAKIT was well-tolerated and had a favorable safety profile, and 96.5 percent of AYVAKIT-treated patients completed 24 weeks of therapy, compared to 93.0 percent for the control arm. Overall, 0.7 percent of patients in the AYVAKIT arm and no patients in the control arm discontinued due to treatment-related adverse events.</w:t>
      </w:r>
    </w:p>
    <w:p>
      <w:pPr>
        <w:spacing w:after="0" w:line="14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4"/>
          <w:szCs w:val="14"/>
          <w:color w:val="auto"/>
        </w:rPr>
        <w:t>“As a physician and clinical researcher who has been treating non-advanced systemic mastocytosis patients for over 25 years, I have been awaiting a therapy that decreases the abnormal mast cell burden and activation, improves a wide range of symptoms, and ultimately provides an improved quality of life to patients,” said Mariana Castells, M.D., Ph.D., Director, Mastocytosis Center, Brigham and Women’s Hospital, and an investigator on the PIONEER trial. “For patients with non-advanced SM, PIONEER is the first study to show significant clinical improvements over best available care across patient-reported symptoms and objective measures of disease, with a safety and tolerability profile supporting chronic treatment. The trial results suggest that if approved, AYVAKIT would represent a practice-changing treatment, enabling important clinical benefits for a broad range of patients with non-advanced SM.”</w:t>
      </w:r>
    </w:p>
    <w:p>
      <w:pPr>
        <w:spacing w:after="0" w:line="14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4"/>
          <w:szCs w:val="14"/>
          <w:color w:val="auto"/>
        </w:rPr>
        <w:t>“The PIONEER results showcase Blueprint Medicines’ dedication to advancing the promise of precision therapy for patients with significant medical needs,” said Becker Hewes, M.D., Chief Medical Officer at Blueprint Medicines. “AYVAKIT has the potential to be the first approved medicine for non-advanced SM, and the only treatment that would address the genetic root cause across advanced and non-advanced forms of the disease. Today’s milestone represents a watershed moment for the systemic mastocytosis community and Blueprint Medicines, capping a decade of collaboration with clinicians, advocates and patients to transform standards of care, and to deepen the understanding of this disease and its impact on various aspects of patients’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899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310" w:right="319" w:bottom="1440" w:gutter="0" w:footer="0" w:header="0"/>
        </w:sectPr>
      </w:pPr>
    </w:p>
    <w:bookmarkStart w:id="3" w:name="page4"/>
    <w:bookmarkEnd w:id="3"/>
    <w:p>
      <w:pPr>
        <w:ind w:right="40"/>
        <w:spacing w:after="0" w:line="301" w:lineRule="auto"/>
        <w:rPr>
          <w:sz w:val="20"/>
          <w:szCs w:val="20"/>
          <w:color w:val="auto"/>
        </w:rPr>
      </w:pPr>
      <w:r>
        <w:rPr>
          <w:rFonts w:ascii="Times New Roman" w:cs="Times New Roman" w:eastAsia="Times New Roman" w:hAnsi="Times New Roman"/>
          <w:sz w:val="14"/>
          <w:szCs w:val="14"/>
          <w:color w:val="auto"/>
        </w:rPr>
        <w:t>AYVAKIT was designed to potently and selectively inhibit D816V mutant KIT, the driver of SM in about 95 percent of cases. SM often leads to debilitating skin, gastrointestinal, neurocognitive and other systemic symptoms, such as life-threatening anaphylaxis.</w:t>
      </w:r>
    </w:p>
    <w:p>
      <w:pPr>
        <w:spacing w:after="0" w:line="118"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4"/>
          <w:szCs w:val="14"/>
          <w:color w:val="auto"/>
        </w:rPr>
        <w:t>“Non-advanced systemic mastocytosis is a lifelong disease with severe physical, emotional and social impacts that profoundly reduce patients’ quality of life,” said Lauren Denton, Executive Director of The Mast Cell Disease Society. “Patients with SM continue to be challenged by efforts to avoid various triggers of everyday life while also managing complex therapies. The PIONEER clinical trial results offer hope to these patients and help pave the way for new innovation in treatment.”</w:t>
      </w:r>
    </w:p>
    <w:p>
      <w:pPr>
        <w:spacing w:after="0" w:line="13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4"/>
          <w:szCs w:val="14"/>
          <w:color w:val="auto"/>
        </w:rPr>
        <w:t>“These new data are the culmination of a dedicated long-term collaboration and shared ‘patients first’ core value between Blueprint Medicines and The Mast Cell Disease Society. We are excited by these results and further energized to work together with these exceptional investigators to transform the lives of patients, offering them a better quality of life and the gift of time,” said Valerie Slee, Board Chair of The Mast Cell Disease Society.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Top-line Data from the PIONEER Trial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 2 of the registrational PIONEER trial was designed to evaluate the efficacy and safety of AYVAKIT (25 mg once-daily dosing; N=141) versus control (N=71) over 24 weeks of treatment.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Eligibility criteria include an indolent SM diagnosis confirmed by central pathology review, and moderate-to-severe symptom burden despite an optimized regimen of best available care.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Patients were able to continue symptom-directed therapies while receiving AYVAKIT or placebo. Results were reported as of a data cutoff date of June 23, 2022.</w:t>
      </w:r>
    </w:p>
    <w:p>
      <w:pPr>
        <w:spacing w:after="0" w:line="172"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4"/>
          <w:szCs w:val="14"/>
          <w:color w:val="auto"/>
        </w:rPr>
        <w:t>Baseline data, including mean TSS, were consistent with Part 1 of the trial. The PIONEER study achieved its primary endpoint and all key secondary endpoints, with AYVAKIT showing highly significant improvements in patient-reported symptoms and objective measures of disease burden.</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920" w:type="dxa"/>
            <w:vAlign w:val="bottom"/>
            <w:tcBorders>
              <w:top w:val="single" w:sz="8" w:color="auto"/>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Clinical Outcome Measures: AYVAKIT Arm vs. Control Arm</w:t>
            </w:r>
          </w:p>
        </w:tc>
        <w:tc>
          <w:tcPr>
            <w:tcW w:w="5920" w:type="dxa"/>
            <w:vAlign w:val="bottom"/>
            <w:tcBorders>
              <w:top w:val="single" w:sz="8" w:color="auto"/>
              <w:bottom w:val="single" w:sz="8" w:color="auto"/>
              <w:right w:val="single" w:sz="8" w:color="auto"/>
            </w:tcBorders>
          </w:tcPr>
          <w:p>
            <w:pPr>
              <w:spacing w:after="0"/>
              <w:rPr>
                <w:sz w:val="18"/>
                <w:szCs w:val="18"/>
                <w:color w:val="auto"/>
              </w:rPr>
            </w:pPr>
          </w:p>
        </w:tc>
        <w:tc>
          <w:tcPr>
            <w:tcW w:w="1460" w:type="dxa"/>
            <w:vAlign w:val="bottom"/>
            <w:tcBorders>
              <w:top w:val="single" w:sz="8" w:color="auto"/>
              <w:bottom w:val="single" w:sz="8" w:color="auto"/>
              <w:right w:val="single" w:sz="8" w:color="auto"/>
            </w:tcBorders>
          </w:tcPr>
          <w:p>
            <w:pPr>
              <w:ind w:left="440"/>
              <w:spacing w:after="0" w:line="218" w:lineRule="exact"/>
              <w:rPr>
                <w:sz w:val="20"/>
                <w:szCs w:val="20"/>
                <w:color w:val="auto"/>
              </w:rPr>
            </w:pPr>
            <w:r>
              <w:rPr>
                <w:rFonts w:ascii="Times New Roman" w:cs="Times New Roman" w:eastAsia="Times New Roman" w:hAnsi="Times New Roman"/>
                <w:sz w:val="14"/>
                <w:szCs w:val="14"/>
                <w:b w:val="1"/>
                <w:bCs w:val="1"/>
                <w:color w:val="auto"/>
              </w:rPr>
              <w:t>P-value</w:t>
            </w:r>
            <w:r>
              <w:rPr>
                <w:rFonts w:ascii="Times New Roman" w:cs="Times New Roman" w:eastAsia="Times New Roman" w:hAnsi="Times New Roman"/>
                <w:sz w:val="24"/>
                <w:szCs w:val="24"/>
                <w:b w:val="1"/>
                <w:bCs w:val="1"/>
                <w:color w:val="auto"/>
                <w:vertAlign w:val="superscript"/>
              </w:rPr>
              <w:t>a</w:t>
            </w:r>
          </w:p>
        </w:tc>
      </w:tr>
      <w:tr>
        <w:trPr>
          <w:trHeight w:val="165"/>
        </w:trPr>
        <w:tc>
          <w:tcPr>
            <w:tcW w:w="38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Primary Endpoint</w:t>
            </w:r>
          </w:p>
        </w:tc>
        <w:tc>
          <w:tcPr>
            <w:tcW w:w="60" w:type="dxa"/>
            <w:vAlign w:val="bottom"/>
            <w:tcBorders>
              <w:bottom w:val="single" w:sz="8" w:color="auto"/>
            </w:tcBorders>
          </w:tcPr>
          <w:p>
            <w:pPr>
              <w:spacing w:after="0"/>
              <w:rPr>
                <w:sz w:val="14"/>
                <w:szCs w:val="14"/>
                <w:color w:val="auto"/>
              </w:rPr>
            </w:pPr>
          </w:p>
        </w:tc>
        <w:tc>
          <w:tcPr>
            <w:tcW w:w="5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Mean Change in TSS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p=0.003</w:t>
            </w:r>
          </w:p>
        </w:tc>
      </w:tr>
      <w:tr>
        <w:trPr>
          <w:trHeight w:val="165"/>
        </w:trPr>
        <w:tc>
          <w:tcPr>
            <w:tcW w:w="3860" w:type="dxa"/>
            <w:vAlign w:val="bottom"/>
            <w:tcBorders>
              <w:left w:val="single" w:sz="8" w:color="auto"/>
              <w:right w:val="single" w:sz="8" w:color="auto"/>
            </w:tcBorders>
          </w:tcPr>
          <w:p>
            <w:pPr>
              <w:ind w:left="100"/>
              <w:spacing w:after="0" w:line="165" w:lineRule="exact"/>
              <w:rPr>
                <w:sz w:val="20"/>
                <w:szCs w:val="20"/>
                <w:color w:val="auto"/>
              </w:rPr>
            </w:pPr>
            <w:r>
              <w:rPr>
                <w:rFonts w:ascii="Times New Roman" w:cs="Times New Roman" w:eastAsia="Times New Roman" w:hAnsi="Times New Roman"/>
                <w:sz w:val="12"/>
                <w:szCs w:val="12"/>
                <w:b w:val="1"/>
                <w:bCs w:val="1"/>
                <w:color w:val="auto"/>
              </w:rPr>
              <w:t>Secondary Endpoints</w:t>
            </w:r>
            <w:r>
              <w:rPr>
                <w:rFonts w:ascii="Times New Roman" w:cs="Times New Roman" w:eastAsia="Times New Roman" w:hAnsi="Times New Roman"/>
                <w:sz w:val="19"/>
                <w:szCs w:val="19"/>
                <w:color w:val="auto"/>
                <w:vertAlign w:val="superscript"/>
              </w:rPr>
              <w:t>b</w:t>
            </w:r>
          </w:p>
        </w:tc>
        <w:tc>
          <w:tcPr>
            <w:tcW w:w="60" w:type="dxa"/>
            <w:vAlign w:val="bottom"/>
            <w:tcBorders>
              <w:bottom w:val="single" w:sz="8" w:color="auto"/>
            </w:tcBorders>
          </w:tcPr>
          <w:p>
            <w:pPr>
              <w:spacing w:after="0"/>
              <w:rPr>
                <w:sz w:val="14"/>
                <w:szCs w:val="14"/>
                <w:color w:val="auto"/>
              </w:rPr>
            </w:pPr>
          </w:p>
        </w:tc>
        <w:tc>
          <w:tcPr>
            <w:tcW w:w="5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≥30% Reduction in Mean TSS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p=0.009</w:t>
            </w:r>
          </w:p>
        </w:tc>
      </w:tr>
      <w:tr>
        <w:trPr>
          <w:trHeight w:val="165"/>
        </w:trPr>
        <w:tc>
          <w:tcPr>
            <w:tcW w:w="3860" w:type="dxa"/>
            <w:vAlign w:val="bottom"/>
            <w:tcBorders>
              <w:left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≥50% Reduction in Mean TSS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p=0.005</w:t>
            </w:r>
          </w:p>
        </w:tc>
      </w:tr>
      <w:tr>
        <w:trPr>
          <w:trHeight w:val="165"/>
        </w:trPr>
        <w:tc>
          <w:tcPr>
            <w:tcW w:w="3860" w:type="dxa"/>
            <w:vAlign w:val="bottom"/>
            <w:tcBorders>
              <w:left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Mean Change in Most Severe Symptom Score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p=0.015</w:t>
            </w:r>
          </w:p>
        </w:tc>
      </w:tr>
      <w:tr>
        <w:trPr>
          <w:trHeight w:val="165"/>
        </w:trPr>
        <w:tc>
          <w:tcPr>
            <w:tcW w:w="3860" w:type="dxa"/>
            <w:vAlign w:val="bottom"/>
            <w:tcBorders>
              <w:left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≥50% Reduction in Serum Tryptase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p&lt;0.0001</w:t>
            </w:r>
          </w:p>
        </w:tc>
      </w:tr>
      <w:tr>
        <w:trPr>
          <w:trHeight w:val="165"/>
        </w:trPr>
        <w:tc>
          <w:tcPr>
            <w:tcW w:w="3860" w:type="dxa"/>
            <w:vAlign w:val="bottom"/>
            <w:tcBorders>
              <w:left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≥50% Reduction in KIT D816V Variant Allele Fraction</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p&lt;0.0001</w:t>
            </w:r>
          </w:p>
        </w:tc>
      </w:tr>
      <w:tr>
        <w:trPr>
          <w:trHeight w:val="165"/>
        </w:trPr>
        <w:tc>
          <w:tcPr>
            <w:tcW w:w="3860" w:type="dxa"/>
            <w:vAlign w:val="bottom"/>
            <w:tcBorders>
              <w:left w:val="single" w:sz="8" w:color="auto"/>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≥50% Reduction in Bone Marrow Mast Cell Aggregates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p&lt;0.0001</w:t>
            </w:r>
          </w:p>
        </w:tc>
      </w:tr>
    </w:tbl>
    <w:p>
      <w:pPr>
        <w:spacing w:after="0" w:line="105" w:lineRule="exact"/>
        <w:rPr>
          <w:sz w:val="20"/>
          <w:szCs w:val="20"/>
          <w:color w:val="auto"/>
        </w:rPr>
      </w:pPr>
    </w:p>
    <w:p>
      <w:pPr>
        <w:ind w:left="100" w:hanging="93"/>
        <w:spacing w:after="0"/>
        <w:tabs>
          <w:tab w:leader="none" w:pos="1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One-sided p-value &lt;0.025 indicates statistical significance.</w:t>
      </w:r>
    </w:p>
    <w:p>
      <w:pPr>
        <w:spacing w:after="0" w:line="17" w:lineRule="exact"/>
        <w:rPr>
          <w:sz w:val="20"/>
          <w:szCs w:val="20"/>
          <w:color w:val="auto"/>
        </w:rPr>
      </w:pPr>
    </w:p>
    <w:p>
      <w:pPr>
        <w:ind w:right="360" w:firstLine="7"/>
        <w:spacing w:after="0" w:line="199" w:lineRule="auto"/>
        <w:tabs>
          <w:tab w:leader="none" w:pos="97"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For secondary endpoints, reductions in TSS and objective measures of mast cell burden represent proportion of patients with ≥30% and ≥50% reductions. All endpoints are key secondary endpoints, except for mean change in most severe symptom score, which is an additional secondary endpoint.</w:t>
      </w:r>
    </w:p>
    <w:p>
      <w:pPr>
        <w:spacing w:after="0" w:line="16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AYVAKIT had a favorable safety profile compared to the control arm. The rate of adverse events (AEs) was 90.8 percent in the AYVAKIT arm and 93.0 percent in the control arm. Serious AEs occurred in 5.0 percent of AYVAKIT-treated patients, compared to 11.3 percent of patients in the control arm. Discontinuations due to treatment-related AEs occurred in 0.7 percent of AYVAKIT-treated patients and 0 percent of patients in the placebo arm. The AYVAKIT arm had a lower rate of cognitive AEs than the control arm (2.8% AYVAKIT vs. 4.2% control), and there were no intracranial bleeding events. Treatment-related AEs reported in at least three patients in either arm and at least 5 percent of AYVAKIT-treated patients included headache (7.8% AYVAKIT vs. 9.9% control), nausea (6.4% AYVAKIT vs 8.5% control), peripheral edema (6.4% AYVAKIT vs. 1.4% control) and periorbital edema (6.4% AYVAKIT vs. 2.8% control). In the AYVAKIT arm, 93.0 percent of edema AEs were Grade 1 and the remainder were Grade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210820</wp:posOffset>
            </wp:positionV>
            <wp:extent cx="715899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Conference Call Information</w:t>
      </w:r>
    </w:p>
    <w:p>
      <w:pPr>
        <w:spacing w:after="0" w:line="18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4"/>
          <w:szCs w:val="14"/>
          <w:color w:val="auto"/>
        </w:rPr>
        <w:t xml:space="preserve">Blueprint Medicines will host a live conference call and webcast at 8:00 a.m. ET today to discuss the top-line data from the PIONEER trial. The conference call may be accessed by dialing 844-200-6205 (domestic) or 929-526-1599 (international), and referring to conference ID 806215. A webcast of the call will also be available under “Events and Presentations” in the Investors &amp; Media section of the Blueprint Medicines website at </w:t>
      </w:r>
      <w:r>
        <w:rPr>
          <w:rFonts w:ascii="Times New Roman" w:cs="Times New Roman" w:eastAsia="Times New Roman" w:hAnsi="Times New Roman"/>
          <w:sz w:val="14"/>
          <w:szCs w:val="14"/>
          <w:u w:val="single" w:color="auto"/>
          <w:color w:val="auto"/>
        </w:rPr>
        <w:t>http://ir.blueprintmedicines.com/</w:t>
      </w:r>
      <w:r>
        <w:rPr>
          <w:rFonts w:ascii="Times New Roman" w:cs="Times New Roman" w:eastAsia="Times New Roman" w:hAnsi="Times New Roman"/>
          <w:sz w:val="14"/>
          <w:szCs w:val="14"/>
          <w:color w:val="auto"/>
        </w:rPr>
        <w:t>. The archived webcast will be available on the Blueprint Medicines website approximately two hours after the conference call and will be available for 30 days following the call.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AYVAKIT (avapritinib)</w:t>
      </w:r>
    </w:p>
    <w:p>
      <w:pPr>
        <w:spacing w:after="0" w:line="189"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4"/>
          <w:szCs w:val="14"/>
          <w:color w:val="auto"/>
        </w:rPr>
        <w:t>AYVAKIT (avapritinib) is a kinase inhibitor approved by the FDA for the treatment of adults with Advanced SM, including aggressive SM (ASM), SM with an associated hematological neoplasm (SM-AHN) and mast cell leukemia (MCL), and adults with unresectable or metastatic gastrointestinal stromal tumor (GIST) harboring a PDGFRA exon 18 mutation, including</w:t>
      </w:r>
    </w:p>
    <w:p>
      <w:pPr>
        <w:spacing w:after="0" w:line="1"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14"/>
          <w:szCs w:val="14"/>
          <w:color w:val="auto"/>
        </w:rPr>
        <w:t xml:space="preserve">PDGFRA D842V mutations. For more information, visit </w:t>
      </w:r>
      <w:r>
        <w:rPr>
          <w:rFonts w:ascii="Times New Roman" w:cs="Times New Roman" w:eastAsia="Times New Roman" w:hAnsi="Times New Roman"/>
          <w:sz w:val="14"/>
          <w:szCs w:val="14"/>
          <w:u w:val="single" w:color="auto"/>
          <w:color w:val="auto"/>
        </w:rPr>
        <w:t>AYVAKIT.com</w:t>
      </w:r>
      <w:r>
        <w:rPr>
          <w:rFonts w:ascii="Times New Roman" w:cs="Times New Roman" w:eastAsia="Times New Roman" w:hAnsi="Times New Roman"/>
          <w:sz w:val="14"/>
          <w:szCs w:val="14"/>
          <w:color w:val="auto"/>
        </w:rPr>
        <w:t>. This medicine is approved in Europe (AYVAKYT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 for the treatment of adults with ASM, SM-AHN or MCL, after at least one systemic therapy, and adults with unresectable or metastatic GIST harboring the PDGFRA D842V mutation. Please click here to see the full </w:t>
      </w:r>
      <w:r>
        <w:rPr>
          <w:rFonts w:ascii="Times New Roman" w:cs="Times New Roman" w:eastAsia="Times New Roman" w:hAnsi="Times New Roman"/>
          <w:sz w:val="14"/>
          <w:szCs w:val="14"/>
          <w:u w:val="single" w:color="auto"/>
          <w:color w:val="auto"/>
        </w:rPr>
        <w:t>U.S. Prescribing Information</w:t>
      </w:r>
      <w:r>
        <w:rPr>
          <w:rFonts w:ascii="Times New Roman" w:cs="Times New Roman" w:eastAsia="Times New Roman" w:hAnsi="Times New Roman"/>
          <w:sz w:val="14"/>
          <w:szCs w:val="14"/>
          <w:color w:val="auto"/>
        </w:rPr>
        <w:t xml:space="preserve"> for AYVAKIT, and click here to see the </w:t>
      </w:r>
      <w:r>
        <w:rPr>
          <w:rFonts w:ascii="Times New Roman" w:cs="Times New Roman" w:eastAsia="Times New Roman" w:hAnsi="Times New Roman"/>
          <w:sz w:val="14"/>
          <w:szCs w:val="14"/>
          <w:u w:val="single" w:color="auto"/>
          <w:color w:val="auto"/>
        </w:rPr>
        <w:t>European Summary of Product Characteristics</w:t>
      </w:r>
      <w:r>
        <w:rPr>
          <w:rFonts w:ascii="Times New Roman" w:cs="Times New Roman" w:eastAsia="Times New Roman" w:hAnsi="Times New Roman"/>
          <w:sz w:val="14"/>
          <w:szCs w:val="14"/>
          <w:color w:val="auto"/>
        </w:rPr>
        <w:t xml:space="preserve"> for AYVAKYT.</w:t>
      </w:r>
    </w:p>
    <w:p>
      <w:pPr>
        <w:spacing w:after="0" w:line="160" w:lineRule="exact"/>
        <w:rPr>
          <w:sz w:val="20"/>
          <w:szCs w:val="20"/>
          <w:color w:val="auto"/>
        </w:rPr>
      </w:pPr>
    </w:p>
    <w:p>
      <w:pPr>
        <w:ind w:right="300"/>
        <w:spacing w:after="0" w:line="301" w:lineRule="auto"/>
        <w:rPr>
          <w:sz w:val="20"/>
          <w:szCs w:val="20"/>
          <w:color w:val="auto"/>
        </w:rPr>
      </w:pPr>
      <w:r>
        <w:rPr>
          <w:rFonts w:ascii="Times New Roman" w:cs="Times New Roman" w:eastAsia="Times New Roman" w:hAnsi="Times New Roman"/>
          <w:sz w:val="14"/>
          <w:szCs w:val="14"/>
          <w:color w:val="auto"/>
        </w:rPr>
        <w:t>AYVAKIT/AYVAKYT is not approved for the treatment of any other indication in the U.S. or Europe. The FDA granted breakthrough therapy designation to AYVAKIT for the treatment of moderate to severe indolent SM.</w:t>
      </w:r>
    </w:p>
    <w:p>
      <w:pPr>
        <w:spacing w:after="0" w:line="118"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4"/>
          <w:szCs w:val="14"/>
          <w:color w:val="0A0A0A"/>
        </w:rPr>
        <w:t xml:space="preserve">To learn about ongoing or planned clinical trials, contact Blueprint Medicines at </w:t>
      </w:r>
      <w:r>
        <w:rPr>
          <w:rFonts w:ascii="Times New Roman" w:cs="Times New Roman" w:eastAsia="Times New Roman" w:hAnsi="Times New Roman"/>
          <w:sz w:val="14"/>
          <w:szCs w:val="14"/>
          <w:u w:val="single" w:color="auto"/>
          <w:color w:val="000000"/>
        </w:rPr>
        <w:t>medinfo@blueprintmedicines.com</w:t>
      </w:r>
      <w:r>
        <w:rPr>
          <w:rFonts w:ascii="Times New Roman" w:cs="Times New Roman" w:eastAsia="Times New Roman" w:hAnsi="Times New Roman"/>
          <w:sz w:val="14"/>
          <w:szCs w:val="14"/>
          <w:color w:val="0A0A0A"/>
        </w:rPr>
        <w:t xml:space="preserve"> or 1-888-BLU-PRNT (1-888-258-7768). Additional information is available at </w:t>
      </w:r>
      <w:r>
        <w:rPr>
          <w:rFonts w:ascii="Times New Roman" w:cs="Times New Roman" w:eastAsia="Times New Roman" w:hAnsi="Times New Roman"/>
          <w:sz w:val="14"/>
          <w:szCs w:val="14"/>
          <w:u w:val="single" w:color="auto"/>
          <w:color w:val="000000"/>
        </w:rPr>
        <w:t>blueprintclinicaltrials.com</w:t>
      </w:r>
      <w:r>
        <w:rPr>
          <w:rFonts w:ascii="Times New Roman" w:cs="Times New Roman" w:eastAsia="Times New Roman" w:hAnsi="Times New Roman"/>
          <w:sz w:val="14"/>
          <w:szCs w:val="14"/>
          <w:color w:val="0A0A0A"/>
        </w:rPr>
        <w:t xml:space="preserve"> or </w:t>
      </w:r>
      <w:r>
        <w:rPr>
          <w:rFonts w:ascii="Times New Roman" w:cs="Times New Roman" w:eastAsia="Times New Roman" w:hAnsi="Times New Roman"/>
          <w:sz w:val="14"/>
          <w:szCs w:val="14"/>
          <w:u w:val="single" w:color="auto"/>
          <w:color w:val="000000"/>
        </w:rPr>
        <w:t>clinicaltrials.gov</w:t>
      </w:r>
      <w:r>
        <w:rPr>
          <w:rFonts w:ascii="Times New Roman" w:cs="Times New Roman" w:eastAsia="Times New Roman" w:hAnsi="Times New Roman"/>
          <w:sz w:val="14"/>
          <w:szCs w:val="14"/>
          <w:color w:val="0A0A0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-246380</wp:posOffset>
            </wp:positionV>
            <wp:extent cx="7158990" cy="220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22098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Systemic Mastocytosis</w:t>
      </w:r>
    </w:p>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Systemic mastocytosis (SM) is a rare disease primarily driven by the KIT D816V mutation. Uncontrolled proliferation and activation of mast cells result in chronic, severe and often unpredictable symptoms for patients across the spectrum of SM. The vast majority of those affected have non-advanced (indolent or smoldering) SM, with debilitating symptoms that lead to a profound, negative impact on quality of life. A minority of patients have advanced SM, which encompasses a group of high-risk SM subtypes including ASM, SM-AHN and MCL. In addition to mast cell activation symptoms, advanced SM is associated with organ damage due to mast cell infiltration and poor survival. Across advanced SM subtypes, the median overall survival is approximately 3.5 years in ASM, approximately two years in SM-AHN and less than six months in MCL.</w:t>
      </w:r>
    </w:p>
    <w:p>
      <w:pPr>
        <w:spacing w:after="0" w:line="142"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4"/>
          <w:szCs w:val="14"/>
          <w:color w:val="auto"/>
        </w:rPr>
        <w:t>Debilitating symptoms, including anaphylaxis, maculopapular rash, pruritis, diarrhea, brain fog, fatigue and bone pain, often persist across all forms of SM despite treatment with a number of symptom-directed therapies. Patients often live in fear of severe, unexpected symptoms, have limited ability to work or perform daily activities, and isolate themselves to protect against unpredictable triggers. Historically, there had been no approved therapies for the treatment of SM that selectively inhibit D816V mutant 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715899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60"/>
          </w:cols>
          <w:pgMar w:left="300" w:top="7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About the PIONEER Trial</w:t>
      </w:r>
    </w:p>
    <w:p>
      <w:pPr>
        <w:spacing w:after="0" w:line="189"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4"/>
          <w:szCs w:val="14"/>
          <w:color w:val="auto"/>
        </w:rPr>
        <w:t xml:space="preserve">PIONEER is a randomized, double-blind, placebo-controlled, registrational trial evaluating AYVAKIT in patients with non-advanced SM. The trial includes three parts: dose-finding Part 1, registrational Part 2 and long-term treatment Part 3. Key trial endpoints include the change in patient-reported disease symptoms as measured by the ISM-SAF TSS, patient-reported quality of life, quantitative measures of mast cell burden and safety. Patients who completed Part 1 or 2 were eligible to participate in Part 3. All patients receive AYVAKIT treatment during Part 3, including those rolling over from the control arm. For more information about the PIONEER trial, please visit </w:t>
      </w:r>
      <w:r>
        <w:rPr>
          <w:rFonts w:ascii="Times New Roman" w:cs="Times New Roman" w:eastAsia="Times New Roman" w:hAnsi="Times New Roman"/>
          <w:sz w:val="14"/>
          <w:szCs w:val="14"/>
          <w:u w:val="single" w:color="auto"/>
          <w:color w:val="auto"/>
        </w:rPr>
        <w:t>www.clinicaltrials.gov</w:t>
      </w:r>
      <w:r>
        <w:rPr>
          <w:rFonts w:ascii="Times New Roman" w:cs="Times New Roman" w:eastAsia="Times New Roman" w:hAnsi="Times New Roman"/>
          <w:sz w:val="14"/>
          <w:szCs w:val="14"/>
          <w:color w:val="auto"/>
        </w:rPr>
        <w:t xml:space="preserve"> (ClinicalTrials.gov Identifier: </w:t>
      </w:r>
      <w:r>
        <w:rPr>
          <w:rFonts w:ascii="Times New Roman" w:cs="Times New Roman" w:eastAsia="Times New Roman" w:hAnsi="Times New Roman"/>
          <w:sz w:val="14"/>
          <w:szCs w:val="14"/>
          <w:u w:val="single" w:color="auto"/>
          <w:color w:val="auto"/>
        </w:rPr>
        <w:t>NCT03731260</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Blueprint Medicines</w:t>
      </w:r>
    </w:p>
    <w:p>
      <w:pPr>
        <w:spacing w:after="0" w:line="18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 xml:space="preserve">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and other genomically defined cancers, and cancer immunotherapy. For more information, visit </w:t>
      </w:r>
      <w:r>
        <w:rPr>
          <w:rFonts w:ascii="Times New Roman" w:cs="Times New Roman" w:eastAsia="Times New Roman" w:hAnsi="Times New Roman"/>
          <w:sz w:val="14"/>
          <w:szCs w:val="14"/>
          <w:u w:val="single" w:color="auto"/>
          <w:color w:val="auto"/>
        </w:rPr>
        <w:t>www.BlueprintMedicines.com</w:t>
      </w:r>
      <w:r>
        <w:rPr>
          <w:rFonts w:ascii="Times New Roman" w:cs="Times New Roman" w:eastAsia="Times New Roman" w:hAnsi="Times New Roman"/>
          <w:sz w:val="14"/>
          <w:szCs w:val="14"/>
          <w:color w:val="auto"/>
        </w:rPr>
        <w:t xml:space="preserve"> and follow us on </w:t>
      </w:r>
      <w:r>
        <w:rPr>
          <w:rFonts w:ascii="Times New Roman" w:cs="Times New Roman" w:eastAsia="Times New Roman" w:hAnsi="Times New Roman"/>
          <w:sz w:val="14"/>
          <w:szCs w:val="14"/>
          <w:u w:val="single" w:color="auto"/>
          <w:color w:val="auto"/>
        </w:rPr>
        <w:t>Twitter</w:t>
      </w:r>
      <w:r>
        <w:rPr>
          <w:rFonts w:ascii="Times New Roman" w:cs="Times New Roman" w:eastAsia="Times New Roman" w:hAnsi="Times New Roman"/>
          <w:sz w:val="14"/>
          <w:szCs w:val="14"/>
          <w:color w:val="auto"/>
        </w:rPr>
        <w:t xml:space="preserve"> (@BlueprintMeds) and </w:t>
      </w:r>
      <w:r>
        <w:rPr>
          <w:rFonts w:ascii="Times New Roman" w:cs="Times New Roman" w:eastAsia="Times New Roman" w:hAnsi="Times New Roman"/>
          <w:sz w:val="14"/>
          <w:szCs w:val="14"/>
          <w:u w:val="single" w:color="auto"/>
          <w:color w:val="auto"/>
        </w:rPr>
        <w:t>LinkedIn</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as amended, including, without limitation, statements regarding plans to submit a supplemental new drug application (sNDA) to the U.S. Food and Drug Administration (FDA) for AYVAKIT in patients with non-advanced SM, with a subsequent submission of a type II variation marketing authorization application to the European Medicines Agency (EMA), plans and timing for presenting detailed data from the PIONEER trial of AYVAKIT in patients with non-advanced SM, and expectations regarding the potential benefits of AYVAKIT in treating patients with non-advanced SM.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or of an approved product in an additional indication on a timely basis, if at all; the preclinical and clinical results for Blueprint Medicines’ drug candidates, which may not support further development of such drug candidates either as monotherapies or in combination with other agents or may impact the anticipated timing of data or regulatory submissions; the risk that “topline” data from our clinical trials that we announce or publish from time to time may change as more patient data become available and are subject to confirmation, audit, and verification procedures that could result in material changes in the final data; the timing of the initiation of clinical trials and trial cohorts at clinical trial sites and patient enrollment rates; actions of regulatory agencies, which may affect the initiation, timing and progress of clinical trials; Blueprint Medicines’ ability to obtain, maintain and enforce patent and other intellectual property protection for AYVAKIT/AYVAKYT; Blueprint Medicines’ ability to develop and commercialize companion diagnostic tests for AYVAKIT/AYVAKYT; Blueprint Medicines' ability to successfully expand its operations, research platform and portfolio of therapeutic candidates, and the timing and costs thereof; and the success of Blueprint Medicines’ current and future collaborations, financing arrangements,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322580</wp:posOffset>
            </wp:positionV>
            <wp:extent cx="715899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60"/>
          </w:cols>
          <w:pgMar w:left="300" w:top="75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Blueprint Medicines, AYVAKIT, AYVAKYT and associated logos are trademarks of Blueprint Medicines 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Relations Contact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Jenna Cohen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(857) 209-3147</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ir@blueprintmedicines.com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Media Relations Contact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Andrew Law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(617) 844-8205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242570</wp:posOffset>
            </wp:positionV>
            <wp:extent cx="715899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0159"/>
          </w:cols>
          <w:pgMar w:left="300" w:top="753" w:right="1440" w:bottom="1440" w:gutter="0" w:footer="0" w:header="0"/>
        </w:sectPr>
      </w:pPr>
    </w:p>
    <w:bookmarkStart w:id="7" w:name="page8"/>
    <w:bookmarkEnd w:id="7"/>
    <w:p>
      <w:pPr>
        <w:ind w:left="9320"/>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21590</wp:posOffset>
            </wp:positionV>
            <wp:extent cx="691769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0" w:num="1">
            <w:col w:w="10140"/>
          </w:cols>
          <w:pgMar w:left="1440" w:top="118" w:right="31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83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17690" cy="418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a"/>
      <w:numFmt w:val="bullet"/>
      <w:start w:val="1"/>
    </w:lvl>
  </w:abstractNum>
  <w:abstractNum w:abstractNumId="4">
    <w:nsid w:val="46E87CCD"/>
    <w:multiLevelType w:val="hybridMultilevel"/>
    <w:lvl w:ilvl="0">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2022-08-17T06:30:56Z</dcterms:created>
  <dcterms:modified xsi:type="dcterms:W3CDTF">2022-08-17T06:30:56Z</dcterms:modified>
</cp:coreProperties>
</file>