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9"/>
          <w:szCs w:val="29"/>
          <w:b w:val="1"/>
          <w:bCs w:val="1"/>
          <w:color w:val="auto"/>
        </w:rPr>
        <w:t>UNITED STATES</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20"/>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2367280</wp:posOffset>
            </wp:positionH>
            <wp:positionV relativeFrom="paragraph">
              <wp:posOffset>211455</wp:posOffset>
            </wp:positionV>
            <wp:extent cx="157035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70355" cy="7620"/>
                    </a:xfrm>
                    <a:prstGeom prst="rect">
                      <a:avLst/>
                    </a:prstGeom>
                    <a:noFill/>
                  </pic:spPr>
                </pic:pic>
              </a:graphicData>
            </a:graphic>
          </wp:anchor>
        </w:drawing>
      </w:r>
    </w:p>
    <w:p>
      <w:pPr>
        <w:spacing w:after="0" w:line="200" w:lineRule="exact"/>
        <w:rPr>
          <w:sz w:val="24"/>
          <w:szCs w:val="24"/>
          <w:color w:val="auto"/>
        </w:rPr>
      </w:pPr>
    </w:p>
    <w:p>
      <w:pPr>
        <w:spacing w:after="0" w:line="390"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2367280</wp:posOffset>
            </wp:positionH>
            <wp:positionV relativeFrom="paragraph">
              <wp:posOffset>225425</wp:posOffset>
            </wp:positionV>
            <wp:extent cx="1570355" cy="15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70355" cy="152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ind w:left="4220"/>
        <w:spacing w:after="0"/>
        <w:rPr>
          <w:sz w:val="20"/>
          <w:szCs w:val="20"/>
          <w:color w:val="auto"/>
        </w:rPr>
      </w:pPr>
      <w:r>
        <w:rPr>
          <w:rFonts w:ascii="Arial" w:cs="Arial" w:eastAsia="Arial" w:hAnsi="Arial"/>
          <w:sz w:val="16"/>
          <w:szCs w:val="16"/>
          <w:b w:val="1"/>
          <w:bCs w:val="1"/>
          <w:color w:val="auto"/>
        </w:rPr>
        <w:t>CURRENT REPORT</w:t>
      </w:r>
    </w:p>
    <w:p>
      <w:pPr>
        <w:spacing w:after="0" w:line="25" w:lineRule="exact"/>
        <w:rPr>
          <w:sz w:val="24"/>
          <w:szCs w:val="24"/>
          <w:color w:val="auto"/>
        </w:rPr>
      </w:pPr>
    </w:p>
    <w:p>
      <w:pPr>
        <w:ind w:left="3880"/>
        <w:spacing w:after="0"/>
        <w:rPr>
          <w:sz w:val="20"/>
          <w:szCs w:val="20"/>
          <w:color w:val="auto"/>
        </w:rPr>
      </w:pPr>
      <w:r>
        <w:rPr>
          <w:rFonts w:ascii="Arial" w:cs="Arial" w:eastAsia="Arial" w:hAnsi="Arial"/>
          <w:sz w:val="16"/>
          <w:szCs w:val="16"/>
          <w:b w:val="1"/>
          <w:bCs w:val="1"/>
          <w:color w:val="auto"/>
        </w:rPr>
        <w:t>Pursuant to Section 13 or 15(d)</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of the Securities Exchange Act of 1934</w:t>
      </w:r>
    </w:p>
    <w:p>
      <w:pPr>
        <w:spacing w:after="0" w:line="186"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 xml:space="preserve">Date of Report (Date of Earliest Event Reported):  </w:t>
      </w:r>
      <w:r>
        <w:rPr>
          <w:rFonts w:ascii="Arial" w:cs="Arial" w:eastAsia="Arial" w:hAnsi="Arial"/>
          <w:sz w:val="16"/>
          <w:szCs w:val="16"/>
          <w:b w:val="1"/>
          <w:bCs w:val="1"/>
          <w:color w:val="auto"/>
        </w:rPr>
        <w:t>April 28,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2367280</wp:posOffset>
            </wp:positionH>
            <wp:positionV relativeFrom="paragraph">
              <wp:posOffset>222885</wp:posOffset>
            </wp:positionV>
            <wp:extent cx="157035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0355"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Blueprint Medicines Corporation</w:t>
      </w:r>
    </w:p>
    <w:p>
      <w:pPr>
        <w:spacing w:after="0" w:line="30"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2367280</wp:posOffset>
            </wp:positionH>
            <wp:positionV relativeFrom="paragraph">
              <wp:posOffset>211455</wp:posOffset>
            </wp:positionV>
            <wp:extent cx="157035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0355" cy="7620"/>
                    </a:xfrm>
                    <a:prstGeom prst="rect">
                      <a:avLst/>
                    </a:prstGeom>
                    <a:noFill/>
                  </pic:spPr>
                </pic:pic>
              </a:graphicData>
            </a:graphic>
          </wp:anchor>
        </w:drawing>
      </w:r>
    </w:p>
    <w:p>
      <w:pPr>
        <w:sectPr>
          <w:pgSz w:w="11900" w:h="16838" w:orient="portrait"/>
          <w:cols w:equalWidth="0" w:num="1">
            <w:col w:w="9940"/>
          </w:cols>
          <w:pgMar w:left="980" w:top="585" w:right="9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left="1260"/>
        <w:spacing w:after="0"/>
        <w:rPr>
          <w:sz w:val="20"/>
          <w:szCs w:val="20"/>
          <w:color w:val="auto"/>
        </w:rPr>
      </w:pPr>
      <w:r>
        <w:rPr>
          <w:rFonts w:ascii="Arial" w:cs="Arial" w:eastAsia="Arial" w:hAnsi="Arial"/>
          <w:sz w:val="16"/>
          <w:szCs w:val="16"/>
          <w:b w:val="1"/>
          <w:bCs w:val="1"/>
          <w:color w:val="auto"/>
        </w:rPr>
        <w:t>Delaware</w:t>
      </w:r>
    </w:p>
    <w:p>
      <w:pPr>
        <w:spacing w:after="0" w:line="25" w:lineRule="exact"/>
        <w:rPr>
          <w:sz w:val="24"/>
          <w:szCs w:val="24"/>
          <w:color w:val="auto"/>
        </w:rPr>
      </w:pPr>
    </w:p>
    <w:p>
      <w:pPr>
        <w:ind w:left="740"/>
        <w:spacing w:after="0"/>
        <w:rPr>
          <w:sz w:val="20"/>
          <w:szCs w:val="20"/>
          <w:color w:val="auto"/>
        </w:rPr>
      </w:pPr>
      <w:r>
        <w:rPr>
          <w:rFonts w:ascii="Arial" w:cs="Arial" w:eastAsia="Arial" w:hAnsi="Arial"/>
          <w:sz w:val="14"/>
          <w:szCs w:val="14"/>
          <w:color w:val="auto"/>
        </w:rPr>
        <w:t>(State or other jurisdiction</w:t>
      </w:r>
    </w:p>
    <w:p>
      <w:pPr>
        <w:spacing w:after="0" w:line="32" w:lineRule="exact"/>
        <w:rPr>
          <w:sz w:val="24"/>
          <w:szCs w:val="24"/>
          <w:color w:val="auto"/>
        </w:rPr>
      </w:pPr>
    </w:p>
    <w:p>
      <w:pPr>
        <w:ind w:left="1040"/>
        <w:spacing w:after="0"/>
        <w:rPr>
          <w:sz w:val="20"/>
          <w:szCs w:val="20"/>
          <w:color w:val="auto"/>
        </w:rPr>
      </w:pPr>
      <w:r>
        <w:rPr>
          <w:rFonts w:ascii="Arial" w:cs="Arial" w:eastAsia="Arial" w:hAnsi="Arial"/>
          <w:sz w:val="16"/>
          <w:szCs w:val="16"/>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ind w:right="1160"/>
        <w:spacing w:after="0"/>
        <w:rPr>
          <w:sz w:val="20"/>
          <w:szCs w:val="20"/>
          <w:color w:val="auto"/>
        </w:rPr>
      </w:pPr>
      <w:r>
        <w:rPr>
          <w:rFonts w:ascii="Arial" w:cs="Arial" w:eastAsia="Arial" w:hAnsi="Arial"/>
          <w:sz w:val="16"/>
          <w:szCs w:val="16"/>
          <w:b w:val="1"/>
          <w:bCs w:val="1"/>
          <w:color w:val="auto"/>
        </w:rPr>
        <w:t>001-37359</w:t>
      </w:r>
    </w:p>
    <w:p>
      <w:pPr>
        <w:spacing w:after="0" w:line="25" w:lineRule="exact"/>
        <w:rPr>
          <w:sz w:val="24"/>
          <w:szCs w:val="24"/>
          <w:color w:val="auto"/>
        </w:rPr>
      </w:pPr>
    </w:p>
    <w:p>
      <w:pPr>
        <w:jc w:val="center"/>
        <w:ind w:right="1160"/>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ind w:left="220"/>
        <w:spacing w:after="0"/>
        <w:rPr>
          <w:sz w:val="20"/>
          <w:szCs w:val="20"/>
          <w:color w:val="auto"/>
        </w:rPr>
      </w:pPr>
      <w:r>
        <w:rPr>
          <w:rFonts w:ascii="Arial" w:cs="Arial" w:eastAsia="Arial" w:hAnsi="Arial"/>
          <w:sz w:val="16"/>
          <w:szCs w:val="16"/>
          <w:b w:val="1"/>
          <w:bCs w:val="1"/>
          <w:color w:val="auto"/>
        </w:rPr>
        <w:t>26-3632015</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5"/>
          <w:szCs w:val="15"/>
          <w:color w:val="auto"/>
        </w:rPr>
        <w:t>(I.R.S. Employer</w:t>
      </w:r>
    </w:p>
    <w:p>
      <w:pPr>
        <w:spacing w:after="0" w:line="21" w:lineRule="exact"/>
        <w:rPr>
          <w:sz w:val="24"/>
          <w:szCs w:val="24"/>
          <w:color w:val="auto"/>
        </w:rPr>
      </w:pPr>
    </w:p>
    <w:p>
      <w:pPr>
        <w:spacing w:after="0"/>
        <w:rPr>
          <w:sz w:val="20"/>
          <w:szCs w:val="20"/>
          <w:color w:val="auto"/>
        </w:rPr>
      </w:pPr>
      <w:r>
        <w:rPr>
          <w:rFonts w:ascii="Arial" w:cs="Arial" w:eastAsia="Arial" w:hAnsi="Arial"/>
          <w:sz w:val="15"/>
          <w:szCs w:val="15"/>
          <w:color w:val="auto"/>
        </w:rPr>
        <w:t>Identification No.)</w:t>
      </w:r>
    </w:p>
    <w:p>
      <w:pPr>
        <w:spacing w:after="0" w:line="211" w:lineRule="exact"/>
        <w:rPr>
          <w:sz w:val="24"/>
          <w:szCs w:val="24"/>
          <w:color w:val="auto"/>
        </w:rPr>
      </w:pPr>
    </w:p>
    <w:p>
      <w:pPr>
        <w:sectPr>
          <w:pgSz w:w="11900" w:h="16838" w:orient="portrait"/>
          <w:cols w:equalWidth="0" w:num="3">
            <w:col w:w="3360" w:space="720"/>
            <w:col w:w="2940" w:space="720"/>
            <w:col w:w="2200"/>
          </w:cols>
          <w:pgMar w:left="980" w:top="585" w:right="979" w:bottom="1440" w:gutter="0" w:footer="0" w:header="0"/>
          <w:type w:val="continuous"/>
        </w:sectPr>
      </w:pPr>
    </w:p>
    <w:p>
      <w:pPr>
        <w:spacing w:after="0" w:line="94" w:lineRule="exact"/>
        <w:rPr>
          <w:sz w:val="24"/>
          <w:szCs w:val="24"/>
          <w:color w:val="auto"/>
        </w:rPr>
      </w:pPr>
    </w:p>
    <w:p>
      <w:pPr>
        <w:ind w:left="1920"/>
        <w:spacing w:after="0"/>
        <w:rPr>
          <w:sz w:val="20"/>
          <w:szCs w:val="20"/>
          <w:color w:val="auto"/>
        </w:rPr>
      </w:pPr>
      <w:r>
        <w:rPr>
          <w:rFonts w:ascii="Arial" w:cs="Arial" w:eastAsia="Arial" w:hAnsi="Arial"/>
          <w:sz w:val="16"/>
          <w:szCs w:val="16"/>
          <w:b w:val="1"/>
          <w:bCs w:val="1"/>
          <w:color w:val="auto"/>
        </w:rPr>
        <w:t>45 Sidney Street</w:t>
      </w:r>
    </w:p>
    <w:p>
      <w:pPr>
        <w:spacing w:after="0" w:line="25"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Cambridge , Massachusetts</w:t>
      </w:r>
    </w:p>
    <w:p>
      <w:pPr>
        <w:spacing w:after="0" w:line="9" w:lineRule="exact"/>
        <w:rPr>
          <w:sz w:val="24"/>
          <w:szCs w:val="24"/>
          <w:color w:val="auto"/>
        </w:rPr>
      </w:pPr>
    </w:p>
    <w:p>
      <w:pPr>
        <w:ind w:left="1160"/>
        <w:spacing w:after="0"/>
        <w:rPr>
          <w:sz w:val="20"/>
          <w:szCs w:val="20"/>
          <w:color w:val="auto"/>
        </w:rPr>
      </w:pPr>
      <w:r>
        <w:rPr>
          <w:rFonts w:ascii="Arial" w:cs="Arial" w:eastAsia="Arial" w:hAnsi="Arial"/>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02139</w:t>
      </w:r>
    </w:p>
    <w:p>
      <w:pPr>
        <w:spacing w:after="0" w:line="25" w:lineRule="exact"/>
        <w:rPr>
          <w:sz w:val="24"/>
          <w:szCs w:val="24"/>
          <w:color w:val="auto"/>
        </w:rPr>
      </w:pPr>
    </w:p>
    <w:p>
      <w:pPr>
        <w:jc w:val="center"/>
        <w:ind w:right="2080"/>
        <w:spacing w:after="0"/>
        <w:rPr>
          <w:sz w:val="20"/>
          <w:szCs w:val="20"/>
          <w:color w:val="auto"/>
        </w:rPr>
      </w:pPr>
      <w:r>
        <w:rPr>
          <w:rFonts w:ascii="Arial" w:cs="Arial" w:eastAsia="Arial" w:hAnsi="Arial"/>
          <w:sz w:val="15"/>
          <w:szCs w:val="15"/>
          <w:color w:val="auto"/>
        </w:rPr>
        <w:t>(Zip Code)</w:t>
      </w:r>
    </w:p>
    <w:p>
      <w:pPr>
        <w:spacing w:after="0" w:line="200" w:lineRule="exact"/>
        <w:rPr>
          <w:sz w:val="24"/>
          <w:szCs w:val="24"/>
          <w:color w:val="auto"/>
        </w:rPr>
      </w:pPr>
    </w:p>
    <w:p>
      <w:pPr>
        <w:sectPr>
          <w:pgSz w:w="11900" w:h="16838" w:orient="portrait"/>
          <w:cols w:equalWidth="0" w:num="2">
            <w:col w:w="6420" w:space="720"/>
            <w:col w:w="2800"/>
          </w:cols>
          <w:pgMar w:left="980" w:top="585" w:right="979" w:bottom="1440" w:gutter="0" w:footer="0" w:header="0"/>
          <w:type w:val="continuous"/>
        </w:sectPr>
      </w:pPr>
    </w:p>
    <w:p>
      <w:pPr>
        <w:spacing w:after="0" w:line="9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( 617 ) 374-7580</w:t>
      </w:r>
    </w:p>
    <w:p>
      <w:pPr>
        <w:spacing w:after="0" w:line="399" w:lineRule="exact"/>
        <w:rPr>
          <w:sz w:val="24"/>
          <w:szCs w:val="24"/>
          <w:color w:val="auto"/>
        </w:rPr>
      </w:pPr>
    </w:p>
    <w:p>
      <w:pPr>
        <w:jc w:val="center"/>
        <w:ind w:right="-2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2367280</wp:posOffset>
            </wp:positionH>
            <wp:positionV relativeFrom="paragraph">
              <wp:posOffset>212725</wp:posOffset>
            </wp:positionV>
            <wp:extent cx="157035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0355" cy="152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ind w:right="180" w:firstLine="579"/>
        <w:spacing w:after="0" w:line="279"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151" w:lineRule="exact"/>
        <w:rPr>
          <w:sz w:val="24"/>
          <w:szCs w:val="24"/>
          <w:color w:val="auto"/>
        </w:rPr>
      </w:pPr>
    </w:p>
    <w:p>
      <w:pPr>
        <w:ind w:left="840" w:hanging="263"/>
        <w:spacing w:after="0"/>
        <w:tabs>
          <w:tab w:leader="none" w:pos="8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3" w:lineRule="exact"/>
        <w:rPr>
          <w:rFonts w:ascii="MS PGothic" w:cs="MS PGothic" w:eastAsia="MS PGothic" w:hAnsi="MS PGothic"/>
          <w:sz w:val="16"/>
          <w:szCs w:val="16"/>
          <w:color w:val="auto"/>
        </w:rPr>
      </w:pPr>
    </w:p>
    <w:p>
      <w:pPr>
        <w:ind w:left="840" w:hanging="263"/>
        <w:spacing w:after="0"/>
        <w:tabs>
          <w:tab w:leader="none" w:pos="8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9" w:lineRule="exact"/>
        <w:rPr>
          <w:rFonts w:ascii="MS PGothic" w:cs="MS PGothic" w:eastAsia="MS PGothic" w:hAnsi="MS PGothic"/>
          <w:sz w:val="16"/>
          <w:szCs w:val="16"/>
          <w:color w:val="auto"/>
        </w:rPr>
      </w:pPr>
    </w:p>
    <w:p>
      <w:pPr>
        <w:ind w:left="840" w:hanging="263"/>
        <w:spacing w:after="0"/>
        <w:tabs>
          <w:tab w:leader="none" w:pos="8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9" w:lineRule="exact"/>
        <w:rPr>
          <w:rFonts w:ascii="MS PGothic" w:cs="MS PGothic" w:eastAsia="MS PGothic" w:hAnsi="MS PGothic"/>
          <w:sz w:val="16"/>
          <w:szCs w:val="16"/>
          <w:color w:val="auto"/>
        </w:rPr>
      </w:pPr>
    </w:p>
    <w:p>
      <w:pPr>
        <w:ind w:left="840" w:hanging="263"/>
        <w:spacing w:after="0"/>
        <w:tabs>
          <w:tab w:leader="none" w:pos="8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88" w:lineRule="exact"/>
        <w:rPr>
          <w:sz w:val="24"/>
          <w:szCs w:val="24"/>
          <w:color w:val="auto"/>
        </w:rPr>
      </w:pPr>
    </w:p>
    <w:p>
      <w:pPr>
        <w:ind w:right="60" w:firstLine="579"/>
        <w:spacing w:after="0" w:line="279"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44" w:lineRule="exact"/>
        <w:rPr>
          <w:sz w:val="24"/>
          <w:szCs w:val="24"/>
          <w:color w:val="auto"/>
        </w:rPr>
      </w:pPr>
    </w:p>
    <w:p>
      <w:pPr>
        <w:ind w:left="240"/>
        <w:spacing w:after="0"/>
        <w:rPr>
          <w:sz w:val="20"/>
          <w:szCs w:val="20"/>
          <w:color w:val="auto"/>
        </w:rPr>
      </w:pPr>
      <w:r>
        <w:rPr>
          <w:rFonts w:ascii="Arial" w:cs="Arial" w:eastAsia="Arial" w:hAnsi="Arial"/>
          <w:sz w:val="16"/>
          <w:szCs w:val="16"/>
          <w:color w:val="auto"/>
        </w:rPr>
        <w:t>Emerging growth company</w:t>
      </w:r>
    </w:p>
    <w:p>
      <w:pPr>
        <w:spacing w:after="0" w:line="17" w:lineRule="exact"/>
        <w:rPr>
          <w:sz w:val="24"/>
          <w:szCs w:val="24"/>
          <w:color w:val="auto"/>
        </w:rPr>
      </w:pPr>
    </w:p>
    <w:p>
      <w:pPr>
        <w:ind w:left="240"/>
        <w:spacing w:after="0" w:line="16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ind w:right="60" w:firstLine="579"/>
        <w:spacing w:after="0" w:line="20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88" w:lineRule="exact"/>
        <w:rPr>
          <w:sz w:val="24"/>
          <w:szCs w:val="24"/>
          <w:color w:val="auto"/>
        </w:rPr>
      </w:pPr>
    </w:p>
    <w:p>
      <w:pPr>
        <w:jc w:val="center"/>
        <w:ind w:right="80"/>
        <w:spacing w:after="0"/>
        <w:rPr>
          <w:sz w:val="20"/>
          <w:szCs w:val="20"/>
          <w:color w:val="auto"/>
        </w:rPr>
      </w:pPr>
      <w:r>
        <w:rPr>
          <w:rFonts w:ascii="Arial" w:cs="Arial" w:eastAsia="Arial" w:hAnsi="Arial"/>
          <w:sz w:val="16"/>
          <w:szCs w:val="16"/>
          <w:color w:val="auto"/>
        </w:rPr>
        <w:t>Securities registered pursuant to Section 12(b) of the Exchange Act:</w:t>
      </w:r>
    </w:p>
    <w:p>
      <w:pPr>
        <w:spacing w:after="0" w:line="122" w:lineRule="exact"/>
        <w:rPr>
          <w:sz w:val="24"/>
          <w:szCs w:val="24"/>
          <w:color w:val="auto"/>
        </w:rPr>
      </w:pPr>
    </w:p>
    <w:tbl>
      <w:tblPr>
        <w:tblLayout w:type="fixed"/>
        <w:tblInd w:w="10" w:type="dxa"/>
        <w:tblCellMar>
          <w:top w:w="0" w:type="dxa"/>
          <w:left w:w="0" w:type="dxa"/>
          <w:bottom w:w="0" w:type="dxa"/>
          <w:right w:w="0" w:type="dxa"/>
        </w:tblCellMar>
      </w:tblPr>
      <w:tr>
        <w:trPr>
          <w:trHeight w:val="235"/>
        </w:trPr>
        <w:tc>
          <w:tcPr>
            <w:tcW w:w="39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Title of each class</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Trading symbol(s)</w:t>
            </w:r>
          </w:p>
        </w:tc>
        <w:tc>
          <w:tcPr>
            <w:tcW w:w="40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Name of each exchange on which registered</w:t>
            </w:r>
          </w:p>
        </w:tc>
      </w:tr>
      <w:tr>
        <w:trPr>
          <w:trHeight w:val="221"/>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Common stock, par value $0.001 per share</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BPMC</w:t>
            </w:r>
          </w:p>
        </w:tc>
        <w:tc>
          <w:tcPr>
            <w:tcW w:w="4040" w:type="dxa"/>
            <w:vAlign w:val="bottom"/>
            <w:tcBorders>
              <w:bottom w:val="single" w:sz="8" w:color="auto"/>
              <w:right w:val="single" w:sz="8" w:color="auto"/>
            </w:tcBorders>
          </w:tcPr>
          <w:p>
            <w:pPr>
              <w:jc w:val="center"/>
              <w:ind w:right="20"/>
              <w:spacing w:after="0"/>
              <w:rPr>
                <w:sz w:val="20"/>
                <w:szCs w:val="20"/>
                <w:color w:val="auto"/>
              </w:rPr>
            </w:pPr>
            <w:r>
              <w:rPr>
                <w:rFonts w:ascii="Arial" w:cs="Arial" w:eastAsia="Arial" w:hAnsi="Arial"/>
                <w:sz w:val="16"/>
                <w:szCs w:val="16"/>
                <w:color w:val="auto"/>
                <w:w w:val="91"/>
              </w:rPr>
              <w:t>Nasdaq Global Select Market</w:t>
            </w:r>
          </w:p>
        </w:tc>
      </w:tr>
      <w:tr>
        <w:trPr>
          <w:trHeight w:val="509"/>
        </w:trPr>
        <w:tc>
          <w:tcPr>
            <w:tcW w:w="39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585" w:right="9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8.01 Other Events.</w:t>
      </w:r>
    </w:p>
    <w:p>
      <w:pPr>
        <w:spacing w:after="0" w:line="399" w:lineRule="exact"/>
        <w:rPr>
          <w:sz w:val="20"/>
          <w:szCs w:val="20"/>
          <w:color w:val="auto"/>
        </w:rPr>
      </w:pPr>
    </w:p>
    <w:p>
      <w:pPr>
        <w:ind w:right="40" w:firstLine="241"/>
        <w:spacing w:after="0" w:line="320" w:lineRule="auto"/>
        <w:rPr>
          <w:sz w:val="20"/>
          <w:szCs w:val="20"/>
          <w:color w:val="auto"/>
        </w:rPr>
      </w:pPr>
      <w:r>
        <w:rPr>
          <w:rFonts w:ascii="Arial" w:cs="Arial" w:eastAsia="Arial" w:hAnsi="Arial"/>
          <w:sz w:val="14"/>
          <w:szCs w:val="14"/>
          <w:color w:val="auto"/>
        </w:rPr>
        <w:t>On April 28, 2020, Blueprint Medicines Corporation hosted an investor call and live webcast to discuss the top-line data from its Phase 3 VOYAGER clinical trial of avapritinib versus regorafenib in patients with locally advanced unresectable or metastatic gastrointestinal stromal tumor. A copy of the presentation from the investor call is filed herewith as Exhibit 99.1 to this Current Report on Form 8-K and incorporated herein by reference.</w:t>
      </w:r>
    </w:p>
    <w:p>
      <w:pPr>
        <w:spacing w:after="0" w:line="200" w:lineRule="exact"/>
        <w:rPr>
          <w:sz w:val="20"/>
          <w:szCs w:val="20"/>
          <w:color w:val="auto"/>
        </w:rPr>
      </w:pPr>
    </w:p>
    <w:p>
      <w:pPr>
        <w:spacing w:after="0" w:line="310"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700" w:type="dxa"/>
            <w:vAlign w:val="bottom"/>
            <w:gridSpan w:val="3"/>
          </w:tcPr>
          <w:p>
            <w:pPr>
              <w:spacing w:after="0"/>
              <w:rPr>
                <w:sz w:val="20"/>
                <w:szCs w:val="20"/>
                <w:color w:val="auto"/>
              </w:rPr>
            </w:pPr>
            <w:r>
              <w:rPr>
                <w:rFonts w:ascii="Arial" w:cs="Arial" w:eastAsia="Arial" w:hAnsi="Arial"/>
                <w:sz w:val="16"/>
                <w:szCs w:val="16"/>
                <w:color w:val="auto"/>
              </w:rPr>
              <w:t>(d) Exhibits.</w:t>
            </w:r>
          </w:p>
        </w:tc>
        <w:tc>
          <w:tcPr>
            <w:tcW w:w="8220" w:type="dxa"/>
            <w:vAlign w:val="bottom"/>
          </w:tcPr>
          <w:p>
            <w:pPr>
              <w:spacing w:after="0"/>
              <w:rPr>
                <w:sz w:val="17"/>
                <w:szCs w:val="17"/>
                <w:color w:val="auto"/>
              </w:rPr>
            </w:pPr>
          </w:p>
        </w:tc>
      </w:tr>
      <w:tr>
        <w:trPr>
          <w:trHeight w:val="398"/>
        </w:trPr>
        <w:tc>
          <w:tcPr>
            <w:tcW w:w="20" w:type="dxa"/>
            <w:vAlign w:val="bottom"/>
          </w:tcPr>
          <w:p>
            <w:pPr>
              <w:spacing w:after="0"/>
              <w:rPr>
                <w:sz w:val="24"/>
                <w:szCs w:val="24"/>
                <w:color w:val="auto"/>
              </w:rPr>
            </w:pPr>
          </w:p>
        </w:tc>
        <w:tc>
          <w:tcPr>
            <w:tcW w:w="1680" w:type="dxa"/>
            <w:vAlign w:val="bottom"/>
            <w:gridSpan w:val="2"/>
          </w:tcPr>
          <w:p>
            <w:pPr>
              <w:ind w:left="80"/>
              <w:spacing w:after="0"/>
              <w:rPr>
                <w:sz w:val="20"/>
                <w:szCs w:val="20"/>
                <w:color w:val="auto"/>
              </w:rPr>
            </w:pPr>
            <w:r>
              <w:rPr>
                <w:rFonts w:ascii="Arial" w:cs="Arial" w:eastAsia="Arial" w:hAnsi="Arial"/>
                <w:sz w:val="16"/>
                <w:szCs w:val="16"/>
                <w:b w:val="1"/>
                <w:bCs w:val="1"/>
                <w:color w:val="auto"/>
              </w:rPr>
              <w:t>Exhibit No.</w:t>
            </w:r>
          </w:p>
        </w:tc>
        <w:tc>
          <w:tcPr>
            <w:tcW w:w="8220" w:type="dxa"/>
            <w:vAlign w:val="bottom"/>
          </w:tcPr>
          <w:p>
            <w:pPr>
              <w:ind w:left="100"/>
              <w:spacing w:after="0"/>
              <w:rPr>
                <w:sz w:val="20"/>
                <w:szCs w:val="20"/>
                <w:color w:val="auto"/>
              </w:rPr>
            </w:pPr>
            <w:r>
              <w:rPr>
                <w:rFonts w:ascii="Arial" w:cs="Arial" w:eastAsia="Arial" w:hAnsi="Arial"/>
                <w:sz w:val="16"/>
                <w:szCs w:val="16"/>
                <w:b w:val="1"/>
                <w:bCs w:val="1"/>
                <w:color w:val="auto"/>
              </w:rPr>
              <w:t>Description</w:t>
            </w:r>
          </w:p>
        </w:tc>
      </w:tr>
      <w:tr>
        <w:trPr>
          <w:trHeight w:val="173"/>
        </w:trPr>
        <w:tc>
          <w:tcPr>
            <w:tcW w:w="20" w:type="dxa"/>
            <w:vAlign w:val="bottom"/>
          </w:tcPr>
          <w:p>
            <w:pPr>
              <w:spacing w:after="0"/>
              <w:rPr>
                <w:sz w:val="15"/>
                <w:szCs w:val="15"/>
                <w:color w:val="auto"/>
              </w:rPr>
            </w:pPr>
          </w:p>
        </w:tc>
        <w:tc>
          <w:tcPr>
            <w:tcW w:w="1420" w:type="dxa"/>
            <w:vAlign w:val="bottom"/>
            <w:tcBorders>
              <w:top w:val="single" w:sz="8" w:color="auto"/>
            </w:tcBorders>
          </w:tcPr>
          <w:p>
            <w:pPr>
              <w:ind w:left="80"/>
              <w:spacing w:after="0" w:line="173" w:lineRule="exact"/>
              <w:rPr>
                <w:sz w:val="20"/>
                <w:szCs w:val="20"/>
                <w:color w:val="auto"/>
              </w:rPr>
            </w:pPr>
            <w:r>
              <w:rPr>
                <w:rFonts w:ascii="Arial" w:cs="Arial" w:eastAsia="Arial" w:hAnsi="Arial"/>
                <w:sz w:val="16"/>
                <w:szCs w:val="16"/>
                <w:color w:val="auto"/>
              </w:rPr>
              <w:t>99.1</w:t>
            </w:r>
          </w:p>
        </w:tc>
        <w:tc>
          <w:tcPr>
            <w:tcW w:w="260" w:type="dxa"/>
            <w:vAlign w:val="bottom"/>
          </w:tcPr>
          <w:p>
            <w:pPr>
              <w:spacing w:after="0"/>
              <w:rPr>
                <w:sz w:val="15"/>
                <w:szCs w:val="15"/>
                <w:color w:val="auto"/>
              </w:rPr>
            </w:pPr>
          </w:p>
        </w:tc>
        <w:tc>
          <w:tcPr>
            <w:tcW w:w="8220" w:type="dxa"/>
            <w:vAlign w:val="bottom"/>
            <w:tcBorders>
              <w:top w:val="single" w:sz="8" w:color="auto"/>
            </w:tcBorders>
          </w:tcPr>
          <w:p>
            <w:pPr>
              <w:ind w:left="100"/>
              <w:spacing w:after="0" w:line="173" w:lineRule="exact"/>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Presentation by Blueprint Medicines Corporation at investor call on April 28, 2020</w:t>
              </w:r>
            </w:hyperlink>
          </w:p>
        </w:tc>
      </w:tr>
      <w:tr>
        <w:trPr>
          <w:trHeight w:val="205"/>
        </w:trPr>
        <w:tc>
          <w:tcPr>
            <w:tcW w:w="1440" w:type="dxa"/>
            <w:vAlign w:val="bottom"/>
            <w:gridSpan w:val="2"/>
          </w:tcPr>
          <w:p>
            <w:pPr>
              <w:ind w:left="100"/>
              <w:spacing w:after="0"/>
              <w:rPr>
                <w:sz w:val="20"/>
                <w:szCs w:val="20"/>
                <w:color w:val="auto"/>
              </w:rPr>
            </w:pPr>
            <w:r>
              <w:rPr>
                <w:rFonts w:ascii="Arial" w:cs="Arial" w:eastAsia="Arial" w:hAnsi="Arial"/>
                <w:sz w:val="16"/>
                <w:szCs w:val="16"/>
                <w:color w:val="auto"/>
              </w:rPr>
              <w:t>104</w:t>
            </w:r>
          </w:p>
        </w:tc>
        <w:tc>
          <w:tcPr>
            <w:tcW w:w="260" w:type="dxa"/>
            <w:vAlign w:val="bottom"/>
          </w:tcPr>
          <w:p>
            <w:pPr>
              <w:spacing w:after="0"/>
              <w:rPr>
                <w:sz w:val="17"/>
                <w:szCs w:val="17"/>
                <w:color w:val="auto"/>
              </w:rPr>
            </w:pPr>
          </w:p>
        </w:tc>
        <w:tc>
          <w:tcPr>
            <w:tcW w:w="8220" w:type="dxa"/>
            <w:vAlign w:val="bottom"/>
          </w:tcPr>
          <w:p>
            <w:pPr>
              <w:ind w:left="100"/>
              <w:spacing w:after="0"/>
              <w:rPr>
                <w:sz w:val="20"/>
                <w:szCs w:val="20"/>
                <w:color w:val="auto"/>
              </w:rPr>
            </w:pPr>
            <w:r>
              <w:rPr>
                <w:rFonts w:ascii="Arial" w:cs="Arial" w:eastAsia="Arial" w:hAnsi="Arial"/>
                <w:sz w:val="16"/>
                <w:szCs w:val="16"/>
                <w:color w:val="auto"/>
              </w:rPr>
              <w:t>Cover Page Interactive Data File (embedded within the Inline XBRL document)</w:t>
            </w:r>
          </w:p>
        </w:tc>
      </w:tr>
      <w:tr>
        <w:trPr>
          <w:trHeight w:val="832"/>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20" w:type="dxa"/>
            <w:vAlign w:val="bottom"/>
          </w:tcPr>
          <w:p>
            <w:pPr>
              <w:jc w:val="right"/>
              <w:ind w:right="4840"/>
              <w:spacing w:after="0"/>
              <w:rPr>
                <w:sz w:val="20"/>
                <w:szCs w:val="20"/>
                <w:color w:val="auto"/>
              </w:rPr>
            </w:pPr>
            <w:r>
              <w:rPr>
                <w:rFonts w:ascii="Arial" w:cs="Arial" w:eastAsia="Arial" w:hAnsi="Arial"/>
                <w:sz w:val="16"/>
                <w:szCs w:val="16"/>
                <w:color w:val="auto"/>
              </w:rPr>
              <w:t>2</w:t>
            </w:r>
          </w:p>
        </w:tc>
      </w:tr>
      <w:tr>
        <w:trPr>
          <w:trHeight w:val="692"/>
        </w:trPr>
        <w:tc>
          <w:tcPr>
            <w:tcW w:w="20" w:type="dxa"/>
            <w:vAlign w:val="bottom"/>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13" w:right="99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6"/>
          <w:szCs w:val="16"/>
          <w:b w:val="1"/>
          <w:bCs w:val="1"/>
          <w:color w:val="auto"/>
        </w:rPr>
        <w:t>SIGNATURES</w:t>
      </w:r>
    </w:p>
    <w:p>
      <w:pPr>
        <w:spacing w:after="0" w:line="206" w:lineRule="exact"/>
        <w:rPr>
          <w:sz w:val="20"/>
          <w:szCs w:val="20"/>
          <w:color w:val="auto"/>
        </w:rPr>
      </w:pPr>
    </w:p>
    <w:p>
      <w:pPr>
        <w:ind w:firstLine="579"/>
        <w:spacing w:after="0" w:line="279"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89" w:lineRule="exact"/>
        <w:rPr>
          <w:sz w:val="20"/>
          <w:szCs w:val="20"/>
          <w:color w:val="auto"/>
        </w:rPr>
      </w:pPr>
    </w:p>
    <w:p>
      <w:pPr>
        <w:ind w:left="5660"/>
        <w:spacing w:after="0"/>
        <w:rPr>
          <w:sz w:val="20"/>
          <w:szCs w:val="20"/>
          <w:color w:val="auto"/>
        </w:rPr>
      </w:pPr>
      <w:r>
        <w:rPr>
          <w:rFonts w:ascii="Arial" w:cs="Arial" w:eastAsia="Arial" w:hAnsi="Arial"/>
          <w:sz w:val="16"/>
          <w:szCs w:val="16"/>
          <w:b w:val="1"/>
          <w:bCs w:val="1"/>
          <w:color w:val="auto"/>
        </w:rPr>
        <w:t>BLUEPRINT MEDICINES CORPORATION</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tabs>
          <w:tab w:leader="none" w:pos="5640" w:val="left"/>
          <w:tab w:leader="none" w:pos="6020" w:val="left"/>
        </w:tabs>
        <w:rPr>
          <w:sz w:val="20"/>
          <w:szCs w:val="20"/>
          <w:color w:val="auto"/>
        </w:rPr>
      </w:pPr>
      <w:r>
        <w:rPr>
          <w:rFonts w:ascii="Arial" w:cs="Arial" w:eastAsia="Arial" w:hAnsi="Arial"/>
          <w:sz w:val="16"/>
          <w:szCs w:val="16"/>
          <w:color w:val="auto"/>
        </w:rPr>
        <w:t>Date: April 28, 2020</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3837940</wp:posOffset>
            </wp:positionH>
            <wp:positionV relativeFrom="paragraph">
              <wp:posOffset>13970</wp:posOffset>
            </wp:positionV>
            <wp:extent cx="246634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66340" cy="7620"/>
                    </a:xfrm>
                    <a:prstGeom prst="rect">
                      <a:avLst/>
                    </a:prstGeom>
                    <a:noFill/>
                  </pic:spPr>
                </pic:pic>
              </a:graphicData>
            </a:graphic>
          </wp:anchor>
        </w:drawing>
      </w:r>
    </w:p>
    <w:p>
      <w:pPr>
        <w:spacing w:after="0" w:line="49"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Jeffrey W. Albers</w:t>
      </w:r>
    </w:p>
    <w:p>
      <w:pPr>
        <w:spacing w:after="0" w:line="33"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442595</wp:posOffset>
            </wp:positionV>
            <wp:extent cx="6304280" cy="228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04280" cy="22860"/>
                    </a:xfrm>
                    <a:prstGeom prst="rect">
                      <a:avLst/>
                    </a:prstGeom>
                    <a:noFill/>
                  </pic:spPr>
                </pic:pic>
              </a:graphicData>
            </a:graphic>
          </wp:anchor>
        </w:drawing>
      </w:r>
    </w:p>
    <w:p>
      <w:pPr>
        <w:sectPr>
          <w:pgSz w:w="11900" w:h="16838" w:orient="portrait"/>
          <w:cols w:equalWidth="0" w:num="1">
            <w:col w:w="9760"/>
          </w:cols>
          <w:pgMar w:left="980" w:top="123" w:right="1159" w:bottom="1440" w:gutter="0" w:footer="0" w:header="0"/>
        </w:sectPr>
      </w:pPr>
    </w:p>
    <w:bookmarkStart w:id="3" w:name="page4"/>
    <w:bookmarkEnd w:id="3"/>
    <w:p>
      <w:pPr>
        <w:ind w:left="9300"/>
        <w:spacing w:after="0"/>
        <w:rPr>
          <w:sz w:val="20"/>
          <w:szCs w:val="20"/>
          <w:color w:val="auto"/>
        </w:rPr>
      </w:pPr>
      <w:r>
        <w:rPr>
          <w:rFonts w:ascii="Arial" w:cs="Arial" w:eastAsia="Arial" w:hAnsi="Arial"/>
          <w:sz w:val="15"/>
          <w:szCs w:val="1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-651510</wp:posOffset>
            </wp:positionH>
            <wp:positionV relativeFrom="paragraph">
              <wp:posOffset>23495</wp:posOffset>
            </wp:positionV>
            <wp:extent cx="6894195" cy="42056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94195" cy="4205605"/>
                    </a:xfrm>
                    <a:prstGeom prst="rect">
                      <a:avLst/>
                    </a:prstGeom>
                    <a:noFill/>
                  </pic:spPr>
                </pic:pic>
              </a:graphicData>
            </a:graphic>
          </wp:anchor>
        </w:drawing>
      </w:r>
    </w:p>
    <w:p>
      <w:pPr>
        <w:sectPr>
          <w:pgSz w:w="11900" w:h="16838" w:orient="portrait"/>
          <w:cols w:equalWidth="0" w:num="1">
            <w:col w:w="10140"/>
          </w:cols>
          <w:pgMar w:left="1440" w:top="123" w:right="31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262255</wp:posOffset>
            </wp:positionH>
            <wp:positionV relativeFrom="page">
              <wp:posOffset>88900</wp:posOffset>
            </wp:positionV>
            <wp:extent cx="6894195" cy="42056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94195" cy="4205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262255</wp:posOffset>
            </wp:positionH>
            <wp:positionV relativeFrom="page">
              <wp:posOffset>88900</wp:posOffset>
            </wp:positionV>
            <wp:extent cx="6894195" cy="42056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94195" cy="4205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262255</wp:posOffset>
            </wp:positionH>
            <wp:positionV relativeFrom="page">
              <wp:posOffset>88900</wp:posOffset>
            </wp:positionV>
            <wp:extent cx="6894195" cy="42056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94195" cy="4205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262255</wp:posOffset>
            </wp:positionH>
            <wp:positionV relativeFrom="page">
              <wp:posOffset>88900</wp:posOffset>
            </wp:positionV>
            <wp:extent cx="6894195" cy="4205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94195" cy="4205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262255</wp:posOffset>
            </wp:positionH>
            <wp:positionV relativeFrom="page">
              <wp:posOffset>88900</wp:posOffset>
            </wp:positionV>
            <wp:extent cx="6894195" cy="4205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94195" cy="4205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392430</wp:posOffset>
            </wp:positionH>
            <wp:positionV relativeFrom="page">
              <wp:posOffset>4271645</wp:posOffset>
            </wp:positionV>
            <wp:extent cx="6764020" cy="228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64020" cy="22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262255</wp:posOffset>
            </wp:positionH>
            <wp:positionV relativeFrom="page">
              <wp:posOffset>88900</wp:posOffset>
            </wp:positionV>
            <wp:extent cx="6894195" cy="42056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94195" cy="42056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2020-04-28T07:59:35Z</dcterms:created>
  <dcterms:modified xsi:type="dcterms:W3CDTF">2020-04-28T07:59:35Z</dcterms:modified>
</cp:coreProperties>
</file>