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360045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64135</wp:posOffset>
            </wp:positionV>
            <wp:extent cx="14230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9" w:lineRule="exact"/>
        <w:rPr>
          <w:sz w:val="24"/>
          <w:szCs w:val="24"/>
          <w:color w:val="auto"/>
        </w:rPr>
      </w:pPr>
    </w:p>
    <w:tbl>
      <w:tblPr>
        <w:tblLayout w:type="fixed"/>
        <w:tblInd w:w="40" w:type="dxa"/>
        <w:tblCellMar>
          <w:top w:w="0" w:type="dxa"/>
          <w:left w:w="0" w:type="dxa"/>
          <w:bottom w:w="0" w:type="dxa"/>
          <w:right w:w="0" w:type="dxa"/>
        </w:tblCellMar>
      </w:tblPr>
      <w:tr>
        <w:trPr>
          <w:trHeight w:val="429"/>
        </w:trPr>
        <w:tc>
          <w:tcPr>
            <w:tcW w:w="1980" w:type="dxa"/>
            <w:vAlign w:val="bottom"/>
          </w:tcPr>
          <w:p>
            <w:pPr>
              <w:spacing w:after="0"/>
              <w:rPr>
                <w:sz w:val="24"/>
                <w:szCs w:val="24"/>
                <w:color w:val="auto"/>
              </w:rPr>
            </w:pPr>
          </w:p>
        </w:tc>
        <w:tc>
          <w:tcPr>
            <w:tcW w:w="4740" w:type="dxa"/>
            <w:vAlign w:val="bottom"/>
            <w:gridSpan w:val="3"/>
          </w:tcPr>
          <w:p>
            <w:pPr>
              <w:jc w:val="center"/>
              <w:ind w:left="125"/>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249"/>
        </w:trPr>
        <w:tc>
          <w:tcPr>
            <w:tcW w:w="1980" w:type="dxa"/>
            <w:vAlign w:val="bottom"/>
          </w:tcPr>
          <w:p>
            <w:pPr>
              <w:spacing w:after="0"/>
              <w:rPr>
                <w:sz w:val="21"/>
                <w:szCs w:val="21"/>
                <w:color w:val="auto"/>
              </w:rPr>
            </w:pPr>
          </w:p>
        </w:tc>
        <w:tc>
          <w:tcPr>
            <w:tcW w:w="4740" w:type="dxa"/>
            <w:vAlign w:val="bottom"/>
            <w:gridSpan w:val="3"/>
          </w:tcPr>
          <w:p>
            <w:pPr>
              <w:jc w:val="center"/>
              <w:ind w:left="125"/>
              <w:spacing w:after="0" w:line="248" w:lineRule="exact"/>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r>
      <w:tr>
        <w:trPr>
          <w:trHeight w:val="243"/>
        </w:trPr>
        <w:tc>
          <w:tcPr>
            <w:tcW w:w="1980" w:type="dxa"/>
            <w:vAlign w:val="bottom"/>
          </w:tcPr>
          <w:p>
            <w:pPr>
              <w:spacing w:after="0"/>
              <w:rPr>
                <w:sz w:val="21"/>
                <w:szCs w:val="21"/>
                <w:color w:val="auto"/>
              </w:rPr>
            </w:pPr>
          </w:p>
        </w:tc>
        <w:tc>
          <w:tcPr>
            <w:tcW w:w="4740" w:type="dxa"/>
            <w:vAlign w:val="bottom"/>
            <w:gridSpan w:val="3"/>
          </w:tcPr>
          <w:p>
            <w:pPr>
              <w:jc w:val="center"/>
              <w:ind w:left="105"/>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286"/>
        </w:trPr>
        <w:tc>
          <w:tcPr>
            <w:tcW w:w="1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80" w:type="dxa"/>
            <w:vAlign w:val="bottom"/>
            <w:gridSpan w:val="2"/>
          </w:tcPr>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(Amendment No. )</w:t>
            </w:r>
          </w:p>
        </w:tc>
      </w:tr>
      <w:tr>
        <w:trPr>
          <w:trHeight w:val="96"/>
        </w:trPr>
        <w:tc>
          <w:tcPr>
            <w:tcW w:w="19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r>
      <w:tr>
        <w:trPr>
          <w:trHeight w:val="316"/>
        </w:trPr>
        <w:tc>
          <w:tcPr>
            <w:tcW w:w="19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tc>
        <w:tc>
          <w:tcPr>
            <w:tcW w:w="4740" w:type="dxa"/>
            <w:vAlign w:val="bottom"/>
            <w:gridSpan w:val="3"/>
          </w:tcPr>
          <w:p>
            <w:pPr>
              <w:ind w:left="860"/>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tc>
      </w:tr>
      <w:tr>
        <w:trPr>
          <w:trHeight w:val="239"/>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Check the appropriate box:</w:t>
            </w: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27" w:lineRule="exact"/>
        <w:rPr>
          <w:sz w:val="24"/>
          <w:szCs w:val="24"/>
          <w:color w:val="auto"/>
        </w:rPr>
      </w:pPr>
    </w:p>
    <w:p>
      <w:pPr>
        <w:ind w:left="500" w:hanging="456"/>
        <w:spacing w:after="0"/>
        <w:tabs>
          <w:tab w:leader="none" w:pos="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87" w:lineRule="exact"/>
        <w:rPr>
          <w:rFonts w:ascii="MS PGothic" w:cs="MS PGothic" w:eastAsia="MS PGothic" w:hAnsi="MS PGothic"/>
          <w:sz w:val="16"/>
          <w:szCs w:val="16"/>
          <w:color w:val="auto"/>
        </w:rPr>
      </w:pPr>
    </w:p>
    <w:p>
      <w:pPr>
        <w:ind w:left="500" w:hanging="456"/>
        <w:spacing w:after="0" w:line="184" w:lineRule="exact"/>
        <w:tabs>
          <w:tab w:leader="none" w:pos="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6(e)(2))</w:t>
      </w:r>
    </w:p>
    <w:p>
      <w:pPr>
        <w:spacing w:after="0" w:line="139" w:lineRule="exact"/>
        <w:rPr>
          <w:sz w:val="24"/>
          <w:szCs w:val="24"/>
          <w:color w:val="auto"/>
        </w:rPr>
      </w:pPr>
    </w:p>
    <w:p>
      <w:pPr>
        <w:ind w:left="500" w:hanging="456"/>
        <w:spacing w:after="0"/>
        <w:tabs>
          <w:tab w:leader="none" w:pos="5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13" w:lineRule="exact"/>
        <w:rPr>
          <w:sz w:val="24"/>
          <w:szCs w:val="24"/>
          <w:color w:val="auto"/>
        </w:rPr>
      </w:pPr>
    </w:p>
    <w:p>
      <w:pPr>
        <w:ind w:left="500" w:hanging="456"/>
        <w:spacing w:after="0"/>
        <w:tabs>
          <w:tab w:leader="none" w:pos="5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87" w:lineRule="exact"/>
        <w:rPr>
          <w:rFonts w:ascii="MS PGothic" w:cs="MS PGothic" w:eastAsia="MS PGothic" w:hAnsi="MS PGothic"/>
          <w:sz w:val="16"/>
          <w:szCs w:val="16"/>
          <w:color w:val="auto"/>
        </w:rPr>
      </w:pPr>
    </w:p>
    <w:p>
      <w:pPr>
        <w:ind w:left="500" w:hanging="456"/>
        <w:spacing w:after="0" w:line="184" w:lineRule="exact"/>
        <w:tabs>
          <w:tab w:leader="none" w:pos="5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BLUEPRINT MEDICINES CORPORATION</w:t>
      </w:r>
    </w:p>
    <w:p>
      <w:pPr>
        <w:spacing w:after="0" w:line="53"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Certificate of Incorporation)</w:t>
      </w:r>
    </w:p>
    <w:p>
      <w:pPr>
        <w:spacing w:after="0" w:line="5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7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54" w:lineRule="exact"/>
        <w:rPr>
          <w:sz w:val="24"/>
          <w:szCs w:val="24"/>
          <w:color w:val="auto"/>
        </w:rPr>
      </w:pPr>
    </w:p>
    <w:p>
      <w:pPr>
        <w:ind w:left="460" w:hanging="416"/>
        <w:spacing w:after="0"/>
        <w:tabs>
          <w:tab w:leader="none" w:pos="4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55" w:lineRule="exact"/>
        <w:rPr>
          <w:sz w:val="24"/>
          <w:szCs w:val="24"/>
          <w:color w:val="auto"/>
        </w:rPr>
      </w:pPr>
    </w:p>
    <w:p>
      <w:pPr>
        <w:ind w:left="460" w:hanging="416"/>
        <w:spacing w:after="0" w:line="184" w:lineRule="exact"/>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6(i)(1) and 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11.</w:t>
      </w:r>
    </w:p>
    <w:p>
      <w:pPr>
        <w:spacing w:after="0" w:line="139" w:lineRule="exact"/>
        <w:rPr>
          <w:rFonts w:ascii="MS PGothic" w:cs="MS PGothic" w:eastAsia="MS PGothic" w:hAnsi="MS PGothic"/>
          <w:sz w:val="16"/>
          <w:szCs w:val="16"/>
          <w:color w:val="auto"/>
        </w:rPr>
      </w:pPr>
    </w:p>
    <w:p>
      <w:pPr>
        <w:ind w:left="880" w:hanging="417"/>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234" w:lineRule="exact"/>
        <w:rPr>
          <w:rFonts w:ascii="Times New Roman" w:cs="Times New Roman" w:eastAsia="Times New Roman" w:hAnsi="Times New Roman"/>
          <w:sz w:val="16"/>
          <w:szCs w:val="16"/>
          <w:color w:val="auto"/>
        </w:rPr>
      </w:pPr>
    </w:p>
    <w:p>
      <w:pPr>
        <w:ind w:left="880" w:hanging="417"/>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208" w:lineRule="exact"/>
        <w:rPr>
          <w:rFonts w:ascii="Times New Roman" w:cs="Times New Roman" w:eastAsia="Times New Roman" w:hAnsi="Times New Roman"/>
          <w:sz w:val="16"/>
          <w:szCs w:val="16"/>
          <w:color w:val="auto"/>
        </w:rPr>
      </w:pPr>
    </w:p>
    <w:p>
      <w:pPr>
        <w:ind w:left="880" w:right="179" w:hanging="417"/>
        <w:spacing w:after="0" w:line="220" w:lineRule="exact"/>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11 (set forth the amount on which the filing fee is calculated and state how it was determined):</w:t>
      </w:r>
    </w:p>
    <w:p>
      <w:pPr>
        <w:spacing w:after="0" w:line="194" w:lineRule="exact"/>
        <w:rPr>
          <w:rFonts w:ascii="Times New Roman" w:cs="Times New Roman" w:eastAsia="Times New Roman" w:hAnsi="Times New Roman"/>
          <w:sz w:val="16"/>
          <w:szCs w:val="16"/>
          <w:color w:val="auto"/>
        </w:rPr>
      </w:pPr>
    </w:p>
    <w:p>
      <w:pPr>
        <w:ind w:left="880" w:hanging="417"/>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34" w:lineRule="exact"/>
        <w:rPr>
          <w:rFonts w:ascii="Times New Roman" w:cs="Times New Roman" w:eastAsia="Times New Roman" w:hAnsi="Times New Roman"/>
          <w:sz w:val="16"/>
          <w:szCs w:val="16"/>
          <w:color w:val="auto"/>
        </w:rPr>
      </w:pPr>
    </w:p>
    <w:p>
      <w:pPr>
        <w:ind w:left="880" w:hanging="417"/>
        <w:spacing w:after="0"/>
        <w:tabs>
          <w:tab w:leader="none" w:pos="8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34" w:lineRule="exact"/>
        <w:rPr>
          <w:rFonts w:ascii="Times New Roman" w:cs="Times New Roman" w:eastAsia="Times New Roman" w:hAnsi="Times New Roman"/>
          <w:sz w:val="16"/>
          <w:szCs w:val="16"/>
          <w:color w:val="auto"/>
        </w:rPr>
      </w:pPr>
    </w:p>
    <w:p>
      <w:pPr>
        <w:ind w:left="460" w:hanging="416"/>
        <w:spacing w:after="0"/>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6" w:lineRule="exact"/>
        <w:rPr>
          <w:rFonts w:ascii="MS PGothic" w:cs="MS PGothic" w:eastAsia="MS PGothic" w:hAnsi="MS PGothic"/>
          <w:sz w:val="16"/>
          <w:szCs w:val="16"/>
          <w:color w:val="auto"/>
        </w:rPr>
      </w:pPr>
    </w:p>
    <w:p>
      <w:pPr>
        <w:ind w:left="460" w:right="219" w:hanging="416"/>
        <w:spacing w:after="0" w:line="199" w:lineRule="exact"/>
        <w:tabs>
          <w:tab w:leader="none" w:pos="4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11(a)(2) and identify the filing for which the offsetting fee was paid previously. Identify the previous filing by registration statement number, or the Form or Schedule and the date of its filing.</w:t>
      </w:r>
    </w:p>
    <w:p>
      <w:pPr>
        <w:spacing w:after="0" w:line="88" w:lineRule="exact"/>
        <w:rPr>
          <w:rFonts w:ascii="MS PGothic" w:cs="MS PGothic" w:eastAsia="MS PGothic" w:hAnsi="MS PGothic"/>
          <w:sz w:val="16"/>
          <w:szCs w:val="16"/>
          <w:color w:val="auto"/>
        </w:rPr>
      </w:pPr>
    </w:p>
    <w:p>
      <w:pPr>
        <w:ind w:left="860" w:hanging="39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234" w:lineRule="exact"/>
        <w:rPr>
          <w:rFonts w:ascii="Times New Roman" w:cs="Times New Roman" w:eastAsia="Times New Roman" w:hAnsi="Times New Roman"/>
          <w:sz w:val="16"/>
          <w:szCs w:val="16"/>
          <w:color w:val="auto"/>
        </w:rPr>
      </w:pPr>
    </w:p>
    <w:p>
      <w:pPr>
        <w:ind w:left="860" w:hanging="39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34" w:lineRule="exact"/>
        <w:rPr>
          <w:rFonts w:ascii="Times New Roman" w:cs="Times New Roman" w:eastAsia="Times New Roman" w:hAnsi="Times New Roman"/>
          <w:sz w:val="16"/>
          <w:szCs w:val="16"/>
          <w:color w:val="auto"/>
        </w:rPr>
      </w:pPr>
    </w:p>
    <w:p>
      <w:pPr>
        <w:ind w:left="860" w:hanging="39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34" w:lineRule="exact"/>
        <w:rPr>
          <w:rFonts w:ascii="Times New Roman" w:cs="Times New Roman" w:eastAsia="Times New Roman" w:hAnsi="Times New Roman"/>
          <w:sz w:val="16"/>
          <w:szCs w:val="16"/>
          <w:color w:val="auto"/>
        </w:rPr>
      </w:pPr>
    </w:p>
    <w:p>
      <w:pPr>
        <w:ind w:left="860" w:hanging="397"/>
        <w:spacing w:after="0"/>
        <w:tabs>
          <w:tab w:leader="none" w:pos="8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88900</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-175895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-441960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-707390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-1547495</wp:posOffset>
            </wp:positionV>
            <wp:extent cx="5126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2635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-1813560</wp:posOffset>
            </wp:positionV>
            <wp:extent cx="5126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-2078990</wp:posOffset>
            </wp:positionV>
            <wp:extent cx="5126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-2465070</wp:posOffset>
            </wp:positionV>
            <wp:extent cx="5126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-2730500</wp:posOffset>
            </wp:positionV>
            <wp:extent cx="5126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26355"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594995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 w:name="page2"/>
    <w:bookmarkEnd w:id="1"/>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360045</wp:posOffset>
            </wp:positionV>
            <wp:extent cx="166306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BLUEPRINT MEDICINES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45 Sidney Street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Cambridge, Massachusetts 02139</w:t>
      </w:r>
    </w:p>
    <w:p>
      <w:pPr>
        <w:spacing w:after="0" w:line="19" w:lineRule="exact"/>
        <w:rPr>
          <w:sz w:val="20"/>
          <w:szCs w:val="20"/>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b w:val="1"/>
          <w:bCs w:val="1"/>
          <w:color w:val="auto"/>
        </w:rPr>
        <w:t>(617) 374</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7580</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2020 ANNUAL MEETING OF STOCKHOLDERS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23, 2020</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Dear Stockholders:</w:t>
      </w:r>
    </w:p>
    <w:p>
      <w:pPr>
        <w:spacing w:after="0" w:line="127" w:lineRule="exact"/>
        <w:rPr>
          <w:sz w:val="20"/>
          <w:szCs w:val="20"/>
          <w:color w:val="auto"/>
        </w:rPr>
      </w:pPr>
    </w:p>
    <w:p>
      <w:pPr>
        <w:ind w:left="40" w:right="139" w:firstLine="648"/>
        <w:spacing w:after="0" w:line="204" w:lineRule="exact"/>
        <w:rPr>
          <w:sz w:val="20"/>
          <w:szCs w:val="20"/>
          <w:color w:val="auto"/>
        </w:rPr>
      </w:pPr>
      <w:r>
        <w:rPr>
          <w:rFonts w:ascii="Times New Roman" w:cs="Times New Roman" w:eastAsia="Times New Roman" w:hAnsi="Times New Roman"/>
          <w:sz w:val="16"/>
          <w:szCs w:val="16"/>
          <w:color w:val="auto"/>
        </w:rPr>
        <w:t>You are cordially invited to attend the 2020 annual meeting of stockholders of Blueprint Medicines Corporation to be held on Tuesday, June 23, 2020 at 3:30 p.m., Eastern Daylight Time. The annual meeting will be held entirely online this year due to the emerging public health impact of the coronavirus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19) pandemic. You will be able to attend and participate in the annual meeting online by visiting </w:t>
      </w:r>
      <w:r>
        <w:rPr>
          <w:rFonts w:ascii="Times New Roman" w:cs="Times New Roman" w:eastAsia="Times New Roman" w:hAnsi="Times New Roman"/>
          <w:sz w:val="16"/>
          <w:szCs w:val="16"/>
          <w:i w:val="1"/>
          <w:iCs w:val="1"/>
          <w:color w:val="auto"/>
        </w:rPr>
        <w:t>http://www.virtualshareholdermeeting.com/BPMC2020</w:t>
      </w:r>
      <w:r>
        <w:rPr>
          <w:rFonts w:ascii="Times New Roman" w:cs="Times New Roman" w:eastAsia="Times New Roman" w:hAnsi="Times New Roman"/>
          <w:sz w:val="16"/>
          <w:szCs w:val="16"/>
          <w:color w:val="auto"/>
        </w:rPr>
        <w:t xml:space="preserve"> , where you will be able to vote electronically and submit questions. You will not be able to attend the annual meeting in person. You will need the 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digit control number included with these proxy materials to attend the annual meeting. At the annual meeting, stockholders will consider and vote on the following matters:</w:t>
      </w:r>
    </w:p>
    <w:p>
      <w:pPr>
        <w:spacing w:after="0" w:line="104" w:lineRule="exact"/>
        <w:rPr>
          <w:sz w:val="20"/>
          <w:szCs w:val="20"/>
          <w:color w:val="auto"/>
        </w:rPr>
      </w:pPr>
    </w:p>
    <w:p>
      <w:pPr>
        <w:ind w:left="1340" w:right="119" w:hanging="324"/>
        <w:spacing w:after="0" w:line="298" w:lineRule="auto"/>
        <w:tabs>
          <w:tab w:leader="none" w:pos="1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three Class II directors nominated by our board of directors, each to serve for a three-year term expiring at the 2023 annual meeting of stockholders or until his or her successor has been duly elected and qualified;</w:t>
      </w:r>
    </w:p>
    <w:p>
      <w:pPr>
        <w:spacing w:after="0" w:line="56" w:lineRule="exact"/>
        <w:rPr>
          <w:rFonts w:ascii="Times New Roman" w:cs="Times New Roman" w:eastAsia="Times New Roman" w:hAnsi="Times New Roman"/>
          <w:sz w:val="16"/>
          <w:szCs w:val="16"/>
          <w:color w:val="auto"/>
        </w:rPr>
      </w:pPr>
    </w:p>
    <w:p>
      <w:pPr>
        <w:ind w:left="1340" w:hanging="324"/>
        <w:spacing w:after="0"/>
        <w:tabs>
          <w:tab w:leader="none" w:pos="1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approve a non-binding, advisory vote on the compensation paid to our named executive officers;</w:t>
      </w:r>
    </w:p>
    <w:p>
      <w:pPr>
        <w:spacing w:after="0" w:line="126" w:lineRule="exact"/>
        <w:rPr>
          <w:rFonts w:ascii="Times New Roman" w:cs="Times New Roman" w:eastAsia="Times New Roman" w:hAnsi="Times New Roman"/>
          <w:sz w:val="16"/>
          <w:szCs w:val="16"/>
          <w:color w:val="auto"/>
        </w:rPr>
      </w:pPr>
    </w:p>
    <w:p>
      <w:pPr>
        <w:ind w:left="1340" w:right="199" w:hanging="324"/>
        <w:spacing w:after="0" w:line="298" w:lineRule="auto"/>
        <w:tabs>
          <w:tab w:leader="none" w:pos="1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ratification of the appointment of Ernst &amp; Young LLP as our independent registered public accounting firm for the fiscal year ending December 31, 2020; and</w:t>
      </w:r>
    </w:p>
    <w:p>
      <w:pPr>
        <w:spacing w:after="0" w:line="56" w:lineRule="exact"/>
        <w:rPr>
          <w:rFonts w:ascii="Times New Roman" w:cs="Times New Roman" w:eastAsia="Times New Roman" w:hAnsi="Times New Roman"/>
          <w:sz w:val="16"/>
          <w:szCs w:val="16"/>
          <w:color w:val="auto"/>
        </w:rPr>
      </w:pPr>
    </w:p>
    <w:p>
      <w:pPr>
        <w:ind w:left="1340" w:right="459" w:hanging="324"/>
        <w:spacing w:after="0" w:line="298" w:lineRule="auto"/>
        <w:tabs>
          <w:tab w:leader="none" w:pos="1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of any other business that may properly come before the annual meeting or any adjournment or postponement thereof.</w:t>
      </w:r>
    </w:p>
    <w:p>
      <w:pPr>
        <w:spacing w:after="0" w:line="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foregoing items of business are more fully described in the proxy statement accompanying this notice.</w:t>
      </w:r>
    </w:p>
    <w:p>
      <w:pPr>
        <w:spacing w:after="0" w:line="127" w:lineRule="exact"/>
        <w:rPr>
          <w:sz w:val="20"/>
          <w:szCs w:val="20"/>
          <w:color w:val="auto"/>
        </w:rPr>
      </w:pPr>
    </w:p>
    <w:p>
      <w:pPr>
        <w:ind w:left="40" w:right="119" w:firstLine="648"/>
        <w:spacing w:after="0" w:line="269" w:lineRule="auto"/>
        <w:rPr>
          <w:sz w:val="20"/>
          <w:szCs w:val="20"/>
          <w:color w:val="auto"/>
        </w:rPr>
      </w:pPr>
      <w:r>
        <w:rPr>
          <w:rFonts w:ascii="Times New Roman" w:cs="Times New Roman" w:eastAsia="Times New Roman" w:hAnsi="Times New Roman"/>
          <w:sz w:val="16"/>
          <w:szCs w:val="16"/>
          <w:color w:val="auto"/>
        </w:rPr>
        <w:t xml:space="preserve">Stockholders of record at the close of business on April 24, 2020 will be entitled to notice of and to vote at the annual meeting or any adjournment or postponement thereof. We encourage you to access the annual meeting before it begins. Online check-in to access the meeting will start shortly before the meeting on June 23, 2020. If you attend the annual meeting at </w:t>
      </w:r>
      <w:r>
        <w:rPr>
          <w:rFonts w:ascii="Times New Roman" w:cs="Times New Roman" w:eastAsia="Times New Roman" w:hAnsi="Times New Roman"/>
          <w:sz w:val="16"/>
          <w:szCs w:val="16"/>
          <w:i w:val="1"/>
          <w:iCs w:val="1"/>
          <w:color w:val="auto"/>
        </w:rPr>
        <w:t xml:space="preserve">http://www.virtualshareholdermeeting.com/BPMC2020 </w:t>
      </w:r>
      <w:r>
        <w:rPr>
          <w:rFonts w:ascii="Times New Roman" w:cs="Times New Roman" w:eastAsia="Times New Roman" w:hAnsi="Times New Roman"/>
          <w:sz w:val="16"/>
          <w:szCs w:val="16"/>
          <w:color w:val="auto"/>
        </w:rPr>
        <w:t>, you may vote electronically during the meeting even if you have previously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returned a proxy. Stockholders will also have the opportunity to submit questions during the annual meeting through </w:t>
      </w:r>
      <w:r>
        <w:rPr>
          <w:rFonts w:ascii="Times New Roman" w:cs="Times New Roman" w:eastAsia="Times New Roman" w:hAnsi="Times New Roman"/>
          <w:sz w:val="16"/>
          <w:szCs w:val="16"/>
          <w:i w:val="1"/>
          <w:iCs w:val="1"/>
          <w:color w:val="auto"/>
        </w:rPr>
        <w:t xml:space="preserve">http://www.virtualshareholdermeeting.com/BPMC2020 </w:t>
      </w:r>
      <w:r>
        <w:rPr>
          <w:rFonts w:ascii="Times New Roman" w:cs="Times New Roman" w:eastAsia="Times New Roman" w:hAnsi="Times New Roman"/>
          <w:sz w:val="16"/>
          <w:szCs w:val="16"/>
          <w:color w:val="auto"/>
        </w:rPr>
        <w:t>. A technical support telephone number will be posted on the log-in page of</w:t>
      </w:r>
      <w:r>
        <w:rPr>
          <w:rFonts w:ascii="Times New Roman" w:cs="Times New Roman" w:eastAsia="Times New Roman" w:hAnsi="Times New Roman"/>
          <w:sz w:val="16"/>
          <w:szCs w:val="16"/>
          <w:i w:val="1"/>
          <w:iCs w:val="1"/>
          <w:color w:val="auto"/>
        </w:rPr>
        <w:t xml:space="preserve"> http://www.virtualshareholdermeeting.com/BPMC2020 </w:t>
      </w:r>
      <w:r>
        <w:rPr>
          <w:rFonts w:ascii="Times New Roman" w:cs="Times New Roman" w:eastAsia="Times New Roman" w:hAnsi="Times New Roman"/>
          <w:sz w:val="16"/>
          <w:szCs w:val="16"/>
          <w:color w:val="auto"/>
        </w:rPr>
        <w:t>that you can call if you encounter any difficulties accessing the virtual meeting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check-in or during the meeting.</w:t>
      </w:r>
    </w:p>
    <w:p>
      <w:pPr>
        <w:spacing w:after="0" w:line="78" w:lineRule="exact"/>
        <w:rPr>
          <w:sz w:val="20"/>
          <w:szCs w:val="20"/>
          <w:color w:val="auto"/>
        </w:rPr>
      </w:pPr>
    </w:p>
    <w:p>
      <w:pPr>
        <w:ind w:left="40" w:right="279" w:firstLine="648"/>
        <w:spacing w:after="0" w:line="281" w:lineRule="auto"/>
        <w:rPr>
          <w:sz w:val="20"/>
          <w:szCs w:val="20"/>
          <w:color w:val="auto"/>
        </w:rPr>
      </w:pPr>
      <w:r>
        <w:rPr>
          <w:rFonts w:ascii="Times New Roman" w:cs="Times New Roman" w:eastAsia="Times New Roman" w:hAnsi="Times New Roman"/>
          <w:sz w:val="16"/>
          <w:szCs w:val="16"/>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69" w:lineRule="exact"/>
        <w:rPr>
          <w:sz w:val="20"/>
          <w:szCs w:val="20"/>
          <w:color w:val="auto"/>
        </w:rPr>
      </w:pPr>
    </w:p>
    <w:p>
      <w:pPr>
        <w:ind w:left="40" w:right="199" w:firstLine="648"/>
        <w:spacing w:after="0" w:line="281" w:lineRule="auto"/>
        <w:rPr>
          <w:sz w:val="20"/>
          <w:szCs w:val="20"/>
          <w:color w:val="auto"/>
        </w:rPr>
      </w:pPr>
      <w:r>
        <w:rPr>
          <w:rFonts w:ascii="Times New Roman" w:cs="Times New Roman" w:eastAsia="Times New Roman" w:hAnsi="Times New Roman"/>
          <w:sz w:val="16"/>
          <w:szCs w:val="16"/>
          <w:color w:val="auto"/>
        </w:rPr>
        <w:t>We encourage all stockholders to attend the annual meeting online. However, whether or not you plan to attend the annual meeting online, we encourage you to read this proxy statement and submit your proxy or voting instructions as soon as possible. Please review the instructions on each of your voting options described in the proxy statement.</w:t>
      </w:r>
    </w:p>
    <w:p>
      <w:pPr>
        <w:spacing w:after="0" w:line="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Thank you for your ongoing support and continued interest in Blueprint Medicines Corporation.</w:t>
      </w:r>
    </w:p>
    <w:p>
      <w:pPr>
        <w:spacing w:after="0" w:line="1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106045</wp:posOffset>
            </wp:positionV>
            <wp:extent cx="189420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42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Jeffrey W. Albers</w:t>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760095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right="79" w:firstLine="648"/>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Important Notice Regarding Internet Availability of Proxy Materials: </w:t>
      </w:r>
      <w:r>
        <w:rPr>
          <w:rFonts w:ascii="Times New Roman" w:cs="Times New Roman" w:eastAsia="Times New Roman" w:hAnsi="Times New Roman"/>
          <w:sz w:val="16"/>
          <w:szCs w:val="16"/>
          <w:color w:val="auto"/>
        </w:rPr>
        <w:t>We are furnishing proxy materials to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primarily via the Internet. On April 29, 2020, we mailed to our stockholders a Notice of Internet Availability, or Notice, containing instructions on how to access our proxy materials, including this proxy statement and our 2019 annual report. The Notice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A copy of this proxy statement and our 2019 annual report to stockholders are available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 xml:space="preserve"> .</w:t>
      </w:r>
    </w:p>
    <w:p>
      <w:pPr>
        <w:spacing w:after="0" w:line="129" w:lineRule="exact"/>
        <w:rPr>
          <w:sz w:val="20"/>
          <w:szCs w:val="20"/>
          <w:color w:val="auto"/>
        </w:rPr>
      </w:pPr>
    </w:p>
    <w:p>
      <w:pPr>
        <w:ind w:left="40" w:right="159" w:firstLine="648"/>
        <w:spacing w:after="0" w:line="275" w:lineRule="auto"/>
        <w:rPr>
          <w:sz w:val="20"/>
          <w:szCs w:val="20"/>
          <w:color w:val="auto"/>
        </w:rPr>
      </w:pPr>
      <w:r>
        <w:rPr>
          <w:rFonts w:ascii="Times New Roman" w:cs="Times New Roman" w:eastAsia="Times New Roman" w:hAnsi="Times New Roman"/>
          <w:sz w:val="16"/>
          <w:szCs w:val="16"/>
          <w:color w:val="auto"/>
        </w:rPr>
        <w:t>Internet distribution of our proxy materials is designed to expedite receipt by stockholders, lower the cost of the annual meeting, and conserve natural resources. However, if you would prefer to receive printed proxy materials, please follow the instructions included in the Notice. If you have previously elected to receive our proxy materials electronically, you will continue to receive these materials via e-mail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939165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060" w:type="dxa"/>
            <w:vAlign w:val="bottom"/>
          </w:tcPr>
          <w:p>
            <w:pPr>
              <w:spacing w:after="0"/>
              <w:rPr>
                <w:rFonts w:ascii="Times New Roman" w:cs="Times New Roman" w:eastAsia="Times New Roman" w:hAnsi="Times New Roman"/>
                <w:sz w:val="16"/>
                <w:szCs w:val="16"/>
                <w:u w:val="single" w:color="auto"/>
                <w:color w:val="0000EE"/>
              </w:rPr>
            </w:pPr>
            <w:hyperlink w:anchor="page6">
              <w:r>
                <w:rPr>
                  <w:rFonts w:ascii="Times New Roman" w:cs="Times New Roman" w:eastAsia="Times New Roman" w:hAnsi="Times New Roman"/>
                  <w:sz w:val="16"/>
                  <w:szCs w:val="16"/>
                  <w:u w:val="single" w:color="auto"/>
                  <w:color w:val="0000EE"/>
                </w:rPr>
                <w:t>INFORMATION CONCERNING SOLICITATION AND VOTING</w:t>
              </w:r>
            </w:hyperlink>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68"/>
        </w:trPr>
        <w:tc>
          <w:tcPr>
            <w:tcW w:w="806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7">
              <w:r>
                <w:rPr>
                  <w:rFonts w:ascii="Times New Roman" w:cs="Times New Roman" w:eastAsia="Times New Roman" w:hAnsi="Times New Roman"/>
                  <w:sz w:val="16"/>
                  <w:szCs w:val="16"/>
                  <w:u w:val="single" w:color="auto"/>
                  <w:color w:val="0000EE"/>
                </w:rPr>
                <w:t>IMPORTANT INFORMATION ABOUT THE ANNUAL MEETING AND VOTING</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68"/>
        </w:trPr>
        <w:tc>
          <w:tcPr>
            <w:tcW w:w="806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11">
              <w:r>
                <w:rPr>
                  <w:rFonts w:ascii="Times New Roman" w:cs="Times New Roman" w:eastAsia="Times New Roman" w:hAnsi="Times New Roman"/>
                  <w:sz w:val="16"/>
                  <w:szCs w:val="16"/>
                  <w:u w:val="single" w:color="auto"/>
                  <w:color w:val="0000EE"/>
                </w:rPr>
                <w:t>PROPOSAL 1—ELECTION OF DIRECTORS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1">
              <w:r>
                <w:rPr>
                  <w:rFonts w:ascii="Times New Roman" w:cs="Times New Roman" w:eastAsia="Times New Roman" w:hAnsi="Times New Roman"/>
                  <w:sz w:val="16"/>
                  <w:szCs w:val="16"/>
                  <w:u w:val="single" w:color="auto"/>
                  <w:color w:val="0000EE"/>
                </w:rPr>
                <w:t>Information Regarding Directors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1">
              <w:r>
                <w:rPr>
                  <w:rFonts w:ascii="Times New Roman" w:cs="Times New Roman" w:eastAsia="Times New Roman" w:hAnsi="Times New Roman"/>
                  <w:sz w:val="16"/>
                  <w:szCs w:val="16"/>
                  <w:u w:val="single" w:color="auto"/>
                  <w:color w:val="0000EE"/>
                </w:rPr>
                <w:t>Class II Director Nominees—For a Three-Year Term Expiring at the 2023 Annual Meeting of Stockholders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2">
              <w:r>
                <w:rPr>
                  <w:rFonts w:ascii="Times New Roman" w:cs="Times New Roman" w:eastAsia="Times New Roman" w:hAnsi="Times New Roman"/>
                  <w:sz w:val="16"/>
                  <w:szCs w:val="16"/>
                  <w:u w:val="single" w:color="auto"/>
                  <w:color w:val="0000EE"/>
                </w:rPr>
                <w:t>Class III Directors—Term Expiring at the 2021 Annual Meeting of Stockholders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3">
              <w:r>
                <w:rPr>
                  <w:rFonts w:ascii="Times New Roman" w:cs="Times New Roman" w:eastAsia="Times New Roman" w:hAnsi="Times New Roman"/>
                  <w:sz w:val="16"/>
                  <w:szCs w:val="16"/>
                  <w:u w:val="single" w:color="auto"/>
                  <w:color w:val="0000EE"/>
                </w:rPr>
                <w:t>Class I Directors—Term Expiring at the 2022 Annual Meeting of Stockholders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4">
              <w:r>
                <w:rPr>
                  <w:rFonts w:ascii="Times New Roman" w:cs="Times New Roman" w:eastAsia="Times New Roman" w:hAnsi="Times New Roman"/>
                  <w:sz w:val="16"/>
                  <w:szCs w:val="16"/>
                  <w:u w:val="single" w:color="auto"/>
                  <w:color w:val="0000EE"/>
                </w:rPr>
                <w:t>Recommendation of the Board of Directors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68"/>
        </w:trPr>
        <w:tc>
          <w:tcPr>
            <w:tcW w:w="806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CORPORATE GOVERNANCE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General</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Code of Business Conduct and Ethics and Corporate Governance Guidelines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Board Leadership Structure and Risk Oversight</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Board Leadership Structure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Risk Oversight</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Board Determination of Independence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6">
              <w:r>
                <w:rPr>
                  <w:rFonts w:ascii="Times New Roman" w:cs="Times New Roman" w:eastAsia="Times New Roman" w:hAnsi="Times New Roman"/>
                  <w:sz w:val="16"/>
                  <w:szCs w:val="16"/>
                  <w:u w:val="single" w:color="auto"/>
                  <w:color w:val="0000EE"/>
                </w:rPr>
                <w:t>Board of Director Meetings and Attendance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6">
              <w:r>
                <w:rPr>
                  <w:rFonts w:ascii="Times New Roman" w:cs="Times New Roman" w:eastAsia="Times New Roman" w:hAnsi="Times New Roman"/>
                  <w:sz w:val="16"/>
                  <w:szCs w:val="16"/>
                  <w:u w:val="single" w:color="auto"/>
                  <w:color w:val="0000EE"/>
                </w:rPr>
                <w:t>Communicating with the Board of Directors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6">
              <w:r>
                <w:rPr>
                  <w:rFonts w:ascii="Times New Roman" w:cs="Times New Roman" w:eastAsia="Times New Roman" w:hAnsi="Times New Roman"/>
                  <w:sz w:val="16"/>
                  <w:szCs w:val="16"/>
                  <w:u w:val="single" w:color="auto"/>
                  <w:color w:val="0000EE"/>
                </w:rPr>
                <w:t>Committees of the Board of Directors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6">
              <w:r>
                <w:rPr>
                  <w:rFonts w:ascii="Times New Roman" w:cs="Times New Roman" w:eastAsia="Times New Roman" w:hAnsi="Times New Roman"/>
                  <w:sz w:val="16"/>
                  <w:szCs w:val="16"/>
                  <w:u w:val="single" w:color="auto"/>
                  <w:color w:val="0000EE"/>
                </w:rPr>
                <w:t>Audit Committee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7">
              <w:r>
                <w:rPr>
                  <w:rFonts w:ascii="Times New Roman" w:cs="Times New Roman" w:eastAsia="Times New Roman" w:hAnsi="Times New Roman"/>
                  <w:sz w:val="16"/>
                  <w:szCs w:val="16"/>
                  <w:u w:val="single" w:color="auto"/>
                  <w:color w:val="0000EE"/>
                </w:rPr>
                <w:t>Compensation Committee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67"/>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8">
              <w:r>
                <w:rPr>
                  <w:rFonts w:ascii="Times New Roman" w:cs="Times New Roman" w:eastAsia="Times New Roman" w:hAnsi="Times New Roman"/>
                  <w:sz w:val="16"/>
                  <w:szCs w:val="16"/>
                  <w:u w:val="single" w:color="auto"/>
                  <w:color w:val="0000EE"/>
                </w:rPr>
                <w:t>Nominating and Corporate Governance Committee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8">
              <w:r>
                <w:rPr>
                  <w:rFonts w:ascii="Times New Roman" w:cs="Times New Roman" w:eastAsia="Times New Roman" w:hAnsi="Times New Roman"/>
                  <w:sz w:val="16"/>
                  <w:szCs w:val="16"/>
                  <w:u w:val="single" w:color="auto"/>
                  <w:color w:val="0000EE"/>
                </w:rPr>
                <w:t>Research and Development Committee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18">
              <w:r>
                <w:rPr>
                  <w:rFonts w:ascii="Times New Roman" w:cs="Times New Roman" w:eastAsia="Times New Roman" w:hAnsi="Times New Roman"/>
                  <w:sz w:val="16"/>
                  <w:szCs w:val="16"/>
                  <w:u w:val="single" w:color="auto"/>
                  <w:color w:val="0000EE"/>
                </w:rPr>
                <w:t>Director Nomination Process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8">
              <w:r>
                <w:rPr>
                  <w:rFonts w:ascii="Times New Roman" w:cs="Times New Roman" w:eastAsia="Times New Roman" w:hAnsi="Times New Roman"/>
                  <w:sz w:val="16"/>
                  <w:szCs w:val="16"/>
                  <w:u w:val="single" w:color="auto"/>
                  <w:color w:val="0000EE"/>
                </w:rPr>
                <w:t>Criteria and Diversity</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400"/>
              <w:spacing w:after="0"/>
              <w:rPr>
                <w:rFonts w:ascii="Times New Roman" w:cs="Times New Roman" w:eastAsia="Times New Roman" w:hAnsi="Times New Roman"/>
                <w:sz w:val="16"/>
                <w:szCs w:val="16"/>
                <w:u w:val="single" w:color="auto"/>
                <w:color w:val="0000EE"/>
              </w:rPr>
            </w:pPr>
            <w:hyperlink w:anchor="page19">
              <w:r>
                <w:rPr>
                  <w:rFonts w:ascii="Times New Roman" w:cs="Times New Roman" w:eastAsia="Times New Roman" w:hAnsi="Times New Roman"/>
                  <w:sz w:val="16"/>
                  <w:szCs w:val="16"/>
                  <w:u w:val="single" w:color="auto"/>
                  <w:color w:val="0000EE"/>
                </w:rPr>
                <w:t>Stockholder Nominations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68"/>
        </w:trPr>
        <w:tc>
          <w:tcPr>
            <w:tcW w:w="806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20">
              <w:r>
                <w:rPr>
                  <w:rFonts w:ascii="Times New Roman" w:cs="Times New Roman" w:eastAsia="Times New Roman" w:hAnsi="Times New Roman"/>
                  <w:sz w:val="16"/>
                  <w:szCs w:val="16"/>
                  <w:u w:val="single" w:color="auto"/>
                  <w:color w:val="0000EE"/>
                </w:rPr>
                <w:t>EXECUTIVE OFFICERS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68"/>
        </w:trPr>
        <w:tc>
          <w:tcPr>
            <w:tcW w:w="806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EXECUTIVE COMPENSATION</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Compensation Discussion and Analysis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3">
              <w:r>
                <w:rPr>
                  <w:rFonts w:ascii="Times New Roman" w:cs="Times New Roman" w:eastAsia="Times New Roman" w:hAnsi="Times New Roman"/>
                  <w:sz w:val="16"/>
                  <w:szCs w:val="16"/>
                  <w:u w:val="single" w:color="auto"/>
                  <w:color w:val="0000EE"/>
                </w:rPr>
                <w:t>Executive Compensation</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4">
              <w:r>
                <w:rPr>
                  <w:rFonts w:ascii="Times New Roman" w:cs="Times New Roman" w:eastAsia="Times New Roman" w:hAnsi="Times New Roman"/>
                  <w:sz w:val="16"/>
                  <w:szCs w:val="16"/>
                  <w:u w:val="single" w:color="auto"/>
                  <w:color w:val="0000EE"/>
                </w:rPr>
                <w:t>Summary Compensation Table</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67"/>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5">
              <w:r>
                <w:rPr>
                  <w:rFonts w:ascii="Times New Roman" w:cs="Times New Roman" w:eastAsia="Times New Roman" w:hAnsi="Times New Roman"/>
                  <w:sz w:val="16"/>
                  <w:szCs w:val="16"/>
                  <w:u w:val="single" w:color="auto"/>
                  <w:color w:val="0000EE"/>
                </w:rPr>
                <w:t>Grants of Plan-Based Awards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6">
              <w:r>
                <w:rPr>
                  <w:rFonts w:ascii="Times New Roman" w:cs="Times New Roman" w:eastAsia="Times New Roman" w:hAnsi="Times New Roman"/>
                  <w:sz w:val="16"/>
                  <w:szCs w:val="16"/>
                  <w:u w:val="single" w:color="auto"/>
                  <w:color w:val="0000EE"/>
                </w:rPr>
                <w:t>Outstanding Equity Awards at Fiscal Year-End</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7">
              <w:r>
                <w:rPr>
                  <w:rFonts w:ascii="Times New Roman" w:cs="Times New Roman" w:eastAsia="Times New Roman" w:hAnsi="Times New Roman"/>
                  <w:sz w:val="16"/>
                  <w:szCs w:val="16"/>
                  <w:u w:val="single" w:color="auto"/>
                  <w:color w:val="0000EE"/>
                </w:rPr>
                <w:t>Option Exercises and Stock Vested</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7">
              <w:r>
                <w:rPr>
                  <w:rFonts w:ascii="Times New Roman" w:cs="Times New Roman" w:eastAsia="Times New Roman" w:hAnsi="Times New Roman"/>
                  <w:sz w:val="16"/>
                  <w:szCs w:val="16"/>
                  <w:u w:val="single" w:color="auto"/>
                  <w:color w:val="0000EE"/>
                </w:rPr>
                <w:t>Employment, Severance and Change-in-Control Arrangements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Other Agreements</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Limitation of Liability and Indemnification</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39">
              <w:r>
                <w:rPr>
                  <w:rFonts w:ascii="Times New Roman" w:cs="Times New Roman" w:eastAsia="Times New Roman" w:hAnsi="Times New Roman"/>
                  <w:sz w:val="16"/>
                  <w:szCs w:val="16"/>
                  <w:u w:val="single" w:color="auto"/>
                  <w:color w:val="0000EE"/>
                </w:rPr>
                <w:t>Compensation Committee Interlocks and Insider Participation</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68"/>
        </w:trPr>
        <w:tc>
          <w:tcPr>
            <w:tcW w:w="806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40">
              <w:r>
                <w:rPr>
                  <w:rFonts w:ascii="Times New Roman" w:cs="Times New Roman" w:eastAsia="Times New Roman" w:hAnsi="Times New Roman"/>
                  <w:sz w:val="16"/>
                  <w:szCs w:val="16"/>
                  <w:u w:val="single" w:color="auto"/>
                  <w:color w:val="0000EE"/>
                </w:rPr>
                <w:t>Compensation Committee Report</w:t>
              </w:r>
            </w:hyperlink>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68"/>
        </w:trPr>
        <w:tc>
          <w:tcPr>
            <w:tcW w:w="80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0"/>
        </w:trPr>
        <w:tc>
          <w:tcPr>
            <w:tcW w:w="8060" w:type="dxa"/>
            <w:vAlign w:val="bottom"/>
          </w:tcPr>
          <w:p>
            <w:pPr>
              <w:ind w:left="4380"/>
              <w:spacing w:after="0"/>
              <w:rPr>
                <w:sz w:val="20"/>
                <w:szCs w:val="20"/>
                <w:color w:val="auto"/>
              </w:rPr>
            </w:pPr>
            <w:r>
              <w:rPr>
                <w:rFonts w:ascii="Times New Roman" w:cs="Times New Roman" w:eastAsia="Times New Roman" w:hAnsi="Times New Roman"/>
                <w:sz w:val="16"/>
                <w:szCs w:val="16"/>
                <w:color w:val="auto"/>
              </w:rPr>
              <w:t>-i-</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0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80" w:type="dxa"/>
            <w:vAlign w:val="bottom"/>
          </w:tcPr>
          <w:p>
            <w:pPr>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8680" w:type="dxa"/>
            <w:vAlign w:val="bottom"/>
          </w:tcPr>
          <w:p>
            <w:pPr>
              <w:spacing w:after="0"/>
              <w:rPr>
                <w:rFonts w:ascii="Times New Roman" w:cs="Times New Roman" w:eastAsia="Times New Roman" w:hAnsi="Times New Roman"/>
                <w:sz w:val="16"/>
                <w:szCs w:val="16"/>
                <w:u w:val="single" w:color="auto"/>
                <w:color w:val="0000EE"/>
              </w:rPr>
            </w:pPr>
            <w:hyperlink w:anchor="page41">
              <w:r>
                <w:rPr>
                  <w:rFonts w:ascii="Times New Roman" w:cs="Times New Roman" w:eastAsia="Times New Roman" w:hAnsi="Times New Roman"/>
                  <w:sz w:val="16"/>
                  <w:szCs w:val="16"/>
                  <w:u w:val="single" w:color="auto"/>
                  <w:color w:val="0000EE"/>
                </w:rPr>
                <w:t>CEO PAY RATIO DISCLOSURE</w:t>
              </w:r>
            </w:hyperlink>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42">
              <w:r>
                <w:rPr>
                  <w:rFonts w:ascii="Times New Roman" w:cs="Times New Roman" w:eastAsia="Times New Roman" w:hAnsi="Times New Roman"/>
                  <w:sz w:val="16"/>
                  <w:szCs w:val="16"/>
                  <w:u w:val="single" w:color="auto"/>
                  <w:color w:val="0000EE"/>
                </w:rPr>
                <w:t>DIRECTOR COMPENSATION</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44">
              <w:r>
                <w:rPr>
                  <w:rFonts w:ascii="Times New Roman" w:cs="Times New Roman" w:eastAsia="Times New Roman" w:hAnsi="Times New Roman"/>
                  <w:sz w:val="16"/>
                  <w:szCs w:val="16"/>
                  <w:u w:val="single" w:color="auto"/>
                  <w:color w:val="0000EE"/>
                </w:rPr>
                <w:t>SECURITIES AUTHORIZED FOR ISSUANCE UNDER EQUITY COMPENSATION PLANS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45">
              <w:r>
                <w:rPr>
                  <w:rFonts w:ascii="Times New Roman" w:cs="Times New Roman" w:eastAsia="Times New Roman" w:hAnsi="Times New Roman"/>
                  <w:sz w:val="16"/>
                  <w:szCs w:val="16"/>
                  <w:u w:val="single" w:color="auto"/>
                  <w:color w:val="0000EE"/>
                </w:rPr>
                <w:t>REPORT OF THE AUDIT COMMITTEE OF THE BOARD OF DIRECTORS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46">
              <w:r>
                <w:rPr>
                  <w:rFonts w:ascii="Times New Roman" w:cs="Times New Roman" w:eastAsia="Times New Roman" w:hAnsi="Times New Roman"/>
                  <w:sz w:val="16"/>
                  <w:szCs w:val="16"/>
                  <w:u w:val="single" w:color="auto"/>
                  <w:color w:val="0000EE"/>
                </w:rPr>
                <w:t>PROPOSAL 2—ADVISORY VOTE ON EXECUTIVE COMPENSATION</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68"/>
        </w:trPr>
        <w:tc>
          <w:tcPr>
            <w:tcW w:w="868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46">
              <w:r>
                <w:rPr>
                  <w:rFonts w:ascii="Times New Roman" w:cs="Times New Roman" w:eastAsia="Times New Roman" w:hAnsi="Times New Roman"/>
                  <w:sz w:val="16"/>
                  <w:szCs w:val="16"/>
                  <w:u w:val="single" w:color="auto"/>
                  <w:color w:val="0000EE"/>
                </w:rPr>
                <w:t>Recommendation of the Board of Directors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47">
              <w:r>
                <w:rPr>
                  <w:rFonts w:ascii="Times New Roman" w:cs="Times New Roman" w:eastAsia="Times New Roman" w:hAnsi="Times New Roman"/>
                  <w:sz w:val="16"/>
                  <w:szCs w:val="16"/>
                  <w:u w:val="single" w:color="auto"/>
                  <w:color w:val="0000EE"/>
                </w:rPr>
                <w:t>PROPOSAL 3—RATIFICATION OF THE APPOINTMENT OF INDEPENDENT REGISTERED PUBLIC ACCOUNTING FIRM</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8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47">
              <w:r>
                <w:rPr>
                  <w:rFonts w:ascii="Times New Roman" w:cs="Times New Roman" w:eastAsia="Times New Roman" w:hAnsi="Times New Roman"/>
                  <w:sz w:val="16"/>
                  <w:szCs w:val="16"/>
                  <w:u w:val="single" w:color="auto"/>
                  <w:color w:val="0000EE"/>
                </w:rPr>
                <w:t>Audit Fees and Services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68"/>
        </w:trPr>
        <w:tc>
          <w:tcPr>
            <w:tcW w:w="868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47">
              <w:r>
                <w:rPr>
                  <w:rFonts w:ascii="Times New Roman" w:cs="Times New Roman" w:eastAsia="Times New Roman" w:hAnsi="Times New Roman"/>
                  <w:sz w:val="16"/>
                  <w:szCs w:val="16"/>
                  <w:u w:val="single" w:color="auto"/>
                  <w:color w:val="0000EE"/>
                </w:rPr>
                <w:t>Pre-Approval Policies and Procedures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68"/>
        </w:trPr>
        <w:tc>
          <w:tcPr>
            <w:tcW w:w="8680" w:type="dxa"/>
            <w:vAlign w:val="bottom"/>
            <w:vMerge w:val="restart"/>
          </w:tcPr>
          <w:p>
            <w:pPr>
              <w:ind w:left="200"/>
              <w:spacing w:after="0"/>
              <w:rPr>
                <w:rFonts w:ascii="Times New Roman" w:cs="Times New Roman" w:eastAsia="Times New Roman" w:hAnsi="Times New Roman"/>
                <w:sz w:val="16"/>
                <w:szCs w:val="16"/>
                <w:u w:val="single" w:color="auto"/>
                <w:color w:val="0000EE"/>
              </w:rPr>
            </w:pPr>
            <w:hyperlink w:anchor="page47">
              <w:r>
                <w:rPr>
                  <w:rFonts w:ascii="Times New Roman" w:cs="Times New Roman" w:eastAsia="Times New Roman" w:hAnsi="Times New Roman"/>
                  <w:sz w:val="16"/>
                  <w:szCs w:val="16"/>
                  <w:u w:val="single" w:color="auto"/>
                  <w:color w:val="0000EE"/>
                </w:rPr>
                <w:t>Recommendation of the Board of Directors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48">
              <w:r>
                <w:rPr>
                  <w:rFonts w:ascii="Times New Roman" w:cs="Times New Roman" w:eastAsia="Times New Roman" w:hAnsi="Times New Roman"/>
                  <w:sz w:val="16"/>
                  <w:szCs w:val="16"/>
                  <w:u w:val="single" w:color="auto"/>
                  <w:color w:val="0000EE"/>
                </w:rPr>
                <w:t>CERTAIN RELATIONSHIPS AND RELATED PERSON TRANSACTIONS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50">
              <w:r>
                <w:rPr>
                  <w:rFonts w:ascii="Times New Roman" w:cs="Times New Roman" w:eastAsia="Times New Roman" w:hAnsi="Times New Roman"/>
                  <w:sz w:val="16"/>
                  <w:szCs w:val="16"/>
                  <w:u w:val="single" w:color="auto"/>
                  <w:color w:val="0000EE"/>
                </w:rPr>
                <w:t>STOCK OWNERSHIP AND REPORTING</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51">
              <w:r>
                <w:rPr>
                  <w:rFonts w:ascii="Times New Roman" w:cs="Times New Roman" w:eastAsia="Times New Roman" w:hAnsi="Times New Roman"/>
                  <w:sz w:val="16"/>
                  <w:szCs w:val="16"/>
                  <w:u w:val="single" w:color="auto"/>
                  <w:color w:val="0000EE"/>
                </w:rPr>
                <w:t>STOCKHOLDER PROPOSALS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52">
              <w:r>
                <w:rPr>
                  <w:rFonts w:ascii="Times New Roman" w:cs="Times New Roman" w:eastAsia="Times New Roman" w:hAnsi="Times New Roman"/>
                  <w:sz w:val="16"/>
                  <w:szCs w:val="16"/>
                  <w:u w:val="single" w:color="auto"/>
                  <w:color w:val="0000EE"/>
                </w:rPr>
                <w:t>STOCKHOLDERS SHARING THE SAME ADDRESS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68"/>
        </w:trPr>
        <w:tc>
          <w:tcPr>
            <w:tcW w:w="8680" w:type="dxa"/>
            <w:vAlign w:val="bottom"/>
            <w:vMerge w:val="restart"/>
          </w:tcPr>
          <w:p>
            <w:pPr>
              <w:spacing w:after="0"/>
              <w:rPr>
                <w:rFonts w:ascii="Times New Roman" w:cs="Times New Roman" w:eastAsia="Times New Roman" w:hAnsi="Times New Roman"/>
                <w:sz w:val="16"/>
                <w:szCs w:val="16"/>
                <w:u w:val="single" w:color="auto"/>
                <w:color w:val="0000EE"/>
              </w:rPr>
            </w:pPr>
            <w:hyperlink w:anchor="page52">
              <w:r>
                <w:rPr>
                  <w:rFonts w:ascii="Times New Roman" w:cs="Times New Roman" w:eastAsia="Times New Roman" w:hAnsi="Times New Roman"/>
                  <w:sz w:val="16"/>
                  <w:szCs w:val="16"/>
                  <w:u w:val="single" w:color="auto"/>
                  <w:color w:val="0000EE"/>
                </w:rPr>
                <w:t>OTHER MATTERS</w:t>
              </w:r>
            </w:hyperlink>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680" w:type="dxa"/>
            <w:vAlign w:val="bottom"/>
            <w:vMerge w:val="continue"/>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68"/>
        </w:trPr>
        <w:tc>
          <w:tcPr>
            <w:tcW w:w="86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360045</wp:posOffset>
            </wp:positionV>
            <wp:extent cx="1663065"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45 Sidney Street</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Cambridge, Massachusetts 02139</w:t>
      </w:r>
    </w:p>
    <w:p>
      <w:pPr>
        <w:spacing w:after="0" w:line="19" w:lineRule="exact"/>
        <w:rPr>
          <w:sz w:val="20"/>
          <w:szCs w:val="20"/>
          <w:color w:val="auto"/>
        </w:rPr>
      </w:pPr>
    </w:p>
    <w:p>
      <w:pPr>
        <w:ind w:left="4380" w:hanging="382"/>
        <w:spacing w:after="0" w:line="184" w:lineRule="exact"/>
        <w:tabs>
          <w:tab w:leader="none" w:pos="43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374</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7580</w:t>
      </w:r>
    </w:p>
    <w:p>
      <w:pPr>
        <w:spacing w:after="0" w:line="238" w:lineRule="exact"/>
        <w:rPr>
          <w:rFonts w:ascii="Times New Roman" w:cs="Times New Roman" w:eastAsia="Times New Roman" w:hAnsi="Times New Roman"/>
          <w:sz w:val="16"/>
          <w:szCs w:val="16"/>
          <w:b w:val="1"/>
          <w:bCs w:val="1"/>
          <w:color w:val="auto"/>
        </w:rPr>
      </w:pPr>
    </w:p>
    <w:p>
      <w:pPr>
        <w:ind w:left="37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-183515</wp:posOffset>
            </wp:positionV>
            <wp:extent cx="1423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90170</wp:posOffset>
            </wp:positionV>
            <wp:extent cx="14230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2020 ANNUAL MEETING OF STOCKHOLDERS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90170</wp:posOffset>
            </wp:positionV>
            <wp:extent cx="142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CONCERNING SOLICITATION AND VOTING</w:t>
      </w:r>
    </w:p>
    <w:p>
      <w:pPr>
        <w:spacing w:after="0" w:line="129" w:lineRule="exact"/>
        <w:rPr>
          <w:sz w:val="20"/>
          <w:szCs w:val="20"/>
          <w:color w:val="auto"/>
        </w:rPr>
      </w:pPr>
    </w:p>
    <w:p>
      <w:pPr>
        <w:ind w:left="40" w:right="359" w:firstLine="648"/>
        <w:spacing w:after="0" w:line="204" w:lineRule="exact"/>
        <w:rPr>
          <w:sz w:val="20"/>
          <w:szCs w:val="20"/>
          <w:color w:val="auto"/>
        </w:rPr>
      </w:pPr>
      <w:r>
        <w:rPr>
          <w:rFonts w:ascii="Times New Roman" w:cs="Times New Roman" w:eastAsia="Times New Roman" w:hAnsi="Times New Roman"/>
          <w:sz w:val="16"/>
          <w:szCs w:val="16"/>
          <w:color w:val="auto"/>
        </w:rPr>
        <w:t xml:space="preserve">This proxy statement and the enclosed proxy card are being furnished in connection with the solicitation of proxies by the board of directors of Blueprint Medicines Corporation for use at the annual meeting of stockholders to be held online on Tuesday, June 23, 2020 at 3:30 p.m., Eastern Daylight Time, and at any adjournment thereof. The annual meeting will be held entirely online this year at </w:t>
      </w:r>
      <w:r>
        <w:rPr>
          <w:rFonts w:ascii="Times New Roman" w:cs="Times New Roman" w:eastAsia="Times New Roman" w:hAnsi="Times New Roman"/>
          <w:sz w:val="16"/>
          <w:szCs w:val="16"/>
          <w:i w:val="1"/>
          <w:iCs w:val="1"/>
          <w:color w:val="auto"/>
        </w:rPr>
        <w:t>http://www.virtualshareholdermeeting.com/BPMC2020</w:t>
      </w:r>
      <w:r>
        <w:rPr>
          <w:rFonts w:ascii="Times New Roman" w:cs="Times New Roman" w:eastAsia="Times New Roman" w:hAnsi="Times New Roman"/>
          <w:sz w:val="16"/>
          <w:szCs w:val="16"/>
          <w:color w:val="auto"/>
        </w:rPr>
        <w:t xml:space="preserve"> due to the emerging public health impact of the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19 pandemic. We encourage all stockholders to attend the annual meeting online. However, whether or not you plan to attend the annual meeting online, we encourage you to read this proxy statement and submit your proxy or voting instructions as soon as possible. Additional details regarding attending the virtual annual meeting and voting at the meeting are provided below.</w:t>
      </w:r>
    </w:p>
    <w:p>
      <w:pPr>
        <w:spacing w:after="0" w:line="103" w:lineRule="exact"/>
        <w:rPr>
          <w:sz w:val="20"/>
          <w:szCs w:val="20"/>
          <w:color w:val="auto"/>
        </w:rPr>
      </w:pPr>
    </w:p>
    <w:p>
      <w:pPr>
        <w:jc w:val="both"/>
        <w:ind w:left="40" w:right="259" w:firstLine="648"/>
        <w:spacing w:after="0" w:line="281" w:lineRule="auto"/>
        <w:rPr>
          <w:sz w:val="20"/>
          <w:szCs w:val="20"/>
          <w:color w:val="auto"/>
        </w:rPr>
      </w:pPr>
      <w:r>
        <w:rPr>
          <w:rFonts w:ascii="Times New Roman" w:cs="Times New Roman" w:eastAsia="Times New Roman" w:hAnsi="Times New Roman"/>
          <w:sz w:val="16"/>
          <w:szCs w:val="16"/>
          <w:color w:val="auto"/>
        </w:rPr>
        <w:t>Unless otherwise stated, all references to “us,” “our,” “Blueprint,” “Blueprint Medicines,” “we,” the “Company” and similar designations refer to Blueprint Medicines Corporation and its consolidated subsidiaries. References to our website are inactive textual references only, and the contents of our website are not incorporated by reference into this proxy statement.</w:t>
      </w:r>
    </w:p>
    <w:p>
      <w:pPr>
        <w:spacing w:after="0" w:line="69" w:lineRule="exact"/>
        <w:rPr>
          <w:sz w:val="20"/>
          <w:szCs w:val="20"/>
          <w:color w:val="auto"/>
        </w:rPr>
      </w:pPr>
    </w:p>
    <w:p>
      <w:pPr>
        <w:jc w:val="both"/>
        <w:ind w:left="40" w:right="239" w:firstLine="648"/>
        <w:spacing w:after="0" w:line="275" w:lineRule="auto"/>
        <w:rPr>
          <w:sz w:val="20"/>
          <w:szCs w:val="20"/>
          <w:color w:val="auto"/>
        </w:rPr>
      </w:pPr>
      <w:r>
        <w:rPr>
          <w:rFonts w:ascii="Times New Roman" w:cs="Times New Roman" w:eastAsia="Times New Roman" w:hAnsi="Times New Roman"/>
          <w:sz w:val="16"/>
          <w:szCs w:val="16"/>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2019 annual report to stockholders available to stockholders for the first time on or about April 29, 2020.</w:t>
      </w:r>
    </w:p>
    <w:p>
      <w:pPr>
        <w:spacing w:after="0" w:line="49" w:lineRule="exact"/>
        <w:rPr>
          <w:sz w:val="20"/>
          <w:szCs w:val="20"/>
          <w:color w:val="auto"/>
        </w:rPr>
      </w:pPr>
    </w:p>
    <w:p>
      <w:pPr>
        <w:ind w:left="40" w:right="79" w:firstLine="648"/>
        <w:spacing w:after="0" w:line="207" w:lineRule="exact"/>
        <w:rPr>
          <w:sz w:val="20"/>
          <w:szCs w:val="20"/>
          <w:color w:val="auto"/>
        </w:rPr>
      </w:pPr>
      <w:r>
        <w:rPr>
          <w:rFonts w:ascii="Times New Roman" w:cs="Times New Roman" w:eastAsia="Times New Roman" w:hAnsi="Times New Roman"/>
          <w:sz w:val="16"/>
          <w:szCs w:val="16"/>
          <w:b w:val="1"/>
          <w:bCs w:val="1"/>
          <w:color w:val="auto"/>
        </w:rPr>
        <w:t>A copy of our Annual Report on Form 10</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K for the fiscal year ended December 31, 2019, as filed with the Securities and Exchange Commission, or SEC, except for exhibits, will be furnished without charge to any stockholder upon written or oral request to Blueprint Medicines Corporation, 45 Sidney Street, Cambridge, Massachusetts 02139 or by calling 1</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800</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579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 xml:space="preserve">1639, by emailing </w:t>
      </w:r>
      <w:r>
        <w:rPr>
          <w:rFonts w:ascii="Times New Roman" w:cs="Times New Roman" w:eastAsia="Times New Roman" w:hAnsi="Times New Roman"/>
          <w:sz w:val="16"/>
          <w:szCs w:val="16"/>
          <w:b w:val="1"/>
          <w:bCs w:val="1"/>
          <w:i w:val="1"/>
          <w:iCs w:val="1"/>
          <w:color w:val="auto"/>
        </w:rPr>
        <w:t>sendmaterial@proxyvote.com</w:t>
      </w:r>
      <w:r>
        <w:rPr>
          <w:rFonts w:ascii="Times New Roman" w:cs="Times New Roman" w:eastAsia="Times New Roman" w:hAnsi="Times New Roman"/>
          <w:sz w:val="16"/>
          <w:szCs w:val="16"/>
          <w:b w:val="1"/>
          <w:bCs w:val="1"/>
          <w:color w:val="auto"/>
        </w:rPr>
        <w:t xml:space="preserve"> or by submitting a request over the Internet at </w:t>
      </w:r>
      <w:r>
        <w:rPr>
          <w:rFonts w:ascii="Times New Roman" w:cs="Times New Roman" w:eastAsia="Times New Roman" w:hAnsi="Times New Roman"/>
          <w:sz w:val="16"/>
          <w:szCs w:val="16"/>
          <w:b w:val="1"/>
          <w:bCs w:val="1"/>
          <w:i w:val="1"/>
          <w:iCs w:val="1"/>
          <w:color w:val="auto"/>
        </w:rPr>
        <w:t>www.proxyvote.com</w:t>
      </w:r>
      <w:r>
        <w:rPr>
          <w:rFonts w:ascii="Times New Roman" w:cs="Times New Roman" w:eastAsia="Times New Roman" w:hAnsi="Times New Roman"/>
          <w:sz w:val="16"/>
          <w:szCs w:val="16"/>
          <w:b w:val="1"/>
          <w:bCs w:val="1"/>
          <w:color w:val="auto"/>
        </w:rPr>
        <w:t xml:space="preserve"> . This proxy statement and our Annual Report on Form 10</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 xml:space="preserve">K for the fiscal year ended December 31, 2019 are also available on the SEC’s website at </w:t>
      </w:r>
      <w:r>
        <w:rPr>
          <w:rFonts w:ascii="Times New Roman" w:cs="Times New Roman" w:eastAsia="Times New Roman" w:hAnsi="Times New Roman"/>
          <w:sz w:val="16"/>
          <w:szCs w:val="16"/>
          <w:b w:val="1"/>
          <w:bCs w:val="1"/>
          <w:i w:val="1"/>
          <w:iCs w:val="1"/>
          <w:color w:val="auto"/>
        </w:rPr>
        <w:t xml:space="preserve">www.sec.gov </w:t>
      </w:r>
      <w:r>
        <w:rPr>
          <w:rFonts w:ascii="Times New Roman" w:cs="Times New Roman" w:eastAsia="Times New Roman" w:hAnsi="Times New Roman"/>
          <w:sz w:val="16"/>
          <w:szCs w:val="16"/>
          <w:b w:val="1"/>
          <w:bCs w:val="1"/>
          <w:color w:val="auto"/>
        </w:rPr>
        <w:t>and the “Investors &amp; Media —SEC Filings” section of our website, which is located at</w:t>
      </w:r>
      <w:r>
        <w:rPr>
          <w:rFonts w:ascii="Times New Roman" w:cs="Times New Roman" w:eastAsia="Times New Roman" w:hAnsi="Times New Roman"/>
          <w:sz w:val="16"/>
          <w:szCs w:val="16"/>
          <w:b w:val="1"/>
          <w:bCs w:val="1"/>
          <w:i w:val="1"/>
          <w:iCs w:val="1"/>
          <w:color w:val="auto"/>
        </w:rPr>
        <w:t xml:space="preserve"> http://ir.blueprintmedicines.com </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IMPORTANT INFORMATION ABOUT THE ANNUAL MEETING AND VOTING</w:t>
      </w:r>
    </w:p>
    <w:p>
      <w:pPr>
        <w:spacing w:after="0" w:line="140" w:lineRule="exact"/>
        <w:rPr>
          <w:sz w:val="20"/>
          <w:szCs w:val="20"/>
          <w:color w:val="auto"/>
        </w:rPr>
      </w:pPr>
    </w:p>
    <w:p>
      <w:pPr>
        <w:ind w:left="480" w:hanging="436"/>
        <w:spacing w:after="0"/>
        <w:tabs>
          <w:tab w:leader="none" w:pos="4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Why did I receive these proxy materials?</w:t>
      </w:r>
    </w:p>
    <w:p>
      <w:pPr>
        <w:spacing w:after="0" w:line="128" w:lineRule="exact"/>
        <w:rPr>
          <w:rFonts w:ascii="Times New Roman" w:cs="Times New Roman" w:eastAsia="Times New Roman" w:hAnsi="Times New Roman"/>
          <w:sz w:val="16"/>
          <w:szCs w:val="16"/>
          <w:b w:val="1"/>
          <w:bCs w:val="1"/>
          <w:color w:val="auto"/>
        </w:rPr>
      </w:pPr>
    </w:p>
    <w:p>
      <w:pPr>
        <w:ind w:left="360" w:right="99" w:hanging="316"/>
        <w:spacing w:after="0" w:line="272" w:lineRule="auto"/>
        <w:tabs>
          <w:tab w:leader="none" w:pos="35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have made these materials available to you on the Internet in connection with the solicitation of proxies for use at our 2020 annual meeting of stockholders to be held online on Tuesday, June 23, 2020 at 3:30 p.m., Eastern Daylight Time, at </w:t>
      </w:r>
      <w:r>
        <w:rPr>
          <w:rFonts w:ascii="Times New Roman" w:cs="Times New Roman" w:eastAsia="Times New Roman" w:hAnsi="Times New Roman"/>
          <w:sz w:val="16"/>
          <w:szCs w:val="16"/>
          <w:i w:val="1"/>
          <w:iCs w:val="1"/>
          <w:color w:val="auto"/>
        </w:rPr>
        <w:t xml:space="preserve">http://www.virtualshareholdermeeting.com/BPMC2020 </w:t>
      </w:r>
      <w:r>
        <w:rPr>
          <w:rFonts w:ascii="Times New Roman" w:cs="Times New Roman" w:eastAsia="Times New Roman" w:hAnsi="Times New Roman"/>
          <w:sz w:val="16"/>
          <w:szCs w:val="16"/>
          <w:color w:val="auto"/>
        </w:rPr>
        <w:t>. As a holder of common stock, you are invited to attend the annual meeting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online and are requested to vote on the items of business described in this proxy statement. This proxy statement includes information that we are required to provide to you under SEC rules and that is designed to assist you in voting your shares.</w:t>
      </w:r>
    </w:p>
    <w:p>
      <w:pPr>
        <w:spacing w:after="0" w:line="75" w:lineRule="exact"/>
        <w:rPr>
          <w:rFonts w:ascii="Times New Roman" w:cs="Times New Roman" w:eastAsia="Times New Roman" w:hAnsi="Times New Roman"/>
          <w:sz w:val="16"/>
          <w:szCs w:val="16"/>
          <w:color w:val="auto"/>
        </w:rPr>
      </w:pPr>
    </w:p>
    <w:p>
      <w:pPr>
        <w:ind w:left="360" w:right="399" w:hanging="316"/>
        <w:spacing w:after="0" w:line="301" w:lineRule="auto"/>
        <w:tabs>
          <w:tab w:leader="none" w:pos="362"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Why did I receive a notice in the mail regarding the Internet availability of proxy materials instead of a full set of proxy materials?</w:t>
      </w:r>
    </w:p>
    <w:p>
      <w:pPr>
        <w:spacing w:after="0" w:line="53" w:lineRule="exact"/>
        <w:rPr>
          <w:rFonts w:ascii="Times New Roman" w:cs="Times New Roman" w:eastAsia="Times New Roman" w:hAnsi="Times New Roman"/>
          <w:sz w:val="16"/>
          <w:szCs w:val="16"/>
          <w:b w:val="1"/>
          <w:bCs w:val="1"/>
          <w:color w:val="auto"/>
        </w:rPr>
      </w:pPr>
    </w:p>
    <w:p>
      <w:pPr>
        <w:ind w:left="360" w:right="119" w:hanging="316"/>
        <w:spacing w:after="0" w:line="281" w:lineRule="auto"/>
        <w:tabs>
          <w:tab w:leader="none" w:pos="35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6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purpose of the annual meeting?</w:t>
      </w:r>
    </w:p>
    <w:p>
      <w:pPr>
        <w:spacing w:after="0" w:line="128" w:lineRule="exact"/>
        <w:rPr>
          <w:rFonts w:ascii="Times New Roman" w:cs="Times New Roman" w:eastAsia="Times New Roman" w:hAnsi="Times New Roman"/>
          <w:sz w:val="16"/>
          <w:szCs w:val="16"/>
          <w:b w:val="1"/>
          <w:bCs w:val="1"/>
          <w:color w:val="auto"/>
        </w:rPr>
      </w:pPr>
    </w:p>
    <w:p>
      <w:pPr>
        <w:ind w:left="360" w:hanging="316"/>
        <w:spacing w:after="0"/>
        <w:tabs>
          <w:tab w:leader="none" w:pos="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annual meeting, stockholders will consider and vote on the following matters:</w:t>
      </w:r>
    </w:p>
    <w:p>
      <w:pPr>
        <w:spacing w:after="0" w:line="126" w:lineRule="exact"/>
        <w:rPr>
          <w:rFonts w:ascii="Times New Roman" w:cs="Times New Roman" w:eastAsia="Times New Roman" w:hAnsi="Times New Roman"/>
          <w:sz w:val="16"/>
          <w:szCs w:val="16"/>
          <w:color w:val="auto"/>
        </w:rPr>
      </w:pPr>
    </w:p>
    <w:p>
      <w:pPr>
        <w:ind w:left="1020" w:right="99" w:hanging="328"/>
        <w:spacing w:after="0" w:line="298" w:lineRule="auto"/>
        <w:tabs>
          <w:tab w:leader="none" w:pos="10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three Class II directors nominated by our board of directors, each to serve for a three-year term expiring at the 2023 annual meeting of stockholders or until his or her successor has been duly elected and qualified (Proposal 1);</w:t>
      </w:r>
    </w:p>
    <w:p>
      <w:pPr>
        <w:spacing w:after="0" w:line="69" w:lineRule="exact"/>
        <w:rPr>
          <w:rFonts w:ascii="Times New Roman" w:cs="Times New Roman" w:eastAsia="Times New Roman" w:hAnsi="Times New Roman"/>
          <w:sz w:val="16"/>
          <w:szCs w:val="16"/>
          <w:color w:val="auto"/>
        </w:rPr>
      </w:pPr>
    </w:p>
    <w:p>
      <w:pPr>
        <w:ind w:left="1020" w:hanging="328"/>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 non-binding, advisory vote on the compensation paid to our named executive officers (Proposal 2);</w:t>
      </w:r>
    </w:p>
    <w:p>
      <w:pPr>
        <w:spacing w:after="0" w:line="103" w:lineRule="exact"/>
        <w:rPr>
          <w:rFonts w:ascii="Times New Roman" w:cs="Times New Roman" w:eastAsia="Times New Roman" w:hAnsi="Times New Roman"/>
          <w:sz w:val="18"/>
          <w:szCs w:val="18"/>
          <w:color w:val="auto"/>
        </w:rPr>
      </w:pPr>
    </w:p>
    <w:p>
      <w:pPr>
        <w:ind w:left="1020" w:right="299" w:hanging="328"/>
        <w:spacing w:after="0" w:line="298" w:lineRule="auto"/>
        <w:tabs>
          <w:tab w:leader="none" w:pos="10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ratification of the appointment of Ernst &amp; Young LLP as our independent registered public accounting firm for the fiscal year ending December 31, 2020 (Proposal 3); and</w:t>
      </w:r>
    </w:p>
    <w:p>
      <w:pPr>
        <w:spacing w:after="0" w:line="56" w:lineRule="exact"/>
        <w:rPr>
          <w:rFonts w:ascii="Times New Roman" w:cs="Times New Roman" w:eastAsia="Times New Roman" w:hAnsi="Times New Roman"/>
          <w:sz w:val="16"/>
          <w:szCs w:val="16"/>
          <w:color w:val="auto"/>
        </w:rPr>
      </w:pPr>
    </w:p>
    <w:p>
      <w:pPr>
        <w:ind w:left="1020" w:right="799" w:hanging="328"/>
        <w:spacing w:after="0" w:line="298" w:lineRule="auto"/>
        <w:tabs>
          <w:tab w:leader="none" w:pos="102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of any other business that may properly come before the annual meeting or any adjournment or postponement thereof.</w:t>
      </w:r>
    </w:p>
    <w:p>
      <w:pPr>
        <w:spacing w:after="0" w:line="67" w:lineRule="exact"/>
        <w:rPr>
          <w:rFonts w:ascii="Times New Roman" w:cs="Times New Roman" w:eastAsia="Times New Roman" w:hAnsi="Times New Roman"/>
          <w:sz w:val="16"/>
          <w:szCs w:val="16"/>
          <w:color w:val="auto"/>
        </w:rPr>
      </w:pPr>
    </w:p>
    <w:p>
      <w:pPr>
        <w:ind w:left="480" w:hanging="436"/>
        <w:spacing w:after="0"/>
        <w:tabs>
          <w:tab w:leader="none" w:pos="48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can vote at the annual meeting?</w:t>
      </w:r>
    </w:p>
    <w:p>
      <w:pPr>
        <w:spacing w:after="0" w:line="142" w:lineRule="exact"/>
        <w:rPr>
          <w:rFonts w:ascii="Times New Roman" w:cs="Times New Roman" w:eastAsia="Times New Roman" w:hAnsi="Times New Roman"/>
          <w:sz w:val="16"/>
          <w:szCs w:val="16"/>
          <w:b w:val="1"/>
          <w:bCs w:val="1"/>
          <w:color w:val="auto"/>
        </w:rPr>
      </w:pPr>
    </w:p>
    <w:p>
      <w:pPr>
        <w:ind w:left="360" w:right="79" w:hanging="316"/>
        <w:spacing w:after="0" w:line="281" w:lineRule="auto"/>
        <w:tabs>
          <w:tab w:leader="none" w:pos="45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entitled to vote, you must have been a stockholder of record at the close of business on April 24, 2020, the record date for our annual meeting. As of the record date, there were 54,188,423 shares of our common stock outstanding and entitled to vote at the annual meeting.</w:t>
      </w:r>
    </w:p>
    <w:p>
      <w:pPr>
        <w:spacing w:after="0" w:line="80" w:lineRule="exact"/>
        <w:rPr>
          <w:rFonts w:ascii="Times New Roman" w:cs="Times New Roman" w:eastAsia="Times New Roman" w:hAnsi="Times New Roman"/>
          <w:sz w:val="16"/>
          <w:szCs w:val="16"/>
          <w:color w:val="auto"/>
        </w:rPr>
      </w:pPr>
    </w:p>
    <w:p>
      <w:pPr>
        <w:ind w:left="480" w:hanging="436"/>
        <w:spacing w:after="0"/>
        <w:tabs>
          <w:tab w:leader="none" w:pos="48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votes do I have?</w:t>
      </w:r>
    </w:p>
    <w:p>
      <w:pPr>
        <w:spacing w:after="0" w:line="128" w:lineRule="exact"/>
        <w:rPr>
          <w:rFonts w:ascii="Times New Roman" w:cs="Times New Roman" w:eastAsia="Times New Roman" w:hAnsi="Times New Roman"/>
          <w:sz w:val="16"/>
          <w:szCs w:val="16"/>
          <w:b w:val="1"/>
          <w:bCs w:val="1"/>
          <w:color w:val="auto"/>
        </w:rPr>
      </w:pPr>
    </w:p>
    <w:p>
      <w:pPr>
        <w:ind w:left="360" w:right="379" w:hanging="316"/>
        <w:spacing w:after="0" w:line="298" w:lineRule="auto"/>
        <w:tabs>
          <w:tab w:leader="none" w:pos="35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our common stock that you own as of the record date will entitle you to one vote on each matter considered at the annual meeting.</w:t>
      </w:r>
    </w:p>
    <w:p>
      <w:pPr>
        <w:spacing w:after="0" w:line="67" w:lineRule="exact"/>
        <w:rPr>
          <w:rFonts w:ascii="Times New Roman" w:cs="Times New Roman" w:eastAsia="Times New Roman" w:hAnsi="Times New Roman"/>
          <w:sz w:val="16"/>
          <w:szCs w:val="16"/>
          <w:color w:val="auto"/>
        </w:rPr>
      </w:pPr>
    </w:p>
    <w:p>
      <w:pPr>
        <w:ind w:left="480" w:hanging="436"/>
        <w:spacing w:after="0"/>
        <w:tabs>
          <w:tab w:leader="none" w:pos="48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 I vote?</w:t>
      </w:r>
    </w:p>
    <w:p>
      <w:pPr>
        <w:spacing w:after="0" w:line="126" w:lineRule="exact"/>
        <w:rPr>
          <w:rFonts w:ascii="Times New Roman" w:cs="Times New Roman" w:eastAsia="Times New Roman" w:hAnsi="Times New Roman"/>
          <w:sz w:val="16"/>
          <w:szCs w:val="16"/>
          <w:b w:val="1"/>
          <w:bCs w:val="1"/>
          <w:color w:val="auto"/>
        </w:rPr>
      </w:pPr>
    </w:p>
    <w:p>
      <w:pPr>
        <w:ind w:left="360" w:right="119" w:hanging="316"/>
        <w:spacing w:after="0" w:line="282" w:lineRule="auto"/>
        <w:tabs>
          <w:tab w:leader="none" w:pos="39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If you are the “record holder” of your shares, </w:t>
      </w:r>
      <w:r>
        <w:rPr>
          <w:rFonts w:ascii="Times New Roman" w:cs="Times New Roman" w:eastAsia="Times New Roman" w:hAnsi="Times New Roman"/>
          <w:sz w:val="16"/>
          <w:szCs w:val="16"/>
          <w:color w:val="auto"/>
        </w:rPr>
        <w:t>meaning that your shares are registered in your name in the records of our transfer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agent, Computershare Trust Company, N.A., and not in the name of a bank, brokerage firm or other nominee, you may vote your shares as follows:</w:t>
      </w:r>
    </w:p>
    <w:p>
      <w:pPr>
        <w:spacing w:after="0" w:line="66" w:lineRule="exact"/>
        <w:rPr>
          <w:rFonts w:ascii="Times New Roman" w:cs="Times New Roman" w:eastAsia="Times New Roman" w:hAnsi="Times New Roman"/>
          <w:sz w:val="16"/>
          <w:szCs w:val="16"/>
          <w:color w:val="auto"/>
        </w:rPr>
      </w:pPr>
    </w:p>
    <w:p>
      <w:pPr>
        <w:ind w:left="1020" w:right="79" w:hanging="328"/>
        <w:spacing w:after="0" w:line="271" w:lineRule="auto"/>
        <w:tabs>
          <w:tab w:leader="none" w:pos="10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Over the Internet: </w:t>
      </w:r>
      <w:r>
        <w:rPr>
          <w:rFonts w:ascii="Times New Roman" w:cs="Times New Roman" w:eastAsia="Times New Roman" w:hAnsi="Times New Roman"/>
          <w:sz w:val="16"/>
          <w:szCs w:val="16"/>
          <w:color w:val="auto"/>
        </w:rPr>
        <w:t>To vote over the Internet, please go to the following web site: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follow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instructions on that website for submitting your proxy electronically. 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22, 2020, the day before the annual meeting, for your proxy to be valid and your vote to count.</w:t>
      </w:r>
    </w:p>
    <w:p>
      <w:pPr>
        <w:spacing w:after="0" w:line="52" w:lineRule="exact"/>
        <w:rPr>
          <w:rFonts w:ascii="Times New Roman" w:cs="Times New Roman" w:eastAsia="Times New Roman" w:hAnsi="Times New Roman"/>
          <w:sz w:val="16"/>
          <w:szCs w:val="16"/>
          <w:color w:val="auto"/>
        </w:rPr>
      </w:pPr>
    </w:p>
    <w:p>
      <w:pPr>
        <w:ind w:left="1020" w:right="119" w:hanging="328"/>
        <w:spacing w:after="0" w:line="209" w:lineRule="exact"/>
        <w:tabs>
          <w:tab w:leader="none" w:pos="10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Telephone: </w:t>
      </w:r>
      <w:r>
        <w:rPr>
          <w:rFonts w:ascii="Times New Roman" w:cs="Times New Roman" w:eastAsia="Times New Roman" w:hAnsi="Times New Roman"/>
          <w:sz w:val="16"/>
          <w:szCs w:val="16"/>
          <w:color w:val="auto"/>
        </w:rPr>
        <w:t>To vote by telephone, please call 1</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800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690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6903, and follow the instructions provided on the proxy card.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22, 2020, the day before the annual meeting, for your proxy to be valid and your vote to count.</w:t>
      </w:r>
    </w:p>
    <w:p>
      <w:pPr>
        <w:spacing w:after="0" w:line="101" w:lineRule="exact"/>
        <w:rPr>
          <w:rFonts w:ascii="Times New Roman" w:cs="Times New Roman" w:eastAsia="Times New Roman" w:hAnsi="Times New Roman"/>
          <w:sz w:val="16"/>
          <w:szCs w:val="16"/>
          <w:color w:val="auto"/>
        </w:rPr>
      </w:pPr>
    </w:p>
    <w:p>
      <w:pPr>
        <w:ind w:left="1020" w:right="199" w:hanging="328"/>
        <w:spacing w:after="0" w:line="282" w:lineRule="auto"/>
        <w:tabs>
          <w:tab w:leader="none" w:pos="10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By Mail: </w:t>
      </w:r>
      <w:r>
        <w:rPr>
          <w:rFonts w:ascii="Times New Roman" w:cs="Times New Roman" w:eastAsia="Times New Roman" w:hAnsi="Times New Roman"/>
          <w:sz w:val="16"/>
          <w:szCs w:val="16"/>
          <w:color w:val="auto"/>
        </w:rPr>
        <w:t>To vote by mail, you must mark, sign and date the proxy card and then mail the proxy card in accordance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instructions on the proxy card. If you vote by mail, you do not need to vote over the Internet or by telephone. Broadridge Financial Solutions, Inc. must receive the proxy card not later than June 22, 2020, the day before the annual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1020" w:right="99"/>
        <w:spacing w:after="0" w:line="281" w:lineRule="auto"/>
        <w:rPr>
          <w:sz w:val="20"/>
          <w:szCs w:val="20"/>
          <w:color w:val="auto"/>
        </w:rPr>
      </w:pPr>
      <w:r>
        <w:rPr>
          <w:rFonts w:ascii="Times New Roman" w:cs="Times New Roman" w:eastAsia="Times New Roman" w:hAnsi="Times New Roman"/>
          <w:sz w:val="16"/>
          <w:szCs w:val="16"/>
          <w:color w:val="auto"/>
        </w:rPr>
        <w:t>meeting, for your proxy to be valid and your vote to count. If you return your proxy card but do not specify how you want your shares voted on any particular matter, they will be voted in accordance with the recommendations of our board of directors.</w:t>
      </w:r>
    </w:p>
    <w:p>
      <w:pPr>
        <w:spacing w:after="0" w:line="67" w:lineRule="exact"/>
        <w:rPr>
          <w:sz w:val="20"/>
          <w:szCs w:val="20"/>
          <w:color w:val="auto"/>
        </w:rPr>
      </w:pPr>
    </w:p>
    <w:p>
      <w:pPr>
        <w:ind w:left="1020" w:right="119" w:hanging="328"/>
        <w:spacing w:after="0" w:line="205" w:lineRule="exact"/>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During the Annual Meeting: </w:t>
      </w:r>
      <w:r>
        <w:rPr>
          <w:rFonts w:ascii="Times New Roman" w:cs="Times New Roman" w:eastAsia="Times New Roman" w:hAnsi="Times New Roman"/>
          <w:sz w:val="16"/>
          <w:szCs w:val="16"/>
          <w:color w:val="auto"/>
        </w:rPr>
        <w:t>You may vote during the annual meeting by going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http://www.virtualshareholdermeeting.com/BPMC2020 </w:t>
      </w:r>
      <w:r>
        <w:rPr>
          <w:rFonts w:ascii="Times New Roman" w:cs="Times New Roman" w:eastAsia="Times New Roman" w:hAnsi="Times New Roman"/>
          <w:sz w:val="16"/>
          <w:szCs w:val="16"/>
          <w:color w:val="auto"/>
        </w:rPr>
        <w:t>and following the instructions on that website for submitting your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vote . You will need the 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digit control number included on your Notice. If you previously voted via the Internet (or by telephone or mail), you will not limit your right to vote online at the annual meeting.</w:t>
      </w:r>
    </w:p>
    <w:p>
      <w:pPr>
        <w:spacing w:after="0" w:line="99" w:lineRule="exact"/>
        <w:rPr>
          <w:sz w:val="20"/>
          <w:szCs w:val="20"/>
          <w:color w:val="auto"/>
        </w:rPr>
      </w:pPr>
    </w:p>
    <w:p>
      <w:pPr>
        <w:ind w:left="360" w:right="199"/>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If your shares are held in “street name,” </w:t>
      </w:r>
      <w:r>
        <w:rPr>
          <w:rFonts w:ascii="Times New Roman" w:cs="Times New Roman" w:eastAsia="Times New Roman" w:hAnsi="Times New Roman"/>
          <w:sz w:val="16"/>
          <w:szCs w:val="16"/>
          <w:color w:val="auto"/>
        </w:rPr>
        <w:t>meaning they are held for your account by an intermediary, such as a bank, brokerage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79" w:lineRule="exact"/>
        <w:rPr>
          <w:sz w:val="20"/>
          <w:szCs w:val="20"/>
          <w:color w:val="auto"/>
        </w:rPr>
      </w:pPr>
    </w:p>
    <w:p>
      <w:pPr>
        <w:ind w:left="360" w:right="99"/>
        <w:spacing w:after="0" w:line="275" w:lineRule="auto"/>
        <w:rPr>
          <w:sz w:val="20"/>
          <w:szCs w:val="20"/>
          <w:color w:val="auto"/>
        </w:rPr>
      </w:pPr>
      <w:r>
        <w:rPr>
          <w:rFonts w:ascii="Times New Roman" w:cs="Times New Roman" w:eastAsia="Times New Roman" w:hAnsi="Times New Roman"/>
          <w:sz w:val="16"/>
          <w:szCs w:val="16"/>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3) is considered a discretionary item. Accordingly, your bank, brokerage firm or other nominee may vote your shares in its discretion with respect to that matter even if you do not give voting instructions on Proposal 3.</w:t>
      </w:r>
    </w:p>
    <w:p>
      <w:pPr>
        <w:spacing w:after="0" w:line="75" w:lineRule="exact"/>
        <w:rPr>
          <w:sz w:val="20"/>
          <w:szCs w:val="20"/>
          <w:color w:val="auto"/>
        </w:rPr>
      </w:pPr>
    </w:p>
    <w:p>
      <w:pPr>
        <w:ind w:left="360" w:right="59"/>
        <w:spacing w:after="0" w:line="269" w:lineRule="auto"/>
        <w:rPr>
          <w:sz w:val="20"/>
          <w:szCs w:val="20"/>
          <w:color w:val="auto"/>
        </w:rPr>
      </w:pPr>
      <w:r>
        <w:rPr>
          <w:rFonts w:ascii="Times New Roman" w:cs="Times New Roman" w:eastAsia="Times New Roman" w:hAnsi="Times New Roman"/>
          <w:sz w:val="16"/>
          <w:szCs w:val="16"/>
          <w:color w:val="auto"/>
        </w:rPr>
        <w:t>However, under applicable stock exchange rules that regulate voting by registered banks, brokerage firms or other nominees, the election of our nominees to serve as Class II directors (Proposal 1) and a non-binding, advisory vote on the compensation paid to our named executive officers (Proposal 2) is not considered to be a discretionary item. Accordingly, if you do not give your bank, brokerage firm or other nominee voting instructions on Proposals 1 or 2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76" w:lineRule="exact"/>
        <w:rPr>
          <w:sz w:val="20"/>
          <w:szCs w:val="20"/>
          <w:color w:val="auto"/>
        </w:rPr>
      </w:pPr>
    </w:p>
    <w:p>
      <w:pPr>
        <w:ind w:left="360" w:right="59"/>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Regardless of whether your shares are held in street name, you are welcome to attend the annual meeting online. You may not vote shares held in street name at the annual meeting, however, unless you obtain a legal proxy, executed in your favor, from the holder of record (i.e., your bank, brokerage firm or other nominee). A legal proxy is </w:t>
      </w:r>
      <w:r>
        <w:rPr>
          <w:rFonts w:ascii="Times New Roman" w:cs="Times New Roman" w:eastAsia="Times New Roman" w:hAnsi="Times New Roman"/>
          <w:sz w:val="16"/>
          <w:szCs w:val="16"/>
          <w:b w:val="1"/>
          <w:bCs w:val="1"/>
          <w:i w:val="1"/>
          <w:iCs w:val="1"/>
          <w:color w:val="auto"/>
        </w:rPr>
        <w:t>not</w:t>
      </w:r>
      <w:r>
        <w:rPr>
          <w:rFonts w:ascii="Times New Roman" w:cs="Times New Roman" w:eastAsia="Times New Roman" w:hAnsi="Times New Roman"/>
          <w:sz w:val="16"/>
          <w:szCs w:val="16"/>
          <w:b w:val="1"/>
          <w:bCs w:val="1"/>
          <w:color w:val="auto"/>
        </w:rPr>
        <w:t xml:space="preserve"> the form of proxy included with this proxy statement. You will not be able to vote shares you hold in street name at the annual meeting unless you have a legal proxy from your bank, brokerage firm or other nominee issued in your name giving you the right to vote your shares.</w:t>
      </w:r>
    </w:p>
    <w:p>
      <w:pPr>
        <w:spacing w:after="0" w:line="88" w:lineRule="exact"/>
        <w:rPr>
          <w:sz w:val="20"/>
          <w:szCs w:val="20"/>
          <w:color w:val="auto"/>
        </w:rPr>
      </w:pPr>
    </w:p>
    <w:p>
      <w:pPr>
        <w:ind w:left="480" w:hanging="436"/>
        <w:spacing w:after="0"/>
        <w:tabs>
          <w:tab w:leader="none" w:pos="48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 I attend the annual meeting online?</w:t>
      </w:r>
    </w:p>
    <w:p>
      <w:pPr>
        <w:spacing w:after="0" w:line="102" w:lineRule="exact"/>
        <w:rPr>
          <w:rFonts w:ascii="Times New Roman" w:cs="Times New Roman" w:eastAsia="Times New Roman" w:hAnsi="Times New Roman"/>
          <w:sz w:val="16"/>
          <w:szCs w:val="16"/>
          <w:b w:val="1"/>
          <w:bCs w:val="1"/>
          <w:color w:val="auto"/>
        </w:rPr>
      </w:pPr>
    </w:p>
    <w:p>
      <w:pPr>
        <w:ind w:left="360" w:right="119" w:hanging="316"/>
        <w:spacing w:after="0" w:line="207" w:lineRule="exact"/>
        <w:tabs>
          <w:tab w:leader="none" w:pos="35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2020 annual meeting will be held entirely online due to the emerging public health impact of the COVID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19 pandemic and to support the health and well-being of our partners, employees, and stockholders. Stockholders of record as of April 24, 2020 will be able to attend and participate in the annual meeting by accessing </w:t>
      </w:r>
      <w:r>
        <w:rPr>
          <w:rFonts w:ascii="Times New Roman" w:cs="Times New Roman" w:eastAsia="Times New Roman" w:hAnsi="Times New Roman"/>
          <w:sz w:val="16"/>
          <w:szCs w:val="16"/>
          <w:i w:val="1"/>
          <w:iCs w:val="1"/>
          <w:color w:val="auto"/>
        </w:rPr>
        <w:t>http://www.virtualshareholdermeeting.com/BPMC2020</w:t>
      </w:r>
      <w:r>
        <w:rPr>
          <w:rFonts w:ascii="Times New Roman" w:cs="Times New Roman" w:eastAsia="Times New Roman" w:hAnsi="Times New Roman"/>
          <w:sz w:val="16"/>
          <w:szCs w:val="16"/>
          <w:color w:val="auto"/>
        </w:rPr>
        <w:t xml:space="preserve"> . To join the annual meeting, you will need to have your 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digit control number, which is included on your Notice and your proxy card. Stockholders will also have the opportunity to submit questions during the annual meeting through </w:t>
      </w:r>
      <w:r>
        <w:rPr>
          <w:rFonts w:ascii="Times New Roman" w:cs="Times New Roman" w:eastAsia="Times New Roman" w:hAnsi="Times New Roman"/>
          <w:sz w:val="16"/>
          <w:szCs w:val="16"/>
          <w:i w:val="1"/>
          <w:iCs w:val="1"/>
          <w:color w:val="auto"/>
        </w:rPr>
        <w:t xml:space="preserve">http://www.virtualshareholdermeeting.com/BPMC2020 </w:t>
      </w:r>
      <w:r>
        <w:rPr>
          <w:rFonts w:ascii="Times New Roman" w:cs="Times New Roman" w:eastAsia="Times New Roman" w:hAnsi="Times New Roman"/>
          <w:sz w:val="16"/>
          <w:szCs w:val="16"/>
          <w:color w:val="auto"/>
        </w:rPr>
        <w:t>. A technical support telephone number will be posted on the log-in page of</w:t>
      </w:r>
      <w:r>
        <w:rPr>
          <w:rFonts w:ascii="Times New Roman" w:cs="Times New Roman" w:eastAsia="Times New Roman" w:hAnsi="Times New Roman"/>
          <w:sz w:val="16"/>
          <w:szCs w:val="16"/>
          <w:i w:val="1"/>
          <w:iCs w:val="1"/>
          <w:color w:val="auto"/>
        </w:rPr>
        <w:t xml:space="preserve"> http://www.virtualshareholdermeeting.com/BPMC2020 </w:t>
      </w:r>
      <w:r>
        <w:rPr>
          <w:rFonts w:ascii="Times New Roman" w:cs="Times New Roman" w:eastAsia="Times New Roman" w:hAnsi="Times New Roman"/>
          <w:sz w:val="16"/>
          <w:szCs w:val="16"/>
          <w:color w:val="auto"/>
        </w:rPr>
        <w:t>that you can call if you encounter any difficulties accessing the virtual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meeting during the check-in or during the meeting.</w:t>
      </w:r>
    </w:p>
    <w:p>
      <w:pPr>
        <w:spacing w:after="0" w:line="104" w:lineRule="exact"/>
        <w:rPr>
          <w:rFonts w:ascii="Times New Roman" w:cs="Times New Roman" w:eastAsia="Times New Roman" w:hAnsi="Times New Roman"/>
          <w:sz w:val="16"/>
          <w:szCs w:val="16"/>
          <w:color w:val="auto"/>
        </w:rPr>
      </w:pPr>
    </w:p>
    <w:p>
      <w:pPr>
        <w:ind w:left="360" w:right="27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you plan to attend the annual meeting online, we recommend that you also vote by proxy as described herein so that your vote will be counted if you decide not to attend the annual meeting.</w:t>
      </w:r>
    </w:p>
    <w:p>
      <w:pPr>
        <w:spacing w:after="0" w:line="54" w:lineRule="exact"/>
        <w:rPr>
          <w:rFonts w:ascii="Times New Roman" w:cs="Times New Roman" w:eastAsia="Times New Roman" w:hAnsi="Times New Roman"/>
          <w:sz w:val="16"/>
          <w:szCs w:val="16"/>
          <w:color w:val="auto"/>
        </w:rPr>
      </w:pPr>
    </w:p>
    <w:p>
      <w:pPr>
        <w:ind w:left="360" w:right="119"/>
        <w:spacing w:after="0" w:line="205"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Log in Instructions </w:t>
      </w:r>
      <w:r>
        <w:rPr>
          <w:rFonts w:ascii="Times New Roman" w:cs="Times New Roman" w:eastAsia="Times New Roman" w:hAnsi="Times New Roman"/>
          <w:sz w:val="16"/>
          <w:szCs w:val="16"/>
          <w:color w:val="auto"/>
        </w:rPr>
        <w:t>. To attend the online annual Meeting, log in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http://www.virtualshareholdermeeting.com/BPMC2020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will need their unique 16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digit control number, which appears on the Notice and the instructions that accompanied the proxy materials. In the event that you do not have a control number, please contact your broker, bank, or other nominee as soon as possible and no later than June 22, 2020, so that you can be provided with a control number and gain access to the meeting.</w:t>
      </w:r>
    </w:p>
    <w:p>
      <w:pPr>
        <w:spacing w:after="0" w:line="112" w:lineRule="exact"/>
        <w:rPr>
          <w:rFonts w:ascii="Times New Roman" w:cs="Times New Roman" w:eastAsia="Times New Roman" w:hAnsi="Times New Roman"/>
          <w:sz w:val="16"/>
          <w:szCs w:val="16"/>
          <w:color w:val="auto"/>
        </w:rPr>
      </w:pPr>
    </w:p>
    <w:p>
      <w:pPr>
        <w:ind w:left="480" w:hanging="436"/>
        <w:spacing w:after="0"/>
        <w:tabs>
          <w:tab w:leader="none" w:pos="48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Can I change my vote?</w:t>
      </w:r>
    </w:p>
    <w:p>
      <w:pPr>
        <w:spacing w:after="0" w:line="126" w:lineRule="exact"/>
        <w:rPr>
          <w:rFonts w:ascii="Times New Roman" w:cs="Times New Roman" w:eastAsia="Times New Roman" w:hAnsi="Times New Roman"/>
          <w:sz w:val="16"/>
          <w:szCs w:val="16"/>
          <w:b w:val="1"/>
          <w:bCs w:val="1"/>
          <w:color w:val="auto"/>
        </w:rPr>
      </w:pPr>
    </w:p>
    <w:p>
      <w:pPr>
        <w:ind w:left="360" w:right="59" w:hanging="316"/>
        <w:spacing w:after="0" w:line="301" w:lineRule="auto"/>
        <w:tabs>
          <w:tab w:leader="none" w:pos="39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If your shares are registered directly in your name, </w:t>
      </w:r>
      <w:r>
        <w:rPr>
          <w:rFonts w:ascii="Times New Roman" w:cs="Times New Roman" w:eastAsia="Times New Roman" w:hAnsi="Times New Roman"/>
          <w:sz w:val="16"/>
          <w:szCs w:val="16"/>
          <w:color w:val="auto"/>
        </w:rPr>
        <w:t>you may revoke your proxy and change your vote at any time before the vote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taken at the annual meeting. To do so, you must do one of the following:</w:t>
      </w:r>
    </w:p>
    <w:p>
      <w:pPr>
        <w:spacing w:after="0" w:line="53" w:lineRule="exact"/>
        <w:rPr>
          <w:rFonts w:ascii="Times New Roman" w:cs="Times New Roman" w:eastAsia="Times New Roman" w:hAnsi="Times New Roman"/>
          <w:sz w:val="16"/>
          <w:szCs w:val="16"/>
          <w:color w:val="auto"/>
        </w:rPr>
      </w:pPr>
    </w:p>
    <w:p>
      <w:pPr>
        <w:ind w:left="1020" w:hanging="328"/>
        <w:spacing w:after="0"/>
        <w:tabs>
          <w:tab w:leader="none" w:pos="10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Vote over the Internet or by telephone as instructed above. Only your latest Internet or telephone vote is counted.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1020" w:hanging="32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return a new proxy card. Only your latest dated and timely received proxy card will be counted.</w:t>
      </w:r>
    </w:p>
    <w:p>
      <w:pPr>
        <w:spacing w:after="0" w:line="126" w:lineRule="exact"/>
        <w:rPr>
          <w:rFonts w:ascii="Times New Roman" w:cs="Times New Roman" w:eastAsia="Times New Roman" w:hAnsi="Times New Roman"/>
          <w:sz w:val="16"/>
          <w:szCs w:val="16"/>
          <w:color w:val="auto"/>
        </w:rPr>
      </w:pPr>
    </w:p>
    <w:p>
      <w:pPr>
        <w:ind w:left="1020" w:right="219" w:hanging="328"/>
        <w:spacing w:after="0" w:line="298"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 the annual meeting online and vote as instructed above. Attending the annual meeting will not alone revoke your Internet vote, telephone vote or proxy card submitted by mail, as the case may be.</w:t>
      </w:r>
    </w:p>
    <w:p>
      <w:pPr>
        <w:spacing w:after="0" w:line="56" w:lineRule="exact"/>
        <w:rPr>
          <w:rFonts w:ascii="Times New Roman" w:cs="Times New Roman" w:eastAsia="Times New Roman" w:hAnsi="Times New Roman"/>
          <w:sz w:val="16"/>
          <w:szCs w:val="16"/>
          <w:color w:val="auto"/>
        </w:rPr>
      </w:pPr>
    </w:p>
    <w:p>
      <w:pPr>
        <w:ind w:left="1020" w:hanging="328"/>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our corporate secretary written notice before or at the meeting that you want to revoke your proxy.</w:t>
      </w:r>
    </w:p>
    <w:p>
      <w:pPr>
        <w:spacing w:after="0" w:line="125" w:lineRule="exact"/>
        <w:rPr>
          <w:sz w:val="20"/>
          <w:szCs w:val="20"/>
          <w:color w:val="auto"/>
        </w:rPr>
      </w:pPr>
    </w:p>
    <w:p>
      <w:pPr>
        <w:ind w:left="360" w:right="179"/>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If your shares are held in street name, </w:t>
      </w:r>
      <w:r>
        <w:rPr>
          <w:rFonts w:ascii="Times New Roman" w:cs="Times New Roman" w:eastAsia="Times New Roman" w:hAnsi="Times New Roman"/>
          <w:sz w:val="16"/>
          <w:szCs w:val="16"/>
          <w:color w:val="auto"/>
        </w:rPr>
        <w:t>you may submit new voting instructions by contacting your bank, brokerage firm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nominee. You may also vote at the annual meeting online if you obtain a legal proxy as described in the answer above.</w:t>
      </w:r>
    </w:p>
    <w:p>
      <w:pPr>
        <w:spacing w:after="0" w:line="65" w:lineRule="exact"/>
        <w:rPr>
          <w:sz w:val="20"/>
          <w:szCs w:val="20"/>
          <w:color w:val="auto"/>
        </w:rPr>
      </w:pPr>
    </w:p>
    <w:p>
      <w:pPr>
        <w:ind w:left="480" w:hanging="436"/>
        <w:spacing w:after="0"/>
        <w:tabs>
          <w:tab w:leader="none" w:pos="48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shares must be represented to have a quorum and hold the annual meeting?</w:t>
      </w:r>
    </w:p>
    <w:p>
      <w:pPr>
        <w:spacing w:after="0" w:line="128" w:lineRule="exact"/>
        <w:rPr>
          <w:rFonts w:ascii="Times New Roman" w:cs="Times New Roman" w:eastAsia="Times New Roman" w:hAnsi="Times New Roman"/>
          <w:sz w:val="16"/>
          <w:szCs w:val="16"/>
          <w:b w:val="1"/>
          <w:bCs w:val="1"/>
          <w:color w:val="auto"/>
        </w:rPr>
      </w:pPr>
    </w:p>
    <w:p>
      <w:pPr>
        <w:ind w:left="360" w:right="119" w:hanging="316"/>
        <w:spacing w:after="0" w:line="269" w:lineRule="auto"/>
        <w:tabs>
          <w:tab w:leader="none" w:pos="34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our shares of common stock outstanding at the record date must be present or represented by proxy to hold the annual meeting. This is called a quorum. For purposes of determining whether a quorum exists, we count as present any shares that are voted over the Internet, by telephone, by completing and submitting a proxy by mail or that are represented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81" w:lineRule="exact"/>
        <w:rPr>
          <w:rFonts w:ascii="Times New Roman" w:cs="Times New Roman" w:eastAsia="Times New Roman" w:hAnsi="Times New Roman"/>
          <w:sz w:val="16"/>
          <w:szCs w:val="16"/>
          <w:color w:val="auto"/>
        </w:rPr>
      </w:pPr>
    </w:p>
    <w:p>
      <w:pPr>
        <w:ind w:left="360" w:right="159"/>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presence at the annual meeting, online or by proxy, of holders representing a majority of our outstanding common stock as of the record date, April 24, 2020, or approximately 27,094,212 shares, constitutes a quorum at the meeting and permits us to conduct the business of the meeting.</w:t>
      </w:r>
    </w:p>
    <w:p>
      <w:pPr>
        <w:spacing w:after="0" w:line="67"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vote is required to approve each matter and how are votes counted?</w:t>
      </w:r>
    </w:p>
    <w:p>
      <w:pPr>
        <w:spacing w:after="0" w:line="126" w:lineRule="exact"/>
        <w:rPr>
          <w:rFonts w:ascii="Times New Roman" w:cs="Times New Roman" w:eastAsia="Times New Roman" w:hAnsi="Times New Roman"/>
          <w:sz w:val="16"/>
          <w:szCs w:val="16"/>
          <w:b w:val="1"/>
          <w:bCs w:val="1"/>
          <w:color w:val="auto"/>
        </w:rPr>
      </w:pPr>
    </w:p>
    <w:p>
      <w:pPr>
        <w:ind w:left="400" w:hanging="356"/>
        <w:spacing w:after="0"/>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Proposal 1—Election of Class II Directors</w:t>
      </w:r>
    </w:p>
    <w:p>
      <w:pPr>
        <w:spacing w:after="0" w:line="129" w:lineRule="exact"/>
        <w:rPr>
          <w:sz w:val="20"/>
          <w:szCs w:val="20"/>
          <w:color w:val="auto"/>
        </w:rPr>
      </w:pPr>
    </w:p>
    <w:p>
      <w:pPr>
        <w:ind w:left="360" w:right="179"/>
        <w:spacing w:after="0" w:line="267" w:lineRule="auto"/>
        <w:rPr>
          <w:sz w:val="20"/>
          <w:szCs w:val="20"/>
          <w:color w:val="auto"/>
        </w:rPr>
      </w:pPr>
      <w:r>
        <w:rPr>
          <w:rFonts w:ascii="Times New Roman" w:cs="Times New Roman" w:eastAsia="Times New Roman" w:hAnsi="Times New Roman"/>
          <w:sz w:val="16"/>
          <w:szCs w:val="16"/>
          <w:color w:val="auto"/>
        </w:rPr>
        <w:t xml:space="preserve">The three nominees for director to receive the highest number of votes FOR election will be elected as directors. This is called a plurality. </w:t>
      </w:r>
      <w:r>
        <w:rPr>
          <w:rFonts w:ascii="Times New Roman" w:cs="Times New Roman" w:eastAsia="Times New Roman" w:hAnsi="Times New Roman"/>
          <w:sz w:val="16"/>
          <w:szCs w:val="16"/>
          <w:b w:val="1"/>
          <w:bCs w:val="1"/>
          <w:color w:val="auto"/>
        </w:rPr>
        <w:t>Proposal 1 is a non-discretionary matter.</w:t>
      </w:r>
      <w:r>
        <w:rPr>
          <w:rFonts w:ascii="Times New Roman" w:cs="Times New Roman" w:eastAsia="Times New Roman" w:hAnsi="Times New Roman"/>
          <w:sz w:val="16"/>
          <w:szCs w:val="16"/>
          <w:color w:val="auto"/>
        </w:rPr>
        <w:t xml:space="preserve"> Therefore, if your shares are held by your brokerage firm in street name and you do not timely provide voting instructions with respect to your shares, your brokerage firm cannot vote your shares on Proposal</w:t>
      </w:r>
    </w:p>
    <w:p>
      <w:pPr>
        <w:spacing w:after="0" w:line="1" w:lineRule="exact"/>
        <w:rPr>
          <w:sz w:val="20"/>
          <w:szCs w:val="20"/>
          <w:color w:val="auto"/>
        </w:rPr>
      </w:pPr>
    </w:p>
    <w:p>
      <w:pPr>
        <w:ind w:left="360" w:right="319" w:firstLine="8"/>
        <w:spacing w:after="0" w:line="276" w:lineRule="auto"/>
        <w:tabs>
          <w:tab w:leader="none" w:pos="52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spacing w:after="0" w:line="72" w:lineRule="exact"/>
        <w:rPr>
          <w:rFonts w:ascii="Times New Roman" w:cs="Times New Roman" w:eastAsia="Times New Roman" w:hAnsi="Times New Roman"/>
          <w:sz w:val="16"/>
          <w:szCs w:val="16"/>
          <w:color w:val="auto"/>
        </w:rPr>
      </w:pPr>
    </w:p>
    <w:p>
      <w:pPr>
        <w:ind w:left="1360" w:hanging="344"/>
        <w:spacing w:after="0"/>
        <w:tabs>
          <w:tab w:leader="none" w:pos="1360" w:val="left"/>
        </w:tabs>
        <w:numPr>
          <w:ilvl w:val="1"/>
          <w:numId w:val="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vote FOR all nominees;</w:t>
      </w:r>
    </w:p>
    <w:p>
      <w:pPr>
        <w:spacing w:after="0" w:line="126" w:lineRule="exact"/>
        <w:rPr>
          <w:rFonts w:ascii="MS PGothic" w:cs="MS PGothic" w:eastAsia="MS PGothic" w:hAnsi="MS PGothic"/>
          <w:sz w:val="16"/>
          <w:szCs w:val="16"/>
          <w:color w:val="auto"/>
        </w:rPr>
      </w:pPr>
    </w:p>
    <w:p>
      <w:pPr>
        <w:ind w:left="1360" w:hanging="344"/>
        <w:spacing w:after="0"/>
        <w:tabs>
          <w:tab w:leader="none" w:pos="1360" w:val="left"/>
        </w:tabs>
        <w:numPr>
          <w:ilvl w:val="1"/>
          <w:numId w:val="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vote FOR one or more nominees and WITHHOLD your vote from the other nominees; or</w:t>
      </w:r>
    </w:p>
    <w:p>
      <w:pPr>
        <w:spacing w:after="0" w:line="126" w:lineRule="exact"/>
        <w:rPr>
          <w:rFonts w:ascii="MS PGothic" w:cs="MS PGothic" w:eastAsia="MS PGothic" w:hAnsi="MS PGothic"/>
          <w:sz w:val="16"/>
          <w:szCs w:val="16"/>
          <w:color w:val="auto"/>
        </w:rPr>
      </w:pPr>
    </w:p>
    <w:p>
      <w:pPr>
        <w:ind w:left="1360" w:hanging="344"/>
        <w:spacing w:after="0"/>
        <w:tabs>
          <w:tab w:leader="none" w:pos="1360" w:val="left"/>
        </w:tabs>
        <w:numPr>
          <w:ilvl w:val="1"/>
          <w:numId w:val="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WITHHOLD your vote from all nominees.</w:t>
      </w:r>
    </w:p>
    <w:p>
      <w:pPr>
        <w:spacing w:after="0" w:line="127" w:lineRule="exact"/>
        <w:rPr>
          <w:sz w:val="20"/>
          <w:szCs w:val="20"/>
          <w:color w:val="auto"/>
        </w:rPr>
      </w:pPr>
    </w:p>
    <w:p>
      <w:pPr>
        <w:ind w:left="360" w:right="279"/>
        <w:spacing w:after="0" w:line="403" w:lineRule="auto"/>
        <w:rPr>
          <w:sz w:val="20"/>
          <w:szCs w:val="20"/>
          <w:color w:val="auto"/>
        </w:rPr>
      </w:pPr>
      <w:r>
        <w:rPr>
          <w:rFonts w:ascii="Times New Roman" w:cs="Times New Roman" w:eastAsia="Times New Roman" w:hAnsi="Times New Roman"/>
          <w:sz w:val="16"/>
          <w:szCs w:val="16"/>
          <w:color w:val="auto"/>
        </w:rPr>
        <w:t xml:space="preserve">Votes that are withheld will not be included in the vote tally for the election of directors and will not affect the results of the vote. </w:t>
      </w:r>
      <w:r>
        <w:rPr>
          <w:rFonts w:ascii="Times New Roman" w:cs="Times New Roman" w:eastAsia="Times New Roman" w:hAnsi="Times New Roman"/>
          <w:sz w:val="16"/>
          <w:szCs w:val="16"/>
          <w:b w:val="1"/>
          <w:bCs w:val="1"/>
          <w:color w:val="auto"/>
        </w:rPr>
        <w:t>Proposal 2— Non-Binding Advisory Vote on the Compensation Paid to Named Executive Officers</w:t>
      </w:r>
    </w:p>
    <w:p>
      <w:pPr>
        <w:spacing w:after="0" w:line="1" w:lineRule="exact"/>
        <w:rPr>
          <w:sz w:val="20"/>
          <w:szCs w:val="20"/>
          <w:color w:val="auto"/>
        </w:rPr>
      </w:pPr>
    </w:p>
    <w:p>
      <w:pPr>
        <w:ind w:left="360" w:right="99"/>
        <w:spacing w:after="0" w:line="269" w:lineRule="auto"/>
        <w:rPr>
          <w:sz w:val="20"/>
          <w:szCs w:val="20"/>
          <w:color w:val="auto"/>
        </w:rPr>
      </w:pPr>
      <w:r>
        <w:rPr>
          <w:rFonts w:ascii="Times New Roman" w:cs="Times New Roman" w:eastAsia="Times New Roman" w:hAnsi="Times New Roman"/>
          <w:sz w:val="16"/>
          <w:szCs w:val="16"/>
          <w:color w:val="auto"/>
        </w:rPr>
        <w:t xml:space="preserve">To approve Proposal 2, holders of a majority of the votes cast on the matter must vote FOR the proposal. </w:t>
      </w:r>
      <w:r>
        <w:rPr>
          <w:rFonts w:ascii="Times New Roman" w:cs="Times New Roman" w:eastAsia="Times New Roman" w:hAnsi="Times New Roman"/>
          <w:sz w:val="16"/>
          <w:szCs w:val="16"/>
          <w:b w:val="1"/>
          <w:bCs w:val="1"/>
          <w:color w:val="auto"/>
        </w:rPr>
        <w:t xml:space="preserve">Proposal 2 is a non-discretionary matter. </w:t>
      </w:r>
      <w:r>
        <w:rPr>
          <w:rFonts w:ascii="Times New Roman" w:cs="Times New Roman" w:eastAsia="Times New Roman" w:hAnsi="Times New Roman"/>
          <w:sz w:val="16"/>
          <w:szCs w:val="16"/>
          <w:color w:val="auto"/>
        </w:rPr>
        <w:t>Therefore, if your shares are held by your brokerage firm in street name and you do not timely provide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such “broker non-votes” and abstentions will have no effect on the voting on 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Proposal 3—Ratification of the Appointment of Independent Registered Public Accounting Firm</w:t>
      </w:r>
    </w:p>
    <w:p>
      <w:pPr>
        <w:spacing w:after="0" w:line="127" w:lineRule="exact"/>
        <w:rPr>
          <w:sz w:val="20"/>
          <w:szCs w:val="20"/>
          <w:color w:val="auto"/>
        </w:rPr>
      </w:pPr>
    </w:p>
    <w:p>
      <w:pPr>
        <w:ind w:left="360" w:right="119"/>
        <w:spacing w:after="0" w:line="273" w:lineRule="auto"/>
        <w:rPr>
          <w:sz w:val="20"/>
          <w:szCs w:val="20"/>
          <w:color w:val="auto"/>
        </w:rPr>
      </w:pPr>
      <w:r>
        <w:rPr>
          <w:rFonts w:ascii="Times New Roman" w:cs="Times New Roman" w:eastAsia="Times New Roman" w:hAnsi="Times New Roman"/>
          <w:sz w:val="16"/>
          <w:szCs w:val="16"/>
          <w:color w:val="auto"/>
        </w:rPr>
        <w:t xml:space="preserve">To approve Proposal 3, holders of a majority of the votes cast on the matter must vote FOR the proposal. </w:t>
      </w:r>
      <w:r>
        <w:rPr>
          <w:rFonts w:ascii="Times New Roman" w:cs="Times New Roman" w:eastAsia="Times New Roman" w:hAnsi="Times New Roman"/>
          <w:sz w:val="16"/>
          <w:szCs w:val="16"/>
          <w:b w:val="1"/>
          <w:bCs w:val="1"/>
          <w:color w:val="auto"/>
        </w:rPr>
        <w:t>Proposal 3 is considered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 routine matter. </w:t>
      </w:r>
      <w:r>
        <w:rPr>
          <w:rFonts w:ascii="Times New Roman" w:cs="Times New Roman" w:eastAsia="Times New Roman" w:hAnsi="Times New Roman"/>
          <w:sz w:val="16"/>
          <w:szCs w:val="16"/>
          <w:color w:val="auto"/>
        </w:rPr>
        <w:t>If your shares are held by your brokerage firm in street name and you do not provide voting instructions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 to your shares, your brokerage firm may vote your unvoted shares on Proposal 3. If you ABSTAIN from voting on Proposal 3, your shares will not be voted FOR or AGAINST the proposal and will also not be counted as votes cast or shares voting on the proposal. As a result, voting to ABSTAIN will have no effect on the outcome of Proposal 3.</w:t>
      </w:r>
    </w:p>
    <w:p>
      <w:pPr>
        <w:spacing w:after="0" w:line="76" w:lineRule="exact"/>
        <w:rPr>
          <w:sz w:val="20"/>
          <w:szCs w:val="20"/>
          <w:color w:val="auto"/>
        </w:rPr>
      </w:pPr>
    </w:p>
    <w:p>
      <w:pPr>
        <w:ind w:left="360" w:right="99"/>
        <w:spacing w:after="0" w:line="275" w:lineRule="auto"/>
        <w:rPr>
          <w:sz w:val="20"/>
          <w:szCs w:val="20"/>
          <w:color w:val="auto"/>
        </w:rPr>
      </w:pPr>
      <w:r>
        <w:rPr>
          <w:rFonts w:ascii="Times New Roman" w:cs="Times New Roman" w:eastAsia="Times New Roman" w:hAnsi="Times New Roman"/>
          <w:sz w:val="16"/>
          <w:szCs w:val="16"/>
          <w:color w:val="auto"/>
        </w:rPr>
        <w:t>Although stockholder approval of our audit committee’s appointment of Ernst &amp; Young LLP as our independent registered public accounting firm for the fiscal year ending December 31, 2020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ending December 31, 2020.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360" w:hanging="316"/>
        <w:spacing w:after="0"/>
        <w:tabs>
          <w:tab w:leader="none" w:pos="36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will count the vote?</w:t>
      </w:r>
    </w:p>
    <w:p>
      <w:pPr>
        <w:spacing w:after="0" w:line="128" w:lineRule="exact"/>
        <w:rPr>
          <w:rFonts w:ascii="Times New Roman" w:cs="Times New Roman" w:eastAsia="Times New Roman" w:hAnsi="Times New Roman"/>
          <w:sz w:val="16"/>
          <w:szCs w:val="16"/>
          <w:b w:val="1"/>
          <w:bCs w:val="1"/>
          <w:color w:val="auto"/>
        </w:rPr>
      </w:pPr>
    </w:p>
    <w:p>
      <w:pPr>
        <w:ind w:left="360" w:hanging="316"/>
        <w:spacing w:after="0"/>
        <w:tabs>
          <w:tab w:leader="none" w:pos="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votes will be counted, tabulated and certified by Broadridge Financial Solutions, Inc.</w:t>
      </w:r>
    </w:p>
    <w:p>
      <w:pPr>
        <w:spacing w:after="0" w:line="124" w:lineRule="exact"/>
        <w:rPr>
          <w:rFonts w:ascii="Times New Roman" w:cs="Times New Roman" w:eastAsia="Times New Roman" w:hAnsi="Times New Roman"/>
          <w:sz w:val="16"/>
          <w:szCs w:val="16"/>
          <w:color w:val="auto"/>
        </w:rPr>
      </w:pPr>
    </w:p>
    <w:p>
      <w:pPr>
        <w:ind w:left="380" w:hanging="336"/>
        <w:spacing w:after="0"/>
        <w:tabs>
          <w:tab w:leader="none" w:pos="38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does the board of directors recommend that I vote on the proposals?</w:t>
      </w:r>
    </w:p>
    <w:p>
      <w:pPr>
        <w:spacing w:after="0" w:line="128" w:lineRule="exact"/>
        <w:rPr>
          <w:rFonts w:ascii="Times New Roman" w:cs="Times New Roman" w:eastAsia="Times New Roman" w:hAnsi="Times New Roman"/>
          <w:sz w:val="16"/>
          <w:szCs w:val="16"/>
          <w:b w:val="1"/>
          <w:bCs w:val="1"/>
          <w:color w:val="auto"/>
        </w:rPr>
      </w:pPr>
    </w:p>
    <w:p>
      <w:pPr>
        <w:ind w:left="360" w:hanging="316"/>
        <w:spacing w:after="0"/>
        <w:tabs>
          <w:tab w:leader="none" w:pos="3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of directors recommends that you vote:</w:t>
      </w:r>
    </w:p>
    <w:p>
      <w:pPr>
        <w:spacing w:after="0" w:line="124"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election of the three nominees to serve as Class II directors, each for a three-year term; and</w:t>
      </w:r>
    </w:p>
    <w:p>
      <w:pPr>
        <w:spacing w:after="0" w:line="126"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on a non-binding, advisory basis, of the compensation of our named executive officers; and</w:t>
      </w:r>
    </w:p>
    <w:p>
      <w:pPr>
        <w:spacing w:after="0" w:line="126" w:lineRule="exact"/>
        <w:rPr>
          <w:rFonts w:ascii="Times New Roman" w:cs="Times New Roman" w:eastAsia="Times New Roman" w:hAnsi="Times New Roman"/>
          <w:sz w:val="16"/>
          <w:szCs w:val="16"/>
          <w:color w:val="auto"/>
        </w:rPr>
      </w:pPr>
    </w:p>
    <w:p>
      <w:pPr>
        <w:ind w:left="360" w:right="219"/>
        <w:spacing w:after="0" w:line="3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the appointment of Ernst &amp; Young LLP as our independent registered public accounting firm for the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ending December 31, 2020.</w:t>
      </w:r>
    </w:p>
    <w:p>
      <w:pPr>
        <w:spacing w:after="0" w:line="51"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Are there other matters to be voted on at the annual meeting?</w:t>
      </w:r>
    </w:p>
    <w:p>
      <w:pPr>
        <w:spacing w:after="0" w:line="128" w:lineRule="exact"/>
        <w:rPr>
          <w:rFonts w:ascii="Times New Roman" w:cs="Times New Roman" w:eastAsia="Times New Roman" w:hAnsi="Times New Roman"/>
          <w:sz w:val="16"/>
          <w:szCs w:val="16"/>
          <w:b w:val="1"/>
          <w:bCs w:val="1"/>
          <w:color w:val="auto"/>
        </w:rPr>
      </w:pPr>
    </w:p>
    <w:p>
      <w:pPr>
        <w:ind w:left="360" w:right="159" w:hanging="316"/>
        <w:spacing w:after="0" w:line="275" w:lineRule="auto"/>
        <w:tabs>
          <w:tab w:leader="none" w:pos="35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know of any matters that may come before the annual meeting other than the election of our Class II directors, the approval of the compensation of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72"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Where can I find the voting results?</w:t>
      </w:r>
    </w:p>
    <w:p>
      <w:pPr>
        <w:spacing w:after="0" w:line="128" w:lineRule="exact"/>
        <w:rPr>
          <w:rFonts w:ascii="Times New Roman" w:cs="Times New Roman" w:eastAsia="Times New Roman" w:hAnsi="Times New Roman"/>
          <w:sz w:val="16"/>
          <w:szCs w:val="16"/>
          <w:b w:val="1"/>
          <w:bCs w:val="1"/>
          <w:color w:val="auto"/>
        </w:rPr>
      </w:pPr>
    </w:p>
    <w:p>
      <w:pPr>
        <w:ind w:left="360" w:right="399" w:hanging="316"/>
        <w:spacing w:after="0" w:line="216" w:lineRule="exact"/>
        <w:tabs>
          <w:tab w:leader="none" w:pos="35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plan to announce preliminary voting results at the annual meeting and will report final voting results in a Current Report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within four business days following the end of our annual meeting.</w:t>
      </w:r>
    </w:p>
    <w:p>
      <w:pPr>
        <w:spacing w:after="0" w:line="80"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costs of soliciting these proxies?</w:t>
      </w:r>
    </w:p>
    <w:p>
      <w:pPr>
        <w:spacing w:after="0" w:line="128" w:lineRule="exact"/>
        <w:rPr>
          <w:rFonts w:ascii="Times New Roman" w:cs="Times New Roman" w:eastAsia="Times New Roman" w:hAnsi="Times New Roman"/>
          <w:sz w:val="16"/>
          <w:szCs w:val="16"/>
          <w:b w:val="1"/>
          <w:bCs w:val="1"/>
          <w:color w:val="auto"/>
        </w:rPr>
      </w:pPr>
    </w:p>
    <w:p>
      <w:pPr>
        <w:ind w:left="360" w:right="79" w:hanging="316"/>
        <w:spacing w:after="0" w:line="275" w:lineRule="auto"/>
        <w:tabs>
          <w:tab w:leader="none" w:pos="35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72"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Whom should I contact if I have any additional questions?</w:t>
      </w:r>
    </w:p>
    <w:p>
      <w:pPr>
        <w:spacing w:after="0" w:line="128" w:lineRule="exact"/>
        <w:rPr>
          <w:rFonts w:ascii="Times New Roman" w:cs="Times New Roman" w:eastAsia="Times New Roman" w:hAnsi="Times New Roman"/>
          <w:sz w:val="16"/>
          <w:szCs w:val="16"/>
          <w:b w:val="1"/>
          <w:bCs w:val="1"/>
          <w:color w:val="auto"/>
        </w:rPr>
      </w:pPr>
    </w:p>
    <w:p>
      <w:pPr>
        <w:ind w:left="360" w:right="379" w:hanging="316"/>
        <w:spacing w:after="0" w:line="205" w:lineRule="exact"/>
        <w:tabs>
          <w:tab w:leader="none" w:pos="35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hold your shares directly or have additional questions about the annual meeting, please contact us at Blueprint Medicines Corporation, 45 Sidney Street, Cambridge, Massachusetts 02139, Attn: Investor Relations, telephone: (617) 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6674, e-mail: ir@blueprintmedicines.com.</w:t>
      </w:r>
    </w:p>
    <w:p>
      <w:pPr>
        <w:spacing w:after="0" w:line="101" w:lineRule="exact"/>
        <w:rPr>
          <w:rFonts w:ascii="Times New Roman" w:cs="Times New Roman" w:eastAsia="Times New Roman" w:hAnsi="Times New Roman"/>
          <w:sz w:val="16"/>
          <w:szCs w:val="16"/>
          <w:color w:val="auto"/>
        </w:rPr>
      </w:pPr>
    </w:p>
    <w:p>
      <w:pPr>
        <w:ind w:left="360" w:right="31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1 — ELECTION OF DIRECTORS</w:t>
      </w:r>
    </w:p>
    <w:p>
      <w:pPr>
        <w:spacing w:after="0" w:line="129" w:lineRule="exact"/>
        <w:rPr>
          <w:sz w:val="20"/>
          <w:szCs w:val="20"/>
          <w:color w:val="auto"/>
        </w:rPr>
      </w:pPr>
    </w:p>
    <w:p>
      <w:pPr>
        <w:jc w:val="both"/>
        <w:ind w:left="40" w:right="79" w:firstLine="648"/>
        <w:spacing w:after="0" w:line="275" w:lineRule="auto"/>
        <w:rPr>
          <w:sz w:val="20"/>
          <w:szCs w:val="20"/>
          <w:color w:val="auto"/>
        </w:rPr>
      </w:pPr>
      <w:r>
        <w:rPr>
          <w:rFonts w:ascii="Times New Roman" w:cs="Times New Roman" w:eastAsia="Times New Roman" w:hAnsi="Times New Roman"/>
          <w:sz w:val="16"/>
          <w:szCs w:val="16"/>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term of office of our Class II directors, Alexis Borisy, Charles A. Rowland, Jr. and Lonnel Coats, will expire at the 2020</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annual meeting of stockholders. The nominees for Class II directors for election at the 2020 annual meeting of stockholders are</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Messrs. Borisy, Rowland and Coats. If any of Messrs. Borisy, Rowland and Coats are elected at the 2020 annual meeting of stockholders,</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such individual will be elected to serve for a three-year term that will expire at our 2023 annual meeting of stockholders and until such</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individual’s successor is elected and qualified.</w:t>
      </w:r>
    </w:p>
    <w:p>
      <w:pPr>
        <w:spacing w:after="0" w:line="119" w:lineRule="exact"/>
        <w:rPr>
          <w:sz w:val="20"/>
          <w:szCs w:val="20"/>
          <w:color w:val="auto"/>
        </w:rPr>
      </w:pPr>
    </w:p>
    <w:p>
      <w:pPr>
        <w:ind w:left="40" w:right="59" w:firstLine="648"/>
        <w:spacing w:after="0" w:line="281" w:lineRule="auto"/>
        <w:rPr>
          <w:sz w:val="20"/>
          <w:szCs w:val="20"/>
          <w:color w:val="auto"/>
        </w:rPr>
      </w:pPr>
      <w:r>
        <w:rPr>
          <w:rFonts w:ascii="Times New Roman" w:cs="Times New Roman" w:eastAsia="Times New Roman" w:hAnsi="Times New Roman"/>
          <w:sz w:val="16"/>
          <w:szCs w:val="16"/>
          <w:color w:val="auto"/>
        </w:rPr>
        <w:t>If no contrary indication is made, proxies in the accompanying form will be voted for Messrs. Borisy, Rowland and Coats or, in the event that any of Messrs. Borisy, Rowland and Coats is not a candidate or is unable to serve as a director at the time of the election (which is not currently expected), for any nominee who is designated by our board of directors to fill the vacancy.</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Information Regarding Directors</w:t>
      </w:r>
    </w:p>
    <w:p>
      <w:pPr>
        <w:spacing w:after="0" w:line="129"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Set forth below are the names and certain information for each member of our board of directors, including the nominees for election as Class II directors, as of March 31, 2020.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described in “—Director Nomination Process” the nominating and corporate governance committee expects of each director.</w:t>
      </w: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There are no family relationships among any of our directors or executive officers.</w:t>
      </w:r>
    </w:p>
    <w:p>
      <w:pPr>
        <w:spacing w:after="0" w:line="127" w:lineRule="exact"/>
        <w:rPr>
          <w:sz w:val="20"/>
          <w:szCs w:val="20"/>
          <w:color w:val="auto"/>
        </w:rPr>
      </w:pPr>
    </w:p>
    <w:p>
      <w:pPr>
        <w:ind w:left="40" w:right="219" w:firstLine="648"/>
        <w:spacing w:after="0" w:line="298" w:lineRule="auto"/>
        <w:rPr>
          <w:sz w:val="20"/>
          <w:szCs w:val="20"/>
          <w:color w:val="auto"/>
        </w:rPr>
      </w:pPr>
      <w:r>
        <w:rPr>
          <w:rFonts w:ascii="Times New Roman" w:cs="Times New Roman" w:eastAsia="Times New Roman" w:hAnsi="Times New Roman"/>
          <w:sz w:val="16"/>
          <w:szCs w:val="16"/>
          <w:color w:val="auto"/>
        </w:rPr>
        <w:t>Other than Mr. Coats and Drs. Goldberg and Seely, each of our directors was initially elected pursuant to a stockholders agreement that we entered into with the holders of our preferred stock, which terminated upon the closing of our initial public offering.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490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6"/>
        </w:trPr>
        <w:tc>
          <w:tcPr>
            <w:tcW w:w="2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top w:val="single" w:sz="8" w:color="auto"/>
            </w:tcBorders>
          </w:tcPr>
          <w:p>
            <w:pPr>
              <w:spacing w:after="0"/>
              <w:rPr>
                <w:sz w:val="17"/>
                <w:szCs w:val="17"/>
                <w:color w:val="auto"/>
              </w:rPr>
            </w:pP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Class I Directors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Goldberg, M.D. (1)(4)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202"/>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Nicholas Lydon, Ph.D. (3)(4)</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Class II Directors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Alexis Borisy (4)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Charles A. Rowland, Jr. (1)(2)</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Lonnel Coats (1)(3)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Class III Director Nominees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Daniel S. Lynch (2)</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Chairman of the Board, Director</w:t>
            </w:r>
          </w:p>
        </w:tc>
      </w:tr>
      <w:tr>
        <w:trPr>
          <w:trHeight w:val="20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George D. Demetri, M.D. (3)(4)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Lynn Seely, M.D. (2)(4)</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9" w:lineRule="exact"/>
        <w:rPr>
          <w:sz w:val="20"/>
          <w:szCs w:val="20"/>
          <w:color w:val="auto"/>
        </w:rPr>
      </w:pPr>
    </w:p>
    <w:p>
      <w:pPr>
        <w:ind w:left="360" w:hanging="316"/>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360" w:hanging="316"/>
        <w:spacing w:after="0" w:line="221"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60" w:hanging="316"/>
        <w:spacing w:after="0" w:line="221" w:lineRule="auto"/>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ind w:left="360" w:hanging="316"/>
        <w:spacing w:after="0"/>
        <w:tabs>
          <w:tab w:leader="none" w:pos="3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research and development committee.</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Class II Director Nominees—For a Three-Year Term Expiring at the 2023 Annual Meeting of Stockholders</w:t>
      </w:r>
    </w:p>
    <w:p>
      <w:pPr>
        <w:spacing w:after="0" w:line="127" w:lineRule="exact"/>
        <w:rPr>
          <w:sz w:val="20"/>
          <w:szCs w:val="20"/>
          <w:color w:val="auto"/>
        </w:rPr>
      </w:pPr>
    </w:p>
    <w:p>
      <w:pPr>
        <w:ind w:left="40" w:right="159" w:firstLine="648"/>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Alexis Borisy </w:t>
      </w:r>
      <w:r>
        <w:rPr>
          <w:rFonts w:ascii="Times New Roman" w:cs="Times New Roman" w:eastAsia="Times New Roman" w:hAnsi="Times New Roman"/>
          <w:sz w:val="16"/>
          <w:szCs w:val="16"/>
          <w:color w:val="auto"/>
        </w:rPr>
        <w:t>has served as a member of our board of directors since April 2011. Mr. Borisy co-founded Blueprint Medicines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served as our interim chief executive officer from May 2013 through July 2014. Mr. Borisy has served as the chairman and chief executive officer of EQRx, Inc. since January 2020. From 2010 until 2019, Mr. Borisy was a partner at Third Rock Ventures, or Third Rock, a life sciences venture capital firm focused on the formation, development and strategy of new companies. Since June 2015, Mr. Borisy has served as a member of the board of directors for Magenta Therapeutics, Inc. Since November 2014, Mr. Borisy has served as a member of the board of directors of Revolution Medicines, Inc. He also serves as a chairman on the board of directors of the following privately held biopharmaceutical companies: Celsius Therapeutics, Inc. and Relay and Tango Therapeutics, Inc. From November 2013 to March 2018, Mr. Borisy served as a member of the board of directors of Editas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6"/>
          <w:szCs w:val="16"/>
          <w:color w:val="auto"/>
        </w:rPr>
        <w:t>Medicine, Inc.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has served as a member of its board of directors between 2009 and 2018, including as chairman of Foundation Medicine’s board of directors from 2011 to February 2017. In 2000, Mr. Borisy founded CombinatoRx, Inc. and served as its chief executive officer and on its board of directors from 2000 to 2009. Mr. Borisy received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77"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Charles A. Rowland, Jr., MBA </w:t>
      </w:r>
      <w:r>
        <w:rPr>
          <w:rFonts w:ascii="Times New Roman" w:cs="Times New Roman" w:eastAsia="Times New Roman" w:hAnsi="Times New Roman"/>
          <w:sz w:val="16"/>
          <w:szCs w:val="16"/>
          <w:color w:val="auto"/>
        </w:rPr>
        <w:t>has served as a member of our board of directors since March 2015. From April 2016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February 2017, Mr. Rowland served as president and chief executive officer of Aurinia Pharmaceuticals Inc., or Aurinia, and as a member of the board of directors of Aurinia from July 2014 to February 2017. Mr. Rowland previously served as vice president and chief financial officer of ViroPharma Incorporated, or ViroPharma, an international biopharmaceutical company, from October 2008 until it was acquired by Shire plc in January 2014. Prior to joining ViroPharma, from 2006 to 2008, Mr. Rowland served as executive vice president and chief financial officer, as well as the interim co-chief executive officer, for Endo Pharmaceuticals Inc., a specialty pharmaceutical company with a primary focus in pain management. Mr. Rowland previously held positions of increasing responsibility at the following biopharmaceutical companies: Biovail Pharmaceuticals, Inc., Breakaway Technologies, Inc., Pharmacia Corporation, Novartis AG and Bristol-Myers Squibb Co. Mr. Rowland has served as a member of the board of directors and chairman of the audit committee and compensation committee of Orchard Therapeutics plc since June 2018, as a member of the board of directors, chairman of the compensation committee and member of the audit committee of Viking Therapeutics, Inc. since July 2017 and as a member of the board of directors and chairman of the audit committee and compensation committee of Nabriva Therapeutics, AG, a biotechnology company based in Dublin, Ireland, since January 2015. In addition, Mr. Rowland currently serves on the board of directors and as chairman of the audit committee of Generation Bio, a privately held biopharmaceutical company. Mr. Rowland served as a member of the board of directors and audit committee of Idenix Pharmaceuticals, Inc., a biopharmaceutical company, from June 2013 it was acquired by Merck &amp; Co., Inc. in August 2014. Mr. Rowland served as a member of the board of directors and chairman of the audit committee of Vitae Pharmaceuticals, Inc. from September 2014 until it was acquired by Allergan in September 2016. Mr. Rowland served as a member of the board of directors and chairman of the audit committee of BIND Therapeutics, Inc., or BIND, from May 2014 to July 2016. Mr. Rowland received a B.S. in Accounting from Saint Joseph’s University and an M.B.A. with a finance concentration from Rutgers University. We believe that Mr. Rowland’s extensive professional experience as a chief financial executive in the biotechnology and pharmaceutical industries and his experience serving as a director of various publicly traded biotechnology companies qualifies him to serve as a member of our board of directors.</w:t>
      </w:r>
    </w:p>
    <w:p>
      <w:pPr>
        <w:spacing w:after="0" w:line="77" w:lineRule="exact"/>
        <w:rPr>
          <w:sz w:val="20"/>
          <w:szCs w:val="20"/>
          <w:color w:val="auto"/>
        </w:rPr>
      </w:pPr>
    </w:p>
    <w:p>
      <w:pPr>
        <w:ind w:left="40" w:right="139"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Lonnel Coats </w:t>
      </w:r>
      <w:r>
        <w:rPr>
          <w:rFonts w:ascii="Times New Roman" w:cs="Times New Roman" w:eastAsia="Times New Roman" w:hAnsi="Times New Roman"/>
          <w:sz w:val="16"/>
          <w:szCs w:val="16"/>
          <w:color w:val="auto"/>
        </w:rPr>
        <w:t>has served as a member of our board of directors since February 2016. Since July 2014, Mr. Coats has served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and chief executive officer and a member of the board of directors of Lexicon Pharmaceuticals, Inc., or Lexicon, a biopharmaceutical company focused on the development of breakthrough therapies for the treatment of type 1 and type 2 diabetes and carcinoid syndrome. Prior to joining Lexicon, from 1996 through June 2014, Mr. Coats served in a series of leadership positions at Eisai Inc. and Eisai Corporation of North America, U.S. subsidiaries of Tokyo-based Eisai Co., Ltd., including as chief executive officer of Eisai Inc. from 2010 to June 2014 and as president and chief operating officer of Eisai Inc. from 2004 to 2010. Mr. Coats also previously held a variety of sales and management positions at Janssen Pharmaceuticals, Inc., a division of Johnson &amp; Johnson, from 1988 to 1996. Mr. Coats received a B.S.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Class III Directors — Term Expiring at the 2021 Annual Meeting of Stockholders</w:t>
      </w:r>
    </w:p>
    <w:p>
      <w:pPr>
        <w:spacing w:after="0" w:line="127" w:lineRule="exact"/>
        <w:rPr>
          <w:sz w:val="20"/>
          <w:szCs w:val="20"/>
          <w:color w:val="auto"/>
        </w:rPr>
      </w:pPr>
    </w:p>
    <w:p>
      <w:pPr>
        <w:ind w:left="40" w:right="79"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Daniel S. Lynch </w:t>
      </w:r>
      <w:r>
        <w:rPr>
          <w:rFonts w:ascii="Times New Roman" w:cs="Times New Roman" w:eastAsia="Times New Roman" w:hAnsi="Times New Roman"/>
          <w:sz w:val="16"/>
          <w:szCs w:val="16"/>
          <w:color w:val="auto"/>
        </w:rPr>
        <w:t>has served as chairman of our board of directors since September 2012. Mr. Lynch served as a venture partner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Third Rock from May 2013 to December 2016 and served as an entrepreneur-in-residence at Third Rock from May 2011 to May 2013 and interim chief executive officer of Surface Oncology, Inc., or Surface Oncology, from September 2017 to January 2018. Mr. Lynch has served as chairman of the board of directors and chairman of the compensation committee of Surface Oncology since</w:t>
      </w:r>
    </w:p>
    <w:p>
      <w:pPr>
        <w:ind w:left="40" w:right="79"/>
        <w:spacing w:after="0" w:line="266" w:lineRule="auto"/>
        <w:rPr>
          <w:sz w:val="20"/>
          <w:szCs w:val="20"/>
          <w:color w:val="auto"/>
        </w:rPr>
      </w:pPr>
      <w:r>
        <w:rPr>
          <w:rFonts w:ascii="Times New Roman" w:cs="Times New Roman" w:eastAsia="Times New Roman" w:hAnsi="Times New Roman"/>
          <w:sz w:val="16"/>
          <w:szCs w:val="16"/>
          <w:color w:val="auto"/>
        </w:rPr>
        <w:t>December 2016, chairman of the board of directors of Sesen Bio (formerly Eleven Biotherapeutics, Inc.) since December 2013, a member of the board of directors of Translate Bio, Inc., or Translate Bio, since June 2012 (including as chairman of the board of directors since March 2015) and as chairman of the board of directors of bluebird bio, Inc. since May 2011. In addition, Mr. Lynch has served as the chairman of the board of directors of SpringWorks Therapeutics, LLC since August 2019, as the executive chairman from August 2017 to August 2019, and as the interim chief executive officer between February 2018 and July 2018. Mr. Lynch served as a member of the board of directors of BIND from October 2012 to July 2016. From April 2001 to November 2005, Mr. Lynch served as the chief financial officer and then the chief executive officer of ImClone Systems Inc. Mr. Lynch received a B.A. in mathematics from Wesleyan University and an M.B.A. from the Darden Graduate School of Business Administration at the University of Virginia. We believe that Mr. Lynch’s experience as a senior executive and service on the boards of directors of other life sciences companies qualifies him to serve as a member of our board of directors.</w:t>
      </w:r>
    </w:p>
    <w:p>
      <w:pPr>
        <w:spacing w:after="0" w:line="82" w:lineRule="exact"/>
        <w:rPr>
          <w:sz w:val="20"/>
          <w:szCs w:val="20"/>
          <w:color w:val="auto"/>
        </w:rPr>
      </w:pPr>
    </w:p>
    <w:p>
      <w:pPr>
        <w:ind w:left="40" w:right="559"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George D. Demetri, M.D., FASCO </w:t>
      </w:r>
      <w:r>
        <w:rPr>
          <w:rFonts w:ascii="Times New Roman" w:cs="Times New Roman" w:eastAsia="Times New Roman" w:hAnsi="Times New Roman"/>
          <w:sz w:val="16"/>
          <w:szCs w:val="16"/>
          <w:color w:val="auto"/>
        </w:rPr>
        <w:t>has served as a member of our board of directors since December 2014. Since 1989,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Dr. Demetri has served on the faculty of the Dana-Farber Cancer Institute, or DFCI, and Harvard Medical School, where he is a</w:t>
      </w:r>
    </w:p>
    <w:p>
      <w:pPr>
        <w:sectPr>
          <w:pgSz w:w="11900" w:h="16838" w:orient="portrait"/>
          <w:cols w:equalWidth="0" w:num="1">
            <w:col w:w="9019"/>
          </w:cols>
          <w:pgMar w:left="1440" w:top="121"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2" w:name="page13"/>
    <w:bookmarkEnd w:id="12"/>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6"/>
          <w:szCs w:val="16"/>
          <w:color w:val="auto"/>
        </w:rPr>
        <w:t>Professor of Medicine and serves as a co-director of the Ludwig Center at Harvard. At DFCI, Dr. Demetri is the senior vice president for Experimental Therapeutics, as well as an associate director for clinical sciences at the NCI-designated Dana-Farber/Harvard Comprehensive Cancer Center Consortium. Dr. Demetri’s research and clinical interests have centered on mechanism-based drug development for solid tumors, with an emphasis on molecularly-defined subsets of sarcomas such as gastrointestinal stromal tumors. Dr. Demetri has contributed to the development of several new drugs for sarcomas and other malignancies, including imatinib, sunitinib, dasatinib, trabectedin, everolimus, pazopanib and regorafenib. He was also a member of the scientific advisory board for Plexxikon Inc. and helped to develop the mutant BRAF inhibitor, vemurafenib. In addition, Dr. Demetri has served as a member of the board of directors of Translate Bio since July 2019. Dr. Demetri also previously served as a member of the board of directors and organization and compensation committee of Merrimack Pharmaceuticals, Inc. between December 2017 and October 2019. Dr. Demetri serves as chair of the Science Policy and Government Affairs Committee for the American Association for Cancer Research as well as several other scientific and editorial advisory boards. Dr. Demetri received an A.B. in biochemistry from Harvard College and an M.D. from Stanford University School of Medicine. We believe that Dr. Demetri’s more than 25 years of experience as an oncologist and his significant leadership experience on various national and international scientific and company advisory boards qualifies him to serve as a member of our board of directors.</w:t>
      </w:r>
    </w:p>
    <w:p>
      <w:pPr>
        <w:spacing w:after="0" w:line="84"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Lynn Seely, M.D. </w:t>
      </w:r>
      <w:r>
        <w:rPr>
          <w:rFonts w:ascii="Times New Roman" w:cs="Times New Roman" w:eastAsia="Times New Roman" w:hAnsi="Times New Roman"/>
          <w:sz w:val="16"/>
          <w:szCs w:val="16"/>
          <w:color w:val="auto"/>
        </w:rPr>
        <w:t>has served as a member of our board of directors since April 2016. Since December 2019, Dr. Seely has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the chief executive officer of Myovant Sciences, Inc., or Myovant, a biopharmaceutical company focused on developing and commercializing innovative therapies for women’s health diseases and other endocrine-related disorders. Between June 2016 and December 2019, Dr. Seely served as the president and chief executive officer and a member of the board of directors of Myovant. Prior to joining Myovant, Dr. Seely served as the chief medical officer of Medivation, Inc., or Medivation, from March 2005 until her retirement in October 2015, including as senior vice president and chief medical officer from January 2009 to October 2015. In this role, Dr. Seely led the development of XTANDI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from September 2002 to March 2005,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from 2001 to 2002, and from 2000 to 2001, Dr. Seely served as vice president of clinical development at ProDuct Health, Inc., a privately held medical device company prior to its acquisition by Cytyc Corporation. Dr. Seely began her career as an associate director of clinical development at Chiron Corporation.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 We believe Dr. Seely is qualified to serve on our board of directors due to her extensive healthcare and life sciences experience.</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Class I Directors — Term Expiring at the 2022 Annual Meeting of Stockholders</w:t>
      </w:r>
    </w:p>
    <w:p>
      <w:pPr>
        <w:spacing w:after="0" w:line="127" w:lineRule="exact"/>
        <w:rPr>
          <w:sz w:val="20"/>
          <w:szCs w:val="20"/>
          <w:color w:val="auto"/>
        </w:rPr>
      </w:pPr>
    </w:p>
    <w:p>
      <w:pPr>
        <w:ind w:left="40" w:right="79"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Jeffrey W. Albers </w:t>
      </w:r>
      <w:r>
        <w:rPr>
          <w:rFonts w:ascii="Times New Roman" w:cs="Times New Roman" w:eastAsia="Times New Roman" w:hAnsi="Times New Roman"/>
          <w:sz w:val="16"/>
          <w:szCs w:val="16"/>
          <w:color w:val="auto"/>
        </w:rPr>
        <w:t>has served as our president and chief executive officer and a member of our board of directors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July 2014. In addition, Mr. Albers has served on the board of directors since July 2017 and is currently serving on the compensation committee of Magenta Therapeutics, Inc. Mr. Albers also currently serves on the board of directors of the New England Division of the American Cancer Society. Mr. Albers has over fifteen years of experience in leadership roles in the biopharmaceutical industry. Prior to joining us, from January 2012 to April 2014, he was president of Algeta ASA, or Algeta, a Norwegian biopharmaceutical company, where he was a member of the management team and oversaw the U.S. commercial and business functions. Prior to Algeta, from July 2005 to November 2011, Mr. Albers was at Genzyme Corporation, or Genzyme, a biotechnology company that is now a wholly-owned subsidiary of Sanofi S.A., most recently as vice president of the U.S. hematology and oncology business unit. Mr. Albers received a B.S. from Indiana University and an M.B.A. and a J.D. from Georgetown University. We believe that Mr. Albers’ leadership in the life sciences industry qualifies him to serve on our board of directors.</w:t>
      </w:r>
    </w:p>
    <w:p>
      <w:pPr>
        <w:spacing w:after="0" w:line="78"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Goldberg, M.D. </w:t>
      </w:r>
      <w:r>
        <w:rPr>
          <w:rFonts w:ascii="Times New Roman" w:cs="Times New Roman" w:eastAsia="Times New Roman" w:hAnsi="Times New Roman"/>
          <w:sz w:val="16"/>
          <w:szCs w:val="16"/>
          <w:color w:val="auto"/>
        </w:rPr>
        <w:t>has served as a member of our board of directors since June 2015. Dr. Goldberg has served as a member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board of directors of ImmunoGen, Inc. since November 2011, including currently serving as a member of its compensation committee and its governance and nomination committee, a member of the board of directors, governance and nomination committee and compensation committee of GlycoMimetics, Inc. since July 2014, a member of the board of directors and audit committee and scientific committee of Idera Pharmaceuticals, Inc. since March 2014, a member of the board of directors and compensation committee of Audentes Therapeutics, Inc. since December 2017, and from April 2015 until December 2017 was a member of the board of directors of aTyr Pharma, Inc. Dr. Goldberg served as a member of the board of directors of Synageva Biopharma Corp., or Synageva, from October 2008 until November 2011, when he stepped down to become a member of the executive management team at Synageva.</w:t>
      </w:r>
    </w:p>
    <w:p>
      <w:pPr>
        <w:spacing w:after="0" w:line="1" w:lineRule="exact"/>
        <w:rPr>
          <w:sz w:val="20"/>
          <w:szCs w:val="20"/>
          <w:color w:val="auto"/>
        </w:rPr>
      </w:pPr>
    </w:p>
    <w:p>
      <w:pPr>
        <w:ind w:left="40" w:right="439"/>
        <w:spacing w:after="0" w:line="268" w:lineRule="auto"/>
        <w:rPr>
          <w:sz w:val="20"/>
          <w:szCs w:val="20"/>
          <w:color w:val="auto"/>
        </w:rPr>
      </w:pPr>
      <w:r>
        <w:rPr>
          <w:rFonts w:ascii="Times New Roman" w:cs="Times New Roman" w:eastAsia="Times New Roman" w:hAnsi="Times New Roman"/>
          <w:sz w:val="16"/>
          <w:szCs w:val="16"/>
          <w:color w:val="auto"/>
        </w:rPr>
        <w:t>Dr. Goldberg served as a member of the executive management team at Synageva until late 2014, rising to executive vice president, medical and regulatory strategy. In late 2014, Dr. Goldberg stepped down from the executive management team at Synageva and continued to be employed part-time, contributing to medical and regulatory strategy until leaving Synageva in June 2015 upon its acquisition by Alexion Pharmaceuticals, Inc. Prior to joining Synageva, Dr. Goldberg served in various management capacities of increasing responsibility at Genzyme from November 1996 to July 2011, including most recently as senior vice president, clinical development and global therapeutic head, oncology, genetic health, and as chairman of Genzyme’s early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99"/>
        <w:spacing w:after="0" w:line="269" w:lineRule="auto"/>
        <w:rPr>
          <w:sz w:val="20"/>
          <w:szCs w:val="20"/>
          <w:color w:val="auto"/>
        </w:rPr>
      </w:pPr>
      <w:r>
        <w:rPr>
          <w:rFonts w:ascii="Times New Roman" w:cs="Times New Roman" w:eastAsia="Times New Roman" w:hAnsi="Times New Roman"/>
          <w:sz w:val="16"/>
          <w:szCs w:val="16"/>
          <w:color w:val="auto"/>
        </w:rPr>
        <w:t>product development board. Prior to joining Genzyme, Dr. Goldberg was a full-time staff physician at Brigham and Women’s Hospital and the Dana-Farber Cancer Institute, where he still holds appointments. Dr. Goldberg is a part-time Associate Professor of Medicine at Harvard Medical School. From 2010 to 2017, Dr. Goldberg served on the board of directors of the New England Division of the American Cancer Society. Since December 2017 he has chaired the eastern New England Board of the American Cancer Society and since January 2019 has been a member of the national board of directors of the American Cancer Society. Dr. Goldberg received an A.B. in biochemistry and molecular biology from Harvard University and an M.D. from Harvard Medical School. We believe Dr. Goldberg is qualified to serve on our board of directors due to his extensive healthcare and regulatory experience.</w:t>
      </w:r>
    </w:p>
    <w:p>
      <w:pPr>
        <w:spacing w:after="0" w:line="78"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Nicholas Lydon, Ph.D., FRS </w:t>
      </w:r>
      <w:r>
        <w:rPr>
          <w:rFonts w:ascii="Times New Roman" w:cs="Times New Roman" w:eastAsia="Times New Roman" w:hAnsi="Times New Roman"/>
          <w:sz w:val="16"/>
          <w:szCs w:val="16"/>
          <w:color w:val="auto"/>
        </w:rPr>
        <w:t>is a scientific founder of Blueprint Medicines and has served as a member of our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since April 2011. Dr. Lydon is a co-founder and scientific advisor of OncoSTAT, Inc. and has served as a member of its board of directors and scientific advisor since 2019. Dr. Lydon is a member of VB Therapeutics LLC, which he co-founded in 2019. In addition, Dr. Lydon currently serves as the manager of Staurus Biopharma, LLC, a privately held biopharmaceutical company that he co-founded. Dr. Lydon is a co-founder of AnaptysBio Inc. and served as a scientific advisor and member of its board of directors between 2006 and 2019. From 2003 to 2009, Dr. Lydon served as a scientific advisor and member of the board of directors of Ambit Biosciences Corp., a biopharmaceutical company. From 2000 to 2002, Dr. Lydon served as vice president, small molecule drug discovery, at Amgen, Inc., or Amgen. Prior to joining Amgen, in 1997, Dr. Lydon founded Kinetix Pharmaceuticals, Inc., or Kinetix, a biotechnology company focused on the discovery and development of selective protein kinase inhibitors, which was acquired by Amgen in 2000, and served as Kinetix’s chief executive officer and member of its board of directors. Prior to founding Kinetix, Dr. Lydon worked for Ciba-Giegy AG (now Novartis AG) where he was responsible for the tyrosine protein kinase program, including the discovery and preclinical development of imatinib. Dr. Lydon, has been awarded the Lasker-DeBakey Clinical Medical Research Award and the Japan Prize for his role in the development of imatinib.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Recommendation of the Board of Directors</w:t>
      </w:r>
    </w:p>
    <w:p>
      <w:pPr>
        <w:spacing w:after="0" w:line="125" w:lineRule="exact"/>
        <w:rPr>
          <w:sz w:val="20"/>
          <w:szCs w:val="20"/>
          <w:color w:val="auto"/>
        </w:rPr>
      </w:pPr>
    </w:p>
    <w:p>
      <w:pPr>
        <w:ind w:left="40" w:right="279" w:firstLine="648"/>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STOCKHOLDERS VOTE “ </w:t>
      </w:r>
      <w:r>
        <w:rPr>
          <w:rFonts w:ascii="Times New Roman" w:cs="Times New Roman" w:eastAsia="Times New Roman" w:hAnsi="Times New Roman"/>
          <w:sz w:val="16"/>
          <w:szCs w:val="16"/>
          <w:b w:val="1"/>
          <w:bCs w:val="1"/>
          <w:i w:val="1"/>
          <w:iCs w:val="1"/>
          <w:u w:val="single" w:color="auto"/>
          <w:color w:val="auto"/>
        </w:rPr>
        <w:t>FOR</w:t>
      </w:r>
      <w:r>
        <w:rPr>
          <w:rFonts w:ascii="Times New Roman" w:cs="Times New Roman" w:eastAsia="Times New Roman" w:hAnsi="Times New Roman"/>
          <w:sz w:val="16"/>
          <w:szCs w:val="16"/>
          <w:b w:val="1"/>
          <w:bCs w:val="1"/>
          <w:color w:val="auto"/>
        </w:rPr>
        <w:t xml:space="preserve"> ” THE ELECTION OF ALEXIS BORISY, CHARLES A. ROWLAND, JR. AND LONNEL COATS TO SERVE AS CLASS II DIRECTORS.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29" w:lineRule="exact"/>
        <w:rPr>
          <w:sz w:val="20"/>
          <w:szCs w:val="20"/>
          <w:color w:val="auto"/>
        </w:rPr>
      </w:pPr>
    </w:p>
    <w:p>
      <w:pPr>
        <w:ind w:left="40" w:right="179" w:firstLine="648"/>
        <w:spacing w:after="0" w:line="207" w:lineRule="exact"/>
        <w:rPr>
          <w:sz w:val="20"/>
          <w:szCs w:val="20"/>
          <w:color w:val="auto"/>
        </w:rPr>
      </w:pPr>
      <w:r>
        <w:rPr>
          <w:rFonts w:ascii="Times New Roman" w:cs="Times New Roman" w:eastAsia="Times New Roman" w:hAnsi="Times New Roman"/>
          <w:sz w:val="16"/>
          <w:szCs w:val="16"/>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&amp; Media — Corporate Governance” section of our website, which is located at </w:t>
      </w:r>
      <w:r>
        <w:rPr>
          <w:rFonts w:ascii="Times New Roman" w:cs="Times New Roman" w:eastAsia="Times New Roman" w:hAnsi="Times New Roman"/>
          <w:sz w:val="16"/>
          <w:szCs w:val="16"/>
          <w:i w:val="1"/>
          <w:iCs w:val="1"/>
          <w:color w:val="auto"/>
        </w:rPr>
        <w:t>http://ir.blueprintmedicines.com</w:t>
      </w:r>
      <w:r>
        <w:rPr>
          <w:rFonts w:ascii="Times New Roman" w:cs="Times New Roman" w:eastAsia="Times New Roman" w:hAnsi="Times New Roman"/>
          <w:sz w:val="16"/>
          <w:szCs w:val="16"/>
          <w:color w:val="auto"/>
        </w:rPr>
        <w:t xml:space="preserve"> . Alternatively, you can request a copy of any of these documents by contacting us at Blueprint Medicines Corporation, 45 Sidney Street, Cambridge, Massachusetts 02139, Attn: Investor Relations, telephone: (617) 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6674, e-mail: ir@blueprintmedicines.com.</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 and Corporate Governance Guidelines</w:t>
      </w:r>
    </w:p>
    <w:p>
      <w:pPr>
        <w:spacing w:after="0" w:line="129" w:lineRule="exact"/>
        <w:rPr>
          <w:sz w:val="20"/>
          <w:szCs w:val="20"/>
          <w:color w:val="auto"/>
        </w:rPr>
      </w:pPr>
    </w:p>
    <w:p>
      <w:pPr>
        <w:ind w:left="40" w:right="119" w:firstLine="648"/>
        <w:spacing w:after="0" w:line="207" w:lineRule="exact"/>
        <w:rPr>
          <w:sz w:val="20"/>
          <w:szCs w:val="20"/>
          <w:color w:val="auto"/>
        </w:rPr>
      </w:pPr>
      <w:r>
        <w:rPr>
          <w:rFonts w:ascii="Times New Roman" w:cs="Times New Roman" w:eastAsia="Times New Roman" w:hAnsi="Times New Roman"/>
          <w:sz w:val="16"/>
          <w:szCs w:val="16"/>
          <w:color w:val="auto"/>
        </w:rPr>
        <w:t xml:space="preserve">Our board of directors has adopted a written code of business conduct and ethics, as amended, that applies to our directors, officers and employees, including our principal executive officer, principal financial officer, principal accounting officer or controller, or persons performing similar functions. A copy of the code of business conduct and ethics is available on the “Investors &amp; Media — Corporate Governance” section of our website, which is located at </w:t>
      </w:r>
      <w:r>
        <w:rPr>
          <w:rFonts w:ascii="Times New Roman" w:cs="Times New Roman" w:eastAsia="Times New Roman" w:hAnsi="Times New Roman"/>
          <w:sz w:val="16"/>
          <w:szCs w:val="16"/>
          <w:i w:val="1"/>
          <w:iCs w:val="1"/>
          <w:color w:val="auto"/>
        </w:rPr>
        <w:t>http://ir.blueprintmedicines.com</w:t>
      </w:r>
      <w:r>
        <w:rPr>
          <w:rFonts w:ascii="Times New Roman" w:cs="Times New Roman" w:eastAsia="Times New Roman" w:hAnsi="Times New Roman"/>
          <w:sz w:val="16"/>
          <w:szCs w:val="16"/>
          <w:color w:val="auto"/>
        </w:rPr>
        <w:t xml:space="preserve"> . We intend to disclose on our website any amendments to, or waivers from, the code of business conduct and ethics that are required to be disclosed pursuant to the disclosure requirements of Item 5.05 of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86" w:lineRule="exact"/>
        <w:rPr>
          <w:sz w:val="20"/>
          <w:szCs w:val="20"/>
          <w:color w:val="auto"/>
        </w:rPr>
      </w:pPr>
    </w:p>
    <w:p>
      <w:pPr>
        <w:ind w:left="40" w:right="339" w:firstLine="648"/>
        <w:spacing w:after="0" w:line="275" w:lineRule="auto"/>
        <w:rPr>
          <w:sz w:val="20"/>
          <w:szCs w:val="20"/>
          <w:color w:val="auto"/>
        </w:rPr>
      </w:pPr>
      <w:r>
        <w:rPr>
          <w:rFonts w:ascii="Times New Roman" w:cs="Times New Roman" w:eastAsia="Times New Roman" w:hAnsi="Times New Roman"/>
          <w:sz w:val="16"/>
          <w:szCs w:val="16"/>
          <w:color w:val="auto"/>
        </w:rPr>
        <w:t xml:space="preserve">Our board of directors has also adopted corporate governance guidelines to assist in the exercise of its duties and responsibilities and to serve the best interests of our company and our stockholders. A copy of the corporate governance guidelines is available on the “Investors &amp; Media — Corporate Governance” section of our website, which is located at </w:t>
      </w:r>
      <w:r>
        <w:rPr>
          <w:rFonts w:ascii="Times New Roman" w:cs="Times New Roman" w:eastAsia="Times New Roman" w:hAnsi="Times New Roman"/>
          <w:sz w:val="16"/>
          <w:szCs w:val="16"/>
          <w:i w:val="1"/>
          <w:iCs w:val="1"/>
          <w:color w:val="auto"/>
        </w:rPr>
        <w:t xml:space="preserve">http://ir.blueprintmedicines.com </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Leadership Structure and Risk Oversight</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Board Leadership Structure</w:t>
      </w:r>
    </w:p>
    <w:p>
      <w:pPr>
        <w:spacing w:after="0" w:line="131" w:lineRule="exact"/>
        <w:rPr>
          <w:sz w:val="20"/>
          <w:szCs w:val="20"/>
          <w:color w:val="auto"/>
        </w:rPr>
      </w:pPr>
    </w:p>
    <w:p>
      <w:pPr>
        <w:ind w:left="40" w:right="179" w:firstLine="648"/>
        <w:spacing w:after="0" w:line="267" w:lineRule="auto"/>
        <w:rPr>
          <w:sz w:val="20"/>
          <w:szCs w:val="20"/>
          <w:color w:val="auto"/>
        </w:rPr>
      </w:pPr>
      <w:r>
        <w:rPr>
          <w:rFonts w:ascii="Times New Roman" w:cs="Times New Roman" w:eastAsia="Times New Roman" w:hAnsi="Times New Roman"/>
          <w:sz w:val="16"/>
          <w:szCs w:val="16"/>
          <w:color w:val="auto"/>
        </w:rPr>
        <w:t>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chairman of the board of directors, with Mr. Albers serving as our president and chief executive officer and Mr. Lynch serving as chairman of the board of directors. As president and chief executive officer, Mr. Albers is responsible for setting the strategic direction for our company and the day-to-day leadership and performance of our company, while Mr. Lynch, as chairman of the board of directors, presides over meetings of the board of directors, including executive sessions of the board of directors, and performs oversight responsibilities. The board of directors has not appointed a lead independent director. 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proceedings.</w:t>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Risk Oversight</w:t>
      </w:r>
    </w:p>
    <w:p>
      <w:pPr>
        <w:spacing w:after="0" w:line="131" w:lineRule="exact"/>
        <w:rPr>
          <w:sz w:val="20"/>
          <w:szCs w:val="20"/>
          <w:color w:val="auto"/>
        </w:rPr>
      </w:pPr>
    </w:p>
    <w:p>
      <w:pPr>
        <w:ind w:left="40" w:right="99" w:firstLine="648"/>
        <w:spacing w:after="0" w:line="272" w:lineRule="auto"/>
        <w:rPr>
          <w:sz w:val="20"/>
          <w:szCs w:val="20"/>
          <w:color w:val="auto"/>
        </w:rPr>
      </w:pPr>
      <w:r>
        <w:rPr>
          <w:rFonts w:ascii="Times New Roman" w:cs="Times New Roman" w:eastAsia="Times New Roman" w:hAnsi="Times New Roman"/>
          <w:sz w:val="16"/>
          <w:szCs w:val="16"/>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78"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Determination of Independence</w:t>
      </w:r>
    </w:p>
    <w:p>
      <w:pPr>
        <w:spacing w:after="0" w:line="129" w:lineRule="exact"/>
        <w:rPr>
          <w:sz w:val="20"/>
          <w:szCs w:val="20"/>
          <w:color w:val="auto"/>
        </w:rPr>
      </w:pPr>
    </w:p>
    <w:p>
      <w:pPr>
        <w:ind w:left="40" w:right="179" w:firstLine="648"/>
        <w:spacing w:after="0" w:line="281" w:lineRule="auto"/>
        <w:rPr>
          <w:sz w:val="20"/>
          <w:szCs w:val="20"/>
          <w:color w:val="auto"/>
        </w:rPr>
      </w:pPr>
      <w:r>
        <w:rPr>
          <w:rFonts w:ascii="Times New Roman" w:cs="Times New Roman" w:eastAsia="Times New Roman" w:hAnsi="Times New Roman"/>
          <w:sz w:val="16"/>
          <w:szCs w:val="16"/>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79"/>
        <w:spacing w:after="0" w:line="203" w:lineRule="exact"/>
        <w:rPr>
          <w:sz w:val="20"/>
          <w:szCs w:val="20"/>
          <w:color w:val="auto"/>
        </w:rPr>
      </w:pPr>
      <w:r>
        <w:rPr>
          <w:rFonts w:ascii="Times New Roman" w:cs="Times New Roman" w:eastAsia="Times New Roman" w:hAnsi="Times New Roman"/>
          <w:sz w:val="16"/>
          <w:szCs w:val="16"/>
          <w:color w:val="auto"/>
        </w:rPr>
        <w:t>the Securities Exchange Act of 1934, as amended, or the Exchange Act. Audit committee members must also satisfy the independence criteria set forth in Rule 10A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under the Exchange Act, and compensation committee members must also satisfy the independence criteria set forth in Rule 10C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10" w:lineRule="exact"/>
        <w:rPr>
          <w:sz w:val="20"/>
          <w:szCs w:val="20"/>
          <w:color w:val="auto"/>
        </w:rPr>
      </w:pPr>
    </w:p>
    <w:p>
      <w:pPr>
        <w:ind w:left="40" w:right="59" w:firstLine="648"/>
        <w:spacing w:after="0" w:line="204" w:lineRule="exact"/>
        <w:rPr>
          <w:sz w:val="20"/>
          <w:szCs w:val="20"/>
          <w:color w:val="auto"/>
        </w:rPr>
      </w:pPr>
      <w:r>
        <w:rPr>
          <w:rFonts w:ascii="Times New Roman" w:cs="Times New Roman" w:eastAsia="Times New Roman" w:hAnsi="Times New Roman"/>
          <w:sz w:val="16"/>
          <w:szCs w:val="16"/>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is an “independent director” as defined under Rule 5605(a)(2) of the Nasdaq Listing Rules. Mr. Albers is not an independent director under Rule 5605(a)(2) because he is our president and chief executive officer. Our board of directors also determined that Charles A. Rowland, Jr., Lonnel Coats and Mark Goldberg, who comprise our audit committee, Daniel S. Lynch, Charles A. Rowland, Jr. and Lynn Seely, who comprise our compensation committee, and George D. Demetri, Lonnel Coats and Nicholas Lydon, who comprise our nominating and corporate governance committee, satisfy the independence standards for such committees established by the SEC and the Nasdaq Listing Rules, as applicable, including in the case of all members of the audit committee, the independence requirements contemplated by Rule 10A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under the Exchange Act and in the case of all members of the compensation committee, the independence requirements contemplated by Rule 10C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of Director Meetings and Attendance</w:t>
      </w:r>
    </w:p>
    <w:p>
      <w:pPr>
        <w:spacing w:after="0" w:line="129" w:lineRule="exact"/>
        <w:rPr>
          <w:sz w:val="20"/>
          <w:szCs w:val="20"/>
          <w:color w:val="auto"/>
        </w:rPr>
      </w:pPr>
    </w:p>
    <w:p>
      <w:pPr>
        <w:ind w:left="40" w:right="59" w:firstLine="648"/>
        <w:spacing w:after="0" w:line="275" w:lineRule="auto"/>
        <w:rPr>
          <w:sz w:val="20"/>
          <w:szCs w:val="20"/>
          <w:color w:val="auto"/>
        </w:rPr>
      </w:pPr>
      <w:r>
        <w:rPr>
          <w:rFonts w:ascii="Times New Roman" w:cs="Times New Roman" w:eastAsia="Times New Roman" w:hAnsi="Times New Roman"/>
          <w:sz w:val="16"/>
          <w:szCs w:val="16"/>
          <w:color w:val="auto"/>
        </w:rPr>
        <w:t>Our board of directors held 12 meetings and acted by unanimous written consent once during the year ended December 31, 2019. During the year ended December 31, 2019, each of the directors then in office attended at least 75% of the aggregate of the number of board of director meetings and the number of meetings held by all committees of the board of directors on which such director then served.</w:t>
      </w:r>
    </w:p>
    <w:p>
      <w:pPr>
        <w:spacing w:after="0" w:line="75" w:lineRule="exact"/>
        <w:rPr>
          <w:sz w:val="20"/>
          <w:szCs w:val="20"/>
          <w:color w:val="auto"/>
        </w:rPr>
      </w:pPr>
    </w:p>
    <w:p>
      <w:pPr>
        <w:jc w:val="both"/>
        <w:ind w:left="40" w:right="79" w:firstLine="648"/>
        <w:spacing w:after="0" w:line="281" w:lineRule="auto"/>
        <w:rPr>
          <w:sz w:val="20"/>
          <w:szCs w:val="20"/>
          <w:color w:val="auto"/>
        </w:rPr>
      </w:pPr>
      <w:r>
        <w:rPr>
          <w:rFonts w:ascii="Times New Roman" w:cs="Times New Roman" w:eastAsia="Times New Roman" w:hAnsi="Times New Roman"/>
          <w:sz w:val="16"/>
          <w:szCs w:val="16"/>
          <w:color w:val="auto"/>
        </w:rPr>
        <w:t>Although we do not have a formal policy regarding attendance by members of our board of directors at our annual meeting, we encourage all of our directors to attend. All members of our board of directors who were then directors attended our 2019 annual meeting of stockholders, or 2019 Annual Meeting.</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Communicating with the Board of Directors</w:t>
      </w:r>
    </w:p>
    <w:p>
      <w:pPr>
        <w:spacing w:after="0" w:line="129" w:lineRule="exact"/>
        <w:rPr>
          <w:sz w:val="20"/>
          <w:szCs w:val="20"/>
          <w:color w:val="auto"/>
        </w:rPr>
      </w:pPr>
    </w:p>
    <w:p>
      <w:pPr>
        <w:ind w:left="40" w:right="279" w:firstLine="648"/>
        <w:spacing w:after="0" w:line="281" w:lineRule="auto"/>
        <w:rPr>
          <w:sz w:val="20"/>
          <w:szCs w:val="20"/>
          <w:color w:val="auto"/>
        </w:rPr>
      </w:pPr>
      <w:r>
        <w:rPr>
          <w:rFonts w:ascii="Times New Roman" w:cs="Times New Roman" w:eastAsia="Times New Roman" w:hAnsi="Times New Roman"/>
          <w:sz w:val="16"/>
          <w:szCs w:val="16"/>
          <w:color w:val="auto"/>
        </w:rPr>
        <w:t>Our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69" w:lineRule="exact"/>
        <w:rPr>
          <w:sz w:val="20"/>
          <w:szCs w:val="20"/>
          <w:color w:val="auto"/>
        </w:rPr>
      </w:pPr>
    </w:p>
    <w:p>
      <w:pPr>
        <w:ind w:left="40" w:right="319" w:firstLine="648"/>
        <w:spacing w:after="0" w:line="275" w:lineRule="auto"/>
        <w:rPr>
          <w:sz w:val="20"/>
          <w:szCs w:val="20"/>
          <w:color w:val="auto"/>
        </w:rPr>
      </w:pPr>
      <w:r>
        <w:rPr>
          <w:rFonts w:ascii="Times New Roman" w:cs="Times New Roman" w:eastAsia="Times New Roman" w:hAnsi="Times New Roman"/>
          <w:sz w:val="16"/>
          <w:szCs w:val="16"/>
          <w:color w:val="auto"/>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29" w:lineRule="exact"/>
        <w:rPr>
          <w:sz w:val="20"/>
          <w:szCs w:val="20"/>
          <w:color w:val="auto"/>
        </w:rPr>
      </w:pPr>
    </w:p>
    <w:p>
      <w:pPr>
        <w:ind w:left="40" w:right="159" w:firstLine="648"/>
        <w:spacing w:after="0" w:line="275" w:lineRule="auto"/>
        <w:rPr>
          <w:sz w:val="20"/>
          <w:szCs w:val="20"/>
          <w:color w:val="auto"/>
        </w:rPr>
      </w:pPr>
      <w:r>
        <w:rPr>
          <w:rFonts w:ascii="Times New Roman" w:cs="Times New Roman" w:eastAsia="Times New Roman" w:hAnsi="Times New Roman"/>
          <w:sz w:val="16"/>
          <w:szCs w:val="16"/>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 &amp; Media — Corporate Governance” section of our website, which is located at </w:t>
      </w:r>
      <w:r>
        <w:rPr>
          <w:rFonts w:ascii="Times New Roman" w:cs="Times New Roman" w:eastAsia="Times New Roman" w:hAnsi="Times New Roman"/>
          <w:sz w:val="16"/>
          <w:szCs w:val="16"/>
          <w:i w:val="1"/>
          <w:iCs w:val="1"/>
          <w:color w:val="auto"/>
        </w:rPr>
        <w:t>http://ir.blueprintmedicines.com</w:t>
      </w:r>
      <w:r>
        <w:rPr>
          <w:rFonts w:ascii="Times New Roman" w:cs="Times New Roman" w:eastAsia="Times New Roman" w:hAnsi="Times New Roman"/>
          <w:sz w:val="16"/>
          <w:szCs w:val="16"/>
          <w:color w:val="auto"/>
        </w:rPr>
        <w:t xml:space="preserve"> .</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audit committee’s responsibilities include:</w:t>
      </w:r>
    </w:p>
    <w:p>
      <w:pPr>
        <w:spacing w:after="0" w:line="127" w:lineRule="exact"/>
        <w:rPr>
          <w:sz w:val="20"/>
          <w:szCs w:val="20"/>
          <w:color w:val="auto"/>
        </w:rPr>
      </w:pPr>
    </w:p>
    <w:p>
      <w:pPr>
        <w:ind w:left="1340" w:right="379" w:hanging="324"/>
        <w:spacing w:after="0" w:line="268" w:lineRule="auto"/>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6" w:name="page17"/>
    <w:bookmarkEnd w:id="16"/>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1340" w:right="399" w:hanging="324"/>
        <w:spacing w:after="0" w:line="268"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pre-approving auditing and permissible non-audit services, and the terms of such services, to be provided by our independent registered public accounting firm;</w:t>
      </w:r>
    </w:p>
    <w:p>
      <w:pPr>
        <w:spacing w:after="0" w:line="76" w:lineRule="exact"/>
        <w:rPr>
          <w:rFonts w:ascii="Times New Roman" w:cs="Times New Roman" w:eastAsia="Times New Roman" w:hAnsi="Times New Roman"/>
          <w:sz w:val="18"/>
          <w:szCs w:val="18"/>
          <w:color w:val="auto"/>
        </w:rPr>
      </w:pPr>
    </w:p>
    <w:p>
      <w:pPr>
        <w:ind w:left="1340" w:right="919" w:hanging="324"/>
        <w:spacing w:after="0" w:line="268"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the overall audit plan with our independent registered public accounting firm and members of management responsible for preparing our financial statements;</w:t>
      </w:r>
    </w:p>
    <w:p>
      <w:pPr>
        <w:spacing w:after="0" w:line="76" w:lineRule="exact"/>
        <w:rPr>
          <w:rFonts w:ascii="Times New Roman" w:cs="Times New Roman" w:eastAsia="Times New Roman" w:hAnsi="Times New Roman"/>
          <w:sz w:val="18"/>
          <w:szCs w:val="18"/>
          <w:color w:val="auto"/>
        </w:rPr>
      </w:pPr>
    </w:p>
    <w:p>
      <w:pPr>
        <w:ind w:left="1340" w:right="139" w:hanging="324"/>
        <w:spacing w:after="0" w:line="268"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coordinating the oversight and 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1340" w:right="259" w:hanging="324"/>
        <w:spacing w:after="0" w:line="211" w:lineRule="exact"/>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recommending, based upon the audit committee’s review and discussions with management and the independent registered public accounting firm, whether our audited financial statements shall be included in our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57" w:lineRule="exact"/>
        <w:rPr>
          <w:rFonts w:ascii="Times New Roman" w:cs="Times New Roman" w:eastAsia="Times New Roman" w:hAnsi="Times New Roman"/>
          <w:sz w:val="18"/>
          <w:szCs w:val="18"/>
          <w:color w:val="auto"/>
        </w:rPr>
      </w:pPr>
    </w:p>
    <w:p>
      <w:pPr>
        <w:ind w:left="1340" w:hanging="324"/>
        <w:spacing w:after="0" w:line="207" w:lineRule="exact"/>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approving all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p>
      <w:pPr>
        <w:spacing w:after="0" w:line="143" w:lineRule="exact"/>
        <w:rPr>
          <w:rFonts w:ascii="Times New Roman" w:cs="Times New Roman" w:eastAsia="Times New Roman" w:hAnsi="Times New Roman"/>
          <w:sz w:val="18"/>
          <w:szCs w:val="18"/>
          <w:color w:val="auto"/>
        </w:rPr>
      </w:pPr>
    </w:p>
    <w:p>
      <w:pPr>
        <w:ind w:left="1340" w:right="319" w:hanging="324"/>
        <w:spacing w:after="0" w:line="268"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monitoring the integrity of our financial statements and our compliance with legal and regulatory requirements as they relate to our financial statements and accounting matters;</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preparing the audit committee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1340" w:right="919" w:hanging="324"/>
        <w:spacing w:after="0" w:line="268" w:lineRule="auto"/>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all related party transactions for potential conflict of interest situations and approving all such transactions; and</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quarterly earnings releases as well as any other press releases containing financial information.</w:t>
      </w:r>
    </w:p>
    <w:p>
      <w:pPr>
        <w:spacing w:after="0" w:line="117" w:lineRule="exact"/>
        <w:rPr>
          <w:sz w:val="20"/>
          <w:szCs w:val="20"/>
          <w:color w:val="auto"/>
        </w:rPr>
      </w:pPr>
    </w:p>
    <w:p>
      <w:pPr>
        <w:ind w:left="40" w:right="159" w:firstLine="648"/>
        <w:spacing w:after="0" w:line="281" w:lineRule="auto"/>
        <w:rPr>
          <w:sz w:val="20"/>
          <w:szCs w:val="20"/>
          <w:color w:val="auto"/>
        </w:rPr>
      </w:pPr>
      <w:r>
        <w:rPr>
          <w:rFonts w:ascii="Times New Roman" w:cs="Times New Roman" w:eastAsia="Times New Roman" w:hAnsi="Times New Roman"/>
          <w:sz w:val="16"/>
          <w:szCs w:val="16"/>
          <w:color w:val="auto"/>
        </w:rPr>
        <w:t>The members of our audit committee are Charles A. Rowland, Jr., Lonnel Coats and Mark Goldberg. Mr. Rowland serves as chair of the audit committee. Our board of directors has determined that Mr. Rowland qualifies as an “audit committee financial expert” within the meaning of applicable SEC rules. The audit committee held five meetings during the year ended December 31, 2019.</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compensation committee’s responsibilities include:</w:t>
      </w:r>
    </w:p>
    <w:p>
      <w:pPr>
        <w:spacing w:after="0" w:line="127" w:lineRule="exact"/>
        <w:rPr>
          <w:sz w:val="20"/>
          <w:szCs w:val="20"/>
          <w:color w:val="auto"/>
        </w:rPr>
      </w:pPr>
    </w:p>
    <w:p>
      <w:pPr>
        <w:ind w:left="1340" w:right="79" w:hanging="324"/>
        <w:spacing w:after="0" w:line="268" w:lineRule="auto"/>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annually reviewing and approving corporate goals and objectives relevant to the compensation of our chief executive officer;</w:t>
      </w:r>
    </w:p>
    <w:p>
      <w:pPr>
        <w:spacing w:after="0" w:line="76" w:lineRule="exact"/>
        <w:rPr>
          <w:rFonts w:ascii="Times New Roman" w:cs="Times New Roman" w:eastAsia="Times New Roman" w:hAnsi="Times New Roman"/>
          <w:sz w:val="18"/>
          <w:szCs w:val="18"/>
          <w:color w:val="auto"/>
        </w:rPr>
      </w:pPr>
    </w:p>
    <w:p>
      <w:pPr>
        <w:ind w:left="1340" w:right="679" w:hanging="324"/>
        <w:spacing w:after="0" w:line="268" w:lineRule="auto"/>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evaluating the performance of our chief executive officer in light of such corporate goals and objectives and determining the compensation of our chief executive officer;</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approving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establishing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approving our policies and procedures for the grant of equity-based awards;</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making recommendations to the board of directors with respect to director compensation; and</w:t>
      </w:r>
    </w:p>
    <w:p>
      <w:pPr>
        <w:spacing w:after="0" w:line="117" w:lineRule="exact"/>
        <w:rPr>
          <w:rFonts w:ascii="Times New Roman" w:cs="Times New Roman" w:eastAsia="Times New Roman" w:hAnsi="Times New Roman"/>
          <w:sz w:val="18"/>
          <w:szCs w:val="18"/>
          <w:color w:val="auto"/>
        </w:rPr>
      </w:pPr>
    </w:p>
    <w:p>
      <w:pPr>
        <w:ind w:left="1340" w:right="259" w:hanging="324"/>
        <w:spacing w:after="0" w:line="216" w:lineRule="exact"/>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reviewing and discussing with management the compensation discussion and analysis to be included in our annual proxy statement or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83" w:lineRule="exact"/>
        <w:rPr>
          <w:sz w:val="20"/>
          <w:szCs w:val="20"/>
          <w:color w:val="auto"/>
        </w:rPr>
      </w:pPr>
    </w:p>
    <w:p>
      <w:pPr>
        <w:jc w:val="both"/>
        <w:ind w:left="40" w:right="159" w:firstLine="648"/>
        <w:spacing w:after="0" w:line="298" w:lineRule="auto"/>
        <w:rPr>
          <w:sz w:val="20"/>
          <w:szCs w:val="20"/>
          <w:color w:val="auto"/>
        </w:rPr>
      </w:pPr>
      <w:r>
        <w:rPr>
          <w:rFonts w:ascii="Times New Roman" w:cs="Times New Roman" w:eastAsia="Times New Roman" w:hAnsi="Times New Roman"/>
          <w:sz w:val="16"/>
          <w:szCs w:val="16"/>
          <w:color w:val="auto"/>
        </w:rPr>
        <w:t>The members of our compensation committee are Daniel S. Lynch, Charles A. Rowland, Jr. and Lynn Seely. Mr. Lynch serves as chair of the compensation committee. The compensation committee held seven meetings during the year ended December 31, 2019.</w:t>
      </w:r>
    </w:p>
    <w:p>
      <w:pPr>
        <w:spacing w:after="0" w:line="56" w:lineRule="exact"/>
        <w:rPr>
          <w:sz w:val="20"/>
          <w:szCs w:val="20"/>
          <w:color w:val="auto"/>
        </w:rPr>
      </w:pPr>
    </w:p>
    <w:p>
      <w:pPr>
        <w:jc w:val="both"/>
        <w:ind w:left="40" w:right="139" w:firstLine="648"/>
        <w:spacing w:after="0" w:line="281" w:lineRule="auto"/>
        <w:rPr>
          <w:sz w:val="20"/>
          <w:szCs w:val="20"/>
          <w:color w:val="auto"/>
        </w:rPr>
      </w:pPr>
      <w:r>
        <w:rPr>
          <w:rFonts w:ascii="Times New Roman" w:cs="Times New Roman" w:eastAsia="Times New Roman" w:hAnsi="Times New Roman"/>
          <w:sz w:val="16"/>
          <w:szCs w:val="16"/>
          <w:color w:val="auto"/>
        </w:rPr>
        <w:t>The compensation committee may delegate its authority to our chief executive officer to grant certain equity awards to certain individuals, and our compensation committee has delegated such authority to Mr. Albers with respect to certain equity awards. For more information, please see “Compensation Discussion and Analysis—Overview of Executive Compensation Process.”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nominating and corporate governance committee’s responsibilities include:</w:t>
      </w:r>
    </w:p>
    <w:p>
      <w:pPr>
        <w:spacing w:after="0" w:line="127" w:lineRule="exact"/>
        <w:rPr>
          <w:sz w:val="20"/>
          <w:szCs w:val="20"/>
          <w:color w:val="auto"/>
        </w:rPr>
      </w:pPr>
    </w:p>
    <w:p>
      <w:pPr>
        <w:ind w:left="1340" w:hanging="32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developing and recommending to the board of directors criteria for board and committee membership;</w:t>
      </w:r>
    </w:p>
    <w:p>
      <w:pPr>
        <w:spacing w:after="0" w:line="117" w:lineRule="exact"/>
        <w:rPr>
          <w:rFonts w:ascii="Times New Roman" w:cs="Times New Roman" w:eastAsia="Times New Roman" w:hAnsi="Times New Roman"/>
          <w:sz w:val="18"/>
          <w:szCs w:val="18"/>
          <w:color w:val="auto"/>
        </w:rPr>
      </w:pPr>
    </w:p>
    <w:p>
      <w:pPr>
        <w:ind w:left="1340" w:right="979" w:hanging="324"/>
        <w:spacing w:after="0" w:line="268" w:lineRule="auto"/>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establishing procedures for identifying and evaluating board of director candidates, including nominees recommended by stockholders;</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1340" w:right="499" w:hanging="324"/>
        <w:spacing w:after="0" w:line="268" w:lineRule="auto"/>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recommending to the board of directors the persons to be nominated for election as directors and to each of the board’s committees;</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developing and recommending to the board of directors a set of corporate governance guidelines; and</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overseeing the evaluation of the board of directors and management.</w:t>
      </w:r>
    </w:p>
    <w:p>
      <w:pPr>
        <w:spacing w:after="0" w:line="117" w:lineRule="exact"/>
        <w:rPr>
          <w:sz w:val="20"/>
          <w:szCs w:val="20"/>
          <w:color w:val="auto"/>
        </w:rPr>
      </w:pPr>
    </w:p>
    <w:p>
      <w:pPr>
        <w:ind w:left="40" w:right="259" w:firstLine="648"/>
        <w:spacing w:after="0" w:line="281" w:lineRule="auto"/>
        <w:rPr>
          <w:sz w:val="20"/>
          <w:szCs w:val="20"/>
          <w:color w:val="auto"/>
        </w:rPr>
      </w:pPr>
      <w:r>
        <w:rPr>
          <w:rFonts w:ascii="Times New Roman" w:cs="Times New Roman" w:eastAsia="Times New Roman" w:hAnsi="Times New Roman"/>
          <w:sz w:val="16"/>
          <w:szCs w:val="16"/>
          <w:color w:val="auto"/>
        </w:rPr>
        <w:t>The members of our nominating and corporate governance committee are George D. Demetri, Lonnel Coats and Nicholas Lydon. Dr. Demetri serves as chair of the nominating and corporate governance committee. The nominating and corporate governance committee held two meetings during the year ended December 31, 2019.</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Committee</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research and development committee’s responsibilities include providing:</w:t>
      </w:r>
    </w:p>
    <w:p>
      <w:pPr>
        <w:spacing w:after="0" w:line="127" w:lineRule="exact"/>
        <w:rPr>
          <w:sz w:val="20"/>
          <w:szCs w:val="20"/>
          <w:color w:val="auto"/>
        </w:rPr>
      </w:pPr>
    </w:p>
    <w:p>
      <w:pPr>
        <w:ind w:left="1340" w:right="439" w:hanging="324"/>
        <w:spacing w:after="0" w:line="268" w:lineRule="auto"/>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 general oversight function regarding pre-clinical and clinical decision-making through a series of semi-annual pipeline reviews and in-depth assessments of select project strategies and plans;</w:t>
      </w:r>
    </w:p>
    <w:p>
      <w:pPr>
        <w:spacing w:after="0" w:line="76" w:lineRule="exact"/>
        <w:rPr>
          <w:rFonts w:ascii="Times New Roman" w:cs="Times New Roman" w:eastAsia="Times New Roman" w:hAnsi="Times New Roman"/>
          <w:sz w:val="18"/>
          <w:szCs w:val="18"/>
          <w:color w:val="auto"/>
        </w:rPr>
      </w:pPr>
    </w:p>
    <w:p>
      <w:pPr>
        <w:ind w:left="1340" w:right="79" w:hanging="324"/>
        <w:spacing w:after="0" w:line="268" w:lineRule="auto"/>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recommendations regarding key molecules in our discovery and development pipelines through reports and select in-depth project reviews;</w:t>
      </w:r>
    </w:p>
    <w:p>
      <w:pPr>
        <w:spacing w:after="0" w:line="76" w:lineRule="exact"/>
        <w:rPr>
          <w:rFonts w:ascii="Times New Roman" w:cs="Times New Roman" w:eastAsia="Times New Roman" w:hAnsi="Times New Roman"/>
          <w:sz w:val="18"/>
          <w:szCs w:val="18"/>
          <w:color w:val="auto"/>
        </w:rPr>
      </w:pPr>
    </w:p>
    <w:p>
      <w:pPr>
        <w:ind w:left="1340" w:right="219" w:hanging="324"/>
        <w:spacing w:after="0" w:line="268" w:lineRule="auto"/>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recommendations regarding our pipeline/portfolio balance from a scientific and clinical perspective, including new molecular entity versus new indication balance, mechanism balance, target balance and general risk balance;</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recommendations regarding key discovery and development strategies to align with our business needs; and</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feedback to the board of directors and to our research and development group.</w:t>
      </w:r>
    </w:p>
    <w:p>
      <w:pPr>
        <w:spacing w:after="0" w:line="117" w:lineRule="exact"/>
        <w:rPr>
          <w:sz w:val="20"/>
          <w:szCs w:val="20"/>
          <w:color w:val="auto"/>
        </w:rPr>
      </w:pPr>
    </w:p>
    <w:p>
      <w:pPr>
        <w:ind w:left="40" w:right="519" w:firstLine="648"/>
        <w:spacing w:after="0" w:line="281" w:lineRule="auto"/>
        <w:rPr>
          <w:sz w:val="20"/>
          <w:szCs w:val="20"/>
          <w:color w:val="auto"/>
        </w:rPr>
      </w:pPr>
      <w:r>
        <w:rPr>
          <w:rFonts w:ascii="Times New Roman" w:cs="Times New Roman" w:eastAsia="Times New Roman" w:hAnsi="Times New Roman"/>
          <w:sz w:val="16"/>
          <w:szCs w:val="16"/>
          <w:color w:val="auto"/>
        </w:rPr>
        <w:t>The members of our research and development committee are Nicholas Lydon, Alexis Borisy, George D. Demetri, Mark Goldberg and Lynn Seely. Dr. Lydon serves as chair of the research and development committee. The research and development committee held three meetings during the year ended December 31, 2019.</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29" w:lineRule="exact"/>
        <w:rPr>
          <w:sz w:val="20"/>
          <w:szCs w:val="20"/>
          <w:color w:val="auto"/>
        </w:rPr>
      </w:pPr>
    </w:p>
    <w:p>
      <w:pPr>
        <w:ind w:left="40" w:right="279" w:firstLine="648"/>
        <w:spacing w:after="0" w:line="275" w:lineRule="auto"/>
        <w:rPr>
          <w:sz w:val="20"/>
          <w:szCs w:val="20"/>
          <w:color w:val="auto"/>
        </w:rPr>
      </w:pPr>
      <w:r>
        <w:rPr>
          <w:rFonts w:ascii="Times New Roman" w:cs="Times New Roman" w:eastAsia="Times New Roman" w:hAnsi="Times New Roman"/>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Criteria and Diversity</w:t>
      </w:r>
    </w:p>
    <w:p>
      <w:pPr>
        <w:spacing w:after="0" w:line="131" w:lineRule="exact"/>
        <w:rPr>
          <w:sz w:val="20"/>
          <w:szCs w:val="20"/>
          <w:color w:val="auto"/>
        </w:rPr>
      </w:pPr>
    </w:p>
    <w:p>
      <w:pPr>
        <w:ind w:left="40" w:right="119" w:firstLine="648"/>
        <w:spacing w:after="0" w:line="269" w:lineRule="auto"/>
        <w:rPr>
          <w:sz w:val="20"/>
          <w:szCs w:val="20"/>
          <w:color w:val="auto"/>
        </w:rPr>
      </w:pPr>
      <w:r>
        <w:rPr>
          <w:rFonts w:ascii="Times New Roman" w:cs="Times New Roman" w:eastAsia="Times New Roman" w:hAnsi="Times New Roman"/>
          <w:sz w:val="16"/>
          <w:szCs w:val="16"/>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82" w:lineRule="exact"/>
        <w:rPr>
          <w:sz w:val="20"/>
          <w:szCs w:val="20"/>
          <w:color w:val="auto"/>
        </w:rPr>
      </w:pPr>
    </w:p>
    <w:p>
      <w:pPr>
        <w:ind w:left="40" w:right="79" w:firstLine="648"/>
        <w:spacing w:after="0" w:line="272" w:lineRule="auto"/>
        <w:rPr>
          <w:sz w:val="20"/>
          <w:szCs w:val="20"/>
          <w:color w:val="auto"/>
        </w:rPr>
      </w:pPr>
      <w:r>
        <w:rPr>
          <w:rFonts w:ascii="Times New Roman" w:cs="Times New Roman" w:eastAsia="Times New Roman" w:hAnsi="Times New Roman"/>
          <w:sz w:val="16"/>
          <w:szCs w:val="16"/>
          <w:color w:val="auto"/>
        </w:rPr>
        <w:t>The director biographies on pages 6 to 9 of this proxy statement indicate each nominee’s experience, qualifications, attributes and skills that led our nominating and corporate governance committee and our board of directors to conclude he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78" w:lineRule="exact"/>
        <w:rPr>
          <w:sz w:val="20"/>
          <w:szCs w:val="20"/>
          <w:color w:val="auto"/>
        </w:rPr>
      </w:pPr>
    </w:p>
    <w:p>
      <w:pPr>
        <w:ind w:left="40" w:right="339" w:firstLine="648"/>
        <w:spacing w:after="0" w:line="298" w:lineRule="auto"/>
        <w:rPr>
          <w:sz w:val="20"/>
          <w:szCs w:val="20"/>
          <w:color w:val="auto"/>
        </w:rPr>
      </w:pPr>
      <w:r>
        <w:rPr>
          <w:rFonts w:ascii="Times New Roman" w:cs="Times New Roman" w:eastAsia="Times New Roman" w:hAnsi="Times New Roman"/>
          <w:sz w:val="16"/>
          <w:szCs w:val="16"/>
          <w:color w:val="auto"/>
        </w:rPr>
        <w:t>We do not have a policy (formal or informal) with respect to diversity, but we believe that our board of directors, taken as a whole, should embody a diverse set of skills, experiences and backgrounds. In this regard, our nominating and corporate governance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left="40" w:right="219"/>
        <w:spacing w:after="0" w:line="275" w:lineRule="auto"/>
        <w:rPr>
          <w:sz w:val="20"/>
          <w:szCs w:val="20"/>
          <w:color w:val="auto"/>
        </w:rPr>
      </w:pPr>
      <w:r>
        <w:rPr>
          <w:rFonts w:ascii="Times New Roman" w:cs="Times New Roman" w:eastAsia="Times New Roman" w:hAnsi="Times New Roman"/>
          <w:sz w:val="16"/>
          <w:szCs w:val="16"/>
          <w:color w:val="auto"/>
        </w:rPr>
        <w:t>committee and our board of directors also take into consideration the diversity (with respect to gender, race and national origin) of our board members but do not make any particular weighting of diversity or any other characteristic in evaluating nominees and directors. Our nominating and corporate governance committee’s and our board of directors’ priority in selecting board members is identification of persons who will further the interests of our stockholders.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Stockholder Nominations</w:t>
      </w:r>
    </w:p>
    <w:p>
      <w:pPr>
        <w:spacing w:after="0" w:line="131" w:lineRule="exact"/>
        <w:rPr>
          <w:sz w:val="20"/>
          <w:szCs w:val="20"/>
          <w:color w:val="auto"/>
        </w:rPr>
      </w:pPr>
    </w:p>
    <w:p>
      <w:pPr>
        <w:ind w:left="40" w:right="279" w:firstLine="648"/>
        <w:spacing w:after="0" w:line="267" w:lineRule="auto"/>
        <w:rPr>
          <w:sz w:val="20"/>
          <w:szCs w:val="20"/>
          <w:color w:val="auto"/>
        </w:rPr>
      </w:pPr>
      <w:r>
        <w:rPr>
          <w:rFonts w:ascii="Times New Roman" w:cs="Times New Roman" w:eastAsia="Times New Roman" w:hAnsi="Times New Roman"/>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w:t>
      </w:r>
    </w:p>
    <w:p>
      <w:pPr>
        <w:spacing w:after="0" w:line="1" w:lineRule="exact"/>
        <w:rPr>
          <w:sz w:val="20"/>
          <w:szCs w:val="20"/>
          <w:color w:val="auto"/>
        </w:rPr>
      </w:pPr>
    </w:p>
    <w:p>
      <w:pPr>
        <w:ind w:left="40" w:right="139"/>
        <w:spacing w:after="0" w:line="268" w:lineRule="auto"/>
        <w:rPr>
          <w:sz w:val="20"/>
          <w:szCs w:val="20"/>
          <w:color w:val="auto"/>
        </w:rPr>
      </w:pPr>
      <w:r>
        <w:rPr>
          <w:rFonts w:ascii="Times New Roman" w:cs="Times New Roman" w:eastAsia="Times New Roman" w:hAnsi="Times New Roman"/>
          <w:sz w:val="16"/>
          <w:szCs w:val="16"/>
          <w:color w:val="auto"/>
        </w:rPr>
        <w:t>5% of our common stock for at least a year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82" w:lineRule="exact"/>
        <w:rPr>
          <w:sz w:val="20"/>
          <w:szCs w:val="20"/>
          <w:color w:val="auto"/>
        </w:rPr>
      </w:pPr>
    </w:p>
    <w:p>
      <w:pPr>
        <w:ind w:left="40" w:right="739" w:firstLine="648"/>
        <w:spacing w:after="0" w:line="281" w:lineRule="auto"/>
        <w:rPr>
          <w:sz w:val="20"/>
          <w:szCs w:val="20"/>
          <w:color w:val="auto"/>
        </w:rPr>
      </w:pPr>
      <w:r>
        <w:rPr>
          <w:rFonts w:ascii="Times New Roman" w:cs="Times New Roman" w:eastAsia="Times New Roman" w:hAnsi="Times New Roman"/>
          <w:sz w:val="16"/>
          <w:szCs w:val="16"/>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Certain information regarding our executive officers who are not also directors, as of March 31, 2020, is set forth below.</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6"/>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80" w:type="dxa"/>
            <w:vAlign w:val="bottom"/>
            <w:tcBorders>
              <w:top w:val="single" w:sz="8" w:color="CCEEFF"/>
            </w:tcBorders>
            <w:shd w:val="clear" w:color="auto" w:fill="CCEEFF"/>
          </w:tcPr>
          <w:p>
            <w:pPr>
              <w:spacing w:after="0"/>
              <w:rPr>
                <w:sz w:val="17"/>
                <w:szCs w:val="17"/>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2"/>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Debra Durso-Bumpus</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Chief People Officer</w:t>
            </w: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Marion Dorsch, Ph.D.</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Ariel Hurley</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Vice President, Finance and Controller</w:t>
            </w: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Legal and Compliance Officer</w:t>
            </w:r>
          </w:p>
        </w:tc>
      </w:tr>
      <w:tr>
        <w:trPr>
          <w:trHeight w:val="203"/>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K. Murray, Ph.D.</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Senior Vice President, Technical Operations</w:t>
            </w:r>
          </w:p>
        </w:tc>
      </w:tr>
      <w:tr>
        <w:trPr>
          <w:trHeight w:val="203"/>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Christina Rossi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Commercial Officer</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Anthony L. Boral, M.D., Ph.D. </w:t>
      </w:r>
      <w:r>
        <w:rPr>
          <w:rFonts w:ascii="Times New Roman" w:cs="Times New Roman" w:eastAsia="Times New Roman" w:hAnsi="Times New Roman"/>
          <w:sz w:val="16"/>
          <w:szCs w:val="16"/>
          <w:color w:val="auto"/>
        </w:rPr>
        <w:t>has served as our chief medical officer since January 2016 and previously served as our senior</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vice president, clinical development from February 2015 to December 2015. Prior to joining us, from November 2010 to February 2015,</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Dr. Boral worked at the Novartis Institutes for BioMedical Research, or Novartis, as executive director, oncology clinical research,</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serving as deputy site head for the Cambridge, Massachusetts site since 2013. At Novartis, Dr. Boral was responsible for the clinical</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aspects of various first-in-human compounds, including most recently ceritinib, an anaplastic lymphoma kinase inhibitor, and Novartis’</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immune checkpoint inhibitor programs. Prior to Novartis, from 2002 to 2010 he worked at Millennium Pharmaceuticals, Inc., or</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Millennium, a biotechnology company in Cambridge, Massachusetts, which is now a wholly-owned subsidiary of Takeda</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Pharmaceutical Company Limited, or Takeda, including as vice president of oncology clinical research from October 2007 to</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October 2010. At Millennium, Dr. Boral was responsible for various aspects of the development of VELCADE®, a first-in-class cancer</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therapy now approved to treat multiple myeloma and non-Hodgkin’s lymphoma. Dr. Boral received a B.A. from Wesleyan University,</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and an M.D. and a Ph.D. from the Albert Einstein College of Medicine, in New York.</w:t>
      </w:r>
    </w:p>
    <w:p>
      <w:pPr>
        <w:spacing w:after="0" w:line="115" w:lineRule="exact"/>
        <w:rPr>
          <w:sz w:val="20"/>
          <w:szCs w:val="20"/>
          <w:color w:val="auto"/>
        </w:rPr>
      </w:pPr>
    </w:p>
    <w:p>
      <w:pPr>
        <w:ind w:left="40" w:right="159"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Debra Durso-Bumpus </w:t>
      </w:r>
      <w:r>
        <w:rPr>
          <w:rFonts w:ascii="Times New Roman" w:cs="Times New Roman" w:eastAsia="Times New Roman" w:hAnsi="Times New Roman"/>
          <w:sz w:val="16"/>
          <w:szCs w:val="16"/>
          <w:color w:val="auto"/>
        </w:rPr>
        <w:t>has served as our chief people officer since February 2020. She has been with us since April 2015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previously served as our senior vice president, human resources. With more than fifteen years of experience focused on leading business’s through expediential growth and complexity, building organizational capabilities, and shaping high performance culture, Ms. Durso-Bumpus has operated in a number of leadership positions. Prior to joining our company, she served as the interim head of human resources at Cubist Pharmaceuticals, where she was appointed to lead the post-merger human resource integration following the acquisition of Cubist by Merck &amp; Co., from January 2015 to April 2015. Between April 2009 and the acquisition, Ms. Durso-Bumpus served as the global head for talent management and organizational development at Cubist, where she was primarily responsible for building talent and leadership strength and depth while managing growth on a global scale to create a cohesive and highly differentiated culture. Ms. Durso-Bumpus serves as a member of the board of directors for the Massachusetts Biotechnology Education Foundation, a nonprofit organization committed to supporting science and biotechnology education in Massachusetts through school programs, workforce training and lifelong learning. Ms. Durso-Bumpus received a B.S. in business management from Bentley University.</w:t>
      </w:r>
    </w:p>
    <w:p>
      <w:pPr>
        <w:spacing w:after="0" w:line="76" w:lineRule="exact"/>
        <w:rPr>
          <w:sz w:val="20"/>
          <w:szCs w:val="20"/>
          <w:color w:val="auto"/>
        </w:rPr>
      </w:pPr>
    </w:p>
    <w:p>
      <w:pPr>
        <w:ind w:left="40" w:right="139"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Marion Dorsch, Ph.D. </w:t>
      </w:r>
      <w:r>
        <w:rPr>
          <w:rFonts w:ascii="Times New Roman" w:cs="Times New Roman" w:eastAsia="Times New Roman" w:hAnsi="Times New Roman"/>
          <w:sz w:val="16"/>
          <w:szCs w:val="16"/>
          <w:color w:val="auto"/>
        </w:rPr>
        <w:t>has served as our chief scientific officer since November 2016. Prior to joining us, from April 2012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November 2016, Dr. Dorsch served as vice president of biology at Agios Pharmaceuticals, Inc., or Agios. In this role, she was responsible for novel target validation, drug discovery, and biomarker strategy across Agios’ cancer, rare genetic diseases and immuno-oncology portfolios. During her tenure at Agios, Dr. Dorsch contributed to the successful advancement of several molecules targeting defined genetic lesions into clinical trials. Prior to joining Agios, Dr. Dorsch was the director of cancer biology at Sanofi Oncology, where she oversaw drug discovery efforts. Earlier in her career, Dr. Dorsch served as research project leader for sonidegib (Odomzo®), now approved in the United States and European Union for the treatment of locally advanced basal cell carcinoma, at the Novartis Institutes for Biomedical Research and also worked in inflammation discovery at Millennium Pharmaceuticals, Inc. Dr. Dorsch received her Ph.D. in Tumor Immunology from the Free University of Berlin, Germany and was a postdoctoral fellow at Columbia University in New York.</w:t>
      </w:r>
    </w:p>
    <w:p>
      <w:pPr>
        <w:spacing w:after="0" w:line="78" w:lineRule="exact"/>
        <w:rPr>
          <w:sz w:val="20"/>
          <w:szCs w:val="20"/>
          <w:color w:val="auto"/>
        </w:rPr>
      </w:pPr>
    </w:p>
    <w:p>
      <w:pPr>
        <w:ind w:left="40" w:right="199" w:firstLine="648"/>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Kathryn Haviland </w:t>
      </w:r>
      <w:r>
        <w:rPr>
          <w:rFonts w:ascii="Times New Roman" w:cs="Times New Roman" w:eastAsia="Times New Roman" w:hAnsi="Times New Roman"/>
          <w:sz w:val="16"/>
          <w:szCs w:val="16"/>
          <w:color w:val="auto"/>
        </w:rPr>
        <w:t>has served as our chief operating officer since January 2019. Ms. Haviland previously served as our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 officer from January 2016 to January 2019. Prior to joining us, Ms. Haviland served as vice president, rare diseases and oncology program leadership at Idera Pharmaceuticals, Inc. from April 2014 to December 2015, as head of commercial development at Sarepta Therapeutics, Inc. from June 2012 to April 2014, as executive director of commercial development at PTC Therapeutics, Inc. from April 2007 to June 2012 and held various corporate development and project management roles at Genzyme from July 2005 to April 2007. Ms. Haviland has served as a member of the board of directors of Fulcrum Therapeutics, Inc since June 2018 and currently serves on the audit committee. Ms. Haviland received a B.A. from Wesleyan University with a double major in biochemistry/molecular biology and economics and an M.B.A. from Harvard Business School.</w:t>
      </w:r>
    </w:p>
    <w:p>
      <w:pPr>
        <w:spacing w:after="0" w:line="78" w:lineRule="exact"/>
        <w:rPr>
          <w:sz w:val="20"/>
          <w:szCs w:val="20"/>
          <w:color w:val="auto"/>
        </w:rPr>
      </w:pPr>
    </w:p>
    <w:p>
      <w:pPr>
        <w:jc w:val="both"/>
        <w:ind w:left="40" w:right="399" w:firstLine="648"/>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Ariel Hurley </w:t>
      </w:r>
      <w:r>
        <w:rPr>
          <w:rFonts w:ascii="Times New Roman" w:cs="Times New Roman" w:eastAsia="Times New Roman" w:hAnsi="Times New Roman"/>
          <w:sz w:val="16"/>
          <w:szCs w:val="16"/>
          <w:color w:val="auto"/>
        </w:rPr>
        <w:t>has served as our vice president, finance since February 2019. Ms. Hurley has worked as our controller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2014 and was most recently our senior director, finance before becoming our vice president, finance. Prior to joining us, Ms. Hurley served in various accounting and finance roles at Millennium Pharmaceuticals, Inc. (now a wholly-owned subsidiary of</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139"/>
        <w:spacing w:after="0" w:line="281" w:lineRule="auto"/>
        <w:rPr>
          <w:sz w:val="20"/>
          <w:szCs w:val="20"/>
          <w:color w:val="auto"/>
        </w:rPr>
      </w:pPr>
      <w:r>
        <w:rPr>
          <w:rFonts w:ascii="Times New Roman" w:cs="Times New Roman" w:eastAsia="Times New Roman" w:hAnsi="Times New Roman"/>
          <w:sz w:val="16"/>
          <w:szCs w:val="16"/>
          <w:color w:val="auto"/>
        </w:rPr>
        <w:t>Takeda Pharmaceutical Company Limited) from December 2005 to September 2014. Ms. Hurley began her career at Deloitte &amp; Touche, LLP and has over 20 years of experience in finance and accounting roles of increasing responsibility. She earned her certified public accountant license in Massachusetts. Ms. Hurley received a B.S. in accounting from Providence College.</w:t>
      </w:r>
    </w:p>
    <w:p>
      <w:pPr>
        <w:spacing w:after="0" w:line="65" w:lineRule="exact"/>
        <w:rPr>
          <w:sz w:val="20"/>
          <w:szCs w:val="20"/>
          <w:color w:val="auto"/>
        </w:rPr>
      </w:pPr>
    </w:p>
    <w:p>
      <w:pPr>
        <w:ind w:left="40" w:right="79" w:firstLine="648"/>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Michael Landsittel </w:t>
      </w:r>
      <w:r>
        <w:rPr>
          <w:rFonts w:ascii="Times New Roman" w:cs="Times New Roman" w:eastAsia="Times New Roman" w:hAnsi="Times New Roman"/>
          <w:sz w:val="16"/>
          <w:szCs w:val="16"/>
          <w:color w:val="auto"/>
        </w:rPr>
        <w:t>has served as our chief financial officer since January 2019. Mr. Landsittel previously served as our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finance from February 2016 to January 2019 and as our senior director, finance from September 2014 to February 2016. Prior to joining our company, Mr. Landsittel served as senior director, finance at Algeta from October 2012 to July 2014, as director, finance at Infinity Pharmaceuticals, Inc. from March 2012 to October 2012 and held various business development and strategic planning roles of increasing responsibility at Genzyme from August 2002 to March 2012. Mr. Landsittel began his career at Arthur Andersen LLP, and he earned his certified public accountant license in Illinois. Mr. Landsittel received a B.B.A from the University of Michigan and an M.B.A. from the Tuck School of Business at Dartmouth College.</w:t>
      </w:r>
    </w:p>
    <w:p>
      <w:pPr>
        <w:spacing w:after="0" w:line="77" w:lineRule="exact"/>
        <w:rPr>
          <w:sz w:val="20"/>
          <w:szCs w:val="20"/>
          <w:color w:val="auto"/>
        </w:rPr>
      </w:pPr>
    </w:p>
    <w:p>
      <w:pPr>
        <w:ind w:left="40" w:right="79" w:firstLine="648"/>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Tracey L. McCain, Esq. </w:t>
      </w:r>
      <w:r>
        <w:rPr>
          <w:rFonts w:ascii="Times New Roman" w:cs="Times New Roman" w:eastAsia="Times New Roman" w:hAnsi="Times New Roman"/>
          <w:sz w:val="16"/>
          <w:szCs w:val="16"/>
          <w:color w:val="auto"/>
        </w:rPr>
        <w:t>has served as our executive vice president and chief legal officer since September 2016 and as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chief compliance officer since June 2017. Prior to joining us, from January 2016 to September 2016, Ms. McCain served as senior vice president and head of legal of Sanofi Genzyme, a global business unit of Sanofi.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Prior to joining Genzyme, Ms. McCain was an associate at the law firm Palmer &amp; Dodge LLP. Ms. McCain has served as a member of the board of directors and audit committee of Kiniksa Pharmaceuticals, Ltd. since 2018. Ms. McCain holds a B.A. from the University of Pennsylvania with a major in political science and a J.D. from Columbia University School of Law.</w:t>
      </w:r>
    </w:p>
    <w:p>
      <w:pPr>
        <w:spacing w:after="0" w:line="75" w:lineRule="exact"/>
        <w:rPr>
          <w:sz w:val="20"/>
          <w:szCs w:val="20"/>
          <w:color w:val="auto"/>
        </w:rPr>
      </w:pPr>
    </w:p>
    <w:p>
      <w:pPr>
        <w:ind w:left="40" w:right="199" w:firstLine="648"/>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Christopher K. Murray, Ph.D. </w:t>
      </w:r>
      <w:r>
        <w:rPr>
          <w:rFonts w:ascii="Times New Roman" w:cs="Times New Roman" w:eastAsia="Times New Roman" w:hAnsi="Times New Roman"/>
          <w:sz w:val="16"/>
          <w:szCs w:val="16"/>
          <w:color w:val="auto"/>
        </w:rPr>
        <w:t>has served as our senior vice president, technical operations since October 2017. Prior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joining us, from January 2014 to 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 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75" w:lineRule="exact"/>
        <w:rPr>
          <w:sz w:val="20"/>
          <w:szCs w:val="20"/>
          <w:color w:val="auto"/>
        </w:rPr>
      </w:pPr>
    </w:p>
    <w:p>
      <w:pPr>
        <w:ind w:left="40" w:right="159" w:firstLine="648"/>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Christina Rossi </w:t>
      </w:r>
      <w:r>
        <w:rPr>
          <w:rFonts w:ascii="Times New Roman" w:cs="Times New Roman" w:eastAsia="Times New Roman" w:hAnsi="Times New Roman"/>
          <w:sz w:val="16"/>
          <w:szCs w:val="16"/>
          <w:color w:val="auto"/>
        </w:rPr>
        <w:t>has served as our chief commercial officer since October 2018. Prior to joining us, from January 2015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October 2018, Ms. Rossi served as the Multiple Sclerosis business unit head, North America, at Sanofi Genzyme. In this role, she was responsible for all aspects of the financial performance of Sanofi Genzyme’s multiple sclerosis franchise and increased market share for existing products, led the launch of new therapies and optimized operations to accelerate patient access. Previously, Ms. Rossi served as vice president, Multiple Sclerosis Sales at Sanofi Genzyme form May 2014 to December 2015 and vice president, Multiple Sclerosis Patient and Provider Services at Sanofi Genzyme from June 2012 to May 2014. Prior to joining Sanofi Genzyme, Ms. Rossi served in various roles at Biogen, Inc., including head, commercial strategy for Eidetica Biopharma GmbH, Biogen’s biosimilar-focused venture, and U.S. brand leader for TYSABRI® (natalizumab). In addition, Ms. Rossi consulted in the healthcare practice at the Boston Consulting Group. Ms. Rossi holds a B.S. in biology, cum laude, from Duke University and an M.B.A. from Harvard Business School.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29"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Our compensation committee is responsible for reviewing and approving, or recommending for approval by the board of directors, the compensation of our named executive officers, including base salary, cash and equity incentive compensation levels, severance arrangements, change-in-control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compete with us for talent. This section discusses the principles underlying our compensation committee’s policies and decisions with respect to the compensation of our named executive officers.</w:t>
      </w: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For 2019, our named executive officers were as follows:</w:t>
      </w:r>
    </w:p>
    <w:p>
      <w:pPr>
        <w:spacing w:after="0" w:line="127" w:lineRule="exact"/>
        <w:rPr>
          <w:sz w:val="20"/>
          <w:szCs w:val="20"/>
          <w:color w:val="auto"/>
        </w:rPr>
      </w:pPr>
    </w:p>
    <w:p>
      <w:pPr>
        <w:ind w:left="1340" w:hanging="324"/>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Jeffrey W. Albers, our president and chief executive officer;</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Michael Landsittel, our chief financial officer;</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Anthony L. Boral, M.D., Ph.D., our chief medical officer;</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Kathryn Haviland, our chief operating office; and</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Tracey L. McCain, Esq., our chief legal and compliance officer.</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Executive Summary</w:t>
      </w:r>
    </w:p>
    <w:p>
      <w:pPr>
        <w:spacing w:after="0" w:line="131" w:lineRule="exact"/>
        <w:rPr>
          <w:sz w:val="20"/>
          <w:szCs w:val="20"/>
          <w:color w:val="auto"/>
        </w:rPr>
      </w:pPr>
    </w:p>
    <w:p>
      <w:pPr>
        <w:ind w:left="40" w:right="119" w:firstLine="648"/>
        <w:spacing w:after="0" w:line="267" w:lineRule="auto"/>
        <w:rPr>
          <w:sz w:val="20"/>
          <w:szCs w:val="20"/>
          <w:color w:val="auto"/>
        </w:rPr>
      </w:pPr>
      <w:r>
        <w:rPr>
          <w:rFonts w:ascii="Times New Roman" w:cs="Times New Roman" w:eastAsia="Times New Roman" w:hAnsi="Times New Roman"/>
          <w:sz w:val="16"/>
          <w:szCs w:val="16"/>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We have one precision therapy approved by the U.S. Food and Drug Administration, or FDA, and are currently advancing multiple investigational medicines in clinical development, along with multiple research programs. In 2019, we worked towards our vision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 We achieved a number of significant goals in 2019, including the following:</w:t>
      </w:r>
    </w:p>
    <w:p>
      <w:pPr>
        <w:spacing w:after="0" w:line="84" w:lineRule="exact"/>
        <w:rPr>
          <w:sz w:val="20"/>
          <w:szCs w:val="20"/>
          <w:color w:val="auto"/>
        </w:rPr>
      </w:pPr>
    </w:p>
    <w:p>
      <w:pPr>
        <w:ind w:left="1340" w:right="79" w:hanging="324"/>
        <w:spacing w:after="0" w:line="264"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June 2019, we presented updated clinical data from our NAVIGATOR trial of avapritinib in patients with PDGFRA Exon 18 mutant gastrointestinal stromal tumors, or GIST, and fourth-line GIST at the American Society of Clinical Oncology, or ASCO, 2019 Annual Meeting.</w:t>
      </w:r>
    </w:p>
    <w:p>
      <w:pPr>
        <w:spacing w:after="0" w:line="83" w:lineRule="exact"/>
        <w:rPr>
          <w:rFonts w:ascii="Times New Roman" w:cs="Times New Roman" w:eastAsia="Times New Roman" w:hAnsi="Times New Roman"/>
          <w:sz w:val="18"/>
          <w:szCs w:val="18"/>
          <w:color w:val="auto"/>
        </w:rPr>
      </w:pPr>
    </w:p>
    <w:p>
      <w:pPr>
        <w:ind w:left="1340" w:right="99" w:hanging="324"/>
        <w:spacing w:after="0" w:line="260"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In June 2019, we submitted a new drug application, or NDA, to the U.S. Food and Drug Administration, or FDA, for avapritinib for the treatment of adult patients with PDGFRA exon 18 mutant GIST, regardless of prior therapy, and fourth-line GIST, which was later split into two separate NDAs, one for PDGFRA exon 18 mutant GIST, which was approved by the FDA in January 2020 under the brand name AYVAKIT </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6"/>
          <w:szCs w:val="16"/>
          <w:color w:val="auto"/>
        </w:rPr>
        <w:t xml:space="preserve"> , and one for fourth-line GIST, which is currently under review by the FDA.</w:t>
      </w:r>
    </w:p>
    <w:p>
      <w:pPr>
        <w:spacing w:after="0" w:line="86" w:lineRule="exact"/>
        <w:rPr>
          <w:rFonts w:ascii="Times New Roman" w:cs="Times New Roman" w:eastAsia="Times New Roman" w:hAnsi="Times New Roman"/>
          <w:sz w:val="18"/>
          <w:szCs w:val="18"/>
          <w:color w:val="auto"/>
        </w:rPr>
      </w:pPr>
    </w:p>
    <w:p>
      <w:pPr>
        <w:jc w:val="both"/>
        <w:ind w:left="1340" w:right="439" w:hanging="324"/>
        <w:spacing w:after="0" w:line="264"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July 2019, the European Medicines Agency, or EMA, validated our Marketing Authorization Application, or MAA, for avapritinib for the treatment of adult patients with PDGFRα D842V mutant GIST, regardless of prior therapy.</w:t>
      </w:r>
    </w:p>
    <w:p>
      <w:pPr>
        <w:spacing w:after="0" w:line="83" w:lineRule="exact"/>
        <w:rPr>
          <w:rFonts w:ascii="Times New Roman" w:cs="Times New Roman" w:eastAsia="Times New Roman" w:hAnsi="Times New Roman"/>
          <w:sz w:val="18"/>
          <w:szCs w:val="18"/>
          <w:color w:val="auto"/>
        </w:rPr>
      </w:pPr>
    </w:p>
    <w:p>
      <w:pPr>
        <w:ind w:left="1340" w:right="419" w:hanging="324"/>
        <w:spacing w:after="0" w:line="268"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FDA granted breakthrough therapy designation to pralsetinib for the treatment of patients with RET fusion-positive non-small cell lung cancer, or NSCLC, that has progressed following platinum-based chemotherapy.</w:t>
      </w:r>
    </w:p>
    <w:p>
      <w:pPr>
        <w:spacing w:after="0" w:line="76" w:lineRule="exact"/>
        <w:rPr>
          <w:rFonts w:ascii="Times New Roman" w:cs="Times New Roman" w:eastAsia="Times New Roman" w:hAnsi="Times New Roman"/>
          <w:sz w:val="18"/>
          <w:szCs w:val="18"/>
          <w:color w:val="auto"/>
        </w:rPr>
      </w:pPr>
    </w:p>
    <w:p>
      <w:pPr>
        <w:ind w:left="1340" w:right="339" w:hanging="324"/>
        <w:spacing w:after="0" w:line="264"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March 2019, we reported top-line interim data from our ARROW trial in RET-altered NSCLC, RET-mutant medullary thyroid cancer, or MTC, and other advanced solid tumors. In June 2019, we presented updated clinical data from the ARROW trial at the ASCO 2019 Annual Meeting.</w:t>
      </w:r>
    </w:p>
    <w:p>
      <w:pPr>
        <w:spacing w:after="0" w:line="83" w:lineRule="exact"/>
        <w:rPr>
          <w:rFonts w:ascii="Times New Roman" w:cs="Times New Roman" w:eastAsia="Times New Roman" w:hAnsi="Times New Roman"/>
          <w:sz w:val="18"/>
          <w:szCs w:val="18"/>
          <w:color w:val="auto"/>
        </w:rPr>
      </w:pPr>
    </w:p>
    <w:p>
      <w:pPr>
        <w:ind w:left="1340" w:right="479" w:hanging="324"/>
        <w:spacing w:after="0" w:line="268"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November 2019, we locked the registration database for our planned NDA to the FDA for pralsetinib for the treatment of patients with RET fusion-positive NSCLC.</w:t>
      </w:r>
    </w:p>
    <w:p>
      <w:pPr>
        <w:spacing w:after="0" w:line="76" w:lineRule="exact"/>
        <w:rPr>
          <w:rFonts w:ascii="Times New Roman" w:cs="Times New Roman" w:eastAsia="Times New Roman" w:hAnsi="Times New Roman"/>
          <w:sz w:val="18"/>
          <w:szCs w:val="18"/>
          <w:color w:val="auto"/>
        </w:rPr>
      </w:pPr>
    </w:p>
    <w:p>
      <w:pPr>
        <w:ind w:left="1340" w:right="339" w:hanging="324"/>
        <w:spacing w:after="0" w:line="268" w:lineRule="auto"/>
        <w:tabs>
          <w:tab w:leader="none" w:pos="1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 completed target enrollment in the Phase 3 VOYAGER trial of avapritinib versus regorafenib in patients with third- and fourth-line GIST.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1340" w:right="99" w:hanging="324"/>
        <w:spacing w:after="0" w:line="259"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In June 2019, we presented updated clinical data from the ongoing EXPLORER trial of avapritinib in patients with advanced systemic mastocytosis, or SM, at the 24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Congress of the European Hematology Association, or EHA. In December 2019, we reported additional data from the EXPLORER trial and announced that we had completed target enrollment for the EXPLORER trial.</w:t>
      </w:r>
    </w:p>
    <w:p>
      <w:pPr>
        <w:spacing w:after="0" w:line="86" w:lineRule="exact"/>
        <w:rPr>
          <w:rFonts w:ascii="Times New Roman" w:cs="Times New Roman" w:eastAsia="Times New Roman" w:hAnsi="Times New Roman"/>
          <w:sz w:val="18"/>
          <w:szCs w:val="18"/>
          <w:color w:val="auto"/>
        </w:rPr>
      </w:pPr>
    </w:p>
    <w:p>
      <w:pPr>
        <w:ind w:left="1340" w:right="79" w:hanging="324"/>
        <w:spacing w:after="0" w:line="257"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In December 2019, we presented initial data from part 1 of the PIONEER trial of avapritinib in indolent SM at the 61 </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6"/>
          <w:szCs w:val="16"/>
          <w:color w:val="auto"/>
        </w:rPr>
        <w:t xml:space="preserve"> American Society of Hematology, or ASH, Annual Meeting and Exposition. We completed enrollment of part 1 of the PIONEER trial in 2019.</w:t>
      </w:r>
    </w:p>
    <w:p>
      <w:pPr>
        <w:spacing w:after="0" w:line="61" w:lineRule="exact"/>
        <w:rPr>
          <w:rFonts w:ascii="Times New Roman" w:cs="Times New Roman" w:eastAsia="Times New Roman" w:hAnsi="Times New Roman"/>
          <w:sz w:val="18"/>
          <w:szCs w:val="18"/>
          <w:color w:val="auto"/>
        </w:rPr>
      </w:pPr>
    </w:p>
    <w:p>
      <w:pPr>
        <w:ind w:left="1340" w:right="79" w:hanging="324"/>
        <w:spacing w:after="0" w:line="213" w:lineRule="exact"/>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2019, we initiated a Phase 1 clinical trial for BLU</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782 in healthy volunteers and substantially completed design for the Phase 2 trial for BLU</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782. In October 2019, we entered into a license agreement with Clementia, a wholly-owned subsidiary of Ipsen S.A. Under the Clementia agreement, we granted an exclusive, worldwide, royalty-bearing license to Clementia to develop and commercialize BLU</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782 as well as specified other compounds related to the BLU</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782 program.</w:t>
      </w:r>
    </w:p>
    <w:p>
      <w:pPr>
        <w:spacing w:after="0" w:line="85" w:lineRule="exact"/>
        <w:rPr>
          <w:rFonts w:ascii="Times New Roman" w:cs="Times New Roman" w:eastAsia="Times New Roman" w:hAnsi="Times New Roman"/>
          <w:sz w:val="18"/>
          <w:szCs w:val="18"/>
          <w:color w:val="auto"/>
        </w:rPr>
      </w:pPr>
    </w:p>
    <w:p>
      <w:pPr>
        <w:ind w:left="1340" w:right="79" w:hanging="324"/>
        <w:spacing w:after="0" w:line="204" w:lineRule="exact"/>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November 2019, we hosted a Research and Development Day at which we announced a comprehensive strategy to address a broad population of patients with SM and other mast cell disorders, nominated BLU</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263, and introduced two research programs targeting well-characterized resistance mutations in patients with EGFR-driven NSCLC, and highlighted one of our research programs under our collaboration with Roche.</w:t>
      </w:r>
    </w:p>
    <w:p>
      <w:pPr>
        <w:spacing w:after="0" w:line="102" w:lineRule="exact"/>
        <w:rPr>
          <w:rFonts w:ascii="Times New Roman" w:cs="Times New Roman" w:eastAsia="Times New Roman" w:hAnsi="Times New Roman"/>
          <w:sz w:val="18"/>
          <w:szCs w:val="18"/>
          <w:color w:val="auto"/>
        </w:rPr>
      </w:pPr>
    </w:p>
    <w:p>
      <w:pPr>
        <w:ind w:left="1340" w:right="619" w:hanging="324"/>
        <w:spacing w:after="0" w:line="268"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2019, as a part of our global strategy, we expanded our footprint and established subsidiaries in the United Kingdom, Netherlands, Germany, Spain, France and Italy.</w:t>
      </w:r>
    </w:p>
    <w:p>
      <w:pPr>
        <w:spacing w:after="0" w:line="76" w:lineRule="exact"/>
        <w:rPr>
          <w:rFonts w:ascii="Times New Roman" w:cs="Times New Roman" w:eastAsia="Times New Roman" w:hAnsi="Times New Roman"/>
          <w:sz w:val="18"/>
          <w:szCs w:val="18"/>
          <w:color w:val="auto"/>
        </w:rPr>
      </w:pPr>
    </w:p>
    <w:p>
      <w:pPr>
        <w:ind w:left="1340" w:right="99" w:hanging="324"/>
        <w:spacing w:after="0" w:line="264"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 continued to prepare for commercialization of avapritinib and pralsetinib, including the establishment of our commercial infrastructure which ensured a speedy U.S. commercial launch in January 2020 following FDA approval of AVYAKIT.</w:t>
      </w:r>
    </w:p>
    <w:p>
      <w:pPr>
        <w:spacing w:after="0" w:line="83" w:lineRule="exact"/>
        <w:rPr>
          <w:rFonts w:ascii="Times New Roman" w:cs="Times New Roman" w:eastAsia="Times New Roman" w:hAnsi="Times New Roman"/>
          <w:sz w:val="18"/>
          <w:szCs w:val="18"/>
          <w:color w:val="auto"/>
        </w:rPr>
      </w:pPr>
    </w:p>
    <w:p>
      <w:pPr>
        <w:ind w:left="1340" w:right="359" w:hanging="324"/>
        <w:spacing w:after="0" w:line="268"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 completed an underwritten public offering in April 2019 with net proceeds of $327.5 million and ended 2019 with cash, cash equivalents and investments of $548.0 million.</w:t>
      </w:r>
    </w:p>
    <w:p>
      <w:pPr>
        <w:spacing w:after="0" w:line="76" w:lineRule="exact"/>
        <w:rPr>
          <w:rFonts w:ascii="Times New Roman" w:cs="Times New Roman" w:eastAsia="Times New Roman" w:hAnsi="Times New Roman"/>
          <w:sz w:val="18"/>
          <w:szCs w:val="18"/>
          <w:color w:val="auto"/>
        </w:rPr>
      </w:pPr>
    </w:p>
    <w:p>
      <w:pPr>
        <w:ind w:left="1340" w:right="559" w:hanging="324"/>
        <w:spacing w:after="0" w:line="268" w:lineRule="auto"/>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 maintained a high employee engagement rate and a turnover rate that was significantly below the industry average.</w:t>
      </w:r>
    </w:p>
    <w:p>
      <w:pPr>
        <w:spacing w:after="0" w:line="76" w:lineRule="exact"/>
        <w:rPr>
          <w:sz w:val="20"/>
          <w:szCs w:val="20"/>
          <w:color w:val="auto"/>
        </w:rPr>
      </w:pPr>
    </w:p>
    <w:p>
      <w:pPr>
        <w:ind w:left="40" w:right="299" w:firstLine="648"/>
        <w:spacing w:after="0" w:line="275" w:lineRule="auto"/>
        <w:rPr>
          <w:sz w:val="20"/>
          <w:szCs w:val="20"/>
          <w:color w:val="auto"/>
        </w:rPr>
      </w:pPr>
      <w:r>
        <w:rPr>
          <w:rFonts w:ascii="Times New Roman" w:cs="Times New Roman" w:eastAsia="Times New Roman" w:hAnsi="Times New Roman"/>
          <w:sz w:val="16"/>
          <w:szCs w:val="16"/>
          <w:color w:val="auto"/>
        </w:rPr>
        <w:t>As described in more detail below, based on the recommendation of our chief executive officer and the significant advances that we made on our 2019 corporate performance goals (including the overachievement on some goals balanced against the underachievement of others), upon the recommendation of our compensation committee, our board of directors determined that we achieved our 2019 corporate performance goals at 107.0%.</w:t>
      </w:r>
    </w:p>
    <w:p>
      <w:pPr>
        <w:spacing w:after="0" w:line="75" w:lineRule="exact"/>
        <w:rPr>
          <w:sz w:val="20"/>
          <w:szCs w:val="20"/>
          <w:color w:val="auto"/>
        </w:rPr>
      </w:pPr>
    </w:p>
    <w:p>
      <w:pPr>
        <w:jc w:val="both"/>
        <w:ind w:left="40" w:right="219" w:firstLine="648"/>
        <w:spacing w:after="0" w:line="281" w:lineRule="auto"/>
        <w:rPr>
          <w:sz w:val="20"/>
          <w:szCs w:val="20"/>
          <w:color w:val="auto"/>
        </w:rPr>
      </w:pPr>
      <w:r>
        <w:rPr>
          <w:rFonts w:ascii="Times New Roman" w:cs="Times New Roman" w:eastAsia="Times New Roman" w:hAnsi="Times New Roman"/>
          <w:sz w:val="16"/>
          <w:szCs w:val="16"/>
          <w:color w:val="auto"/>
        </w:rPr>
        <w:t>Our compensation committee seeks to ensure that our compensation program is aligned with the interests of our stockholders and our business goals and that the total compensation paid to each of our named executive officers is fair, reasonable and competitive. As described in more detail below, key elements of our compensation program include the following: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3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31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Features</w:t>
            </w:r>
          </w:p>
        </w:tc>
        <w:tc>
          <w:tcPr>
            <w:tcW w:w="0" w:type="dxa"/>
            <w:vAlign w:val="bottom"/>
          </w:tcPr>
          <w:p>
            <w:pPr>
              <w:spacing w:after="0"/>
              <w:rPr>
                <w:sz w:val="1"/>
                <w:szCs w:val="1"/>
                <w:color w:val="auto"/>
              </w:rPr>
            </w:pPr>
          </w:p>
        </w:tc>
      </w:tr>
      <w:tr>
        <w:trPr>
          <w:trHeight w:val="173"/>
        </w:trPr>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3380" w:type="dxa"/>
            <w:vAlign w:val="bottom"/>
            <w:gridSpan w:val="2"/>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i w:val="1"/>
                <w:iCs w:val="1"/>
                <w:color w:val="auto"/>
                <w:w w:val="99"/>
              </w:rPr>
              <w:t>Base salary</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 attract, motivate and retain superior</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component of pay to provide financial</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talent.</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stability, based on responsibilities, experience,</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individual contributions and peer company data.</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Annual performance-</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 provide incentives that motivate and reward</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component of pay based on annual</w:t>
            </w:r>
          </w:p>
        </w:tc>
        <w:tc>
          <w:tcPr>
            <w:tcW w:w="0" w:type="dxa"/>
            <w:vAlign w:val="bottom"/>
          </w:tcPr>
          <w:p>
            <w:pPr>
              <w:spacing w:after="0"/>
              <w:rPr>
                <w:sz w:val="1"/>
                <w:szCs w:val="1"/>
                <w:color w:val="auto"/>
              </w:rPr>
            </w:pPr>
          </w:p>
        </w:tc>
      </w:tr>
      <w:tr>
        <w:trPr>
          <w:trHeight w:val="203"/>
        </w:trPr>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based cash incentive</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achievement of performance goals that</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quantitative and qualitative achievement of</w:t>
            </w:r>
          </w:p>
        </w:tc>
        <w:tc>
          <w:tcPr>
            <w:tcW w:w="0" w:type="dxa"/>
            <w:vAlign w:val="bottom"/>
          </w:tcPr>
          <w:p>
            <w:pPr>
              <w:spacing w:after="0"/>
              <w:rPr>
                <w:sz w:val="1"/>
                <w:szCs w:val="1"/>
                <w:color w:val="auto"/>
              </w:rPr>
            </w:pPr>
          </w:p>
        </w:tc>
      </w:tr>
      <w:tr>
        <w:trPr>
          <w:trHeight w:val="207"/>
        </w:trPr>
        <w:tc>
          <w:tcPr>
            <w:tcW w:w="23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compensation</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directly correlate to the enhancement of</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performance goals and, in the case of</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value, as well as to facilitate</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officers other than our chief executive</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retention.</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officer, the achievement of individual</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goals.</w:t>
            </w:r>
          </w:p>
        </w:tc>
        <w:tc>
          <w:tcPr>
            <w:tcW w:w="0" w:type="dxa"/>
            <w:vAlign w:val="bottom"/>
          </w:tcPr>
          <w:p>
            <w:pPr>
              <w:spacing w:after="0"/>
              <w:rPr>
                <w:sz w:val="1"/>
                <w:szCs w:val="1"/>
                <w:color w:val="auto"/>
              </w:rPr>
            </w:pPr>
          </w:p>
        </w:tc>
      </w:tr>
      <w:tr>
        <w:trPr>
          <w:trHeight w:val="202"/>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 align executives’ interests with those of</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compensation in the form of stock</w:t>
            </w:r>
          </w:p>
        </w:tc>
        <w:tc>
          <w:tcPr>
            <w:tcW w:w="0" w:type="dxa"/>
            <w:vAlign w:val="bottom"/>
          </w:tcPr>
          <w:p>
            <w:pPr>
              <w:spacing w:after="0"/>
              <w:rPr>
                <w:sz w:val="1"/>
                <w:szCs w:val="1"/>
                <w:color w:val="auto"/>
              </w:rPr>
            </w:pPr>
          </w:p>
        </w:tc>
      </w:tr>
      <w:tr>
        <w:trPr>
          <w:trHeight w:val="207"/>
        </w:trPr>
        <w:tc>
          <w:tcPr>
            <w:tcW w:w="23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rPr>
              <w:t>compensation</w:t>
            </w: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through long-term incentives</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and restricted stock units, which</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linked to the achievement of specific</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provides incentives for employee retention and</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which we believe serves to</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seeks to align executive and stockholder</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enhance short- and long-term value creation for</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interests.</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our stockholders.</w:t>
            </w: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7"/>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23" w:name="page24"/>
    <w:bookmarkEnd w:id="23"/>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ind w:left="40" w:right="359" w:firstLine="648"/>
        <w:spacing w:after="0" w:line="281" w:lineRule="auto"/>
        <w:rPr>
          <w:sz w:val="20"/>
          <w:szCs w:val="20"/>
          <w:color w:val="auto"/>
        </w:rPr>
      </w:pPr>
      <w:r>
        <w:rPr>
          <w:rFonts w:ascii="Times New Roman" w:cs="Times New Roman" w:eastAsia="Times New Roman" w:hAnsi="Times New Roman"/>
          <w:sz w:val="16"/>
          <w:szCs w:val="16"/>
          <w:color w:val="auto"/>
        </w:rPr>
        <w:t>In addition to our direct compensation elements, the following features of our compensation program are designed to align with stockholder interests and market best practices while being able to achieve our stated objectives and philosophy and support our ambitious business goals:</w:t>
      </w:r>
    </w:p>
    <w:p>
      <w:pPr>
        <w:spacing w:after="0" w:line="72" w:lineRule="exact"/>
        <w:rPr>
          <w:sz w:val="20"/>
          <w:szCs w:val="20"/>
          <w:color w:val="auto"/>
        </w:rPr>
      </w:pPr>
    </w:p>
    <w:p>
      <w:pPr>
        <w:ind w:left="1840"/>
        <w:spacing w:after="0"/>
        <w:tabs>
          <w:tab w:leader="none" w:pos="618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57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14" w:lineRule="exact"/>
        <w:rPr>
          <w:sz w:val="20"/>
          <w:szCs w:val="20"/>
          <w:color w:val="auto"/>
        </w:rPr>
      </w:pPr>
    </w:p>
    <w:p>
      <w:pPr>
        <w:ind w:left="40" w:firstLine="9"/>
        <w:spacing w:after="0" w:line="298" w:lineRule="auto"/>
        <w:tabs>
          <w:tab w:leader="none" w:pos="229" w:val="left"/>
        </w:tabs>
        <w:numPr>
          <w:ilvl w:val="0"/>
          <w:numId w:val="5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Maintain an industry-specific peer group for benchmarking compensation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 w:right="219" w:hanging="2"/>
        <w:spacing w:after="0" w:line="298" w:lineRule="auto"/>
        <w:tabs>
          <w:tab w:leader="none" w:pos="191" w:val="left"/>
        </w:tabs>
        <w:numPr>
          <w:ilvl w:val="0"/>
          <w:numId w:val="5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Allow hedging or pledging without pre-approval by the Audit Committee</w:t>
      </w:r>
    </w:p>
    <w:p>
      <w:pPr>
        <w:spacing w:after="0" w:line="151" w:lineRule="exact"/>
        <w:rPr>
          <w:sz w:val="20"/>
          <w:szCs w:val="20"/>
          <w:color w:val="auto"/>
        </w:rPr>
      </w:pPr>
    </w:p>
    <w:p>
      <w:pPr>
        <w:sectPr>
          <w:pgSz w:w="11900" w:h="16838" w:orient="portrait"/>
          <w:cols w:equalWidth="0" w:num="2">
            <w:col w:w="4080" w:space="518"/>
            <w:col w:w="4421"/>
          </w:cols>
          <w:pgMar w:left="1440" w:top="121" w:right="1440" w:bottom="1440" w:gutter="0" w:footer="0" w:header="0"/>
          <w:type w:val="continuous"/>
        </w:sectPr>
      </w:pPr>
    </w:p>
    <w:p>
      <w:pPr>
        <w:ind w:left="240" w:hanging="191"/>
        <w:spacing w:after="0"/>
        <w:tabs>
          <w:tab w:leader="none" w:pos="240"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Target compensation based on market norms</w:t>
      </w:r>
    </w:p>
    <w:p>
      <w:pPr>
        <w:spacing w:after="0" w:line="221" w:lineRule="exact"/>
        <w:rPr>
          <w:rFonts w:ascii="MS PGothic" w:cs="MS PGothic" w:eastAsia="MS PGothic" w:hAnsi="MS PGothic"/>
          <w:sz w:val="16"/>
          <w:szCs w:val="16"/>
          <w:color w:val="auto"/>
        </w:rPr>
      </w:pPr>
    </w:p>
    <w:p>
      <w:pPr>
        <w:ind w:left="40" w:firstLine="9"/>
        <w:spacing w:after="0" w:line="298" w:lineRule="auto"/>
        <w:tabs>
          <w:tab w:leader="none" w:pos="229"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Deliver executive compensation primarily through variable, at-risk incentive pay</w:t>
      </w:r>
    </w:p>
    <w:p>
      <w:pPr>
        <w:spacing w:after="0" w:line="150" w:lineRule="exact"/>
        <w:rPr>
          <w:rFonts w:ascii="MS PGothic" w:cs="MS PGothic" w:eastAsia="MS PGothic" w:hAnsi="MS PGothic"/>
          <w:sz w:val="16"/>
          <w:szCs w:val="16"/>
          <w:color w:val="auto"/>
        </w:rPr>
      </w:pPr>
    </w:p>
    <w:p>
      <w:pPr>
        <w:ind w:left="240" w:hanging="191"/>
        <w:spacing w:after="0"/>
        <w:tabs>
          <w:tab w:leader="none" w:pos="240"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Set challenging corporate performance goals</w:t>
      </w:r>
    </w:p>
    <w:p>
      <w:pPr>
        <w:spacing w:after="0" w:line="200" w:lineRule="exact"/>
        <w:rPr>
          <w:rFonts w:ascii="MS PGothic" w:cs="MS PGothic" w:eastAsia="MS PGothic" w:hAnsi="MS PGothic"/>
          <w:sz w:val="16"/>
          <w:szCs w:val="16"/>
          <w:color w:val="auto"/>
        </w:rPr>
      </w:pPr>
    </w:p>
    <w:p>
      <w:pPr>
        <w:spacing w:after="0" w:line="223" w:lineRule="exact"/>
        <w:rPr>
          <w:rFonts w:ascii="MS PGothic" w:cs="MS PGothic" w:eastAsia="MS PGothic" w:hAnsi="MS PGothic"/>
          <w:sz w:val="16"/>
          <w:szCs w:val="16"/>
          <w:color w:val="auto"/>
        </w:rPr>
      </w:pPr>
    </w:p>
    <w:p>
      <w:pPr>
        <w:ind w:left="40" w:right="560" w:firstLine="9"/>
        <w:spacing w:after="0" w:line="298" w:lineRule="auto"/>
        <w:tabs>
          <w:tab w:leader="none" w:pos="229"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Consult with an independent compensation advisor on compensation levels and practices</w:t>
      </w:r>
    </w:p>
    <w:p>
      <w:pPr>
        <w:spacing w:after="0" w:line="150" w:lineRule="exact"/>
        <w:rPr>
          <w:rFonts w:ascii="MS PGothic" w:cs="MS PGothic" w:eastAsia="MS PGothic" w:hAnsi="MS PGothic"/>
          <w:sz w:val="16"/>
          <w:szCs w:val="16"/>
          <w:color w:val="auto"/>
        </w:rPr>
      </w:pPr>
    </w:p>
    <w:p>
      <w:pPr>
        <w:ind w:left="40" w:right="400" w:firstLine="9"/>
        <w:spacing w:after="0" w:line="298" w:lineRule="auto"/>
        <w:tabs>
          <w:tab w:leader="none" w:pos="229"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Offer market-competitive benefits for executives that are consistent with the rest of our employees</w:t>
      </w:r>
    </w:p>
    <w:p>
      <w:pPr>
        <w:spacing w:after="0" w:line="150" w:lineRule="exact"/>
        <w:rPr>
          <w:rFonts w:ascii="MS PGothic" w:cs="MS PGothic" w:eastAsia="MS PGothic" w:hAnsi="MS PGothic"/>
          <w:sz w:val="16"/>
          <w:szCs w:val="16"/>
          <w:color w:val="auto"/>
        </w:rPr>
      </w:pPr>
    </w:p>
    <w:p>
      <w:pPr>
        <w:ind w:left="40" w:right="500" w:firstLine="9"/>
        <w:spacing w:after="0" w:line="298" w:lineRule="auto"/>
        <w:tabs>
          <w:tab w:leader="none" w:pos="229"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Use double trigger change-in-control protection for our executive officers</w:t>
      </w:r>
    </w:p>
    <w:p>
      <w:pPr>
        <w:spacing w:after="0" w:line="150" w:lineRule="exact"/>
        <w:rPr>
          <w:rFonts w:ascii="MS PGothic" w:cs="MS PGothic" w:eastAsia="MS PGothic" w:hAnsi="MS PGothic"/>
          <w:sz w:val="16"/>
          <w:szCs w:val="16"/>
          <w:color w:val="auto"/>
        </w:rPr>
      </w:pPr>
    </w:p>
    <w:p>
      <w:pPr>
        <w:ind w:left="40" w:right="260" w:firstLine="9"/>
        <w:spacing w:after="0" w:line="298" w:lineRule="auto"/>
        <w:tabs>
          <w:tab w:leader="none" w:pos="229"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Cap annual cash incentive program payouts at 150% of the target payout level</w:t>
      </w:r>
    </w:p>
    <w:p>
      <w:pPr>
        <w:spacing w:after="0" w:line="150" w:lineRule="exact"/>
        <w:rPr>
          <w:rFonts w:ascii="MS PGothic" w:cs="MS PGothic" w:eastAsia="MS PGothic" w:hAnsi="MS PGothic"/>
          <w:sz w:val="16"/>
          <w:szCs w:val="16"/>
          <w:color w:val="auto"/>
        </w:rPr>
      </w:pPr>
    </w:p>
    <w:p>
      <w:pPr>
        <w:ind w:left="40" w:firstLine="9"/>
        <w:spacing w:after="0" w:line="298" w:lineRule="auto"/>
        <w:tabs>
          <w:tab w:leader="none" w:pos="229" w:val="left"/>
        </w:tabs>
        <w:numPr>
          <w:ilvl w:val="0"/>
          <w:numId w:val="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Maintain a clawback policy covering cash and equity incentive compensation paid to our executive officers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Objectives and Philosophy</w:t>
      </w:r>
    </w:p>
    <w:p>
      <w:pPr>
        <w:spacing w:after="0" w:line="20" w:lineRule="exact"/>
        <w:rPr>
          <w:sz w:val="20"/>
          <w:szCs w:val="20"/>
          <w:color w:val="auto"/>
        </w:rPr>
      </w:pPr>
      <w:r>
        <w:rPr>
          <w:sz w:val="20"/>
          <w:szCs w:val="20"/>
          <w:color w:val="auto"/>
        </w:rPr>
        <w:br w:type="column"/>
      </w:r>
    </w:p>
    <w:p>
      <w:pPr>
        <w:ind w:left="262" w:hanging="262"/>
        <w:spacing w:after="0"/>
        <w:tabs>
          <w:tab w:leader="none" w:pos="262" w:val="left"/>
        </w:tabs>
        <w:numPr>
          <w:ilvl w:val="0"/>
          <w:numId w:val="5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Re-price stock options without prior stockholder approval</w:t>
      </w:r>
    </w:p>
    <w:p>
      <w:pPr>
        <w:spacing w:after="0" w:line="221" w:lineRule="exact"/>
        <w:rPr>
          <w:rFonts w:ascii="MS PGothic" w:cs="MS PGothic" w:eastAsia="MS PGothic" w:hAnsi="MS PGothic"/>
          <w:sz w:val="16"/>
          <w:szCs w:val="16"/>
          <w:color w:val="auto"/>
        </w:rPr>
      </w:pPr>
    </w:p>
    <w:p>
      <w:pPr>
        <w:ind w:left="182" w:hanging="182"/>
        <w:spacing w:after="0"/>
        <w:tabs>
          <w:tab w:leader="none" w:pos="182" w:val="left"/>
        </w:tabs>
        <w:numPr>
          <w:ilvl w:val="0"/>
          <w:numId w:val="5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Provide perquisites to our executive officers</w:t>
      </w:r>
    </w:p>
    <w:p>
      <w:pPr>
        <w:spacing w:after="0" w:line="200" w:lineRule="exact"/>
        <w:rPr>
          <w:rFonts w:ascii="MS PGothic" w:cs="MS PGothic" w:eastAsia="MS PGothic" w:hAnsi="MS PGothic"/>
          <w:sz w:val="16"/>
          <w:szCs w:val="16"/>
          <w:color w:val="auto"/>
        </w:rPr>
      </w:pPr>
    </w:p>
    <w:p>
      <w:pPr>
        <w:spacing w:after="0" w:line="223" w:lineRule="exact"/>
        <w:rPr>
          <w:rFonts w:ascii="MS PGothic" w:cs="MS PGothic" w:eastAsia="MS PGothic" w:hAnsi="MS PGothic"/>
          <w:sz w:val="16"/>
          <w:szCs w:val="16"/>
          <w:color w:val="auto"/>
        </w:rPr>
      </w:pPr>
    </w:p>
    <w:p>
      <w:pPr>
        <w:ind w:left="2" w:right="399" w:hanging="2"/>
        <w:spacing w:after="0" w:line="298" w:lineRule="auto"/>
        <w:tabs>
          <w:tab w:leader="none" w:pos="191" w:val="left"/>
        </w:tabs>
        <w:numPr>
          <w:ilvl w:val="0"/>
          <w:numId w:val="5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Provide supplemental executive retirement plans or special health and welfare benefits to our executive officers</w:t>
      </w:r>
    </w:p>
    <w:p>
      <w:pPr>
        <w:spacing w:after="0" w:line="150" w:lineRule="exact"/>
        <w:rPr>
          <w:rFonts w:ascii="MS PGothic" w:cs="MS PGothic" w:eastAsia="MS PGothic" w:hAnsi="MS PGothic"/>
          <w:sz w:val="16"/>
          <w:szCs w:val="16"/>
          <w:color w:val="auto"/>
        </w:rPr>
      </w:pPr>
    </w:p>
    <w:p>
      <w:pPr>
        <w:ind w:left="2" w:right="519" w:hanging="2"/>
        <w:spacing w:after="0" w:line="298" w:lineRule="auto"/>
        <w:tabs>
          <w:tab w:leader="none" w:pos="191" w:val="left"/>
        </w:tabs>
        <w:numPr>
          <w:ilvl w:val="0"/>
          <w:numId w:val="5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Provide tax gross-up payments for any change-of-control payments</w:t>
      </w:r>
    </w:p>
    <w:p>
      <w:pPr>
        <w:spacing w:after="0" w:line="2905" w:lineRule="exact"/>
        <w:rPr>
          <w:sz w:val="20"/>
          <w:szCs w:val="20"/>
          <w:color w:val="auto"/>
        </w:rPr>
      </w:pPr>
    </w:p>
    <w:p>
      <w:pPr>
        <w:sectPr>
          <w:pgSz w:w="11900" w:h="16838" w:orient="portrait"/>
          <w:cols w:equalWidth="0" w:num="2">
            <w:col w:w="4320" w:space="278"/>
            <w:col w:w="4421"/>
          </w:cols>
          <w:pgMar w:left="1440" w:top="121" w:right="1440" w:bottom="1440" w:gutter="0" w:footer="0" w:header="0"/>
          <w:type w:val="continuous"/>
        </w:sectPr>
      </w:pPr>
    </w:p>
    <w:p>
      <w:pPr>
        <w:ind w:left="40" w:right="179" w:firstLine="648"/>
        <w:spacing w:after="0" w:line="281" w:lineRule="auto"/>
        <w:rPr>
          <w:sz w:val="20"/>
          <w:szCs w:val="20"/>
          <w:color w:val="auto"/>
        </w:rPr>
      </w:pPr>
      <w:r>
        <w:rPr>
          <w:rFonts w:ascii="Times New Roman" w:cs="Times New Roman" w:eastAsia="Times New Roman" w:hAnsi="Times New Roman"/>
          <w:sz w:val="16"/>
          <w:szCs w:val="16"/>
          <w:color w:val="auto"/>
        </w:rPr>
        <w:t>Our compensation committee believes that the most effective compensation program is one that rewards value creation for stockholders and progress towards achieving our mission and that promotes company performance. The objectives of our compensation program are to:</w:t>
      </w:r>
    </w:p>
    <w:p>
      <w:pPr>
        <w:spacing w:after="0" w:line="69" w:lineRule="exact"/>
        <w:rPr>
          <w:sz w:val="20"/>
          <w:szCs w:val="20"/>
          <w:color w:val="auto"/>
        </w:rPr>
      </w:pPr>
    </w:p>
    <w:p>
      <w:pPr>
        <w:ind w:left="1340" w:hanging="324"/>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attract, motivate and retain superior executive talent;</w:t>
      </w:r>
    </w:p>
    <w:p>
      <w:pPr>
        <w:spacing w:after="0" w:line="117" w:lineRule="exact"/>
        <w:rPr>
          <w:rFonts w:ascii="Times New Roman" w:cs="Times New Roman" w:eastAsia="Times New Roman" w:hAnsi="Times New Roman"/>
          <w:sz w:val="18"/>
          <w:szCs w:val="18"/>
          <w:color w:val="auto"/>
        </w:rPr>
      </w:pPr>
    </w:p>
    <w:p>
      <w:pPr>
        <w:ind w:left="1340" w:right="479" w:hanging="324"/>
        <w:spacing w:after="0" w:line="268"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provide incentives that motivate and reward the achievement of performance goals that directly correlate to the enhancement of stockholder value, as well as to facilitate executive retention; and</w:t>
      </w:r>
    </w:p>
    <w:p>
      <w:pPr>
        <w:spacing w:after="0" w:line="76" w:lineRule="exact"/>
        <w:rPr>
          <w:rFonts w:ascii="Times New Roman" w:cs="Times New Roman" w:eastAsia="Times New Roman" w:hAnsi="Times New Roman"/>
          <w:sz w:val="18"/>
          <w:szCs w:val="18"/>
          <w:color w:val="auto"/>
        </w:rPr>
      </w:pPr>
    </w:p>
    <w:p>
      <w:pPr>
        <w:ind w:left="1340" w:right="339" w:hanging="324"/>
        <w:spacing w:after="0" w:line="264" w:lineRule="auto"/>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align executives’ interests with those of stockholders through long-term incentives linked to the performance and appreciation of the stock price of our company, which we believe serves to enhance short- and long-term value creation for our stockholders.</w:t>
      </w:r>
    </w:p>
    <w:p>
      <w:pPr>
        <w:spacing w:after="0" w:line="83" w:lineRule="exact"/>
        <w:rPr>
          <w:sz w:val="20"/>
          <w:szCs w:val="20"/>
          <w:color w:val="auto"/>
        </w:rPr>
      </w:pPr>
    </w:p>
    <w:p>
      <w:pPr>
        <w:ind w:left="40" w:right="139" w:firstLine="648"/>
        <w:spacing w:after="0" w:line="281" w:lineRule="auto"/>
        <w:rPr>
          <w:sz w:val="20"/>
          <w:szCs w:val="20"/>
          <w:color w:val="auto"/>
        </w:rPr>
      </w:pPr>
      <w:r>
        <w:rPr>
          <w:rFonts w:ascii="Times New Roman" w:cs="Times New Roman" w:eastAsia="Times New Roman" w:hAnsi="Times New Roman"/>
          <w:sz w:val="16"/>
          <w:szCs w:val="16"/>
          <w:color w:val="auto"/>
        </w:rPr>
        <w:t>To achieve its objectives, our compensation committee evaluates our executive compensation program with the goal of setting total compensation at levels that align with our culture, total rewards strategy, size and life stage. Specifically, our compensation committee targets key elements of our compensation programs as follows:</w:t>
      </w:r>
    </w:p>
    <w:p>
      <w:pPr>
        <w:spacing w:after="0" w:line="65" w:lineRule="exact"/>
        <w:rPr>
          <w:sz w:val="20"/>
          <w:szCs w:val="20"/>
          <w:color w:val="auto"/>
        </w:rPr>
      </w:pPr>
    </w:p>
    <w:p>
      <w:pPr>
        <w:ind w:left="1340" w:right="159" w:hanging="324"/>
        <w:spacing w:after="0" w:line="266"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Base salaries: </w:t>
      </w:r>
      <w:r>
        <w:rPr>
          <w:rFonts w:ascii="Times New Roman" w:cs="Times New Roman" w:eastAsia="Times New Roman" w:hAnsi="Times New Roman"/>
          <w:sz w:val="16"/>
          <w:szCs w:val="16"/>
          <w:color w:val="auto"/>
        </w:rPr>
        <w:t>Our compensation committee generally targets base salaries at the 50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percentile of our peer group,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discussed below, and seeks to ensure that such salaries reflect each executive’s level of experience, performance and responsibility and that such levels are competitive with those of other companies in our industry and region that compete with us for executive talent.</w:t>
      </w:r>
    </w:p>
    <w:p>
      <w:pPr>
        <w:spacing w:after="0" w:line="76" w:lineRule="exact"/>
        <w:rPr>
          <w:rFonts w:ascii="Times New Roman" w:cs="Times New Roman" w:eastAsia="Times New Roman" w:hAnsi="Times New Roman"/>
          <w:sz w:val="18"/>
          <w:szCs w:val="18"/>
          <w:color w:val="auto"/>
        </w:rPr>
      </w:pPr>
    </w:p>
    <w:p>
      <w:pPr>
        <w:ind w:left="1340" w:right="119" w:hanging="324"/>
        <w:spacing w:after="0" w:line="265" w:lineRule="auto"/>
        <w:tabs>
          <w:tab w:leader="none" w:pos="1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Annual performance-based cash incentive compensation: </w:t>
      </w:r>
      <w:r>
        <w:rPr>
          <w:rFonts w:ascii="Times New Roman" w:cs="Times New Roman" w:eastAsia="Times New Roman" w:hAnsi="Times New Roman"/>
          <w:sz w:val="16"/>
          <w:szCs w:val="16"/>
          <w:color w:val="auto"/>
        </w:rPr>
        <w:t>Our compensation program links a substantial portion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named executive officers’ compensation to the achievement of scientific, business, organizational and operational goals such as progress in our clinical trials and research programs; key research and development achievements; maintaining the strong financial health of the company, including implementation of appropriate financing strategies; maintaining key strategic relationships; addition and development of internal competencies,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4" w:name="page25"/>
    <w:bookmarkEnd w:id="24"/>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1340" w:right="179"/>
        <w:spacing w:after="0" w:line="273" w:lineRule="auto"/>
        <w:rPr>
          <w:sz w:val="20"/>
          <w:szCs w:val="20"/>
          <w:color w:val="auto"/>
        </w:rPr>
      </w:pPr>
      <w:r>
        <w:rPr>
          <w:rFonts w:ascii="Times New Roman" w:cs="Times New Roman" w:eastAsia="Times New Roman" w:hAnsi="Times New Roman"/>
          <w:sz w:val="16"/>
          <w:szCs w:val="16"/>
          <w:color w:val="auto"/>
        </w:rPr>
        <w:t xml:space="preserve">including retention of high-performing employees; and achievement of desired financial metrics. Our compensation committee targets annual performance-based cash incentive compensation at the 50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percentile of our peer group and caps annual cash incentive program payouts in any given year at 150% of the target payout level.</w:t>
      </w:r>
    </w:p>
    <w:p>
      <w:pPr>
        <w:spacing w:after="0" w:line="71" w:lineRule="exact"/>
        <w:rPr>
          <w:sz w:val="20"/>
          <w:szCs w:val="20"/>
          <w:color w:val="auto"/>
        </w:rPr>
      </w:pPr>
    </w:p>
    <w:p>
      <w:pPr>
        <w:ind w:left="1340" w:right="119" w:hanging="324"/>
        <w:spacing w:after="0" w:line="263" w:lineRule="auto"/>
        <w:tabs>
          <w:tab w:leader="none" w:pos="1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Equity incentive compensation: </w:t>
      </w:r>
      <w:r>
        <w:rPr>
          <w:rFonts w:ascii="Times New Roman" w:cs="Times New Roman" w:eastAsia="Times New Roman" w:hAnsi="Times New Roman"/>
          <w:sz w:val="16"/>
          <w:szCs w:val="16"/>
          <w:color w:val="auto"/>
        </w:rPr>
        <w:t>In addition, we provide a significant portion of our executive compensation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form of stock options and restricted stock units, or RSUs, that vest over time, which we believe helps to retain our executives and aligns their interests with those of our stockholders by allowing them to participate in the longer term success of our company as reflected in the appreciation of our stock price. When determining equity incentive compensation for our named executive officers, our compensation committee considers a host of factors in comparison to our named peers, including the following: annual long-term incentive values, annual equity awards expressed as a percent of total shares outstanding, total annual and cumulative dilution, the retentive value of outstanding awards and total equity ownership and the equity compensation practices of other companies in our industry that compete with us for talent. Given the dynamic biopharmaceutical market, the compensation committee does not overemphasize any one perspective. Rather, the committee takes a holistic perspective, further considering the achievement of company goals and how that impacts total shareholder return, when determining actual award levels for the named executive officers, which the committee generally targets at the 65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percentile of our peer group.</w:t>
      </w:r>
    </w:p>
    <w:p>
      <w:pPr>
        <w:spacing w:after="0" w:line="86" w:lineRule="exact"/>
        <w:rPr>
          <w:sz w:val="20"/>
          <w:szCs w:val="20"/>
          <w:color w:val="auto"/>
        </w:rPr>
      </w:pPr>
    </w:p>
    <w:p>
      <w:pPr>
        <w:ind w:left="40" w:right="99" w:firstLine="648"/>
        <w:spacing w:after="0" w:line="268" w:lineRule="auto"/>
        <w:rPr>
          <w:sz w:val="20"/>
          <w:szCs w:val="20"/>
          <w:color w:val="auto"/>
        </w:rPr>
      </w:pPr>
      <w:r>
        <w:rPr>
          <w:rFonts w:ascii="Times New Roman" w:cs="Times New Roman" w:eastAsia="Times New Roman" w:hAnsi="Times New Roman"/>
          <w:sz w:val="16"/>
          <w:szCs w:val="16"/>
          <w:color w:val="auto"/>
        </w:rPr>
        <w:t>We believe that targeting overall compensation in this manner is necessary and appropriate in order to attract and retain the quality of talent we need to successfully grow our business, achieve our challenging goals, sustain strong performance, and seek to ensure that compensation levels are competitive with those of other companies against which we compete for talent. However, any given individual employee’s compensation may vary from the targeted pay framework, based on the unique responsibilities and requirements of his or her position, his or her experience and other qualifications, internal parity relative to similar positions within the company, and individual or company performance relative to performance goals and the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Annual Say-on-Pay Vote on Executive Compensation</w:t>
      </w:r>
    </w:p>
    <w:p>
      <w:pPr>
        <w:spacing w:after="0" w:line="131" w:lineRule="exact"/>
        <w:rPr>
          <w:sz w:val="20"/>
          <w:szCs w:val="20"/>
          <w:color w:val="auto"/>
        </w:rPr>
      </w:pPr>
    </w:p>
    <w:p>
      <w:pPr>
        <w:ind w:left="40" w:right="79" w:firstLine="648"/>
        <w:spacing w:after="0" w:line="207" w:lineRule="exact"/>
        <w:rPr>
          <w:sz w:val="20"/>
          <w:szCs w:val="20"/>
          <w:color w:val="auto"/>
        </w:rPr>
      </w:pPr>
      <w:r>
        <w:rPr>
          <w:rFonts w:ascii="Times New Roman" w:cs="Times New Roman" w:eastAsia="Times New Roman" w:hAnsi="Times New Roman"/>
          <w:sz w:val="16"/>
          <w:szCs w:val="16"/>
          <w:color w:val="auto"/>
        </w:rPr>
        <w:t>The compensation committee considered the results of the non-binding, stockholder advisory votes on the compensation of our named executive officers conducted at the 2019 Annual Meeting, commonly referred to as a “say-on-pay” vote. As reported in our current report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on June 20, 2019, approximately 93.4% of the votes cast on the proposal expressed support for the compensation program offered to our named executive officers as disclosed in last year’s proxy statement. The compensation committee appreciated this support and believes it indicates that our stockholders are supportive of the current executive compensation structure and policies. As such, the committee made no changes to our executive compensation program as a result of the say-on-pay vote.</w:t>
      </w:r>
    </w:p>
    <w:p>
      <w:pPr>
        <w:spacing w:after="0" w:line="284" w:lineRule="exact"/>
        <w:rPr>
          <w:sz w:val="20"/>
          <w:szCs w:val="20"/>
          <w:color w:val="auto"/>
        </w:rPr>
      </w:pPr>
    </w:p>
    <w:p>
      <w:pPr>
        <w:ind w:left="40" w:right="159" w:firstLine="648"/>
        <w:spacing w:after="0" w:line="271" w:lineRule="auto"/>
        <w:rPr>
          <w:sz w:val="20"/>
          <w:szCs w:val="20"/>
          <w:color w:val="auto"/>
        </w:rPr>
      </w:pPr>
      <w:r>
        <w:rPr>
          <w:rFonts w:ascii="Times New Roman" w:cs="Times New Roman" w:eastAsia="Times New Roman" w:hAnsi="Times New Roman"/>
          <w:sz w:val="16"/>
          <w:szCs w:val="16"/>
          <w:color w:val="auto"/>
        </w:rPr>
        <w:t>Further, our board of directors has elected to conduct the say-on-pay vote annually, thereby giving our stockholders the opportunity to provide feedback on the compensation of our named executive officers each year. We will be conducting our annual say-on-pay vote as described in Proposal 2 of this proxy statement at our 2020 annual meeting of stockholders. Our board of directors and our compensation committee will consider the outcome of the say-on-pay vote, as well as feedback received throughout the year, when making compensation decisions for our named executive officers in the future. Following our 2020 annual meeting, the next say-on-pay vote will be held at the 2021 Annual Meeting of Stockholders.</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Overview of Executive Compensation Process</w:t>
      </w:r>
    </w:p>
    <w:p>
      <w:pPr>
        <w:spacing w:after="0" w:line="131" w:lineRule="exact"/>
        <w:rPr>
          <w:sz w:val="20"/>
          <w:szCs w:val="20"/>
          <w:color w:val="auto"/>
        </w:rPr>
      </w:pPr>
    </w:p>
    <w:p>
      <w:pPr>
        <w:ind w:left="40" w:right="179" w:firstLine="648"/>
        <w:spacing w:after="0" w:line="269" w:lineRule="auto"/>
        <w:rPr>
          <w:sz w:val="20"/>
          <w:szCs w:val="20"/>
          <w:color w:val="auto"/>
        </w:rPr>
      </w:pPr>
      <w:r>
        <w:rPr>
          <w:rFonts w:ascii="Times New Roman" w:cs="Times New Roman" w:eastAsia="Times New Roman" w:hAnsi="Times New Roman"/>
          <w:sz w:val="16"/>
          <w:szCs w:val="16"/>
          <w:color w:val="auto"/>
        </w:rPr>
        <w:t>As a part of determining named executive officer performance and compensation, our compensation committee receives recommendations from our chief executive officer, other than with respect to his own compensation and performance. Our chief executive officer’s performance is evaluated and approved directly by the compensation committee, taking into account input from our board of directors. Evaluations of each of our named executives is based on our overall corporate performance against annual goals that are approved by the board of directors at the beginning of each year and, in the case of executive officers other than our chief executive officer, the achievement of individual goals, as discussed in more detail below. The evaluation of our chief executive officer is based solely on our corporate performance goals, in recognition of his overall responsibility for our corporate performance and to incentivize him to drive the execution of our strategic plans and achievement of our corporate goals.</w:t>
      </w:r>
    </w:p>
    <w:p>
      <w:pPr>
        <w:spacing w:after="0" w:line="78" w:lineRule="exact"/>
        <w:rPr>
          <w:sz w:val="20"/>
          <w:szCs w:val="20"/>
          <w:color w:val="auto"/>
        </w:rPr>
      </w:pPr>
    </w:p>
    <w:p>
      <w:pPr>
        <w:ind w:left="40" w:right="79" w:firstLine="648"/>
        <w:spacing w:after="0" w:line="275" w:lineRule="auto"/>
        <w:rPr>
          <w:sz w:val="20"/>
          <w:szCs w:val="20"/>
          <w:color w:val="auto"/>
        </w:rPr>
      </w:pPr>
      <w:r>
        <w:rPr>
          <w:rFonts w:ascii="Times New Roman" w:cs="Times New Roman" w:eastAsia="Times New Roman" w:hAnsi="Times New Roman"/>
          <w:sz w:val="16"/>
          <w:szCs w:val="16"/>
          <w:color w:val="auto"/>
        </w:rPr>
        <w:t>The compensation committee has the sole authority to retain, at our expense, one or more third-party compensation consultants to assist the compensation committee in performing its responsibilities. The compensation committee may terminate the services of the consultant if the compensation committee deems it appropriate. In 2019, the compensation committee utilized the services of Radford, an Aon Hewitt company, to assist it in fulfilling its responsibilities. Radford was retained exclusively by the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159"/>
        <w:spacing w:after="0" w:line="298" w:lineRule="auto"/>
        <w:rPr>
          <w:sz w:val="20"/>
          <w:szCs w:val="20"/>
          <w:color w:val="auto"/>
        </w:rPr>
      </w:pPr>
      <w:r>
        <w:rPr>
          <w:rFonts w:ascii="Times New Roman" w:cs="Times New Roman" w:eastAsia="Times New Roman" w:hAnsi="Times New Roman"/>
          <w:sz w:val="16"/>
          <w:szCs w:val="16"/>
          <w:color w:val="auto"/>
        </w:rPr>
        <w:t>compensation committee and has not been retained by management to perform any work for the company other than projects performed at the direction of the compensation committee. Radford provides analysis and recommendations regarding:</w:t>
      </w:r>
    </w:p>
    <w:p>
      <w:pPr>
        <w:spacing w:after="0" w:line="56" w:lineRule="exact"/>
        <w:rPr>
          <w:sz w:val="20"/>
          <w:szCs w:val="20"/>
          <w:color w:val="auto"/>
        </w:rPr>
      </w:pPr>
    </w:p>
    <w:p>
      <w:pPr>
        <w:ind w:left="1340" w:hanging="32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trends and emerging topics with respect to executive compensation;</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peer group selection for executive compensation benchmarking;</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compensation practices of our peer group, including executive severance arrangements;</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compensation philosophy and programs for executives and broad-based employees;</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stock utilization and other metrics; and</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board of directors compensation.</w:t>
      </w:r>
    </w:p>
    <w:p>
      <w:pPr>
        <w:spacing w:after="0" w:line="117" w:lineRule="exact"/>
        <w:rPr>
          <w:sz w:val="20"/>
          <w:szCs w:val="20"/>
          <w:color w:val="auto"/>
        </w:rPr>
      </w:pPr>
    </w:p>
    <w:p>
      <w:pPr>
        <w:ind w:left="40" w:right="59" w:firstLine="648"/>
        <w:spacing w:after="0" w:line="267" w:lineRule="auto"/>
        <w:rPr>
          <w:sz w:val="20"/>
          <w:szCs w:val="20"/>
          <w:color w:val="auto"/>
        </w:rPr>
      </w:pPr>
      <w:r>
        <w:rPr>
          <w:rFonts w:ascii="Times New Roman" w:cs="Times New Roman" w:eastAsia="Times New Roman" w:hAnsi="Times New Roman"/>
          <w:sz w:val="16"/>
          <w:szCs w:val="16"/>
          <w:color w:val="auto"/>
        </w:rPr>
        <w:t>In addition, we subscribe to Radford’s various global annual and specialized life sciences and general industry surveys on an ongoing basis. Radford advised the compensation committee on all of the principal aspects of executive compensation, including executive new hire compensation arrangements. Radford consultants attend meetings of the compensation committee, including executive sessions in which executive compensation issues are discussed, when requested to do so. Radford reports to the compensation committee and not to management, although it meets with management for purposes of gathering information for its analyses and recommendations. The compensation committee annually evaluates its engagement of compensation consultants, and selected Radford to advise with respect to compensation matters based on Radford’s industry experience and reputation, which our compensation committee concluded give Radford useful context and knowledge to advise it. The compensation committee has assessed the independence of Radford pursuant to SEC and Nasdaq rules and concluded that no conflict of interest exists that would prevent Radford from independently representing the compensation committee.</w:t>
      </w:r>
    </w:p>
    <w:p>
      <w:pPr>
        <w:spacing w:after="0" w:line="86" w:lineRule="exact"/>
        <w:rPr>
          <w:sz w:val="20"/>
          <w:szCs w:val="20"/>
          <w:color w:val="auto"/>
        </w:rPr>
      </w:pPr>
    </w:p>
    <w:p>
      <w:pPr>
        <w:jc w:val="both"/>
        <w:ind w:left="40" w:right="79" w:firstLine="648"/>
        <w:spacing w:after="0" w:line="267" w:lineRule="auto"/>
        <w:rPr>
          <w:sz w:val="20"/>
          <w:szCs w:val="20"/>
          <w:color w:val="auto"/>
        </w:rPr>
      </w:pPr>
      <w:r>
        <w:rPr>
          <w:rFonts w:ascii="Times New Roman" w:cs="Times New Roman" w:eastAsia="Times New Roman" w:hAnsi="Times New Roman"/>
          <w:sz w:val="16"/>
          <w:szCs w:val="16"/>
          <w:color w:val="auto"/>
        </w:rPr>
        <w:t>Annual base salaries for the year, and annual performance-based cash incentives and equity incentive awards for all employees for the prior year are generally determined in the first quarter of the year based on company and individual performance of the prior year, as well as other factors, including compensation trends in the biopharmaceutical industry and among our benchmark peers. In</w:t>
      </w:r>
    </w:p>
    <w:p>
      <w:pPr>
        <w:spacing w:after="0" w:line="1"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6"/>
          <w:szCs w:val="16"/>
          <w:color w:val="auto"/>
        </w:rPr>
        <w:t>January 2019, in connection with the promotion of Mr. Landsittel to our chief financial officer and the promotion of Ms. Haviland to our chief operating officer, our board of directors approved 2019 base salaries for Mr. Landsittel and Ms. Haviland. In February 2019, the compensation committee approved 2019 base salaries (except for Mr. Landsittel and Ms. Haviland), 2019 target award opportunities and 2018 annual cash incentives and annual equity awards for each of our named executive officers, including our chief executive officer. With respect to our chief executive officer, the compensation committee reviewed his performance and presented its assessment to our board of directors prior to the compensation committee approving the 2019 base salary, 2019 target award opportunity and 2018 annual cash incentive, annual stock option and RSU awards for our chief executive officer.</w:t>
      </w:r>
    </w:p>
    <w:p>
      <w:pPr>
        <w:spacing w:after="0" w:line="80" w:lineRule="exact"/>
        <w:rPr>
          <w:sz w:val="20"/>
          <w:szCs w:val="20"/>
          <w:color w:val="auto"/>
        </w:rPr>
      </w:pPr>
    </w:p>
    <w:p>
      <w:pPr>
        <w:jc w:val="both"/>
        <w:ind w:left="40" w:right="99" w:firstLine="648"/>
        <w:spacing w:after="0" w:line="272" w:lineRule="auto"/>
        <w:rPr>
          <w:sz w:val="20"/>
          <w:szCs w:val="20"/>
          <w:color w:val="auto"/>
        </w:rPr>
      </w:pPr>
      <w:r>
        <w:rPr>
          <w:rFonts w:ascii="Times New Roman" w:cs="Times New Roman" w:eastAsia="Times New Roman" w:hAnsi="Times New Roman"/>
          <w:sz w:val="16"/>
          <w:szCs w:val="16"/>
          <w:color w:val="auto"/>
        </w:rPr>
        <w:t>In February 2020, the compensation committee approved 2020 base salaries, 2020 target award opportunities and 2019 annual cash incentives and annual equity awards for each of our named executive officers, including our chief executive officer. With respect to our chief executive officer, the compensation committee reviewed his performance and presented its assessment to our board of directors prior to the compensation committee approving the 2020 base salary, 2020 target award opportunity and 2019 annual cash incentive and annual equity awards for our chief executive officer.</w:t>
      </w:r>
    </w:p>
    <w:p>
      <w:pPr>
        <w:spacing w:after="0" w:line="78" w:lineRule="exact"/>
        <w:rPr>
          <w:sz w:val="20"/>
          <w:szCs w:val="20"/>
          <w:color w:val="auto"/>
        </w:rPr>
      </w:pPr>
    </w:p>
    <w:p>
      <w:pPr>
        <w:ind w:left="40" w:right="99" w:firstLine="648"/>
        <w:spacing w:after="0" w:line="275" w:lineRule="auto"/>
        <w:rPr>
          <w:sz w:val="20"/>
          <w:szCs w:val="20"/>
          <w:color w:val="auto"/>
        </w:rPr>
      </w:pPr>
      <w:r>
        <w:rPr>
          <w:rFonts w:ascii="Times New Roman" w:cs="Times New Roman" w:eastAsia="Times New Roman" w:hAnsi="Times New Roman"/>
          <w:sz w:val="16"/>
          <w:szCs w:val="16"/>
          <w:color w:val="auto"/>
        </w:rPr>
        <w:t>Currently, all of our employees, including our named executive officers, are eligible to participate in our 2015 Stock Option and Incentive Plan, or the 2015 Plan. All new full-time employees are granted equity awards when they start employment with us, which typically consists of a combination of stock options and RSUs. In addition, all continuing employees are eligible for equity awards consisting of stock option and RSU awards annually based on performance and upon promotions to positions of greater responsibility.</w:t>
      </w:r>
    </w:p>
    <w:p>
      <w:pPr>
        <w:spacing w:after="0" w:line="75"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color w:val="auto"/>
        </w:rPr>
        <w:t>Our compensation committee has delegated authority to Mr. Albers, our chief executive officer, to make equity awards under our 2015 Plan to any new hire, or replacement or substitute hire of the company or its subsidiaries and existing employees of the company or any of its subsidiaries in connection with promotions, employee recognition or exceptional performance, in each case, subject to certain limitations. In particular, our chief executive officer is not authorized to grant equity awards (i) to an employee who is a senior vice president (or above) or a direct report to the chief executive officer; (ii) to an employee who is an officer or director of the company or its subsidiaries and is subject to Section 16 of the Exchange Act; (iii) to an employee who is at the time of grant, or who is anticipated to become during the term of the applicable equity award, a “covered employee”, as defined in Section 162(m)(3) of the Internal Revenue Code; (iv) to himself; or (v) to any other person that our board of directors or compensation committee, respectively, may from time to time designate in writing as not being eligible to receive equity awards under the authority delegated to the chief executive officer. In addition, the number of shares underlying any equity awards granted by our chief executive officer must be within the range specified by our compensation committee for these awards, and the aggregate number of shares underlying equity awards that our chief executive officer may grant in any one calendar year or to any person in any one calendar year must be within specified limits established by our compensation committee. The exercise price of stock options must be equal to the closing price of our common stock on the Nasdaq Global Select Market on the date of grant, and all equity awards must have vesting terms consistent with those approved by our compensation committee. In addition, Mr. Albers is required to maintain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139"/>
        <w:spacing w:after="0" w:line="298" w:lineRule="auto"/>
        <w:rPr>
          <w:sz w:val="20"/>
          <w:szCs w:val="20"/>
          <w:color w:val="auto"/>
        </w:rPr>
      </w:pPr>
      <w:r>
        <w:rPr>
          <w:rFonts w:ascii="Times New Roman" w:cs="Times New Roman" w:eastAsia="Times New Roman" w:hAnsi="Times New Roman"/>
          <w:sz w:val="16"/>
          <w:szCs w:val="16"/>
          <w:color w:val="auto"/>
        </w:rPr>
        <w:t>list of equity awards granted pursuant to such delegated authority and periodically report to our compensation committee regarding such awards.</w:t>
      </w:r>
    </w:p>
    <w:p>
      <w:pPr>
        <w:spacing w:after="0" w:line="56"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With respect to any equity awards granted by our chief executive officer to new hires, Mr. Albers approves the awards in connection with such hires and provides that the awards are to be granted to the new hires on the first day of the calendar month following the date of such new hires’ first date of regular employment. Notwithstanding the delegation of authority to our chief executive officer to grant certain equity awards in connection with promotions, our compensation committee approves all equity awards in connection with annual promotions as part of our annual compensation review process. With respect to any equity awards granted by our chief executive officer to employees in connection with mid-year promotions, Mr. Albers approves the awards in connection with such promotions and provides that the awards are to be granted on July 1 of the applicable year.</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Defining and Comparing Compensation to Market Benchmarks</w:t>
      </w:r>
    </w:p>
    <w:p>
      <w:pPr>
        <w:spacing w:after="0" w:line="131" w:lineRule="exact"/>
        <w:rPr>
          <w:sz w:val="20"/>
          <w:szCs w:val="20"/>
          <w:color w:val="auto"/>
        </w:rPr>
      </w:pPr>
    </w:p>
    <w:p>
      <w:pPr>
        <w:jc w:val="both"/>
        <w:ind w:left="40" w:right="59" w:firstLine="648"/>
        <w:spacing w:after="0" w:line="281" w:lineRule="auto"/>
        <w:rPr>
          <w:sz w:val="20"/>
          <w:szCs w:val="20"/>
          <w:color w:val="auto"/>
        </w:rPr>
      </w:pPr>
      <w:r>
        <w:rPr>
          <w:rFonts w:ascii="Times New Roman" w:cs="Times New Roman" w:eastAsia="Times New Roman" w:hAnsi="Times New Roman"/>
          <w:sz w:val="16"/>
          <w:szCs w:val="16"/>
          <w:color w:val="auto"/>
        </w:rPr>
        <w:t>In evaluating the total compensation of our named executive officers, our compensation committee, using information provided by Radford, establishes a peer group of publicly traded companies in the biopharmaceutical and biotechnology industries that is selected based on a balance of the following criteria:</w:t>
      </w:r>
    </w:p>
    <w:p>
      <w:pPr>
        <w:spacing w:after="0" w:line="69" w:lineRule="exact"/>
        <w:rPr>
          <w:sz w:val="20"/>
          <w:szCs w:val="20"/>
          <w:color w:val="auto"/>
        </w:rPr>
      </w:pPr>
    </w:p>
    <w:p>
      <w:pPr>
        <w:ind w:left="1340" w:right="439" w:hanging="324"/>
        <w:spacing w:after="0" w:line="268" w:lineRule="auto"/>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companies whose number of employees, stage of development and market capitalization are similar, though not necessarily identical, to ours;</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companies with similar executive positions to ours;</w:t>
      </w:r>
    </w:p>
    <w:p>
      <w:pPr>
        <w:spacing w:after="0" w:line="117"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companies against which we believe that we compete for executive talent; and</w:t>
      </w:r>
    </w:p>
    <w:p>
      <w:pPr>
        <w:spacing w:after="0" w:line="117" w:lineRule="exact"/>
        <w:rPr>
          <w:rFonts w:ascii="Times New Roman" w:cs="Times New Roman" w:eastAsia="Times New Roman" w:hAnsi="Times New Roman"/>
          <w:sz w:val="18"/>
          <w:szCs w:val="18"/>
          <w:color w:val="auto"/>
        </w:rPr>
      </w:pPr>
    </w:p>
    <w:p>
      <w:pPr>
        <w:ind w:left="1340" w:right="779" w:hanging="324"/>
        <w:spacing w:after="0" w:line="268" w:lineRule="auto"/>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public companies based in the United States whose compensation and financial data are available in proxy statements or through widely available compensation surveys.</w:t>
      </w:r>
    </w:p>
    <w:p>
      <w:pPr>
        <w:spacing w:after="0" w:line="76" w:lineRule="exact"/>
        <w:rPr>
          <w:sz w:val="20"/>
          <w:szCs w:val="20"/>
          <w:color w:val="auto"/>
        </w:rPr>
      </w:pPr>
    </w:p>
    <w:p>
      <w:pPr>
        <w:ind w:left="40" w:right="679" w:firstLine="648"/>
        <w:spacing w:after="0" w:line="298" w:lineRule="auto"/>
        <w:rPr>
          <w:sz w:val="20"/>
          <w:szCs w:val="20"/>
          <w:color w:val="auto"/>
        </w:rPr>
      </w:pPr>
      <w:r>
        <w:rPr>
          <w:rFonts w:ascii="Times New Roman" w:cs="Times New Roman" w:eastAsia="Times New Roman" w:hAnsi="Times New Roman"/>
          <w:sz w:val="16"/>
          <w:szCs w:val="16"/>
          <w:color w:val="auto"/>
        </w:rPr>
        <w:t>Based on these criteria, our peer group for 2019, referred to as our 2019 peer group, as approved by our compensation committee, was comprised of the following 16 companies: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Acceleron Pharma Inc.</w:t>
            </w:r>
          </w:p>
        </w:tc>
        <w:tc>
          <w:tcPr>
            <w:tcW w:w="3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Global Blood Therapeutics, Inc.</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Sage Therapeutics, Inc.</w:t>
            </w: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Agios Pharmaceuticals, Inc.</w:t>
            </w:r>
          </w:p>
        </w:tc>
        <w:tc>
          <w:tcPr>
            <w:tcW w:w="3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Insmed Incorporated</w:t>
            </w:r>
          </w:p>
        </w:tc>
        <w:tc>
          <w:tcPr>
            <w:tcW w:w="3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Sangamo Therapeutics, Inc.</w:t>
            </w:r>
          </w:p>
        </w:tc>
      </w:tr>
      <w:tr>
        <w:trPr>
          <w:trHeight w:val="21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Alder BioPharmaceuticals, Inc.</w:t>
            </w:r>
          </w:p>
        </w:tc>
        <w:tc>
          <w:tcPr>
            <w:tcW w:w="3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Loxo Oncology, Inc.</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Spark Therapeutics, Inc.</w:t>
            </w:r>
          </w:p>
        </w:tc>
      </w:tr>
      <w:tr>
        <w:trPr>
          <w:trHeight w:val="21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Amicus Therapeutics, Inc.</w:t>
            </w:r>
          </w:p>
        </w:tc>
        <w:tc>
          <w:tcPr>
            <w:tcW w:w="3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MacroGenics, Inc.</w:t>
            </w:r>
          </w:p>
        </w:tc>
        <w:tc>
          <w:tcPr>
            <w:tcW w:w="3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Xencor, Inc.</w:t>
            </w:r>
          </w:p>
        </w:tc>
      </w:tr>
      <w:tr>
        <w:trPr>
          <w:trHeight w:val="21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bluebird bio, Inc.</w:t>
            </w:r>
          </w:p>
        </w:tc>
        <w:tc>
          <w:tcPr>
            <w:tcW w:w="3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REGENXBIO, Inc.</w:t>
            </w:r>
          </w:p>
        </w:tc>
        <w:tc>
          <w:tcPr>
            <w:tcW w:w="3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ZIOPHARM Oncology, Inc.</w:t>
            </w: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Editas Medicine, Inc.</w:t>
            </w:r>
          </w:p>
        </w:tc>
        <w:tc>
          <w:tcPr>
            <w:tcW w:w="3140" w:type="dxa"/>
            <w:vAlign w:val="bottom"/>
          </w:tcPr>
          <w:p>
            <w:pPr>
              <w:spacing w:after="0"/>
              <w:rPr>
                <w:sz w:val="18"/>
                <w:szCs w:val="18"/>
                <w:color w:val="auto"/>
              </w:rPr>
            </w:pPr>
          </w:p>
        </w:tc>
        <w:tc>
          <w:tcPr>
            <w:tcW w:w="3060" w:type="dxa"/>
            <w:vAlign w:val="bottom"/>
          </w:tcPr>
          <w:p>
            <w:pPr>
              <w:spacing w:after="0"/>
              <w:rPr>
                <w:sz w:val="18"/>
                <w:szCs w:val="18"/>
                <w:color w:val="auto"/>
              </w:rPr>
            </w:pPr>
          </w:p>
        </w:tc>
      </w:tr>
    </w:tbl>
    <w:p>
      <w:pPr>
        <w:spacing w:after="0" w:line="208" w:lineRule="exact"/>
        <w:rPr>
          <w:sz w:val="20"/>
          <w:szCs w:val="20"/>
          <w:color w:val="auto"/>
        </w:rPr>
      </w:pPr>
    </w:p>
    <w:p>
      <w:pPr>
        <w:ind w:left="40" w:right="99" w:firstLine="648"/>
        <w:spacing w:after="0" w:line="268" w:lineRule="auto"/>
        <w:rPr>
          <w:sz w:val="20"/>
          <w:szCs w:val="20"/>
          <w:color w:val="auto"/>
        </w:rPr>
      </w:pPr>
      <w:r>
        <w:rPr>
          <w:rFonts w:ascii="Times New Roman" w:cs="Times New Roman" w:eastAsia="Times New Roman" w:hAnsi="Times New Roman"/>
          <w:sz w:val="16"/>
          <w:szCs w:val="16"/>
          <w:color w:val="auto"/>
        </w:rPr>
        <w:t>The compensation committee believes the compensation practices of our peer group provide us with appropriate compensation benchmarks for evaluating the compensation of our named executive officers. Notwithstanding the similarities of our peer group to Blueprint Medicines,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historic compensation practices or deviate from its general compensation philosophy under certain circumstances. We believe that the compensation practices of our 2019 peer group provided us with appropriate compensation benchmarks for evaluating the compensation of our named executive officers during 2019.</w:t>
      </w:r>
    </w:p>
    <w:p>
      <w:pPr>
        <w:spacing w:after="0" w:line="81" w:lineRule="exact"/>
        <w:rPr>
          <w:sz w:val="20"/>
          <w:szCs w:val="20"/>
          <w:color w:val="auto"/>
        </w:rPr>
      </w:pPr>
    </w:p>
    <w:p>
      <w:pPr>
        <w:ind w:left="40" w:right="159" w:firstLine="648"/>
        <w:spacing w:after="0" w:line="271" w:lineRule="auto"/>
        <w:rPr>
          <w:sz w:val="20"/>
          <w:szCs w:val="20"/>
          <w:color w:val="auto"/>
        </w:rPr>
      </w:pPr>
      <w:r>
        <w:rPr>
          <w:rFonts w:ascii="Times New Roman" w:cs="Times New Roman" w:eastAsia="Times New Roman" w:hAnsi="Times New Roman"/>
          <w:sz w:val="16"/>
          <w:szCs w:val="16"/>
          <w:color w:val="auto"/>
        </w:rPr>
        <w:t>For purposes of compensation for 2020, our compensation committee, with the advice of Radford, examined our 2019 peer group in light of our continued growth throughout 2019, which we anticipate to continue in 2020, the stage of commercialization and development of our approved drug and clinical programs and changes in our market capitalization. With reference to market capitalization, therapeutic area, stage of development, number of employees and other key business metrics, as well as whether the companies in our 2019 peer group suffered any clinical setbacks or experienced reduced growth, our compensation committee approved the following 17 companies as our 2020 peer group:</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ACADIA Pharmaceuticals Inc. *</w:t>
            </w:r>
          </w:p>
        </w:tc>
        <w:tc>
          <w:tcPr>
            <w:tcW w:w="36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bluebird bio, Inc.</w:t>
            </w: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Sage Therapeutics, Inc.</w:t>
            </w:r>
          </w:p>
        </w:tc>
      </w:tr>
      <w:tr>
        <w:trPr>
          <w:trHeight w:val="21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Acceleron Pharma Inc.</w:t>
            </w:r>
          </w:p>
        </w:tc>
        <w:tc>
          <w:tcPr>
            <w:tcW w:w="36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FibroGen, Inc. *</w:t>
            </w:r>
          </w:p>
        </w:tc>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Sangamo Therapeutics, Inc.</w:t>
            </w:r>
          </w:p>
        </w:tc>
      </w:tr>
      <w:tr>
        <w:trPr>
          <w:trHeight w:val="21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Agios Pharmaceuticals, Inc.</w:t>
            </w:r>
          </w:p>
        </w:tc>
        <w:tc>
          <w:tcPr>
            <w:tcW w:w="36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Global Blood Therapeutics, Inc.</w:t>
            </w: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Sarepta Therapeutics, Inc. *</w:t>
            </w:r>
          </w:p>
        </w:tc>
      </w:tr>
      <w:tr>
        <w:trPr>
          <w:trHeight w:val="21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Alnylam Pharmaceuticals, Inc. *</w:t>
            </w:r>
          </w:p>
        </w:tc>
        <w:tc>
          <w:tcPr>
            <w:tcW w:w="36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Immunomedics, Inc. *</w:t>
            </w:r>
          </w:p>
        </w:tc>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Ultragenyx Pharmaceutical Inc. *</w:t>
            </w:r>
          </w:p>
        </w:tc>
      </w:tr>
      <w:tr>
        <w:trPr>
          <w:trHeight w:val="219"/>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Amarin Corporation plc *</w:t>
            </w:r>
          </w:p>
        </w:tc>
        <w:tc>
          <w:tcPr>
            <w:tcW w:w="36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Intercept Pharmaceuticals, Inc. *</w:t>
            </w: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Xencor, Inc.</w:t>
            </w: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Amicus Therapeutics, Inc.</w:t>
            </w:r>
          </w:p>
        </w:tc>
        <w:tc>
          <w:tcPr>
            <w:tcW w:w="36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Nektar Therapeutics *</w:t>
            </w:r>
          </w:p>
        </w:tc>
        <w:tc>
          <w:tcPr>
            <w:tcW w:w="3020" w:type="dxa"/>
            <w:vAlign w:val="bottom"/>
          </w:tcPr>
          <w:p>
            <w:pPr>
              <w:spacing w:after="0"/>
              <w:rPr>
                <w:sz w:val="18"/>
                <w:szCs w:val="18"/>
                <w:color w:val="auto"/>
              </w:rPr>
            </w:pPr>
          </w:p>
        </w:tc>
      </w:tr>
      <w:tr>
        <w:trPr>
          <w:trHeight w:val="114"/>
        </w:trPr>
        <w:tc>
          <w:tcPr>
            <w:tcW w:w="224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3020" w:type="dxa"/>
            <w:vAlign w:val="bottom"/>
          </w:tcPr>
          <w:p>
            <w:pPr>
              <w:spacing w:after="0"/>
              <w:rPr>
                <w:sz w:val="9"/>
                <w:szCs w:val="9"/>
                <w:color w:val="auto"/>
              </w:rPr>
            </w:pPr>
          </w:p>
        </w:tc>
      </w:tr>
      <w:tr>
        <w:trPr>
          <w:trHeight w:val="29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  addition to 2020 peer group</w:t>
            </w:r>
          </w:p>
        </w:tc>
        <w:tc>
          <w:tcPr>
            <w:tcW w:w="36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34"/>
        </w:trPr>
        <w:tc>
          <w:tcPr>
            <w:tcW w:w="2240" w:type="dxa"/>
            <w:vAlign w:val="bottom"/>
          </w:tcPr>
          <w:p>
            <w:pPr>
              <w:spacing w:after="0"/>
              <w:rPr>
                <w:sz w:val="24"/>
                <w:szCs w:val="24"/>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22</w:t>
            </w:r>
          </w:p>
        </w:tc>
        <w:tc>
          <w:tcPr>
            <w:tcW w:w="3020" w:type="dxa"/>
            <w:vAlign w:val="bottom"/>
          </w:tcPr>
          <w:p>
            <w:pPr>
              <w:spacing w:after="0"/>
              <w:rPr>
                <w:sz w:val="24"/>
                <w:szCs w:val="24"/>
                <w:color w:val="auto"/>
              </w:rPr>
            </w:pPr>
          </w:p>
        </w:tc>
      </w:tr>
      <w:tr>
        <w:trPr>
          <w:trHeight w:val="566"/>
        </w:trPr>
        <w:tc>
          <w:tcPr>
            <w:tcW w:w="2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7" w:name="page28"/>
    <w:bookmarkEnd w:id="27"/>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Elements</w:t>
      </w:r>
    </w:p>
    <w:p>
      <w:pPr>
        <w:spacing w:after="0" w:line="131" w:lineRule="exact"/>
        <w:rPr>
          <w:sz w:val="20"/>
          <w:szCs w:val="20"/>
          <w:color w:val="auto"/>
        </w:rPr>
      </w:pPr>
    </w:p>
    <w:p>
      <w:pPr>
        <w:ind w:left="40" w:right="79" w:firstLine="648"/>
        <w:spacing w:after="0" w:line="265" w:lineRule="auto"/>
        <w:rPr>
          <w:sz w:val="20"/>
          <w:szCs w:val="20"/>
          <w:color w:val="auto"/>
        </w:rPr>
      </w:pPr>
      <w:r>
        <w:rPr>
          <w:rFonts w:ascii="Times New Roman" w:cs="Times New Roman" w:eastAsia="Times New Roman" w:hAnsi="Times New Roman"/>
          <w:sz w:val="16"/>
          <w:szCs w:val="16"/>
          <w:color w:val="auto"/>
        </w:rPr>
        <w:t>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Ultimately, the objective in allocating between long-term and currently paid compensation is to ensure adequate base compensation to attract and retain talent, while providing incentives to maximize long-term value for our company and our stockholders. Therefore, we provide cash compensation in the form of base salary to meet competitive salary norms and reward performance on an annual basis and in the form of incentive compensation to incent and reward performance based on specific annual goals. To further focus our executives on longer-term performance, we rely upon equity-based awards that vest over a meaningful period of time, thereby reinforcing stockholder value creation. 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Finally, we offer our executives severance benefits upon an involuntary or constructive termination, as we believe such post-employment compensation protections are appropriate in light of similar benefits available to executive officers at companies in our peer group. We also offer our executives additional severance benefits in connection with change-in-control situations.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Base Salary</w:t>
      </w:r>
    </w:p>
    <w:p>
      <w:pPr>
        <w:spacing w:after="0" w:line="129" w:lineRule="exact"/>
        <w:rPr>
          <w:sz w:val="20"/>
          <w:szCs w:val="20"/>
          <w:color w:val="auto"/>
        </w:rPr>
      </w:pPr>
    </w:p>
    <w:p>
      <w:pPr>
        <w:ind w:left="40" w:right="119" w:firstLine="648"/>
        <w:spacing w:after="0" w:line="268" w:lineRule="auto"/>
        <w:rPr>
          <w:sz w:val="20"/>
          <w:szCs w:val="20"/>
          <w:color w:val="auto"/>
        </w:rPr>
      </w:pPr>
      <w:r>
        <w:rPr>
          <w:rFonts w:ascii="Times New Roman" w:cs="Times New Roman" w:eastAsia="Times New Roman" w:hAnsi="Times New Roman"/>
          <w:sz w:val="16"/>
          <w:szCs w:val="16"/>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without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In January 2019, in connection with the promotion of Mr. Landsittel to our chief financial officer and the promotion of</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Ms. Haviland to our chief operating officer, our board of directors approved 2019 base salaries for Mr. Landsittel and Ms. Haviland of</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$345,000 and $431,830, respectively. In February 2019, our compensation committee approved salary increases for each of our named</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executive officers (other than Mr. Landsittel and Ms. Haviland whose 2019 base salaries were previously determined) based on a review</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of market data provided by Radford, the current compensation levels of our named executive officers, the company’s performance</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against the 2018 corporate performance goals and, in the case of executive officers other than our chief executive officer, each executive</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officer’s achievement of individual goals. The table below sets forth the adjustments to base salary, in dollars and as a percentage, for</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each of our named executive officers: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13"/>
                <w:szCs w:val="13"/>
                <w:color w:val="auto"/>
              </w:rPr>
            </w:pPr>
          </w:p>
        </w:tc>
        <w:tc>
          <w:tcPr>
            <w:tcW w:w="10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3"/>
                <w:szCs w:val="13"/>
                <w:color w:val="auto"/>
              </w:rPr>
            </w:pPr>
          </w:p>
        </w:tc>
        <w:tc>
          <w:tcPr>
            <w:tcW w:w="10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3"/>
                <w:szCs w:val="13"/>
                <w:color w:val="auto"/>
              </w:rPr>
            </w:pP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6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Base Salary ($)</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541,144</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590,000</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281,678</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22.48%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447,440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460,864</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392,589</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431,830</w:t>
            </w:r>
          </w:p>
        </w:tc>
        <w:tc>
          <w:tcPr>
            <w:tcW w:w="16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425,216</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437,972</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16"/>
        <w:spacing w:after="0"/>
        <w:tabs>
          <w:tab w:leader="none" w:pos="3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Mr. Albers’ base salary was increased in order to align with the 50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percentile of our peer group for such position.</w:t>
      </w:r>
    </w:p>
    <w:p>
      <w:pPr>
        <w:spacing w:after="0" w:line="95" w:lineRule="exact"/>
        <w:rPr>
          <w:rFonts w:ascii="Times New Roman" w:cs="Times New Roman" w:eastAsia="Times New Roman" w:hAnsi="Times New Roman"/>
          <w:sz w:val="14"/>
          <w:szCs w:val="14"/>
          <w:color w:val="auto"/>
        </w:rPr>
      </w:pPr>
    </w:p>
    <w:p>
      <w:pPr>
        <w:ind w:left="360" w:right="79" w:hanging="316"/>
        <w:spacing w:after="0" w:line="271" w:lineRule="auto"/>
        <w:tabs>
          <w:tab w:leader="none" w:pos="3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Mr. Landsittel’s base salary was increased primarily in connection with his promotion to our chief financial officer and to bring his base salary closer to the 50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percentile of our peer group for such position.</w:t>
      </w:r>
    </w:p>
    <w:p>
      <w:pPr>
        <w:spacing w:after="0" w:line="41" w:lineRule="exact"/>
        <w:rPr>
          <w:rFonts w:ascii="Times New Roman" w:cs="Times New Roman" w:eastAsia="Times New Roman" w:hAnsi="Times New Roman"/>
          <w:sz w:val="14"/>
          <w:szCs w:val="14"/>
          <w:color w:val="auto"/>
        </w:rPr>
      </w:pPr>
    </w:p>
    <w:p>
      <w:pPr>
        <w:ind w:left="360" w:right="419" w:hanging="316"/>
        <w:spacing w:after="0" w:line="271" w:lineRule="auto"/>
        <w:tabs>
          <w:tab w:leader="none" w:pos="3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Ms. Haviland’s base salary was increased primarily in connection with her promotion to our chief operating officer and to bring her base salary closer to the 50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percentile of our peer group for such position.</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Annual Performance-Based Cash Incentives</w:t>
      </w:r>
    </w:p>
    <w:p>
      <w:pPr>
        <w:spacing w:after="0" w:line="129" w:lineRule="exact"/>
        <w:rPr>
          <w:sz w:val="20"/>
          <w:szCs w:val="20"/>
          <w:color w:val="auto"/>
        </w:rPr>
      </w:pPr>
    </w:p>
    <w:p>
      <w:pPr>
        <w:ind w:left="40" w:right="179" w:firstLine="648"/>
        <w:spacing w:after="0" w:line="269" w:lineRule="auto"/>
        <w:rPr>
          <w:sz w:val="20"/>
          <w:szCs w:val="20"/>
          <w:color w:val="auto"/>
        </w:rPr>
      </w:pPr>
      <w:r>
        <w:rPr>
          <w:rFonts w:ascii="Times New Roman" w:cs="Times New Roman" w:eastAsia="Times New Roman" w:hAnsi="Times New Roman"/>
          <w:sz w:val="16"/>
          <w:szCs w:val="16"/>
          <w:color w:val="auto"/>
        </w:rPr>
        <w:t>Our board of directors has adopted a senior executive cash incentive bonus plan, or the executive bonus plan, which provides for cash bonus payments to eligible executives based upon the attainment of performance targets established by the compensation committee for each executive during the first quarter of the applicable fiscal year. The payment targets are related to individual performance measures or objectives (other than for our chief executive officer), which we refer to as individual performance goals, and corporate financial and operational measures or objectives, which we refer to as corporate performance goals. We believe this executive bonus plan provides incentive that motivates and rewards achievement of performance goals that directly correlates to enhancement of stockholder value, consistent with our compensation philosophy.</w:t>
      </w:r>
    </w:p>
    <w:p>
      <w:pPr>
        <w:spacing w:after="0" w:line="82" w:lineRule="exact"/>
        <w:rPr>
          <w:sz w:val="20"/>
          <w:szCs w:val="20"/>
          <w:color w:val="auto"/>
        </w:rPr>
      </w:pPr>
    </w:p>
    <w:p>
      <w:pPr>
        <w:ind w:left="40" w:right="339" w:firstLine="648"/>
        <w:spacing w:after="0" w:line="266" w:lineRule="auto"/>
        <w:rPr>
          <w:sz w:val="20"/>
          <w:szCs w:val="20"/>
          <w:color w:val="auto"/>
        </w:rPr>
      </w:pPr>
      <w:r>
        <w:rPr>
          <w:rFonts w:ascii="Times New Roman" w:cs="Times New Roman" w:eastAsia="Times New Roman" w:hAnsi="Times New Roman"/>
          <w:sz w:val="16"/>
          <w:szCs w:val="16"/>
          <w:color w:val="auto"/>
        </w:rPr>
        <w:t>Each executive officer who is selected to participate in the executive bonus plan has a target award opportunity set for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 but</w:t>
      </w:r>
    </w:p>
    <w:p>
      <w:pPr>
        <w:spacing w:after="0" w:line="2" w:lineRule="exact"/>
        <w:rPr>
          <w:sz w:val="20"/>
          <w:szCs w:val="20"/>
          <w:color w:val="auto"/>
        </w:rPr>
      </w:pPr>
    </w:p>
    <w:p>
      <w:pPr>
        <w:ind w:left="40" w:right="219"/>
        <w:spacing w:after="0" w:line="276" w:lineRule="auto"/>
        <w:rPr>
          <w:sz w:val="20"/>
          <w:szCs w:val="20"/>
          <w:color w:val="auto"/>
        </w:rPr>
      </w:pPr>
      <w:r>
        <w:rPr>
          <w:rFonts w:ascii="Times New Roman" w:cs="Times New Roman" w:eastAsia="Times New Roman" w:hAnsi="Times New Roman"/>
          <w:sz w:val="16"/>
          <w:szCs w:val="16"/>
          <w:color w:val="auto"/>
        </w:rPr>
        <w:t>the compensation committee did not approve any such additional bonuses in 2019. Each of our named executive officers is eligible to participate in the executive bonus plan. O ur compensation committee caps annual cash incentive program payouts in any given year at 150% of the target payout level.</w:t>
      </w:r>
    </w:p>
    <w:p>
      <w:pPr>
        <w:spacing w:after="0" w:line="73" w:lineRule="exact"/>
        <w:rPr>
          <w:sz w:val="20"/>
          <w:szCs w:val="20"/>
          <w:color w:val="auto"/>
        </w:rPr>
      </w:pPr>
    </w:p>
    <w:p>
      <w:pPr>
        <w:ind w:left="40" w:right="119" w:firstLine="648"/>
        <w:spacing w:after="0" w:line="281" w:lineRule="auto"/>
        <w:rPr>
          <w:sz w:val="20"/>
          <w:szCs w:val="20"/>
          <w:color w:val="auto"/>
        </w:rPr>
      </w:pPr>
      <w:r>
        <w:rPr>
          <w:rFonts w:ascii="Times New Roman" w:cs="Times New Roman" w:eastAsia="Times New Roman" w:hAnsi="Times New Roman"/>
          <w:sz w:val="16"/>
          <w:szCs w:val="16"/>
          <w:color w:val="auto"/>
        </w:rPr>
        <w:t>Below is the list of the company’s 2019 corporate performance goals and relative weighting assigned to each goal, which were approved by our board of directors and considered by our executive leadership team and compensation committee in their respective assessment of the company’s achievement of corporate performance goals for 2019:</w:t>
      </w:r>
    </w:p>
    <w:p>
      <w:pPr>
        <w:spacing w:after="0" w:line="65" w:lineRule="exact"/>
        <w:rPr>
          <w:sz w:val="20"/>
          <w:szCs w:val="20"/>
          <w:color w:val="auto"/>
        </w:rPr>
      </w:pPr>
    </w:p>
    <w:p>
      <w:pPr>
        <w:ind w:left="1020" w:right="199" w:hanging="328"/>
        <w:spacing w:after="0" w:line="303" w:lineRule="auto"/>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Demonstrate meaningful patient benefit in genomically selected patients to rapidly deliver differentiated medicines to patients globally [relative weighting: 40%]</w:t>
      </w:r>
    </w:p>
    <w:p>
      <w:pPr>
        <w:spacing w:after="0" w:line="52" w:lineRule="exact"/>
        <w:rPr>
          <w:rFonts w:ascii="Times New Roman" w:cs="Times New Roman" w:eastAsia="Times New Roman" w:hAnsi="Times New Roman"/>
          <w:sz w:val="16"/>
          <w:szCs w:val="16"/>
          <w:color w:val="auto"/>
        </w:rPr>
      </w:pPr>
    </w:p>
    <w:p>
      <w:pPr>
        <w:ind w:left="1340" w:right="159"/>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NDA to the FDA for avapritinib for the treatment of PDGFRA GIST and fourth-line GIST by the end of the second quarter of 2019 and, within one quarter following such submission, submit the MAA for avapritinib for the treatment of PDGFRA GIST and fourth-line GIST.</w:t>
      </w:r>
    </w:p>
    <w:p>
      <w:pPr>
        <w:spacing w:after="0" w:line="69" w:lineRule="exact"/>
        <w:rPr>
          <w:rFonts w:ascii="Times New Roman" w:cs="Times New Roman" w:eastAsia="Times New Roman" w:hAnsi="Times New Roman"/>
          <w:sz w:val="16"/>
          <w:szCs w:val="16"/>
          <w:color w:val="auto"/>
        </w:rPr>
      </w:pPr>
    </w:p>
    <w:p>
      <w:pPr>
        <w:ind w:left="1340" w:right="979"/>
        <w:spacing w:after="0" w:line="40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Lock the submission database for the initial pralsetinib accelerated approval NDA by the end of 2019;* Fully enroll certain clinical studies;*</w:t>
      </w:r>
    </w:p>
    <w:p>
      <w:pPr>
        <w:ind w:left="1340" w:right="359"/>
        <w:spacing w:after="0" w:line="4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certain activities related to plans for evaluating avapritinib for the treatment of second-line GIST;* and Complete part 1 of the PIONEER clinical study by the end of the third quarter of 2019.</w:t>
      </w:r>
    </w:p>
    <w:p>
      <w:pPr>
        <w:ind w:left="1020" w:right="199" w:hanging="328"/>
        <w:spacing w:after="0" w:line="303" w:lineRule="auto"/>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Continue to build a diverse and balanced pipeline of potentially transformative medicines targeting kinases that drive genomically defined diseases [relative weighting: 30%]</w:t>
      </w:r>
    </w:p>
    <w:p>
      <w:pPr>
        <w:spacing w:after="0" w:line="26" w:lineRule="exact"/>
        <w:rPr>
          <w:rFonts w:ascii="Times New Roman" w:cs="Times New Roman" w:eastAsia="Times New Roman" w:hAnsi="Times New Roman"/>
          <w:sz w:val="16"/>
          <w:szCs w:val="16"/>
          <w:color w:val="auto"/>
        </w:rPr>
      </w:pPr>
    </w:p>
    <w:p>
      <w:pPr>
        <w:ind w:left="1340" w:right="179"/>
        <w:spacing w:after="0" w:line="2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the BLU</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782 healthy volunteer study and finalize the Phase 2 study plan by the end of the second quarter of 2019;</w:t>
      </w:r>
    </w:p>
    <w:p>
      <w:pPr>
        <w:spacing w:after="0" w:line="100" w:lineRule="exact"/>
        <w:rPr>
          <w:rFonts w:ascii="Times New Roman" w:cs="Times New Roman" w:eastAsia="Times New Roman" w:hAnsi="Times New Roman"/>
          <w:sz w:val="16"/>
          <w:szCs w:val="16"/>
          <w:color w:val="auto"/>
        </w:rPr>
      </w:pPr>
    </w:p>
    <w:p>
      <w:pPr>
        <w:ind w:left="1340" w:right="2999"/>
        <w:spacing w:after="0" w:line="40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Nominate certain new development candidates by the end of 2019;* and Nominate additional discovery programs.*</w:t>
      </w:r>
    </w:p>
    <w:p>
      <w:pPr>
        <w:ind w:left="1020" w:right="939" w:hanging="328"/>
        <w:spacing w:after="0" w:line="303" w:lineRule="auto"/>
        <w:tabs>
          <w:tab w:leader="none" w:pos="10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Build a fully-integrated biotechnology company that responsibly manages a portfolio of therapeutics, both independently and through collaboration [relative weighting: 30%]</w:t>
      </w:r>
    </w:p>
    <w:p>
      <w:pPr>
        <w:spacing w:after="0" w:line="52" w:lineRule="exact"/>
        <w:rPr>
          <w:rFonts w:ascii="Times New Roman" w:cs="Times New Roman" w:eastAsia="Times New Roman" w:hAnsi="Times New Roman"/>
          <w:sz w:val="16"/>
          <w:szCs w:val="16"/>
          <w:color w:val="auto"/>
        </w:rPr>
      </w:pPr>
    </w:p>
    <w:p>
      <w:pPr>
        <w:ind w:left="1340" w:right="7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for commercial launch activities in the U.S. and align on global commercial and medical plan in the U.S. and Europe;*</w:t>
      </w:r>
    </w:p>
    <w:p>
      <w:pPr>
        <w:spacing w:after="0" w:line="5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a specified cash balance as of December 31, 2019;*</w:t>
      </w:r>
    </w:p>
    <w:p>
      <w:pPr>
        <w:spacing w:after="0" w:line="12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additional collaborations in line with the company’s overall portfolio and commercial strategy;* and</w:t>
      </w:r>
    </w:p>
    <w:p>
      <w:pPr>
        <w:spacing w:after="0" w:line="126" w:lineRule="exact"/>
        <w:rPr>
          <w:rFonts w:ascii="Times New Roman" w:cs="Times New Roman" w:eastAsia="Times New Roman" w:hAnsi="Times New Roman"/>
          <w:sz w:val="16"/>
          <w:szCs w:val="16"/>
          <w:color w:val="auto"/>
        </w:rPr>
      </w:pPr>
    </w:p>
    <w:p>
      <w:pPr>
        <w:ind w:left="1340" w:right="299"/>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Foster a differentiated culture that facilitates team effectiveness, enables open and continuous communication and empowers employees to perform their best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3112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61" w:lineRule="exact"/>
        <w:rPr>
          <w:sz w:val="20"/>
          <w:szCs w:val="20"/>
          <w:color w:val="auto"/>
        </w:rPr>
      </w:pPr>
    </w:p>
    <w:p>
      <w:pPr>
        <w:ind w:left="1020" w:right="199" w:hanging="328"/>
        <w:spacing w:after="0" w:line="256" w:lineRule="auto"/>
        <w:tabs>
          <w:tab w:leader="none" w:pos="10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corporate performance goals include highly sensitive competitive data, including pre-clinical, clinical and financial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59" w:firstLine="648"/>
        <w:spacing w:after="0" w:line="271" w:lineRule="auto"/>
        <w:rPr>
          <w:sz w:val="20"/>
          <w:szCs w:val="20"/>
          <w:color w:val="auto"/>
        </w:rPr>
      </w:pPr>
      <w:r>
        <w:rPr>
          <w:rFonts w:ascii="Times New Roman" w:cs="Times New Roman" w:eastAsia="Times New Roman" w:hAnsi="Times New Roman"/>
          <w:sz w:val="16"/>
          <w:szCs w:val="16"/>
          <w:color w:val="auto"/>
        </w:rPr>
        <w:t>In December 2019, our chief executive officer recommended to our compensation committee that our company’s performance (including the overachievement on some goals balanced against the underachievement of others) against 2019 corporate performance goals be achieved at a range between 98.0% to 102.0%, based on the achievements completed at that time and discussed in “Compensation Discussion and Analysis—Executive Summary” above. Based on the recommendation of our compensation committee as well as subsequently achieved milestones in December 2019 and early January 2020, our board determined that our company achieved the 2019 corporate performance goals at 107.0% overall, as set forth in the table below.</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4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192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Assessment of Actual</w:t>
            </w:r>
          </w:p>
        </w:tc>
        <w:tc>
          <w:tcPr>
            <w:tcW w:w="1520" w:type="dxa"/>
            <w:vAlign w:val="bottom"/>
            <w:tcBorders>
              <w:top w:val="single" w:sz="8" w:color="auto"/>
            </w:tcBorders>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for 2019</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28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2019 Corporate Goals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920" w:type="dxa"/>
            <w:vAlign w:val="bottom"/>
            <w:vMerge w:val="continue"/>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23"/>
        </w:trPr>
        <w:tc>
          <w:tcPr>
            <w:tcW w:w="42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 Award)</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4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vMerge w:val="continue"/>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i w:val="1"/>
                <w:iCs w:val="1"/>
                <w:color w:val="auto"/>
              </w:rPr>
              <w:t>Demonstrate meaningful patient benefit in genomically</w:t>
            </w:r>
          </w:p>
        </w:tc>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40.0%</w:t>
            </w:r>
          </w:p>
        </w:tc>
        <w:tc>
          <w:tcPr>
            <w:tcW w:w="19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102.0%</w:t>
            </w:r>
          </w:p>
        </w:tc>
        <w:tc>
          <w:tcPr>
            <w:tcW w:w="15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selected patients to rapidly deliver differentiated medicines</w:t>
            </w:r>
          </w:p>
        </w:tc>
        <w:tc>
          <w:tcPr>
            <w:tcW w:w="1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 patients globally</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2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Continue to build a diverse and balanced pipeline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111.0%</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potentially transformative medicines targeting kinases that</w:t>
            </w:r>
          </w:p>
        </w:tc>
        <w:tc>
          <w:tcPr>
            <w:tcW w:w="1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drive genomically defined diseases</w:t>
            </w:r>
          </w:p>
        </w:tc>
        <w:tc>
          <w:tcPr>
            <w:tcW w:w="1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Build a fully-integrated biotechnology company that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109.5%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responsibly manages a portfolio of therapeutics, both</w:t>
            </w:r>
          </w:p>
        </w:tc>
        <w:tc>
          <w:tcPr>
            <w:tcW w:w="1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independently and through collaboration</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28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192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Total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100.0%</w:t>
            </w:r>
          </w:p>
        </w:tc>
        <w:tc>
          <w:tcPr>
            <w:tcW w:w="19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107.0%</w:t>
            </w:r>
          </w:p>
        </w:tc>
        <w:tc>
          <w:tcPr>
            <w:tcW w:w="0" w:type="dxa"/>
            <w:vAlign w:val="bottom"/>
          </w:tcPr>
          <w:p>
            <w:pPr>
              <w:spacing w:after="0"/>
              <w:rPr>
                <w:sz w:val="1"/>
                <w:szCs w:val="1"/>
                <w:color w:val="auto"/>
              </w:rPr>
            </w:pPr>
          </w:p>
        </w:tc>
      </w:tr>
      <w:tr>
        <w:trPr>
          <w:trHeight w:val="56"/>
        </w:trPr>
        <w:tc>
          <w:tcPr>
            <w:tcW w:w="4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individual objectives in 2019 assigned to our named executive officers other than our chief executive officer were as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follows:</w:t>
      </w:r>
    </w:p>
    <w:p>
      <w:pPr>
        <w:spacing w:after="0" w:line="115" w:lineRule="exact"/>
        <w:rPr>
          <w:sz w:val="20"/>
          <w:szCs w:val="20"/>
          <w:color w:val="auto"/>
        </w:rPr>
      </w:pPr>
    </w:p>
    <w:p>
      <w:pPr>
        <w:jc w:val="both"/>
        <w:ind w:left="1020" w:right="579" w:hanging="328"/>
        <w:spacing w:after="0" w:line="258"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Michael Landsittel. </w:t>
      </w:r>
      <w:r>
        <w:rPr>
          <w:rFonts w:ascii="Times New Roman" w:cs="Times New Roman" w:eastAsia="Times New Roman" w:hAnsi="Times New Roman"/>
          <w:sz w:val="16"/>
          <w:szCs w:val="16"/>
          <w:color w:val="auto"/>
        </w:rPr>
        <w:t>Mr. Landsittel was assigned objectives related to (1) ensuring finance and facilities functional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capabilities and processes are in place to support global commercial launches by the end of 2019, (2) ensuring the company is in a strong financial position to support the transition to operating as a commercial stage company and</w:t>
      </w:r>
    </w:p>
    <w:p>
      <w:pPr>
        <w:spacing w:after="0" w:line="1" w:lineRule="exact"/>
        <w:rPr>
          <w:rFonts w:ascii="Times New Roman" w:cs="Times New Roman" w:eastAsia="Times New Roman" w:hAnsi="Times New Roman"/>
          <w:sz w:val="18"/>
          <w:szCs w:val="18"/>
          <w:color w:val="auto"/>
        </w:rPr>
      </w:pPr>
    </w:p>
    <w:p>
      <w:pPr>
        <w:ind w:left="1020" w:right="539"/>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(3) continuing to develop a strong leadership both internally and externally. For 2019, the compensation committee determined that Mr. Landsittel achieved 95.0% of his individual objectives.</w:t>
      </w:r>
    </w:p>
    <w:p>
      <w:pPr>
        <w:spacing w:after="0" w:line="59" w:lineRule="exact"/>
        <w:rPr>
          <w:rFonts w:ascii="Times New Roman" w:cs="Times New Roman" w:eastAsia="Times New Roman" w:hAnsi="Times New Roman"/>
          <w:sz w:val="18"/>
          <w:szCs w:val="18"/>
          <w:color w:val="auto"/>
        </w:rPr>
      </w:pPr>
    </w:p>
    <w:p>
      <w:pPr>
        <w:ind w:left="1020" w:right="159" w:hanging="328"/>
        <w:spacing w:after="0" w:line="265"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Anthony L. Boral, M.D., Ph.D. </w:t>
      </w:r>
      <w:r>
        <w:rPr>
          <w:rFonts w:ascii="Times New Roman" w:cs="Times New Roman" w:eastAsia="Times New Roman" w:hAnsi="Times New Roman"/>
          <w:sz w:val="16"/>
          <w:szCs w:val="16"/>
          <w:color w:val="auto"/>
        </w:rPr>
        <w:t>Dr. Boral was assigned objectives related to (1) continuing to grow the capacity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experience across the clinical development group as needed to achieve our corporate goals, (2) accelerating regulatory submission for certain of our drug candidates, (3) increasing the recognition of our company and our pipeline throughout the physician community and (4) providing leadership to our company. For 2019, the compensation committee determined that Dr. Boral achieved 102.0% of his individual objectives.</w:t>
      </w:r>
    </w:p>
    <w:p>
      <w:pPr>
        <w:spacing w:after="0" w:line="79" w:lineRule="exact"/>
        <w:rPr>
          <w:rFonts w:ascii="Times New Roman" w:cs="Times New Roman" w:eastAsia="Times New Roman" w:hAnsi="Times New Roman"/>
          <w:sz w:val="18"/>
          <w:szCs w:val="18"/>
          <w:color w:val="auto"/>
        </w:rPr>
      </w:pPr>
    </w:p>
    <w:p>
      <w:pPr>
        <w:ind w:left="1020" w:right="119" w:hanging="328"/>
        <w:spacing w:after="0" w:line="265"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Kathryn Haviland </w:t>
      </w:r>
      <w:r>
        <w:rPr>
          <w:rFonts w:ascii="Times New Roman" w:cs="Times New Roman" w:eastAsia="Times New Roman" w:hAnsi="Times New Roman"/>
          <w:sz w:val="16"/>
          <w:szCs w:val="16"/>
          <w:color w:val="auto"/>
        </w:rPr>
        <w:t>Ms. Haviland was assigned objectives related to (1) developing thought leadership on personalized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medicine with a focus on technology and data science, (2) collaborating with our chief commercial officer to lead integration of global pricing strategy with communications approach and policy context, (3) building corporate reputation across all stakeholders for our company. For 2019, the compensation committee determined that Ms. Haviland achieved 105.0% of her individual objectives.</w:t>
      </w:r>
    </w:p>
    <w:p>
      <w:pPr>
        <w:spacing w:after="0" w:line="79" w:lineRule="exact"/>
        <w:rPr>
          <w:rFonts w:ascii="Times New Roman" w:cs="Times New Roman" w:eastAsia="Times New Roman" w:hAnsi="Times New Roman"/>
          <w:sz w:val="18"/>
          <w:szCs w:val="18"/>
          <w:color w:val="auto"/>
        </w:rPr>
      </w:pPr>
    </w:p>
    <w:p>
      <w:pPr>
        <w:ind w:left="1020" w:right="179" w:hanging="328"/>
        <w:spacing w:after="0" w:line="265"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Tracey L. McCain, Esq. </w:t>
      </w:r>
      <w:r>
        <w:rPr>
          <w:rFonts w:ascii="Times New Roman" w:cs="Times New Roman" w:eastAsia="Times New Roman" w:hAnsi="Times New Roman"/>
          <w:sz w:val="16"/>
          <w:szCs w:val="16"/>
          <w:color w:val="auto"/>
        </w:rPr>
        <w:t>Ms. McCain was assigned objectives related to (1) revamping and implementing the global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sponsorship, grant, donations and membership practices and procedures for our company, taking a risk-based approach that remains compliant and enhances efficiencies and awareness and (2) continuing to develop company-wide leadership in the company. For 2019, the compensation committee determined that Ms. McCain achieved 102.0% of her individual objectives.</w:t>
      </w:r>
    </w:p>
    <w:p>
      <w:pPr>
        <w:spacing w:after="0" w:line="83" w:lineRule="exact"/>
        <w:rPr>
          <w:sz w:val="20"/>
          <w:szCs w:val="20"/>
          <w:color w:val="auto"/>
        </w:rPr>
      </w:pPr>
    </w:p>
    <w:p>
      <w:pPr>
        <w:ind w:left="40" w:right="439" w:firstLine="648"/>
        <w:spacing w:after="0" w:line="298" w:lineRule="auto"/>
        <w:rPr>
          <w:sz w:val="20"/>
          <w:szCs w:val="20"/>
          <w:color w:val="auto"/>
        </w:rPr>
      </w:pPr>
      <w:r>
        <w:rPr>
          <w:rFonts w:ascii="Times New Roman" w:cs="Times New Roman" w:eastAsia="Times New Roman" w:hAnsi="Times New Roman"/>
          <w:sz w:val="16"/>
          <w:szCs w:val="16"/>
          <w:color w:val="auto"/>
        </w:rPr>
        <w:t>Based on company and individual performance, the compensation committee approved the following 2019 cash incentive payments for each of our named executive officers: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 Award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2019 Actual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Actual Cash</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Cash Incentive</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Payment (% of</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w:t>
            </w:r>
          </w:p>
        </w:tc>
        <w:tc>
          <w:tcPr>
            <w:tcW w:w="1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Award)</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378,780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44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35% (2)</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125,580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4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 (3)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194,945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44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40% (3)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183,960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4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 (3)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185,262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80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2"/>
        </w:trPr>
        <w:tc>
          <w:tcPr>
            <w:tcW w:w="22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30" w:name="page31"/>
    <w:bookmarkEnd w:id="30"/>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right="179" w:hanging="316"/>
        <w:spacing w:after="0" w:line="271" w:lineRule="auto"/>
        <w:tabs>
          <w:tab w:leader="none" w:pos="3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2019, Mr. Albers’ target award opportunity was based solely on corporate performance goals. Mr. Albers’ target award percentage increased by 5% relative to the target award percentage for 2018 due to a market adjustment to align with the 50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percentile of our peer group.</w:t>
      </w:r>
    </w:p>
    <w:p>
      <w:pPr>
        <w:spacing w:after="0" w:line="41"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award opportunity for Mr. Landsittel was based 25% on individual performance goals and 75% on corporate performance goals.</w:t>
      </w:r>
    </w:p>
    <w:p>
      <w:pPr>
        <w:spacing w:after="0" w:line="3" w:lineRule="exact"/>
        <w:rPr>
          <w:rFonts w:ascii="Times New Roman" w:cs="Times New Roman" w:eastAsia="Times New Roman" w:hAnsi="Times New Roman"/>
          <w:sz w:val="14"/>
          <w:szCs w:val="14"/>
          <w:color w:val="auto"/>
        </w:rPr>
      </w:pPr>
    </w:p>
    <w:p>
      <w:pPr>
        <w:ind w:left="360" w:right="33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Mr. Landsittel’s target award percentage increased by 5% relative to the target award percentage for 2018 to align with the 50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percentile of our peer group.</w:t>
      </w:r>
    </w:p>
    <w:p>
      <w:pPr>
        <w:spacing w:after="0" w:line="68" w:lineRule="exact"/>
        <w:rPr>
          <w:rFonts w:ascii="Times New Roman" w:cs="Times New Roman" w:eastAsia="Times New Roman" w:hAnsi="Times New Roman"/>
          <w:sz w:val="14"/>
          <w:szCs w:val="14"/>
          <w:color w:val="auto"/>
        </w:rPr>
      </w:pPr>
    </w:p>
    <w:p>
      <w:pPr>
        <w:jc w:val="both"/>
        <w:ind w:left="360" w:right="99" w:hanging="316"/>
        <w:spacing w:after="0" w:line="246" w:lineRule="auto"/>
        <w:tabs>
          <w:tab w:leader="none" w:pos="3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target award opportunity for Dr. Boral and Mses. Haviland and McCain was based 25% on individual performance goals and 75% on corporate performance goals. For each of Dr. Boral and Mses. Haviland and McCain, the target award percentage remained unchanged from 2018 and remains aligned with the 50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percentile of our peer group.</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Equity Incentive Awards</w:t>
      </w:r>
    </w:p>
    <w:p>
      <w:pPr>
        <w:spacing w:after="0" w:line="129"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Although we do not have a formal policy with respect to the grant of equity incentive awards to our executive officers or any formal equity ownership guidelines applicable to them, our equity compensation plans provide a principal method for our executive officers to acquire a meaningful ownership interest in our company.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 and RSUs.</w:t>
      </w:r>
    </w:p>
    <w:p>
      <w:pPr>
        <w:spacing w:after="0" w:line="78" w:lineRule="exact"/>
        <w:rPr>
          <w:sz w:val="20"/>
          <w:szCs w:val="20"/>
          <w:color w:val="auto"/>
        </w:rPr>
      </w:pPr>
    </w:p>
    <w:p>
      <w:pPr>
        <w:ind w:left="40" w:right="199" w:firstLine="648"/>
        <w:spacing w:after="0" w:line="275" w:lineRule="auto"/>
        <w:rPr>
          <w:sz w:val="20"/>
          <w:szCs w:val="20"/>
          <w:color w:val="auto"/>
        </w:rPr>
      </w:pPr>
      <w:r>
        <w:rPr>
          <w:rFonts w:ascii="Times New Roman" w:cs="Times New Roman" w:eastAsia="Times New Roman" w:hAnsi="Times New Roman"/>
          <w:sz w:val="16"/>
          <w:szCs w:val="16"/>
          <w:color w:val="auto"/>
        </w:rPr>
        <w:t>Equity compensation represents the largest at-risk component of our named executive officers’ compensation arrangements. We believe that it is appropriate to align the interests of our named executive officers with those of our stockholders to achieve and sustain long-term stock price growth. Prior to 2018, we typically used stock options to compensate our executive officers in the form of initial grants in connection with the commencement of employment and on an annual basis as they continue their employment.</w:t>
      </w:r>
    </w:p>
    <w:p>
      <w:pPr>
        <w:spacing w:after="0" w:line="75"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color w:val="auto"/>
        </w:rPr>
        <w:t>In May 2018, we implemented a program, as may be amended from time to time, that permits employees below the vice president level to elect to receive equity compensation (other than initial equity awards in connection with the commencement of employment) in the form of stock options, RSUs or a combination of both, which we refer to as our “equity choice program.” Our equity choice program is intended to differentiate our company in the marketplace to attract and retain top employee talent, to allow employees below the vice president level to elect to receive their equity awards to conform to their particular risk tolerance profile and to further promote employee engagement. For employees at or above the vice president level, including our executive officers, our compensation committee granted a combination of stock options and RSUs in connection with their annual equity awards at a fixed ratio. In deciding to incorporate RSUs as a part of our equity incentive compensation program, our compensation committee considered a host of factors in comparison to our named peers, including the following: annual long-term incentive values, annual equity awards expressed as a percent of total shares outstanding, total annual and cumulative dilution, share usage burn rate, potential dilution overhang, the retentive value of outstanding awards and total equity ownership and the equity compensation practices of other companies in our industry that compete with us for talent. We also expect to generally grant stock options and RSUs to executive officers in the form of initial grants and on an annual basis in subsequent years. None of our named executive officers are currently party to an employment agreement that provides for an automatic award of stock options, RSUs or performance-based stock awards.</w:t>
      </w:r>
    </w:p>
    <w:p>
      <w:pPr>
        <w:spacing w:after="0" w:line="88"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6"/>
          <w:szCs w:val="16"/>
          <w:color w:val="auto"/>
        </w:rPr>
        <w:t>Any initial equity awards granted to executive officers in connection with the commencement of their employment are typically granted on the first day of the calendar month following the date of such new hires’ first date of regular employment, and any annual equity awards granted to executive officers are typically granted in the first quarter of the year following the applicable performance period. Any stock options granted to our executive officers will have an exercise price equal to the closing price of our common stock as reported on the Nasdaq Global Select Market on the date of grant, will have time-based vesting and will expire</w:t>
      </w:r>
    </w:p>
    <w:p>
      <w:pPr>
        <w:spacing w:after="0" w:line="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 xml:space="preserve">ten years after the date of grant. The initial stock options granted to executive officers upon the commencement of their employment vest as to 25% of the shares underlying the option on the first anniversary of the grant date and as to an additional 1/48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of the shares underlying the option monthly thereafter, subject to the executive officer’s continued employment. The annual stock options granted to executive officers vest as to 1/48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of the shares underlying the option on the one-month anniversary of the grant date and as to an additional 1/48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of the shares underlying the option monthly thereafter, subject to the executive officer’s continued employment. Upon a termination of employment, vesting for any stock options granted to executive officers will cease and exercise rights will generally cease three months thereafter. Each RSU granted to our executive officers will have time-based vesting and will entitle the executive officer to one share of our common stock if and when the RSU vests. Any initial RSUs granted to executive officers upon the commencement of their employment and any annual RSUs granted to executive officers vest as to 25% of the shares underlying the RSU award on the first anniversary of the grant date and as to an additional 25% of the shares underlying the RSU award annually thereafter, subject to the executive officer’s continued employment. Vesting for any RSUs granted to executive officers will cease upon termination of employment. In specified termination and change-in-control circumstances, equity awards held by our named executive officers are subject to accelerated vesting. See “—Severance and Change-in-Control Benefits” below for further information.</w:t>
      </w:r>
    </w:p>
    <w:p>
      <w:pPr>
        <w:spacing w:after="0" w:line="84" w:lineRule="exact"/>
        <w:rPr>
          <w:sz w:val="20"/>
          <w:szCs w:val="20"/>
          <w:color w:val="auto"/>
        </w:rPr>
      </w:pPr>
    </w:p>
    <w:p>
      <w:pPr>
        <w:ind w:left="40" w:right="139" w:firstLine="648"/>
        <w:spacing w:after="0" w:line="281" w:lineRule="auto"/>
        <w:rPr>
          <w:sz w:val="20"/>
          <w:szCs w:val="20"/>
          <w:color w:val="auto"/>
        </w:rPr>
      </w:pPr>
      <w:r>
        <w:rPr>
          <w:rFonts w:ascii="Times New Roman" w:cs="Times New Roman" w:eastAsia="Times New Roman" w:hAnsi="Times New Roman"/>
          <w:sz w:val="16"/>
          <w:szCs w:val="16"/>
          <w:color w:val="auto"/>
        </w:rPr>
        <w:t>In determining the size of the equity awards to our named executive officers, our compensation committee, with the assistance from Radford, considers our company performance, individual performance, the potential for enhancing the creation of value for our stockholders, the company’s broader organizational equity needs and overall dilution, as well as industry and peer group</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299"/>
        <w:spacing w:after="0" w:line="281" w:lineRule="auto"/>
        <w:rPr>
          <w:sz w:val="20"/>
          <w:szCs w:val="20"/>
          <w:color w:val="auto"/>
        </w:rPr>
      </w:pPr>
      <w:r>
        <w:rPr>
          <w:rFonts w:ascii="Times New Roman" w:cs="Times New Roman" w:eastAsia="Times New Roman" w:hAnsi="Times New Roman"/>
          <w:sz w:val="16"/>
          <w:szCs w:val="16"/>
          <w:color w:val="auto"/>
        </w:rPr>
        <w:t>benchmark data.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69" w:lineRule="exact"/>
        <w:rPr>
          <w:sz w:val="20"/>
          <w:szCs w:val="20"/>
          <w:color w:val="auto"/>
        </w:rPr>
      </w:pPr>
    </w:p>
    <w:p>
      <w:pPr>
        <w:ind w:left="40" w:right="619" w:firstLine="648"/>
        <w:spacing w:after="0" w:line="318" w:lineRule="auto"/>
        <w:rPr>
          <w:sz w:val="20"/>
          <w:szCs w:val="20"/>
          <w:color w:val="auto"/>
        </w:rPr>
      </w:pPr>
      <w:r>
        <w:rPr>
          <w:rFonts w:ascii="Times New Roman" w:cs="Times New Roman" w:eastAsia="Times New Roman" w:hAnsi="Times New Roman"/>
          <w:sz w:val="16"/>
          <w:szCs w:val="16"/>
          <w:color w:val="auto"/>
        </w:rPr>
        <w:t xml:space="preserve">In February 2019, our compensation committee granted stock options and RSUs to our named executive officers in the amounts set forth in the table below, generally aligning with the 65 </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6"/>
          <w:szCs w:val="16"/>
          <w:color w:val="auto"/>
        </w:rPr>
        <w:t xml:space="preserve"> percentile of our peer group.</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Option Award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 Award</w:t>
            </w:r>
          </w:p>
        </w:tc>
        <w:tc>
          <w:tcPr>
            <w:tcW w:w="0" w:type="dxa"/>
            <w:vAlign w:val="bottom"/>
          </w:tcPr>
          <w:p>
            <w:pPr>
              <w:spacing w:after="0"/>
              <w:rPr>
                <w:sz w:val="1"/>
                <w:szCs w:val="1"/>
                <w:color w:val="auto"/>
              </w:rPr>
            </w:pPr>
          </w:p>
        </w:tc>
      </w:tr>
      <w:tr>
        <w:trPr>
          <w:trHeight w:val="173"/>
        </w:trPr>
        <w:tc>
          <w:tcPr>
            <w:tcW w:w="6960" w:type="dxa"/>
            <w:vAlign w:val="bottom"/>
            <w:gridSpan w:val="2"/>
            <w:vMerge w:val="continue"/>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29,750</w:t>
            </w:r>
          </w:p>
        </w:tc>
        <w:tc>
          <w:tcPr>
            <w:tcW w:w="0" w:type="dxa"/>
            <w:vAlign w:val="bottom"/>
          </w:tcPr>
          <w:p>
            <w:pPr>
              <w:spacing w:after="0"/>
              <w:rPr>
                <w:sz w:val="1"/>
                <w:szCs w:val="1"/>
                <w:color w:val="auto"/>
              </w:rPr>
            </w:pPr>
          </w:p>
        </w:tc>
      </w:tr>
      <w:tr>
        <w:trPr>
          <w:trHeight w:val="203"/>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19,500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5,250</w:t>
            </w:r>
          </w:p>
        </w:tc>
        <w:tc>
          <w:tcPr>
            <w:tcW w:w="0" w:type="dxa"/>
            <w:vAlign w:val="bottom"/>
          </w:tcPr>
          <w:p>
            <w:pPr>
              <w:spacing w:after="0"/>
              <w:rPr>
                <w:sz w:val="1"/>
                <w:szCs w:val="1"/>
                <w:color w:val="auto"/>
              </w:rPr>
            </w:pPr>
          </w:p>
        </w:tc>
      </w:tr>
      <w:tr>
        <w:trPr>
          <w:trHeight w:val="20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7,000</w:t>
            </w:r>
          </w:p>
        </w:tc>
        <w:tc>
          <w:tcPr>
            <w:tcW w:w="0" w:type="dxa"/>
            <w:vAlign w:val="bottom"/>
          </w:tcPr>
          <w:p>
            <w:pPr>
              <w:spacing w:after="0"/>
              <w:rPr>
                <w:sz w:val="1"/>
                <w:szCs w:val="1"/>
                <w:color w:val="auto"/>
              </w:rPr>
            </w:pPr>
          </w:p>
        </w:tc>
      </w:tr>
      <w:tr>
        <w:trPr>
          <w:trHeight w:val="203"/>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32,500</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8,750</w:t>
            </w:r>
          </w:p>
        </w:tc>
        <w:tc>
          <w:tcPr>
            <w:tcW w:w="0" w:type="dxa"/>
            <w:vAlign w:val="bottom"/>
          </w:tcPr>
          <w:p>
            <w:pPr>
              <w:spacing w:after="0"/>
              <w:rPr>
                <w:sz w:val="1"/>
                <w:szCs w:val="1"/>
                <w:color w:val="auto"/>
              </w:rPr>
            </w:pPr>
          </w:p>
        </w:tc>
      </w:tr>
      <w:tr>
        <w:trPr>
          <w:trHeight w:val="203"/>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29,900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8,050</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Other Compensation Policies and Practices</w:t>
      </w:r>
    </w:p>
    <w:p>
      <w:pPr>
        <w:spacing w:after="0" w:line="127"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6"/>
          <w:szCs w:val="16"/>
          <w:i w:val="1"/>
          <w:iCs w:val="1"/>
          <w:color w:val="auto"/>
        </w:rPr>
        <w:t xml:space="preserve">Health and Welfare Benefits. </w:t>
      </w:r>
      <w:r>
        <w:rPr>
          <w:rFonts w:ascii="Times New Roman" w:cs="Times New Roman" w:eastAsia="Times New Roman" w:hAnsi="Times New Roman"/>
          <w:sz w:val="16"/>
          <w:szCs w:val="16"/>
          <w:color w:val="auto"/>
        </w:rPr>
        <w:t>Our named executive officers are eligible to participate in all of our employee benefit plans,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our medical, dental, vision, life and disability insurance plans and commuting benefits plan, in each case, on the same basis as other employees.</w:t>
      </w:r>
    </w:p>
    <w:p>
      <w:pPr>
        <w:spacing w:after="0" w:line="67" w:lineRule="exact"/>
        <w:rPr>
          <w:sz w:val="20"/>
          <w:szCs w:val="20"/>
          <w:color w:val="auto"/>
        </w:rPr>
      </w:pPr>
    </w:p>
    <w:p>
      <w:pPr>
        <w:ind w:left="40" w:right="79" w:firstLine="648"/>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401(k) Plan. </w:t>
      </w:r>
      <w:r>
        <w:rPr>
          <w:rFonts w:ascii="Times New Roman" w:cs="Times New Roman" w:eastAsia="Times New Roman" w:hAnsi="Times New Roman"/>
          <w:sz w:val="16"/>
          <w:szCs w:val="16"/>
          <w:color w:val="auto"/>
        </w:rPr>
        <w:t>We maintain a 401(k) plan that is intended to qualify under Section 401(k) of the Internal Revenue Service Code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1986, as amended, or the Internal Revenue Code. In general, all of our employees, including our named executive officers, are eligible to participate in the 401(k) plan. Under the 401(k) plan, employees may elect to reduce their current compensation by up to the statutorily prescribed annual limit, equal to $19,000 in 2019, and to have the amount of such reduction contributed to the 401(k) plan. Participants who will turn age 50 in 2019 are also eligible to make “catch-up” contributions, which in 2019 may be up to an additional $6,000 above the statutory limit. We currently match 50% of an employee’s 401(k) contributions up to a maximum of 3% of the participant’s compensation. Matching contributions are 100% vested immediately. Matching contributions made to each of our named executive officers are included in the “Summary Compensation Table” below.</w:t>
      </w:r>
    </w:p>
    <w:p>
      <w:pPr>
        <w:spacing w:after="0" w:line="78" w:lineRule="exact"/>
        <w:rPr>
          <w:sz w:val="20"/>
          <w:szCs w:val="20"/>
          <w:color w:val="auto"/>
        </w:rPr>
      </w:pPr>
    </w:p>
    <w:p>
      <w:pPr>
        <w:ind w:left="40" w:right="319" w:firstLine="648"/>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Employee Stock Purchase Plan. </w:t>
      </w:r>
      <w:r>
        <w:rPr>
          <w:rFonts w:ascii="Times New Roman" w:cs="Times New Roman" w:eastAsia="Times New Roman" w:hAnsi="Times New Roman"/>
          <w:sz w:val="16"/>
          <w:szCs w:val="16"/>
          <w:color w:val="auto"/>
        </w:rPr>
        <w:t>Pursuant to our employee stock purchase plan, employees, including our named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have an opportunity to purchase our common stock at a discount on a tax-qualified basis through payroll deductions. The employee stock purchase plan is designed to qualify as an “employee stock purchase plan” under Section 423 of the Internal Revenue Code. The purpose of the employee stock purchase plan is to encourage our employees, including our named executive officers, to become our stockholders and better align their interests with those of our other stockholders.</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 xml:space="preserve">Perquisites. </w:t>
      </w:r>
      <w:r>
        <w:rPr>
          <w:rFonts w:ascii="Times New Roman" w:cs="Times New Roman" w:eastAsia="Times New Roman" w:hAnsi="Times New Roman"/>
          <w:sz w:val="16"/>
          <w:szCs w:val="16"/>
          <w:color w:val="auto"/>
        </w:rPr>
        <w:t>We do not provide perquisites or personal benefits to our named executive officers.</w:t>
      </w:r>
    </w:p>
    <w:p>
      <w:pPr>
        <w:spacing w:after="0" w:line="127" w:lineRule="exact"/>
        <w:rPr>
          <w:sz w:val="20"/>
          <w:szCs w:val="20"/>
          <w:color w:val="auto"/>
        </w:rPr>
      </w:pPr>
    </w:p>
    <w:p>
      <w:pPr>
        <w:ind w:left="40" w:right="179" w:firstLine="648"/>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Anti-Hedging and Pledging Policy. </w:t>
      </w:r>
      <w:r>
        <w:rPr>
          <w:rFonts w:ascii="Times New Roman" w:cs="Times New Roman" w:eastAsia="Times New Roman" w:hAnsi="Times New Roman"/>
          <w:sz w:val="16"/>
          <w:szCs w:val="16"/>
          <w:color w:val="auto"/>
        </w:rPr>
        <w:t>Our insider trading policy expressly prohibits all of our employees, including our named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officers, as well as our directors, from engaging in speculative transactions in our stock, including buying our securities on margin, borrowing against our securities held in a margin account, engaging in short sales of our securities, and buying or selling derivatives on our securities. Our insider trading policy generally prohibit all of our employees, including our named executive officers, as well as our directors, from pledging our securities as collateral for a loan, other than as may be allowed in certain exceptional and limited circumstances, with prior approval of our audit committee. To date, no such requests have been made or approved.</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 xml:space="preserve">No Tax Gross-ups. </w:t>
      </w:r>
      <w:r>
        <w:rPr>
          <w:rFonts w:ascii="Times New Roman" w:cs="Times New Roman" w:eastAsia="Times New Roman" w:hAnsi="Times New Roman"/>
          <w:sz w:val="16"/>
          <w:szCs w:val="16"/>
          <w:color w:val="auto"/>
        </w:rPr>
        <w:t>We do not provide for any tax gross-up payments to our named executive officers.</w:t>
      </w:r>
    </w:p>
    <w:p>
      <w:pPr>
        <w:spacing w:after="0" w:line="127"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Accounting and Tax Considerations. </w:t>
      </w:r>
      <w:r>
        <w:rPr>
          <w:rFonts w:ascii="Times New Roman" w:cs="Times New Roman" w:eastAsia="Times New Roman" w:hAnsi="Times New Roman"/>
          <w:sz w:val="16"/>
          <w:szCs w:val="16"/>
          <w:color w:val="auto"/>
        </w:rPr>
        <w:t>We account for equity compensation paid to our employees under the rules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Accounting Standards Board Accounting Standards Codification Topic 718, or FASB ACS Topic 718, which rules require us to estimate and record an expense over the service period of any such award. Accounting rules also require us to record cash compensation as an expense at the time the obligation is accrued. To date, these accounting requirements have not impacted our executive compensation programs and practices. Prior to January 1, 2018, when the Tax Cuts and Jobs Act of 2017, or the Tax Act, became effective, Section 162(m) of the Internal Revenue Code, or Section 162(m), generally limited to $1 million the deduction that a public company could claim in any tax year with respect to compensation paid to each of its chief executive officer and three other named executive officers whose compensation was required to be disclosed in the proxy statement (other than the chief financial officer), unless such compensation was performance-based as determined under the Section 162(m) regulations. Under the Tax Act, the performance-based compensation exception has been repealed, subject to certain transition rules. In addition, the deduction limitation now applies to anyone serving as the chief executive officer, the chief financial officer, and the top three other most highly compensated officers, and once an executive becomes a “covered employee” under Section 162(m), the individual will continue to be a “covered employee” as long as he or she remains employed by the company. The new rules generally apply to taxable years beginning after December 31, 2017 but do not apply to compensation paid pursuant to a written binding contract in effect on November 2, 2017 that is not modified in any material respect after that date. As a result, for fiscal years beginning after December 31, 2017, all compensation in excess of $1 million paid to the specified executives will not be deductible, subject to the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p>
      <w:pPr>
        <w:ind w:left="40" w:right="139"/>
        <w:spacing w:after="0" w:line="271" w:lineRule="auto"/>
        <w:rPr>
          <w:sz w:val="20"/>
          <w:szCs w:val="20"/>
          <w:color w:val="auto"/>
        </w:rPr>
      </w:pPr>
      <w:r>
        <w:rPr>
          <w:rFonts w:ascii="Times New Roman" w:cs="Times New Roman" w:eastAsia="Times New Roman" w:hAnsi="Times New Roman"/>
          <w:sz w:val="16"/>
          <w:szCs w:val="16"/>
          <w:color w:val="auto"/>
        </w:rPr>
        <w:t>transition relief. In designing our executive compensation program and determining the compensation of our executive officers, including our named executive officers, our compensation committee considers a variety of factors, including the potential impact of the Section 162(m) deduction limit. However, to maintain flexibility to compensate our executive officers in a manner designed to promote our short-term and long-term corporate goals, our compensation committee has not adopted a policy that all compensation must be deductible. Our compensation committee believes that our stockholders’ interests are best served if its discretion and flexibility in awarding compensation is not restricted, even though some compensation awards may result in non-deductible compensation expense.</w:t>
      </w:r>
    </w:p>
    <w:p>
      <w:pPr>
        <w:spacing w:after="0" w:line="74" w:lineRule="exact"/>
        <w:rPr>
          <w:sz w:val="20"/>
          <w:szCs w:val="20"/>
          <w:color w:val="auto"/>
        </w:rPr>
      </w:pPr>
    </w:p>
    <w:p>
      <w:pPr>
        <w:ind w:left="40" w:right="79" w:firstLine="648"/>
        <w:spacing w:after="0" w:line="204" w:lineRule="exact"/>
        <w:rPr>
          <w:sz w:val="20"/>
          <w:szCs w:val="20"/>
          <w:color w:val="auto"/>
        </w:rPr>
      </w:pPr>
      <w:r>
        <w:rPr>
          <w:rFonts w:ascii="Times New Roman" w:cs="Times New Roman" w:eastAsia="Times New Roman" w:hAnsi="Times New Roman"/>
          <w:sz w:val="16"/>
          <w:szCs w:val="16"/>
          <w:i w:val="1"/>
          <w:iCs w:val="1"/>
          <w:color w:val="auto"/>
        </w:rPr>
        <w:t xml:space="preserve">Clawback Policy. </w:t>
      </w:r>
      <w:r>
        <w:rPr>
          <w:rFonts w:ascii="Times New Roman" w:cs="Times New Roman" w:eastAsia="Times New Roman" w:hAnsi="Times New Roman"/>
          <w:sz w:val="16"/>
          <w:szCs w:val="16"/>
          <w:color w:val="auto"/>
        </w:rPr>
        <w:t>In the second half of 2019, upon the recommendation of our compensation committee,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adopted a clawback policy that covers incentive compensation paid to our executive officers, or covered executives. The policy provides that if we are required to prepare an accounting restatement due to our material non-compliance with any financial reporting requirement and intentional misconduct by a covered executive, our compensation committee may require the covered executive to repay to us any excess compensation received by the covered executive during the 12</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month period preceding the publication of such restatement. For purposes of this policy, excess compensation means annual cash bonus and equity incentive compensation that is in excess of the amount such covered executive would have received, if the annual cash bonus and/or equity incentive compensation had been determined wholly or in part based on the restated financial reporting measures.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2020 Executive Compensation</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Base Salary Compensation for Our Named Executive Officers in 2020</w:t>
      </w:r>
    </w:p>
    <w:p>
      <w:pPr>
        <w:spacing w:after="0" w:line="131" w:lineRule="exact"/>
        <w:rPr>
          <w:sz w:val="20"/>
          <w:szCs w:val="20"/>
          <w:color w:val="auto"/>
        </w:rPr>
      </w:pPr>
    </w:p>
    <w:p>
      <w:pPr>
        <w:ind w:left="40" w:right="99" w:firstLine="648"/>
        <w:spacing w:after="0" w:line="269" w:lineRule="auto"/>
        <w:rPr>
          <w:sz w:val="20"/>
          <w:szCs w:val="20"/>
          <w:color w:val="auto"/>
        </w:rPr>
      </w:pPr>
      <w:r>
        <w:rPr>
          <w:rFonts w:ascii="Times New Roman" w:cs="Times New Roman" w:eastAsia="Times New Roman" w:hAnsi="Times New Roman"/>
          <w:sz w:val="16"/>
          <w:szCs w:val="16"/>
          <w:color w:val="auto"/>
        </w:rPr>
        <w:t>With respect to Mr. Albers, our chief executive officer, in the first quarter of 2020, our compensation committee reviewed Mr. Albers’ overall compensation and determined, based on his accomplishments during 2019 and comparison to the base salaries of chief executive officers in our 2020 peer group, to increase his annual base salary from $590,000 to $645,000 effective January 1, 2020. In addition, in the first quarter of 2020, our compensation committee approved merit increases in base salary for each of our other named executive officers effective January 1, 2020, based upon the company’s achievement of 2019 corporate performance goals, each executive officer’s achievement of individual performance goals and the comparison to the base salary of similar executive officers in our 2020 peer group. The table below sets forth the adjustments to base salary, in dollars and as a percentage, for each of our named executive officers: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2019 Base Salary</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2020 Base Salary</w:t>
            </w: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645,000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379,575</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460,864</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476,994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431,830</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460,944</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437,972</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453,301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Cash Incentive Compensation for Our Named Executive Officers in 2020</w:t>
      </w:r>
    </w:p>
    <w:p>
      <w:pPr>
        <w:spacing w:after="0" w:line="131" w:lineRule="exact"/>
        <w:rPr>
          <w:sz w:val="20"/>
          <w:szCs w:val="20"/>
          <w:color w:val="auto"/>
        </w:rPr>
      </w:pPr>
    </w:p>
    <w:p>
      <w:pPr>
        <w:ind w:left="40" w:right="59" w:firstLine="648"/>
        <w:spacing w:after="0" w:line="272" w:lineRule="auto"/>
        <w:rPr>
          <w:sz w:val="20"/>
          <w:szCs w:val="20"/>
          <w:color w:val="auto"/>
        </w:rPr>
      </w:pPr>
      <w:r>
        <w:rPr>
          <w:rFonts w:ascii="Times New Roman" w:cs="Times New Roman" w:eastAsia="Times New Roman" w:hAnsi="Times New Roman"/>
          <w:sz w:val="16"/>
          <w:szCs w:val="16"/>
          <w:color w:val="auto"/>
        </w:rPr>
        <w:t>In the first quarter of 2020, our compensation committee approved target award opportunities for each of our named executive officers for 2020. The target award opportunity for Mr. Albers, our chief executive officer, for 2020 will be based solely on 2020 corporate performance goals, and the target award opportunity for each of our other named executive officers for 2020 will be based 25% on individual performance goals and 75% on 2020 corporate performance goals. The table below shows the target award as a percentage of each named executive officer’s annual base salary in 2020, as well as the target cash incentive payment in dollars for 2020.</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vMerge w:val="restart"/>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2020 Target Award</w:t>
            </w:r>
          </w:p>
        </w:tc>
        <w:tc>
          <w:tcPr>
            <w:tcW w:w="14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2020 Target Cash</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2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Incentive Payment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419,250</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151,830</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214,647</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207,425</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0" w:right="239" w:firstLine="648"/>
        <w:spacing w:after="0" w:line="272" w:lineRule="auto"/>
        <w:rPr>
          <w:sz w:val="20"/>
          <w:szCs w:val="20"/>
          <w:color w:val="auto"/>
        </w:rPr>
      </w:pPr>
      <w:r>
        <w:rPr>
          <w:rFonts w:ascii="Times New Roman" w:cs="Times New Roman" w:eastAsia="Times New Roman" w:hAnsi="Times New Roman"/>
          <w:sz w:val="16"/>
          <w:szCs w:val="16"/>
          <w:color w:val="auto"/>
        </w:rPr>
        <w:t>In determining the 2020 actual cash incentive compensation for our named executive officers, our compensation committee and board of directors will review the performance of the company during 2020. Our compensation committee retains the discretion to adjust upward or downward any bonus award as it deems appropriate. However, as noted above, any annual performance-based cash incentive program payouts will be capped at 150% of the target payout level. We expect to pay any cash incentive compensation in the first quarter of 2021.</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29" w:lineRule="exact"/>
        <w:rPr>
          <w:sz w:val="20"/>
          <w:szCs w:val="20"/>
          <w:color w:val="auto"/>
        </w:rPr>
      </w:pPr>
    </w:p>
    <w:p>
      <w:pPr>
        <w:ind w:left="40" w:right="359"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regarding total compensation, for service rendered in all capacities, earned by or paid to each of our named executive officers during the years indicated.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 xml:space="preserve">Salary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420" w:type="dxa"/>
            <w:vAlign w:val="bottom"/>
            <w:gridSpan w:val="3"/>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Jeffrey W. Albers (4)</w:t>
            </w:r>
          </w:p>
        </w:tc>
        <w:tc>
          <w:tcPr>
            <w:tcW w:w="1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99"/>
              </w:rPr>
              <w:t>2019</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590,000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2,576,350</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5,808,841</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378,780</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w w:val="95"/>
              </w:rPr>
              <w:t>8,400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9,362,371</w:t>
            </w:r>
          </w:p>
        </w:tc>
        <w:tc>
          <w:tcPr>
            <w:tcW w:w="0" w:type="dxa"/>
            <w:vAlign w:val="bottom"/>
          </w:tcPr>
          <w:p>
            <w:pPr>
              <w:spacing w:after="0"/>
              <w:rPr>
                <w:sz w:val="1"/>
                <w:szCs w:val="1"/>
                <w:color w:val="auto"/>
              </w:rPr>
            </w:pPr>
          </w:p>
        </w:tc>
      </w:tr>
      <w:tr>
        <w:trPr>
          <w:trHeight w:val="148"/>
        </w:trPr>
        <w:tc>
          <w:tcPr>
            <w:tcW w:w="34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541,144</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8,881,871</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309,534</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8,250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9,740,799</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515,375</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4,088,976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325,975</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4,938,426</w:t>
            </w:r>
          </w:p>
        </w:tc>
        <w:tc>
          <w:tcPr>
            <w:tcW w:w="0" w:type="dxa"/>
            <w:vAlign w:val="bottom"/>
          </w:tcPr>
          <w:p>
            <w:pPr>
              <w:spacing w:after="0"/>
              <w:rPr>
                <w:sz w:val="1"/>
                <w:szCs w:val="1"/>
                <w:color w:val="auto"/>
              </w:rPr>
            </w:pPr>
          </w:p>
        </w:tc>
      </w:tr>
      <w:tr>
        <w:trPr>
          <w:trHeight w:val="148"/>
        </w:trPr>
        <w:tc>
          <w:tcPr>
            <w:tcW w:w="3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Michael Landsittel (5)</w:t>
            </w: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345,000</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454,650</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1,025,090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125,580</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1,958,720</w:t>
            </w:r>
          </w:p>
        </w:tc>
        <w:tc>
          <w:tcPr>
            <w:tcW w:w="0" w:type="dxa"/>
            <w:vAlign w:val="bottom"/>
          </w:tcPr>
          <w:p>
            <w:pPr>
              <w:spacing w:after="0"/>
              <w:rPr>
                <w:sz w:val="1"/>
                <w:szCs w:val="1"/>
                <w:color w:val="auto"/>
              </w:rPr>
            </w:pPr>
          </w:p>
        </w:tc>
      </w:tr>
      <w:tr>
        <w:trPr>
          <w:trHeight w:val="148"/>
        </w:trPr>
        <w:tc>
          <w:tcPr>
            <w:tcW w:w="34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281,678</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1,358,404</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92,278</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8,250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1,740,610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260,936</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481,056</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93,154</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7,746</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842,892</w:t>
            </w:r>
          </w:p>
        </w:tc>
        <w:tc>
          <w:tcPr>
            <w:tcW w:w="0" w:type="dxa"/>
            <w:vAlign w:val="bottom"/>
          </w:tcPr>
          <w:p>
            <w:pPr>
              <w:spacing w:after="0"/>
              <w:rPr>
                <w:sz w:val="1"/>
                <w:szCs w:val="1"/>
                <w:color w:val="auto"/>
              </w:rPr>
            </w:pPr>
          </w:p>
        </w:tc>
      </w:tr>
      <w:tr>
        <w:trPr>
          <w:trHeight w:val="148"/>
        </w:trPr>
        <w:tc>
          <w:tcPr>
            <w:tcW w:w="3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Anthony L. Boral, M.D., Ph.D.</w:t>
            </w: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460,864</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606,200</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1,366,786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194,945</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2,637,195</w:t>
            </w:r>
          </w:p>
        </w:tc>
        <w:tc>
          <w:tcPr>
            <w:tcW w:w="0" w:type="dxa"/>
            <w:vAlign w:val="bottom"/>
          </w:tcPr>
          <w:p>
            <w:pPr>
              <w:spacing w:after="0"/>
              <w:rPr>
                <w:sz w:val="1"/>
                <w:szCs w:val="1"/>
                <w:color w:val="auto"/>
              </w:rPr>
            </w:pPr>
          </w:p>
        </w:tc>
      </w:tr>
      <w:tr>
        <w:trPr>
          <w:trHeight w:val="148"/>
        </w:trPr>
        <w:tc>
          <w:tcPr>
            <w:tcW w:w="34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Chief Medical Officer</w:t>
            </w: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447,400</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2,037,606</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181,482</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8,250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2,674,738</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411,000</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1,082,376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162,551</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1,664,027</w:t>
            </w:r>
          </w:p>
        </w:tc>
        <w:tc>
          <w:tcPr>
            <w:tcW w:w="0" w:type="dxa"/>
            <w:vAlign w:val="bottom"/>
          </w:tcPr>
          <w:p>
            <w:pPr>
              <w:spacing w:after="0"/>
              <w:rPr>
                <w:sz w:val="1"/>
                <w:szCs w:val="1"/>
                <w:color w:val="auto"/>
              </w:rPr>
            </w:pPr>
          </w:p>
        </w:tc>
      </w:tr>
      <w:tr>
        <w:trPr>
          <w:trHeight w:val="148"/>
        </w:trPr>
        <w:tc>
          <w:tcPr>
            <w:tcW w:w="3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Kathryn Haviland (6)</w:t>
            </w: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431,830</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757,750</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1,708,483</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183,960</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3,090,423</w:t>
            </w:r>
          </w:p>
        </w:tc>
        <w:tc>
          <w:tcPr>
            <w:tcW w:w="0" w:type="dxa"/>
            <w:vAlign w:val="bottom"/>
          </w:tcPr>
          <w:p>
            <w:pPr>
              <w:spacing w:after="0"/>
              <w:rPr>
                <w:sz w:val="1"/>
                <w:szCs w:val="1"/>
                <w:color w:val="auto"/>
              </w:rPr>
            </w:pPr>
          </w:p>
        </w:tc>
      </w:tr>
      <w:tr>
        <w:trPr>
          <w:trHeight w:val="149"/>
        </w:trPr>
        <w:tc>
          <w:tcPr>
            <w:tcW w:w="342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392,589</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2,037,606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163,317</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8,250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2,601,762</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353,451</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962,112</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141,027</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1,464,690</w:t>
            </w:r>
          </w:p>
        </w:tc>
        <w:tc>
          <w:tcPr>
            <w:tcW w:w="0" w:type="dxa"/>
            <w:vAlign w:val="bottom"/>
          </w:tcPr>
          <w:p>
            <w:pPr>
              <w:spacing w:after="0"/>
              <w:rPr>
                <w:sz w:val="1"/>
                <w:szCs w:val="1"/>
                <w:color w:val="auto"/>
              </w:rPr>
            </w:pPr>
          </w:p>
        </w:tc>
      </w:tr>
      <w:tr>
        <w:trPr>
          <w:trHeight w:val="148"/>
        </w:trPr>
        <w:tc>
          <w:tcPr>
            <w:tcW w:w="3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Tracey L. McCain, Esq. (7)</w:t>
            </w: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437,972</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697,130</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1,571,804</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185,262</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2,900,568</w:t>
            </w:r>
          </w:p>
        </w:tc>
        <w:tc>
          <w:tcPr>
            <w:tcW w:w="0" w:type="dxa"/>
            <w:vAlign w:val="bottom"/>
          </w:tcPr>
          <w:p>
            <w:pPr>
              <w:spacing w:after="0"/>
              <w:rPr>
                <w:sz w:val="1"/>
                <w:szCs w:val="1"/>
                <w:color w:val="auto"/>
              </w:rPr>
            </w:pPr>
          </w:p>
        </w:tc>
      </w:tr>
      <w:tr>
        <w:trPr>
          <w:trHeight w:val="148"/>
        </w:trPr>
        <w:tc>
          <w:tcPr>
            <w:tcW w:w="342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Chief Legal and Compliance Officer</w:t>
            </w:r>
          </w:p>
        </w:tc>
        <w:tc>
          <w:tcPr>
            <w:tcW w:w="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425,216</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2,037,606</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176,890</w:t>
            </w:r>
          </w:p>
        </w:tc>
        <w:tc>
          <w:tcPr>
            <w:tcW w:w="10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8,250</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2,647,962</w:t>
            </w: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408,861</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120,264</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161,705</w:t>
            </w:r>
          </w:p>
        </w:tc>
        <w:tc>
          <w:tcPr>
            <w:tcW w:w="10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8,100</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698,930</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339" w:hanging="316"/>
        <w:spacing w:after="0" w:line="166" w:lineRule="exact"/>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stock option awards and RSU awards granted to our named executive officers in 2019, 2018 and 2017, as applicable, computed in accordance with FASB ASC Topic 718. Such aggregate grant date fair values do not take into account any estimated forfeitures related to service-based vesting conditions. See Note 10 to the audited consolidated financial statements in our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2019 regarding assumptions underlying the valuation of equity awards.</w:t>
      </w:r>
    </w:p>
    <w:p>
      <w:pPr>
        <w:spacing w:after="0" w:line="68" w:lineRule="exact"/>
        <w:rPr>
          <w:rFonts w:ascii="Times New Roman" w:cs="Times New Roman" w:eastAsia="Times New Roman" w:hAnsi="Times New Roman"/>
          <w:sz w:val="14"/>
          <w:szCs w:val="14"/>
          <w:color w:val="auto"/>
        </w:rPr>
      </w:pPr>
    </w:p>
    <w:p>
      <w:pPr>
        <w:ind w:left="360" w:right="79" w:hanging="316"/>
        <w:spacing w:after="0" w:line="236" w:lineRule="auto"/>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to our named executive officers under our annual performance-based cash incentive program. See “Annual Performance-based Cash Incentives” for a description of that program. Annual cash incentive compensation for 2019 was earned in 2019 and paid in 2020, annual cash incentive compensation for 2018 was earned in 2018 and paid in 2019 and annual cash incentive compensation for 2017 was earned in 2017 and paid in 2018.</w:t>
      </w:r>
    </w:p>
    <w:p>
      <w:pPr>
        <w:spacing w:after="0" w:line="68"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dollar value of matching contributions made under our 401(k) plan.</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Albers also serves as a member of our board of directors but does not receive any additional compensation for his service as a director.</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30, 2019, Mr. Landsittel was promoted to chief financial officer.</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30, 2019, Ms. Haviland was promoted to chief operating officer.</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McCain was not a named executive officer for 2017.</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Grants of Plan-Based Awards</w:t>
      </w:r>
    </w:p>
    <w:p>
      <w:pPr>
        <w:spacing w:after="0" w:line="129" w:lineRule="exact"/>
        <w:rPr>
          <w:sz w:val="20"/>
          <w:szCs w:val="20"/>
          <w:color w:val="auto"/>
        </w:rPr>
      </w:pPr>
    </w:p>
    <w:p>
      <w:pPr>
        <w:ind w:left="40" w:right="239"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concerning each grant of an award made to a named executive officer during the fiscal year ended December 31, 2019 under any plan, contract, authorization or arrangement pursuant to which cash, securities, similar instruments or other property may be received:</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51"/>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40" w:type="dxa"/>
            <w:vAlign w:val="bottom"/>
            <w:gridSpan w:val="4"/>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Payouts Under Non</w:t>
            </w:r>
            <w:r>
              <w:rPr>
                <w:rFonts w:ascii="MS PGothic" w:cs="MS PGothic" w:eastAsia="MS PGothic" w:hAnsi="MS PGothic"/>
                <w:sz w:val="14"/>
                <w:szCs w:val="14"/>
                <w:color w:val="auto"/>
                <w:strike w:val="1"/>
              </w:rPr>
              <w:t>‑</w:t>
            </w:r>
          </w:p>
        </w:tc>
        <w:tc>
          <w:tcPr>
            <w:tcW w:w="10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Base Price</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Awards (1)</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Securities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Option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17"/>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Committee</w:t>
            </w:r>
          </w:p>
        </w:tc>
        <w:tc>
          <w:tcPr>
            <w:tcW w:w="66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Shares of Stock</w:t>
            </w:r>
          </w:p>
        </w:tc>
        <w:tc>
          <w:tcPr>
            <w:tcW w:w="12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8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73"/>
        </w:trPr>
        <w:tc>
          <w:tcPr>
            <w:tcW w:w="18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Units (#)</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42"/>
        </w:trPr>
        <w:tc>
          <w:tcPr>
            <w:tcW w:w="17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Jeffrey W. Albers</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354,000</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531,000</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3/1/2019</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2/20/2019</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29,750</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110,500</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8,385,191</w:t>
            </w:r>
          </w:p>
        </w:tc>
        <w:tc>
          <w:tcPr>
            <w:tcW w:w="0" w:type="dxa"/>
            <w:vAlign w:val="bottom"/>
          </w:tcPr>
          <w:p>
            <w:pPr>
              <w:spacing w:after="0"/>
              <w:rPr>
                <w:sz w:val="1"/>
                <w:szCs w:val="1"/>
                <w:color w:val="auto"/>
              </w:rPr>
            </w:pPr>
          </w:p>
        </w:tc>
      </w:tr>
      <w:tr>
        <w:trPr>
          <w:trHeight w:val="148"/>
        </w:trPr>
        <w:tc>
          <w:tcPr>
            <w:tcW w:w="1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Michael Landsittel</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120,750</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181,125</w:t>
            </w:r>
          </w:p>
        </w:tc>
        <w:tc>
          <w:tcPr>
            <w:tcW w:w="10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3/1/2019</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2/20/2019</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5,250</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1,479,740</w:t>
            </w:r>
          </w:p>
        </w:tc>
        <w:tc>
          <w:tcPr>
            <w:tcW w:w="0" w:type="dxa"/>
            <w:vAlign w:val="bottom"/>
          </w:tcPr>
          <w:p>
            <w:pPr>
              <w:spacing w:after="0"/>
              <w:rPr>
                <w:sz w:val="1"/>
                <w:szCs w:val="1"/>
                <w:color w:val="auto"/>
              </w:rPr>
            </w:pPr>
          </w:p>
        </w:tc>
      </w:tr>
      <w:tr>
        <w:trPr>
          <w:trHeight w:val="126"/>
        </w:trPr>
        <w:tc>
          <w:tcPr>
            <w:tcW w:w="1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Anthony L.</w:t>
            </w: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184,345</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276,518</w:t>
            </w: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Boral, M.D., Ph.D.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3/1/2019</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2/20/2019</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26,000</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1,972,986</w:t>
            </w:r>
          </w:p>
        </w:tc>
        <w:tc>
          <w:tcPr>
            <w:tcW w:w="0" w:type="dxa"/>
            <w:vAlign w:val="bottom"/>
          </w:tcPr>
          <w:p>
            <w:pPr>
              <w:spacing w:after="0"/>
              <w:rPr>
                <w:sz w:val="1"/>
                <w:szCs w:val="1"/>
                <w:color w:val="auto"/>
              </w:rPr>
            </w:pPr>
          </w:p>
        </w:tc>
      </w:tr>
      <w:tr>
        <w:trPr>
          <w:trHeight w:val="148"/>
        </w:trPr>
        <w:tc>
          <w:tcPr>
            <w:tcW w:w="1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Kathryn Haviland</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172,732</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259,098</w:t>
            </w:r>
          </w:p>
        </w:tc>
        <w:tc>
          <w:tcPr>
            <w:tcW w:w="10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3/1/2019</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2/20/2019</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8,750</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32,500</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2,466,233</w:t>
            </w:r>
          </w:p>
        </w:tc>
        <w:tc>
          <w:tcPr>
            <w:tcW w:w="0" w:type="dxa"/>
            <w:vAlign w:val="bottom"/>
          </w:tcPr>
          <w:p>
            <w:pPr>
              <w:spacing w:after="0"/>
              <w:rPr>
                <w:sz w:val="1"/>
                <w:szCs w:val="1"/>
                <w:color w:val="auto"/>
              </w:rPr>
            </w:pPr>
          </w:p>
        </w:tc>
      </w:tr>
      <w:tr>
        <w:trPr>
          <w:trHeight w:val="148"/>
        </w:trPr>
        <w:tc>
          <w:tcPr>
            <w:tcW w:w="1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Tracey L. McCain, Esq.</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175,189</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262,783</w:t>
            </w:r>
          </w:p>
        </w:tc>
        <w:tc>
          <w:tcPr>
            <w:tcW w:w="10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3/1/2019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2/20/2019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29,900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86.60</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7" w:lineRule="exact"/>
        <w:rPr>
          <w:sz w:val="20"/>
          <w:szCs w:val="20"/>
          <w:color w:val="auto"/>
        </w:rPr>
      </w:pPr>
    </w:p>
    <w:p>
      <w:pPr>
        <w:ind w:left="360" w:right="99" w:hanging="316"/>
        <w:spacing w:after="0" w:line="236" w:lineRule="auto"/>
        <w:tabs>
          <w:tab w:leader="none" w:pos="3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the “Target ($)” and “Maximum ($)” columns reflect the target and maximum amounts payable to each named executive officer under our 2019 annual performance-based cash incentive program as described under “Annual Performance-Based Cash Incentives” above. Actual payments made for 2019 are provided in the “Summary Compensation Table.” As there are no threshold amounts with respect to these performance-based cash payments, the column “Threshold ($)” is inapplicable and therefore has been omitted from this table.</w:t>
      </w:r>
    </w:p>
    <w:p>
      <w:pPr>
        <w:spacing w:after="0" w:line="68" w:lineRule="exact"/>
        <w:rPr>
          <w:rFonts w:ascii="Times New Roman" w:cs="Times New Roman" w:eastAsia="Times New Roman" w:hAnsi="Times New Roman"/>
          <w:sz w:val="14"/>
          <w:szCs w:val="14"/>
          <w:color w:val="auto"/>
        </w:rPr>
      </w:pPr>
    </w:p>
    <w:p>
      <w:pPr>
        <w:ind w:left="360" w:right="379" w:hanging="316"/>
        <w:spacing w:after="0" w:line="261" w:lineRule="auto"/>
        <w:tabs>
          <w:tab w:leader="none" w:pos="3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compensation committee determined to formally cap annual cash incentive program payouts in any given year at 150% of the target payout level.</w:t>
      </w:r>
    </w:p>
    <w:p>
      <w:pPr>
        <w:spacing w:after="0" w:line="54" w:lineRule="exact"/>
        <w:rPr>
          <w:rFonts w:ascii="Times New Roman" w:cs="Times New Roman" w:eastAsia="Times New Roman" w:hAnsi="Times New Roman"/>
          <w:sz w:val="14"/>
          <w:szCs w:val="14"/>
          <w:color w:val="auto"/>
        </w:rPr>
      </w:pPr>
    </w:p>
    <w:p>
      <w:pPr>
        <w:ind w:left="360" w:right="239" w:hanging="316"/>
        <w:spacing w:after="0" w:line="261" w:lineRule="auto"/>
        <w:tabs>
          <w:tab w:leader="none" w:pos="3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these stock options is equal to the closing price of our common stock as reported on the Nasdaq Global Select Market on the grant date.</w:t>
      </w:r>
    </w:p>
    <w:p>
      <w:pPr>
        <w:spacing w:after="0" w:line="54" w:lineRule="exact"/>
        <w:rPr>
          <w:rFonts w:ascii="Times New Roman" w:cs="Times New Roman" w:eastAsia="Times New Roman" w:hAnsi="Times New Roman"/>
          <w:sz w:val="14"/>
          <w:szCs w:val="14"/>
          <w:color w:val="auto"/>
        </w:rPr>
      </w:pPr>
    </w:p>
    <w:p>
      <w:pPr>
        <w:ind w:left="360" w:right="79" w:hanging="316"/>
        <w:spacing w:after="0" w:line="166" w:lineRule="exact"/>
        <w:tabs>
          <w:tab w:leader="none" w:pos="3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awards granted to our named executive officers in 2019, computed in accordance with FASB ASC Topic 718. Such grant-date fair values do not take into account any estimated forfeitures related to service-based vesting conditions. See Note 10 to the audited consolidated financial statements in our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2019 regarding assumptions underlying the valuation of equity awards.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129" w:lineRule="exact"/>
        <w:rPr>
          <w:sz w:val="20"/>
          <w:szCs w:val="20"/>
          <w:color w:val="auto"/>
        </w:rPr>
      </w:pPr>
    </w:p>
    <w:p>
      <w:pPr>
        <w:jc w:val="both"/>
        <w:ind w:left="40" w:right="99" w:firstLine="648"/>
        <w:spacing w:after="0" w:line="281" w:lineRule="auto"/>
        <w:rPr>
          <w:sz w:val="20"/>
          <w:szCs w:val="20"/>
          <w:color w:val="auto"/>
        </w:rPr>
      </w:pPr>
      <w:r>
        <w:rPr>
          <w:rFonts w:ascii="Times New Roman" w:cs="Times New Roman" w:eastAsia="Times New Roman" w:hAnsi="Times New Roman"/>
          <w:sz w:val="16"/>
          <w:szCs w:val="16"/>
          <w:color w:val="auto"/>
        </w:rPr>
        <w:t>The following table sets forth information concerning outstanding equity awards held by each of our named executive officers at December 31, 2019. Unless otherwise specified, the equity awards are subject to certain acceleration of vesting provisions as set forth in the applicable named executive officer’s employment agreement, as described below.</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0"/>
                <w:szCs w:val="10"/>
                <w:color w:val="auto"/>
              </w:rPr>
            </w:pPr>
          </w:p>
        </w:tc>
        <w:tc>
          <w:tcPr>
            <w:tcW w:w="10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0"/>
                <w:szCs w:val="10"/>
                <w:color w:val="auto"/>
              </w:rPr>
            </w:pPr>
          </w:p>
        </w:tc>
        <w:tc>
          <w:tcPr>
            <w:tcW w:w="10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gridSpan w:val="2"/>
            <w:vMerge w:val="continue"/>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2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60" w:type="dxa"/>
            <w:vAlign w:val="bottom"/>
            <w:gridSpan w:val="3"/>
            <w:vMerge w:val="continue"/>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2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Jeffrey W. Albers</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7/30/2024</w:t>
            </w:r>
          </w:p>
        </w:tc>
        <w:tc>
          <w:tcPr>
            <w:tcW w:w="2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193,903</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7/30/2024 (2)</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107,090</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2/10/2025 (2)</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134,166</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5,834</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2/3/2026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120,416</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49,584</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2/16/2027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77,916</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92,084</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2/16/2028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29,750</w:t>
            </w:r>
          </w:p>
        </w:tc>
        <w:tc>
          <w:tcPr>
            <w:tcW w:w="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(8)</w:t>
            </w: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2,383,273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20,718</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89,782</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3/1/2029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Michael Landsittel</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26,363</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10/8/2024 (2)</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2/10/2025 (2)</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9,583</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2/3/2026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14,166</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5,834</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2/16/2027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11,916</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14,084</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2/16/2028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3,656</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15,844</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3/1/2029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5,250</w:t>
            </w:r>
          </w:p>
        </w:tc>
        <w:tc>
          <w:tcPr>
            <w:tcW w:w="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(8)</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420,578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8"/>
        </w:trPr>
        <w:tc>
          <w:tcPr>
            <w:tcW w:w="2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Anthony L. Boral, M.D., Ph.D.</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3,409</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2/10/2025 (2)</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10,227</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2/10/2025 (2)</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3,030</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2/10/2025 (2)</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37,878</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2/10/2025 (2)</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38,333</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2/3/2026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31,875</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13,125</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2/16/2027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17,875</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21,125</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2/16/2028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4,875</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21,125</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3/1/2029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(8)</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560,770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8"/>
        </w:trPr>
        <w:tc>
          <w:tcPr>
            <w:tcW w:w="2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Kathryn Haviland</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13,466</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2,086</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2/1/2026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11,667</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2/16/2027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17,875</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21,125</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2/16/2028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6,093</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26,407</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3/1/2029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8,750</w:t>
            </w:r>
          </w:p>
        </w:tc>
        <w:tc>
          <w:tcPr>
            <w:tcW w:w="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(8)</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700,963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8"/>
        </w:trPr>
        <w:tc>
          <w:tcPr>
            <w:tcW w:w="2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Tracey L. McCain, Esq.</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71,250</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10/3/2026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3,541</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1,459</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2/16/2027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17,875</w:t>
            </w:r>
          </w:p>
        </w:tc>
        <w:tc>
          <w:tcPr>
            <w:tcW w:w="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21,125</w:t>
            </w: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2/16/2028 (4)</w:t>
            </w: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5,606</w:t>
            </w: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24,294</w:t>
            </w:r>
          </w:p>
        </w:tc>
        <w:tc>
          <w:tcPr>
            <w:tcW w:w="6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86.60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3/1/2029 (4)</w:t>
            </w:r>
          </w:p>
        </w:tc>
        <w:tc>
          <w:tcPr>
            <w:tcW w:w="11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8,050</w:t>
            </w:r>
          </w:p>
        </w:tc>
        <w:tc>
          <w:tcPr>
            <w:tcW w:w="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(8)</w:t>
            </w:r>
          </w:p>
        </w:tc>
        <w:tc>
          <w:tcPr>
            <w:tcW w:w="10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644,886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16"/>
        <w:spacing w:after="0"/>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has fully vested as of December 31, 2019.</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award was granted under our 2011 Stock Option and Grant Plan, as amended.</w:t>
      </w:r>
    </w:p>
    <w:p>
      <w:pPr>
        <w:spacing w:after="0" w:line="95" w:lineRule="exact"/>
        <w:rPr>
          <w:rFonts w:ascii="Times New Roman" w:cs="Times New Roman" w:eastAsia="Times New Roman" w:hAnsi="Times New Roman"/>
          <w:sz w:val="14"/>
          <w:szCs w:val="14"/>
          <w:color w:val="auto"/>
        </w:rPr>
      </w:pPr>
    </w:p>
    <w:p>
      <w:pPr>
        <w:ind w:left="360" w:right="37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option vested with respect to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on March 3, 2016 and vested as to an additional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each month thereafter through February 3, 2020, subject to continued employment through each applicable vesting date.</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award was granted under our 2015 Stock Option and Incentive Plan.</w:t>
      </w:r>
    </w:p>
    <w:p>
      <w:pPr>
        <w:spacing w:after="0" w:line="95" w:lineRule="exact"/>
        <w:rPr>
          <w:rFonts w:ascii="Times New Roman" w:cs="Times New Roman" w:eastAsia="Times New Roman" w:hAnsi="Times New Roman"/>
          <w:sz w:val="14"/>
          <w:szCs w:val="14"/>
          <w:color w:val="auto"/>
        </w:rPr>
      </w:pPr>
    </w:p>
    <w:p>
      <w:pPr>
        <w:jc w:val="both"/>
        <w:ind w:left="360" w:right="37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option vested with respect to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on March 16, 2017 and vests as to an additional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each month thereafter through February 16, 2021, subject to continued employment through each applicable vesting date.</w:t>
      </w:r>
    </w:p>
    <w:p>
      <w:pPr>
        <w:spacing w:after="0" w:line="54" w:lineRule="exact"/>
        <w:rPr>
          <w:rFonts w:ascii="Times New Roman" w:cs="Times New Roman" w:eastAsia="Times New Roman" w:hAnsi="Times New Roman"/>
          <w:sz w:val="14"/>
          <w:szCs w:val="14"/>
          <w:color w:val="auto"/>
        </w:rPr>
      </w:pPr>
    </w:p>
    <w:p>
      <w:pPr>
        <w:jc w:val="both"/>
        <w:ind w:left="360" w:right="37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option vested with respect to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on March 16, 2018 and vests as to an additional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each month thereafter through February 16, 2022, subject to continued employment through each applicable vesting date.</w:t>
      </w:r>
    </w:p>
    <w:p>
      <w:pPr>
        <w:spacing w:after="0" w:line="54" w:lineRule="exact"/>
        <w:rPr>
          <w:rFonts w:ascii="Times New Roman" w:cs="Times New Roman" w:eastAsia="Times New Roman" w:hAnsi="Times New Roman"/>
          <w:sz w:val="14"/>
          <w:szCs w:val="14"/>
          <w:color w:val="auto"/>
        </w:rPr>
      </w:pPr>
    </w:p>
    <w:p>
      <w:pPr>
        <w:jc w:val="both"/>
        <w:ind w:left="360" w:right="59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option vests with respect to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on April 1, 2019 and vests as to an additional 1/48 </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shares underlying the option each month thereafter through March 1, 2023, subject to continued employment through each applicable vesting date.</w:t>
      </w:r>
    </w:p>
    <w:p>
      <w:pPr>
        <w:spacing w:after="0" w:line="54" w:lineRule="exact"/>
        <w:rPr>
          <w:rFonts w:ascii="Times New Roman" w:cs="Times New Roman" w:eastAsia="Times New Roman" w:hAnsi="Times New Roman"/>
          <w:sz w:val="14"/>
          <w:szCs w:val="14"/>
          <w:color w:val="auto"/>
        </w:rPr>
      </w:pPr>
    </w:p>
    <w:p>
      <w:pPr>
        <w:ind w:left="360" w:right="67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RSU vests in four equal installments on each of March 1, 2020, 2021, 2022 and 2023, subject to continued employment through each applicable vesting date.</w:t>
      </w:r>
    </w:p>
    <w:p>
      <w:pPr>
        <w:spacing w:after="0" w:line="54" w:lineRule="exact"/>
        <w:rPr>
          <w:rFonts w:ascii="Times New Roman" w:cs="Times New Roman" w:eastAsia="Times New Roman" w:hAnsi="Times New Roman"/>
          <w:sz w:val="14"/>
          <w:szCs w:val="14"/>
          <w:color w:val="auto"/>
        </w:rPr>
      </w:pPr>
    </w:p>
    <w:p>
      <w:pPr>
        <w:ind w:left="360" w:right="33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with respect to 25% of the shares underlying the option on January 5, 2017 and vested as to an additional 1/48th of the shares underlying the option each month thereafter through January 5, 2020, subject to continued employment through each applicable vesting date.</w:t>
      </w:r>
    </w:p>
    <w:p>
      <w:pPr>
        <w:spacing w:after="0" w:line="54" w:lineRule="exact"/>
        <w:rPr>
          <w:rFonts w:ascii="Times New Roman" w:cs="Times New Roman" w:eastAsia="Times New Roman" w:hAnsi="Times New Roman"/>
          <w:sz w:val="14"/>
          <w:szCs w:val="14"/>
          <w:color w:val="auto"/>
        </w:rPr>
      </w:pPr>
    </w:p>
    <w:p>
      <w:pPr>
        <w:ind w:left="360" w:right="239" w:hanging="316"/>
        <w:spacing w:after="0" w:line="261" w:lineRule="auto"/>
        <w:tabs>
          <w:tab w:leader="none" w:pos="3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option vested with respect to 25% of the shares underlying the option on September 6, 2017 and vests as to an additional 1/48th of the shares underlying the option each month thereafter through September 6, 2020, subject to continued employment through each applicable vesting date.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right="119" w:hanging="316"/>
        <w:spacing w:after="0" w:line="261" w:lineRule="auto"/>
        <w:tabs>
          <w:tab w:leader="none" w:pos="3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based on a price of $80.11 per share, which was the closing price of our common stock as reported on the Nasdaq Global Select Market on December 31, 2019, the last trading day of the year.</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Option Exercises and Stock Vested</w:t>
      </w:r>
    </w:p>
    <w:p>
      <w:pPr>
        <w:spacing w:after="0" w:line="129" w:lineRule="exact"/>
        <w:rPr>
          <w:sz w:val="20"/>
          <w:szCs w:val="20"/>
          <w:color w:val="auto"/>
        </w:rPr>
      </w:pPr>
    </w:p>
    <w:p>
      <w:pPr>
        <w:ind w:left="40" w:right="239"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sets forth information concerning option exercises and the vesting of RSU awards for each of our named executive officers during the fiscal year ended December 31, 2019:</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4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0" w:type="dxa"/>
            <w:vAlign w:val="bottom"/>
          </w:tcPr>
          <w:p>
            <w:pPr>
              <w:spacing w:after="0"/>
              <w:rPr>
                <w:sz w:val="1"/>
                <w:szCs w:val="1"/>
                <w:color w:val="auto"/>
              </w:rPr>
            </w:pPr>
          </w:p>
        </w:tc>
      </w:tr>
      <w:tr>
        <w:trPr>
          <w:trHeight w:val="173"/>
        </w:trPr>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8,206,810</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Landsittel</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Anthony L. Boral, M.D., Ph.D.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30,000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2,243,404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Kathryn Haviland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45,253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3,109,211</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60" w:right="79" w:hanging="316"/>
        <w:spacing w:after="0" w:line="241" w:lineRule="auto"/>
        <w:tabs>
          <w:tab w:leader="none" w:pos="3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when the stock options were exercised represents (i) the excess of the closing price of a share of our common stock as reported on the Nasdaq Global Select Market on the date of exercise over the per share exercise price of the stock option, multiplied by (ii) the number of option shares exercised.</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Employment, Severance and Change-in-Control Arrangements</w:t>
      </w:r>
    </w:p>
    <w:p>
      <w:pPr>
        <w:spacing w:after="0" w:line="129" w:lineRule="exact"/>
        <w:rPr>
          <w:sz w:val="20"/>
          <w:szCs w:val="20"/>
          <w:color w:val="auto"/>
        </w:rPr>
      </w:pPr>
    </w:p>
    <w:p>
      <w:pPr>
        <w:ind w:left="40" w:right="119" w:firstLine="648"/>
        <w:spacing w:after="0" w:line="267"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in connection with their employment with us. These employment agreements provide for “at will” employment. Such employment agreements established the named executive officer’s title, initial compensation arrangements and eligibility to participate in the employee benefit plans generally available to full-time employees, subject to the terms of those plans. We have also agreed to provide the following benefits under the employment agreements with each of our named executive officers, including certain severance payments and benefits in connection with a change-in-control. We believe that reasonable and competitive change-in-control payments and benefits are an important part of an executive compensation program to attract and retain senior executives. We also believe such payments and benefits are in the best interests of our stockholders because they incentivize senior executives to continue to strive to achieve stockholder value in connection with change-in-control situations, particularly where the possibility of a change-in-control and the related uncertainty may lead to the departure or distraction of senior executives to the detriment of our company and our stockholders.</w:t>
      </w:r>
    </w:p>
    <w:p>
      <w:pPr>
        <w:spacing w:after="0" w:line="82" w:lineRule="exact"/>
        <w:rPr>
          <w:sz w:val="20"/>
          <w:szCs w:val="20"/>
          <w:color w:val="auto"/>
        </w:rPr>
      </w:pPr>
    </w:p>
    <w:p>
      <w:pPr>
        <w:ind w:left="40" w:right="99" w:firstLine="648"/>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Jeffrey W. Albers, Chief Executive Officer. </w:t>
      </w:r>
      <w:r>
        <w:rPr>
          <w:rFonts w:ascii="Times New Roman" w:cs="Times New Roman" w:eastAsia="Times New Roman" w:hAnsi="Times New Roman"/>
          <w:sz w:val="16"/>
          <w:szCs w:val="16"/>
          <w:color w:val="auto"/>
        </w:rPr>
        <w:t>Under the employment agreement with Mr. Albers, our chief executive officer, if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Mr. Albers’ employment is terminated by us without cause (as defined in his employment agreement) or by Mr. Albers for good reason (as defined in his employment agreement), and subject to Mr. Albers’ execution of a release of potential claims against us, Mr. Albers will be entitled to receive: (i) a lump sum in cash in an amount equal to 12 months of base salary then in effect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 (ii) a monthly cash payment for 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80" w:lineRule="exact"/>
        <w:rPr>
          <w:sz w:val="20"/>
          <w:szCs w:val="20"/>
          <w:color w:val="auto"/>
        </w:rPr>
      </w:pPr>
    </w:p>
    <w:p>
      <w:pPr>
        <w:ind w:left="40" w:right="59" w:firstLine="648"/>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Named Executive Officers Other Than Chief Executive Officer. </w:t>
      </w:r>
      <w:r>
        <w:rPr>
          <w:rFonts w:ascii="Times New Roman" w:cs="Times New Roman" w:eastAsia="Times New Roman" w:hAnsi="Times New Roman"/>
          <w:sz w:val="16"/>
          <w:szCs w:val="16"/>
          <w:color w:val="auto"/>
        </w:rPr>
        <w:t>Under the employment agreements with each of our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named executive officers, if the executive officer’s employment is terminated by us without cause (as defined in his or her employment agreement) or by the executive officer for good reason (as defined in his or her employment agreement), and subject to the executive officer’s execution of a release of potential claims against us, the executive officer will be entitled to receive: (i) a lump sum in cash in an amount equal to 12 months of base salary and (ii) a monthly cash payment for 12 months for medical and dental benefits or the executive officer’s COBRA health continuation period, whichever ends earlier. However, in the event that the executive officer’s employment is terminated by us without cause, or the executive officer terminates his or her employment with us for good reason, in either case within 12 months following the occurrence of a sale event (as defined in his or her employment agreement), in lieu of the severance payments and benefits described in the preceding sentence and subject to the executive officer’s execution of a release of potential claims against us, the executive officer will be entitled to receive: (i) a lump sum in cash in an amount equal to the sum of 12 months of the executive officer’s base salary then in effect plus the executive officer’s target annual incentive compensation for the year in which the termination occurs, (ii) a monthly cash payment for 12 months for medical and dental benefits or the executive officer’s COBRA health continuation period, whichever ends earlier, and (iii) full and immediate vesting and exercisability of all time-based stock options and other time-based stock-based awards held by the executive officer.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Potential Payments Upon Termination or Change-in-Control</w:t>
      </w:r>
    </w:p>
    <w:p>
      <w:pPr>
        <w:spacing w:after="0" w:line="131" w:lineRule="exact"/>
        <w:rPr>
          <w:sz w:val="20"/>
          <w:szCs w:val="20"/>
          <w:color w:val="auto"/>
        </w:rPr>
      </w:pPr>
    </w:p>
    <w:p>
      <w:pPr>
        <w:ind w:left="40" w:right="139" w:firstLine="648"/>
        <w:spacing w:after="0" w:line="267" w:lineRule="auto"/>
        <w:rPr>
          <w:sz w:val="20"/>
          <w:szCs w:val="20"/>
          <w:color w:val="auto"/>
        </w:rPr>
      </w:pPr>
      <w:r>
        <w:rPr>
          <w:rFonts w:ascii="Times New Roman" w:cs="Times New Roman" w:eastAsia="Times New Roman" w:hAnsi="Times New Roman"/>
          <w:sz w:val="16"/>
          <w:szCs w:val="16"/>
          <w:color w:val="auto"/>
        </w:rPr>
        <w:t>The amount of compensation and benefits payable to each named executive officer under our current employment agreements in various termination and/or change-in-control situations has been estimated in the table below, which assumes that such termination and/or change-in-control occurred on December 31, 2019 and that no noncompetition provisions will be enforced following any such termination. The value of the equity vesting acceleration was calculated based on the assumption that the change-in-control and/or executive’s employment termination occurred on December 31, 2019, the last business day of the fiscal year ended December 31, 2019. For purposes of the following table, we have used $80.11 per share, which was the closing price of our common stock on the Nasdaq Global Select Market as of December 31, 2019, the last trading day of 2019, to estimate the value of our common stock upon acceleration. The value of the option vesting acceleration was calculated by multiplying the number of unvested shares underlying stock options subject to vesting acceleration as of December 31, 2019 by the difference between the closing price of our common stock as reported on the Nasdaq Global Select Market on December 31, 2019 and the exercise price for such unvested stock options.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Resignation for Good</w:t>
            </w: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Resignation for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Reason or Termination</w:t>
            </w:r>
          </w:p>
        </w:tc>
        <w:tc>
          <w:tcPr>
            <w:tcW w:w="2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 Event Without</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Before</w:t>
            </w:r>
          </w:p>
        </w:tc>
        <w:tc>
          <w:tcPr>
            <w:tcW w:w="2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 More Than 12</w:t>
            </w:r>
          </w:p>
        </w:tc>
        <w:tc>
          <w:tcPr>
            <w:tcW w:w="2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Within 12 Months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Months Following a</w:t>
            </w:r>
          </w:p>
        </w:tc>
        <w:tc>
          <w:tcPr>
            <w:tcW w:w="2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Following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Employment ($)</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Sale Event ($)</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Sale Event ($)</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Jeffrey W. Albers</w:t>
            </w:r>
          </w:p>
        </w:tc>
        <w:tc>
          <w:tcPr>
            <w:tcW w:w="180" w:type="dxa"/>
            <w:vAlign w:val="bottom"/>
            <w:tcBorders>
              <w:top w:val="single" w:sz="8" w:color="CCEEFF"/>
            </w:tcBorders>
            <w:shd w:val="clear" w:color="auto" w:fill="CCEEFF"/>
          </w:tcPr>
          <w:p>
            <w:pPr>
              <w:spacing w:after="0"/>
              <w:rPr>
                <w:sz w:val="12"/>
                <w:szCs w:val="12"/>
                <w:color w:val="auto"/>
              </w:rPr>
            </w:pPr>
          </w:p>
        </w:tc>
        <w:tc>
          <w:tcPr>
            <w:tcW w:w="22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Severance payments</w:t>
            </w:r>
          </w:p>
        </w:tc>
        <w:tc>
          <w:tcPr>
            <w:tcW w:w="1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ind w:left="1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590,000</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(1)</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885,000</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incentive payments</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531,000</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21,394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32,091</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Acceleration of equity award vesting</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4,947,737</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bottom w:val="single" w:sz="8" w:color="CCEEFF"/>
            </w:tcBorders>
            <w:shd w:val="clear" w:color="auto" w:fill="CCEEFF"/>
          </w:tcPr>
          <w:p>
            <w:pPr>
              <w:spacing w:after="0"/>
              <w:rPr>
                <w:sz w:val="14"/>
                <w:szCs w:val="14"/>
                <w:color w:val="auto"/>
              </w:rPr>
            </w:pPr>
          </w:p>
        </w:tc>
        <w:tc>
          <w:tcPr>
            <w:tcW w:w="2560" w:type="dxa"/>
            <w:vAlign w:val="bottom"/>
            <w:tcBorders>
              <w:top w:val="single" w:sz="8" w:color="CCEEFF"/>
              <w:bottom w:val="single" w:sz="8" w:color="CCEEFF"/>
            </w:tcBorders>
            <w:gridSpan w:val="4"/>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shd w:val="clear" w:color="auto" w:fill="CCEEFF"/>
          </w:tcPr>
          <w:p>
            <w:pPr>
              <w:ind w:left="1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611,394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6,395,828</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Michael Landsittel</w:t>
            </w:r>
          </w:p>
        </w:tc>
        <w:tc>
          <w:tcPr>
            <w:tcW w:w="2560" w:type="dxa"/>
            <w:vAlign w:val="bottom"/>
            <w:gridSpan w:val="4"/>
          </w:tcPr>
          <w:p>
            <w:pPr>
              <w:ind w:left="180"/>
              <w:spacing w:after="0" w:line="136" w:lineRule="exact"/>
              <w:rPr>
                <w:sz w:val="20"/>
                <w:szCs w:val="20"/>
                <w:color w:val="auto"/>
              </w:rPr>
            </w:pPr>
            <w:r>
              <w:rPr>
                <w:rFonts w:ascii="Times New Roman" w:cs="Times New Roman" w:eastAsia="Times New Roman" w:hAnsi="Times New Roman"/>
                <w:sz w:val="14"/>
                <w:szCs w:val="14"/>
                <w:color w:val="auto"/>
              </w:rPr>
              <w:t>Severance payments</w:t>
            </w:r>
          </w:p>
        </w:tc>
        <w:tc>
          <w:tcPr>
            <w:tcW w:w="1240" w:type="dxa"/>
            <w:vAlign w:val="bottom"/>
          </w:tcPr>
          <w:p>
            <w:pPr>
              <w:ind w:left="11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345,000</w:t>
            </w:r>
          </w:p>
        </w:tc>
        <w:tc>
          <w:tcPr>
            <w:tcW w:w="20" w:type="dxa"/>
            <w:vAlign w:val="bottom"/>
          </w:tcPr>
          <w:p>
            <w:pPr>
              <w:spacing w:after="0"/>
              <w:rPr>
                <w:sz w:val="11"/>
                <w:szCs w:val="11"/>
                <w:color w:val="auto"/>
              </w:rPr>
            </w:pPr>
          </w:p>
        </w:tc>
        <w:tc>
          <w:tcPr>
            <w:tcW w:w="2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7"/>
              </w:rPr>
              <w:t>(1)</w:t>
            </w:r>
          </w:p>
        </w:tc>
        <w:tc>
          <w:tcPr>
            <w:tcW w:w="11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345,000</w:t>
            </w:r>
          </w:p>
        </w:tc>
        <w:tc>
          <w:tcPr>
            <w:tcW w:w="20" w:type="dxa"/>
            <w:vAlign w:val="bottom"/>
          </w:tcPr>
          <w:p>
            <w:pPr>
              <w:spacing w:after="0"/>
              <w:rPr>
                <w:sz w:val="11"/>
                <w:szCs w:val="11"/>
                <w:color w:val="auto"/>
              </w:rPr>
            </w:pP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incentive payments</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120,750</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21,394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21,394</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Acceleration of equity award vesting</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704,770</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149"/>
        </w:trPr>
        <w:tc>
          <w:tcPr>
            <w:tcW w:w="184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tcPr>
          <w:p>
            <w:pPr>
              <w:ind w:left="1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366,394</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1,191,914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Anthony L. Boral, M.D., Ph.D.</w:t>
            </w: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Severance payments</w:t>
            </w:r>
          </w:p>
        </w:tc>
        <w:tc>
          <w:tcPr>
            <w:tcW w:w="1240" w:type="dxa"/>
            <w:vAlign w:val="bottom"/>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460,864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460,864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incentive payments</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184,345</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20,979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20,979</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Acceleration of equity award vesting</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1,247,579</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bottom w:val="single" w:sz="8" w:color="CCEEFF"/>
            </w:tcBorders>
            <w:shd w:val="clear" w:color="auto" w:fill="CCEEFF"/>
          </w:tcPr>
          <w:p>
            <w:pPr>
              <w:spacing w:after="0"/>
              <w:rPr>
                <w:sz w:val="14"/>
                <w:szCs w:val="14"/>
                <w:color w:val="auto"/>
              </w:rPr>
            </w:pPr>
          </w:p>
        </w:tc>
        <w:tc>
          <w:tcPr>
            <w:tcW w:w="2560" w:type="dxa"/>
            <w:vAlign w:val="bottom"/>
            <w:tcBorders>
              <w:top w:val="single" w:sz="8" w:color="CCEEFF"/>
              <w:bottom w:val="single" w:sz="8" w:color="CCEEFF"/>
            </w:tcBorders>
            <w:gridSpan w:val="4"/>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shd w:val="clear" w:color="auto" w:fill="CCEEFF"/>
          </w:tcPr>
          <w:p>
            <w:pPr>
              <w:ind w:left="1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481,843</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1,913,767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Kathryn Haviland</w:t>
            </w:r>
          </w:p>
        </w:tc>
        <w:tc>
          <w:tcPr>
            <w:tcW w:w="2560" w:type="dxa"/>
            <w:vAlign w:val="bottom"/>
            <w:gridSpan w:val="4"/>
          </w:tcPr>
          <w:p>
            <w:pPr>
              <w:ind w:left="180"/>
              <w:spacing w:after="0" w:line="136" w:lineRule="exact"/>
              <w:rPr>
                <w:sz w:val="20"/>
                <w:szCs w:val="20"/>
                <w:color w:val="auto"/>
              </w:rPr>
            </w:pPr>
            <w:r>
              <w:rPr>
                <w:rFonts w:ascii="Times New Roman" w:cs="Times New Roman" w:eastAsia="Times New Roman" w:hAnsi="Times New Roman"/>
                <w:sz w:val="14"/>
                <w:szCs w:val="14"/>
                <w:color w:val="auto"/>
              </w:rPr>
              <w:t>Severance payments</w:t>
            </w:r>
          </w:p>
        </w:tc>
        <w:tc>
          <w:tcPr>
            <w:tcW w:w="1240" w:type="dxa"/>
            <w:vAlign w:val="bottom"/>
          </w:tcPr>
          <w:p>
            <w:pPr>
              <w:ind w:left="110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1"/>
                <w:szCs w:val="11"/>
                <w:color w:val="auto"/>
              </w:rPr>
            </w:pPr>
          </w:p>
        </w:tc>
        <w:tc>
          <w:tcPr>
            <w:tcW w:w="1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431,830</w:t>
            </w:r>
          </w:p>
        </w:tc>
        <w:tc>
          <w:tcPr>
            <w:tcW w:w="20" w:type="dxa"/>
            <w:vAlign w:val="bottom"/>
          </w:tcPr>
          <w:p>
            <w:pPr>
              <w:spacing w:after="0"/>
              <w:rPr>
                <w:sz w:val="11"/>
                <w:szCs w:val="11"/>
                <w:color w:val="auto"/>
              </w:rPr>
            </w:pPr>
          </w:p>
        </w:tc>
        <w:tc>
          <w:tcPr>
            <w:tcW w:w="2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7"/>
              </w:rPr>
              <w:t>(1)</w:t>
            </w:r>
          </w:p>
        </w:tc>
        <w:tc>
          <w:tcPr>
            <w:tcW w:w="11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431,830</w:t>
            </w:r>
          </w:p>
        </w:tc>
        <w:tc>
          <w:tcPr>
            <w:tcW w:w="20" w:type="dxa"/>
            <w:vAlign w:val="bottom"/>
          </w:tcPr>
          <w:p>
            <w:pPr>
              <w:spacing w:after="0"/>
              <w:rPr>
                <w:sz w:val="11"/>
                <w:szCs w:val="11"/>
                <w:color w:val="auto"/>
              </w:rPr>
            </w:pP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incentive payments</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172,732</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20,979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20,979</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Acceleration of equity award vesting</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1,348,160</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149"/>
        </w:trPr>
        <w:tc>
          <w:tcPr>
            <w:tcW w:w="184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tcPr>
          <w:p>
            <w:pPr>
              <w:ind w:left="1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452,809</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1,973,701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Tracey L. McCain, Esq.</w:t>
            </w: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Severance payments</w:t>
            </w:r>
          </w:p>
        </w:tc>
        <w:tc>
          <w:tcPr>
            <w:tcW w:w="1240" w:type="dxa"/>
            <w:vAlign w:val="bottom"/>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437,972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1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437,972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 incentive payments</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175,189</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(7)</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rPr>
                <w:sz w:val="12"/>
                <w:szCs w:val="12"/>
                <w:color w:val="auto"/>
              </w:rPr>
            </w:pPr>
          </w:p>
        </w:tc>
        <w:tc>
          <w:tcPr>
            <w:tcW w:w="2560" w:type="dxa"/>
            <w:vAlign w:val="bottom"/>
            <w:gridSpan w:val="4"/>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Health care continuation</w:t>
            </w:r>
          </w:p>
        </w:tc>
        <w:tc>
          <w:tcPr>
            <w:tcW w:w="1420" w:type="dxa"/>
            <w:vAlign w:val="bottom"/>
            <w:gridSpan w:val="2"/>
            <w:shd w:val="clear" w:color="auto" w:fill="CCEEFF"/>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21,394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1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21,394</w:t>
            </w: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256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color w:val="auto"/>
              </w:rPr>
              <w:t>Acceleration of equity award vesting</w:t>
            </w:r>
          </w:p>
        </w:tc>
        <w:tc>
          <w:tcPr>
            <w:tcW w:w="142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1,679,482</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149"/>
        </w:trPr>
        <w:tc>
          <w:tcPr>
            <w:tcW w:w="1840" w:type="dxa"/>
            <w:vAlign w:val="bottom"/>
            <w:tcBorders>
              <w:top w:val="single" w:sz="8" w:color="CCEEFF"/>
              <w:bottom w:val="single" w:sz="8" w:color="CCEEFF"/>
            </w:tcBorders>
            <w:shd w:val="clear" w:color="auto" w:fill="CCEEFF"/>
          </w:tcPr>
          <w:p>
            <w:pPr>
              <w:spacing w:after="0"/>
              <w:rPr>
                <w:sz w:val="12"/>
                <w:szCs w:val="12"/>
                <w:color w:val="auto"/>
              </w:rPr>
            </w:pPr>
          </w:p>
        </w:tc>
        <w:tc>
          <w:tcPr>
            <w:tcW w:w="2560" w:type="dxa"/>
            <w:vAlign w:val="bottom"/>
            <w:tcBorders>
              <w:top w:val="single" w:sz="8" w:color="CCEEFF"/>
              <w:bottom w:val="single" w:sz="8" w:color="CCEEFF"/>
            </w:tcBorders>
            <w:gridSpan w:val="4"/>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shd w:val="clear" w:color="auto" w:fill="CCEEFF"/>
          </w:tcPr>
          <w:p>
            <w:pPr>
              <w:ind w:left="1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459,366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2,314,037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hanging="316"/>
        <w:spacing w:after="0"/>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lump sum in cash in an amount equal to 12 months of the named executive officer’s base salary in effect as of December 31, 2019.</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lump sum in cash in an amount equal to 18 months of Mr. Albers’ base salary in effect as of December 31, 2019.</w:t>
      </w:r>
    </w:p>
    <w:p>
      <w:pPr>
        <w:spacing w:after="0" w:line="95" w:lineRule="exact"/>
        <w:rPr>
          <w:rFonts w:ascii="Times New Roman" w:cs="Times New Roman" w:eastAsia="Times New Roman" w:hAnsi="Times New Roman"/>
          <w:sz w:val="14"/>
          <w:szCs w:val="14"/>
          <w:color w:val="auto"/>
        </w:rPr>
      </w:pPr>
    </w:p>
    <w:p>
      <w:pPr>
        <w:ind w:left="360" w:right="279" w:hanging="316"/>
        <w:spacing w:after="0" w:line="261" w:lineRule="auto"/>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lump sum in cash in an amount equal to one-and-one half times Mr. Albers’ target annual incentive compensation for the year ended December 31, 2019.</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monthly cash payment for 12 months for continued medical and dental benefits for the named executive officer.</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monthly cash payment for 18 months for continued medical and dental benefits for Mr. Albers.</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acceleration of vesting as to 100% of the unvested equity awards held by the named executive officer.</w:t>
      </w:r>
    </w:p>
    <w:p>
      <w:pPr>
        <w:spacing w:after="0" w:line="95" w:lineRule="exact"/>
        <w:rPr>
          <w:rFonts w:ascii="Times New Roman" w:cs="Times New Roman" w:eastAsia="Times New Roman" w:hAnsi="Times New Roman"/>
          <w:sz w:val="14"/>
          <w:szCs w:val="14"/>
          <w:color w:val="auto"/>
        </w:rPr>
      </w:pPr>
    </w:p>
    <w:p>
      <w:pPr>
        <w:ind w:left="360" w:right="379" w:hanging="316"/>
        <w:spacing w:after="0" w:line="261" w:lineRule="auto"/>
        <w:tabs>
          <w:tab w:leader="none" w:pos="3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lump sum in cash in an amount equal to one times the named executive officer’s target annual incentive compensation for the year ended December 31, 2019.</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Other Agreements</w:t>
      </w:r>
    </w:p>
    <w:p>
      <w:pPr>
        <w:spacing w:after="0" w:line="129" w:lineRule="exact"/>
        <w:rPr>
          <w:sz w:val="20"/>
          <w:szCs w:val="20"/>
          <w:color w:val="auto"/>
        </w:rPr>
      </w:pPr>
    </w:p>
    <w:p>
      <w:pPr>
        <w:ind w:left="40" w:right="139" w:firstLine="648"/>
        <w:spacing w:after="0" w:line="271" w:lineRule="auto"/>
        <w:rPr>
          <w:sz w:val="20"/>
          <w:szCs w:val="20"/>
          <w:color w:val="auto"/>
        </w:rPr>
      </w:pPr>
      <w:r>
        <w:rPr>
          <w:rFonts w:ascii="Times New Roman" w:cs="Times New Roman" w:eastAsia="Times New Roman" w:hAnsi="Times New Roman"/>
          <w:sz w:val="16"/>
          <w:szCs w:val="16"/>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subject to specified terms and conditions and provisions required by law, the named executive officer will not compete with us and will not solicit our employees, consultants, customers or suppliers.</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w:t>
      </w:r>
    </w:p>
    <w:p>
      <w:pPr>
        <w:spacing w:after="0" w:line="129" w:lineRule="exact"/>
        <w:rPr>
          <w:sz w:val="20"/>
          <w:szCs w:val="20"/>
          <w:color w:val="auto"/>
        </w:rPr>
      </w:pPr>
    </w:p>
    <w:p>
      <w:pPr>
        <w:ind w:left="40" w:right="139" w:firstLine="648"/>
        <w:spacing w:after="0" w:line="267" w:lineRule="auto"/>
        <w:rPr>
          <w:sz w:val="20"/>
          <w:szCs w:val="20"/>
          <w:color w:val="auto"/>
        </w:rPr>
      </w:pPr>
      <w:r>
        <w:rPr>
          <w:rFonts w:ascii="Times New Roman" w:cs="Times New Roman" w:eastAsia="Times New Roman" w:hAnsi="Times New Roman"/>
          <w:sz w:val="16"/>
          <w:szCs w:val="16"/>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84" w:lineRule="exact"/>
        <w:rPr>
          <w:sz w:val="20"/>
          <w:szCs w:val="20"/>
          <w:color w:val="auto"/>
        </w:rPr>
      </w:pPr>
    </w:p>
    <w:p>
      <w:pPr>
        <w:ind w:left="40" w:right="59" w:firstLine="648"/>
        <w:spacing w:after="0" w:line="266" w:lineRule="auto"/>
        <w:rPr>
          <w:sz w:val="20"/>
          <w:szCs w:val="20"/>
          <w:color w:val="auto"/>
        </w:rPr>
      </w:pPr>
      <w:r>
        <w:rPr>
          <w:rFonts w:ascii="Times New Roman" w:cs="Times New Roman" w:eastAsia="Times New Roman" w:hAnsi="Times New Roman"/>
          <w:sz w:val="16"/>
          <w:szCs w:val="16"/>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84" w:lineRule="exact"/>
        <w:rPr>
          <w:sz w:val="20"/>
          <w:szCs w:val="20"/>
          <w:color w:val="auto"/>
        </w:rPr>
      </w:pPr>
    </w:p>
    <w:p>
      <w:pPr>
        <w:ind w:left="40" w:right="439" w:firstLine="648"/>
        <w:spacing w:after="0" w:line="281"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69" w:lineRule="exact"/>
        <w:rPr>
          <w:sz w:val="20"/>
          <w:szCs w:val="20"/>
          <w:color w:val="auto"/>
        </w:rPr>
      </w:pPr>
    </w:p>
    <w:p>
      <w:pPr>
        <w:ind w:left="40" w:right="219" w:firstLine="648"/>
        <w:spacing w:after="0" w:line="298" w:lineRule="auto"/>
        <w:rPr>
          <w:sz w:val="20"/>
          <w:szCs w:val="20"/>
          <w:color w:val="auto"/>
        </w:rPr>
      </w:pPr>
      <w:r>
        <w:rPr>
          <w:rFonts w:ascii="Times New Roman" w:cs="Times New Roman" w:eastAsia="Times New Roman" w:hAnsi="Times New Roman"/>
          <w:sz w:val="16"/>
          <w:szCs w:val="16"/>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56" w:lineRule="exact"/>
        <w:rPr>
          <w:sz w:val="20"/>
          <w:szCs w:val="20"/>
          <w:color w:val="auto"/>
        </w:rPr>
      </w:pPr>
    </w:p>
    <w:p>
      <w:pPr>
        <w:ind w:left="40" w:right="339" w:firstLine="648"/>
        <w:spacing w:after="0" w:line="298" w:lineRule="auto"/>
        <w:rPr>
          <w:sz w:val="20"/>
          <w:szCs w:val="20"/>
          <w:color w:val="auto"/>
        </w:rPr>
      </w:pPr>
      <w:r>
        <w:rPr>
          <w:rFonts w:ascii="Times New Roman" w:cs="Times New Roman" w:eastAsia="Times New Roman" w:hAnsi="Times New Roman"/>
          <w:sz w:val="16"/>
          <w:szCs w:val="16"/>
          <w:color w:val="auto"/>
        </w:rPr>
        <w:t>Certain of our non-employee directors may, through their relationships with their employers, be insured and/or indemnified against certain liabilities incurred in their capacity as members of our board of directors.</w:t>
      </w:r>
    </w:p>
    <w:p>
      <w:pPr>
        <w:spacing w:after="0" w:line="56" w:lineRule="exact"/>
        <w:rPr>
          <w:sz w:val="20"/>
          <w:szCs w:val="20"/>
          <w:color w:val="auto"/>
        </w:rPr>
      </w:pPr>
    </w:p>
    <w:p>
      <w:pPr>
        <w:ind w:left="40" w:right="99" w:firstLine="648"/>
        <w:spacing w:after="0" w:line="275" w:lineRule="auto"/>
        <w:rPr>
          <w:sz w:val="20"/>
          <w:szCs w:val="20"/>
          <w:color w:val="auto"/>
        </w:rPr>
      </w:pPr>
      <w:r>
        <w:rPr>
          <w:rFonts w:ascii="Times New Roman" w:cs="Times New Roman" w:eastAsia="Times New Roman" w:hAnsi="Times New Roman"/>
          <w:sz w:val="16"/>
          <w:szCs w:val="16"/>
          <w:color w:val="auto"/>
        </w:rPr>
        <w:t>We believe that these provisions and agreements are necessary to attract and retain qualified persons as directors and executive officers. Insofar as indemnification for liabilities arising under the Securities Act of 1933, as amended, or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29" w:lineRule="exact"/>
        <w:rPr>
          <w:sz w:val="20"/>
          <w:szCs w:val="20"/>
          <w:color w:val="auto"/>
        </w:rPr>
      </w:pPr>
    </w:p>
    <w:p>
      <w:pPr>
        <w:jc w:val="both"/>
        <w:ind w:left="40" w:right="179" w:firstLine="648"/>
        <w:spacing w:after="0" w:line="272" w:lineRule="auto"/>
        <w:rPr>
          <w:sz w:val="20"/>
          <w:szCs w:val="20"/>
          <w:color w:val="auto"/>
        </w:rPr>
      </w:pPr>
      <w:r>
        <w:rPr>
          <w:rFonts w:ascii="Times New Roman" w:cs="Times New Roman" w:eastAsia="Times New Roman" w:hAnsi="Times New Roman"/>
          <w:sz w:val="16"/>
          <w:szCs w:val="16"/>
          <w:color w:val="auto"/>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an officer or employee of our company, and none of the members of our compensation committee has ever been an officer or employee of our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1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compensation committee has reviewed and discussed the Compensation Discussion and Analysis required by</w:t>
      </w:r>
    </w:p>
    <w:p>
      <w:pPr>
        <w:spacing w:after="0" w:line="26" w:lineRule="exact"/>
        <w:rPr>
          <w:sz w:val="20"/>
          <w:szCs w:val="20"/>
          <w:color w:val="auto"/>
        </w:rPr>
      </w:pPr>
    </w:p>
    <w:p>
      <w:pPr>
        <w:ind w:left="40" w:right="199"/>
        <w:spacing w:after="0" w:line="288" w:lineRule="auto"/>
        <w:rPr>
          <w:sz w:val="20"/>
          <w:szCs w:val="20"/>
          <w:color w:val="auto"/>
        </w:rPr>
      </w:pPr>
      <w:r>
        <w:rPr>
          <w:rFonts w:ascii="Times New Roman" w:cs="Times New Roman" w:eastAsia="Times New Roman" w:hAnsi="Times New Roman"/>
          <w:sz w:val="16"/>
          <w:szCs w:val="16"/>
          <w:color w:val="auto"/>
        </w:rPr>
        <w:t>Item 402(b) of Regulation S-K with our management. Based on this review and discussion, the compensation committee recommended to our board of directors that the Compensation Discussion and Analysis be included in this proxy statement.</w:t>
      </w:r>
    </w:p>
    <w:p>
      <w:pPr>
        <w:spacing w:after="0" w:line="64" w:lineRule="exact"/>
        <w:rPr>
          <w:sz w:val="20"/>
          <w:szCs w:val="20"/>
          <w:color w:val="auto"/>
        </w:rPr>
      </w:pPr>
    </w:p>
    <w:p>
      <w:pPr>
        <w:ind w:left="40" w:right="59" w:firstLine="648"/>
        <w:spacing w:after="0" w:line="272" w:lineRule="auto"/>
        <w:rPr>
          <w:sz w:val="20"/>
          <w:szCs w:val="20"/>
          <w:color w:val="auto"/>
        </w:rPr>
      </w:pPr>
      <w:r>
        <w:rPr>
          <w:rFonts w:ascii="Times New Roman" w:cs="Times New Roman" w:eastAsia="Times New Roman" w:hAnsi="Times New Roman"/>
          <w:sz w:val="16"/>
          <w:szCs w:val="16"/>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By the compensation committee of the board of directors of Blueprint Medicines Corporation.</w:t>
      </w:r>
    </w:p>
    <w:p>
      <w:pPr>
        <w:spacing w:after="0" w:line="1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Daniel S. Lynch (chair)</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Charles A. Rowland, Jr.</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Lynn Seely,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CEO PAY RATIO DISCLOSURE</w:t>
      </w:r>
    </w:p>
    <w:p>
      <w:pPr>
        <w:spacing w:after="0" w:line="129" w:lineRule="exact"/>
        <w:rPr>
          <w:sz w:val="20"/>
          <w:szCs w:val="20"/>
          <w:color w:val="auto"/>
        </w:rPr>
      </w:pPr>
    </w:p>
    <w:p>
      <w:pPr>
        <w:ind w:left="40" w:right="159" w:firstLine="648"/>
        <w:spacing w:after="0" w:line="271" w:lineRule="auto"/>
        <w:rPr>
          <w:sz w:val="20"/>
          <w:szCs w:val="20"/>
          <w:color w:val="auto"/>
        </w:rPr>
      </w:pPr>
      <w:r>
        <w:rPr>
          <w:rFonts w:ascii="Times New Roman" w:cs="Times New Roman" w:eastAsia="Times New Roman" w:hAnsi="Times New Roman"/>
          <w:sz w:val="16"/>
          <w:szCs w:val="16"/>
          <w:color w:val="auto"/>
        </w:rPr>
        <w:t>As required by Section 953(b) of the Dodd-Frank Wall Street Reform and Consumer Protection Act, or the Dodd-Frank Act, and Item 402(u) of Regulation S-K, we are providing the following information about the relationship of the total annual compensation of our employees and the total annual compensation of Jeffrey W. Albers, our chief executive officer. The pay ratio included in this information is a reasonable estimate calculated in a manner consistent with Item 402(u) of Regulation S-K. The pay ratio reported by other companies may not be comparable to the pay ratio reported below, as other companies have different employee populations and compensation practices and may use different methodologies, exclusions, estimates and assumptions in calculating their own pay ratios.</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Pay Ratio Disclosure</w:t>
      </w:r>
    </w:p>
    <w:p>
      <w:pPr>
        <w:spacing w:after="0" w:line="1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For 2019, our last completed fiscal year:</w:t>
      </w:r>
    </w:p>
    <w:p>
      <w:pPr>
        <w:spacing w:after="0" w:line="127" w:lineRule="exact"/>
        <w:rPr>
          <w:sz w:val="20"/>
          <w:szCs w:val="20"/>
          <w:color w:val="auto"/>
        </w:rPr>
      </w:pPr>
    </w:p>
    <w:p>
      <w:pPr>
        <w:ind w:left="1340" w:right="139" w:hanging="324"/>
        <w:spacing w:after="0" w:line="268"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total annual compensation of our median employee was $360,897, as determined in accordance with Item 402 of Regulation S-K; and</w:t>
      </w:r>
    </w:p>
    <w:p>
      <w:pPr>
        <w:spacing w:after="0" w:line="76" w:lineRule="exact"/>
        <w:rPr>
          <w:rFonts w:ascii="Times New Roman" w:cs="Times New Roman" w:eastAsia="Times New Roman" w:hAnsi="Times New Roman"/>
          <w:sz w:val="18"/>
          <w:szCs w:val="18"/>
          <w:color w:val="auto"/>
        </w:rPr>
      </w:pPr>
    </w:p>
    <w:p>
      <w:pPr>
        <w:ind w:left="1340" w:right="119" w:hanging="324"/>
        <w:spacing w:after="0" w:line="264"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total annual compensation of our chief executive officer, as determined in accordance with Item 402 of Regulation S-K and reported in the “Summary Compensation Table” included elsewhere in this proxy statement was $9,362,371.</w:t>
      </w:r>
    </w:p>
    <w:p>
      <w:pPr>
        <w:spacing w:after="0" w:line="83" w:lineRule="exact"/>
        <w:rPr>
          <w:sz w:val="20"/>
          <w:szCs w:val="20"/>
          <w:color w:val="auto"/>
        </w:rPr>
      </w:pPr>
    </w:p>
    <w:p>
      <w:pPr>
        <w:ind w:left="40" w:right="99" w:firstLine="648"/>
        <w:spacing w:after="0" w:line="298" w:lineRule="auto"/>
        <w:rPr>
          <w:sz w:val="20"/>
          <w:szCs w:val="20"/>
          <w:color w:val="auto"/>
        </w:rPr>
      </w:pPr>
      <w:r>
        <w:rPr>
          <w:rFonts w:ascii="Times New Roman" w:cs="Times New Roman" w:eastAsia="Times New Roman" w:hAnsi="Times New Roman"/>
          <w:sz w:val="16"/>
          <w:szCs w:val="16"/>
          <w:color w:val="auto"/>
        </w:rPr>
        <w:t>Based on this information, for 2019, the ratio of the total annual compensation of Mr. Albers, our chief executive officer, to the total annual compensation of our median employee was approximately 25.9 to 1.</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Methodology</w:t>
      </w:r>
    </w:p>
    <w:p>
      <w:pPr>
        <w:spacing w:after="0" w:line="129" w:lineRule="exact"/>
        <w:rPr>
          <w:sz w:val="20"/>
          <w:szCs w:val="20"/>
          <w:color w:val="auto"/>
        </w:rPr>
      </w:pPr>
    </w:p>
    <w:p>
      <w:pPr>
        <w:ind w:left="40" w:right="119" w:firstLine="648"/>
        <w:spacing w:after="0" w:line="298" w:lineRule="auto"/>
        <w:rPr>
          <w:sz w:val="20"/>
          <w:szCs w:val="20"/>
          <w:color w:val="auto"/>
        </w:rPr>
      </w:pPr>
      <w:r>
        <w:rPr>
          <w:rFonts w:ascii="Times New Roman" w:cs="Times New Roman" w:eastAsia="Times New Roman" w:hAnsi="Times New Roman"/>
          <w:sz w:val="16"/>
          <w:szCs w:val="16"/>
          <w:color w:val="auto"/>
        </w:rPr>
        <w:t>To identify the median employee, as well as to determine the total annual compensation of our median employee and our chief executive officer, we took the following steps:</w:t>
      </w:r>
    </w:p>
    <w:p>
      <w:pPr>
        <w:spacing w:after="0" w:line="56" w:lineRule="exact"/>
        <w:rPr>
          <w:sz w:val="20"/>
          <w:szCs w:val="20"/>
          <w:color w:val="auto"/>
        </w:rPr>
      </w:pPr>
    </w:p>
    <w:p>
      <w:pPr>
        <w:ind w:left="1340" w:right="619" w:hanging="324"/>
        <w:spacing w:after="0" w:line="264" w:lineRule="auto"/>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 determined that, as of December 31, 2019, our employee population consisted of 334 individuals. This population consisted of all full-time, part-time and temporary employees as of such date, excluding our chief executive officer.</w:t>
      </w:r>
    </w:p>
    <w:p>
      <w:pPr>
        <w:spacing w:after="0" w:line="83" w:lineRule="exact"/>
        <w:rPr>
          <w:rFonts w:ascii="Times New Roman" w:cs="Times New Roman" w:eastAsia="Times New Roman" w:hAnsi="Times New Roman"/>
          <w:sz w:val="18"/>
          <w:szCs w:val="18"/>
          <w:color w:val="auto"/>
        </w:rPr>
      </w:pPr>
    </w:p>
    <w:p>
      <w:pPr>
        <w:ind w:left="1340" w:right="139" w:hanging="324"/>
        <w:spacing w:after="0" w:line="264" w:lineRule="auto"/>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To identify the “median employee” from our employee population, for each employee we compared the amount of salary paid as of December 31, 2019, the bonus earned for 2019, employer contributions under our 401(k) plan for our U.S. employees and employer contributions under any defined contribution plan, if any, for our non-U.S. employees and the grant date fair value of stock options and RSUs awarded in 2019 as reflected in our human resources, payroll and equity award systems. In identifying the median employee, we included employees in non-U.S. countries. We included employer contributions under our 401(k) plan for our U.S. employees and employer contributions under any defined contribution plan, if any, for our non-U.S. employees. We did not make any cost-of-living adjustments and did not annualize compensation.</w:t>
      </w:r>
    </w:p>
    <w:p>
      <w:pPr>
        <w:spacing w:after="0" w:line="83" w:lineRule="exact"/>
        <w:rPr>
          <w:rFonts w:ascii="Times New Roman" w:cs="Times New Roman" w:eastAsia="Times New Roman" w:hAnsi="Times New Roman"/>
          <w:sz w:val="18"/>
          <w:szCs w:val="18"/>
          <w:color w:val="auto"/>
        </w:rPr>
      </w:pPr>
    </w:p>
    <w:p>
      <w:pPr>
        <w:ind w:left="1340" w:right="79" w:hanging="324"/>
        <w:spacing w:after="0" w:line="261" w:lineRule="auto"/>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Once we identified our median employee, we combined all of the elements of such employee’s compensation for 2019 in accordance with the requirements of Item 402 of Regulation S-K. Since we do not maintain a defined benefit or other actuarial plan for our employees, and we do not otherwise provide a plan for payments or other benefits at, following or in connection with retirement, our median employee’s total annual compensation did not include amounts attributable to these types of arrangements. We maintain a defined contribution plan for our Switzerland employees. As noted elsewhere in this proxy statement, we maintain a 401(k) plan that is intended to qualify under Section 401(k) of the Internal Revenue Code, and in general, all of our U.S. based employees, including our chief executive officer, are eligible to participate in the 401(k) plan. We currently match 50% of an employee’s</w:t>
      </w:r>
    </w:p>
    <w:p>
      <w:pPr>
        <w:spacing w:after="0" w:line="2" w:lineRule="exact"/>
        <w:rPr>
          <w:rFonts w:ascii="Times New Roman" w:cs="Times New Roman" w:eastAsia="Times New Roman" w:hAnsi="Times New Roman"/>
          <w:sz w:val="18"/>
          <w:szCs w:val="18"/>
          <w:color w:val="auto"/>
        </w:rPr>
      </w:pPr>
    </w:p>
    <w:p>
      <w:pPr>
        <w:ind w:left="1340" w:right="179"/>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401(k) contributions up to a maximum of 3% of the participant’s compensation, and any matching contributions are 100% vested immediately. Matching 401(k) contributions were included the median employee’s total annual compensation.</w:t>
      </w:r>
    </w:p>
    <w:p>
      <w:pPr>
        <w:spacing w:after="0" w:line="72" w:lineRule="exact"/>
        <w:rPr>
          <w:rFonts w:ascii="Times New Roman" w:cs="Times New Roman" w:eastAsia="Times New Roman" w:hAnsi="Times New Roman"/>
          <w:sz w:val="18"/>
          <w:szCs w:val="18"/>
          <w:color w:val="auto"/>
        </w:rPr>
      </w:pPr>
    </w:p>
    <w:p>
      <w:pPr>
        <w:ind w:left="1340" w:right="439" w:hanging="324"/>
        <w:spacing w:after="0" w:line="268" w:lineRule="auto"/>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With respect to the total annual compensation of our chief executive officer, we used the amount reported in the “Total” column of the “Summary Compensation Table” included elsewhere in this proxy statement.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29" w:lineRule="exact"/>
        <w:rPr>
          <w:sz w:val="20"/>
          <w:szCs w:val="20"/>
          <w:color w:val="auto"/>
        </w:rPr>
      </w:pPr>
    </w:p>
    <w:p>
      <w:pPr>
        <w:ind w:left="40" w:right="59" w:firstLine="648"/>
        <w:spacing w:after="0" w:line="275" w:lineRule="auto"/>
        <w:rPr>
          <w:sz w:val="20"/>
          <w:szCs w:val="20"/>
          <w:color w:val="auto"/>
        </w:rPr>
      </w:pPr>
      <w:r>
        <w:rPr>
          <w:rFonts w:ascii="Times New Roman" w:cs="Times New Roman" w:eastAsia="Times New Roman" w:hAnsi="Times New Roman"/>
          <w:sz w:val="16"/>
          <w:szCs w:val="16"/>
          <w:color w:val="auto"/>
        </w:rPr>
        <w:t>Our board of directors has adopted a non-employee director compensation policy, which is designed to provide a total compensation package that enables us to attract and retain, on a long-term basis, high caliber non-employee directors. In June 2019, upon the recommendation of our compensation committee, our board of directors amended the non-employee director compensation policy. Under the amended non-employee director compensation policy, our non-employee directors are compensated as follows:</w:t>
      </w:r>
    </w:p>
    <w:p>
      <w:pPr>
        <w:spacing w:after="0" w:line="75" w:lineRule="exact"/>
        <w:rPr>
          <w:sz w:val="20"/>
          <w:szCs w:val="20"/>
          <w:color w:val="auto"/>
        </w:rPr>
      </w:pPr>
    </w:p>
    <w:p>
      <w:pPr>
        <w:ind w:left="1340" w:right="339" w:hanging="324"/>
        <w:spacing w:after="0" w:line="26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non-employee director will receive an annual cash fee of $40,000 ($72,500 for the chairman of the board of directors).</w:t>
      </w:r>
    </w:p>
    <w:p>
      <w:pPr>
        <w:spacing w:after="0" w:line="76" w:lineRule="exact"/>
        <w:rPr>
          <w:rFonts w:ascii="Times New Roman" w:cs="Times New Roman" w:eastAsia="Times New Roman" w:hAnsi="Times New Roman"/>
          <w:sz w:val="18"/>
          <w:szCs w:val="18"/>
          <w:color w:val="auto"/>
        </w:rPr>
      </w:pPr>
    </w:p>
    <w:p>
      <w:pPr>
        <w:ind w:left="1340" w:right="299" w:hanging="324"/>
        <w:spacing w:after="0" w:line="26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non-employee director who is a member of the audit committee will receive an additional annual cash fee of $9,000 ($18,000 for the audit committee chairman).</w:t>
      </w:r>
    </w:p>
    <w:p>
      <w:pPr>
        <w:spacing w:after="0" w:line="76" w:lineRule="exact"/>
        <w:rPr>
          <w:rFonts w:ascii="Times New Roman" w:cs="Times New Roman" w:eastAsia="Times New Roman" w:hAnsi="Times New Roman"/>
          <w:sz w:val="18"/>
          <w:szCs w:val="18"/>
          <w:color w:val="auto"/>
        </w:rPr>
      </w:pPr>
    </w:p>
    <w:p>
      <w:pPr>
        <w:ind w:left="1340" w:right="139" w:hanging="324"/>
        <w:spacing w:after="0" w:line="26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non-employee director who is a member of the compensation committee will receive an additional annual cash fee of $7,500 ($15,000 for the compensation committee chairman).</w:t>
      </w:r>
    </w:p>
    <w:p>
      <w:pPr>
        <w:spacing w:after="0" w:line="76" w:lineRule="exact"/>
        <w:rPr>
          <w:rFonts w:ascii="Times New Roman" w:cs="Times New Roman" w:eastAsia="Times New Roman" w:hAnsi="Times New Roman"/>
          <w:sz w:val="18"/>
          <w:szCs w:val="18"/>
          <w:color w:val="auto"/>
        </w:rPr>
      </w:pPr>
    </w:p>
    <w:p>
      <w:pPr>
        <w:ind w:left="1340" w:right="59" w:hanging="324"/>
        <w:spacing w:after="0" w:line="26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non-employee director who is a member of the nominating and corporate governance committee will receive an additional annual cash fee of $5,000 ($10,000 for the nominating and corporate governance committee chairman).</w:t>
      </w:r>
    </w:p>
    <w:p>
      <w:pPr>
        <w:spacing w:after="0" w:line="76" w:lineRule="exact"/>
        <w:rPr>
          <w:rFonts w:ascii="Times New Roman" w:cs="Times New Roman" w:eastAsia="Times New Roman" w:hAnsi="Times New Roman"/>
          <w:sz w:val="18"/>
          <w:szCs w:val="18"/>
          <w:color w:val="auto"/>
        </w:rPr>
      </w:pPr>
    </w:p>
    <w:p>
      <w:pPr>
        <w:ind w:left="1340" w:right="139" w:hanging="324"/>
        <w:spacing w:after="0" w:line="26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non-employee director who is a member of the research and development committee will receive an additional annual cash fee of $5,000 ($10,000 for the research and development committee chairman).</w:t>
      </w:r>
    </w:p>
    <w:p>
      <w:pPr>
        <w:spacing w:after="0" w:line="76" w:lineRule="exact"/>
        <w:rPr>
          <w:rFonts w:ascii="Times New Roman" w:cs="Times New Roman" w:eastAsia="Times New Roman" w:hAnsi="Times New Roman"/>
          <w:sz w:val="18"/>
          <w:szCs w:val="18"/>
          <w:color w:val="auto"/>
        </w:rPr>
      </w:pPr>
    </w:p>
    <w:p>
      <w:pPr>
        <w:ind w:left="1340" w:right="199" w:hanging="324"/>
        <w:spacing w:after="0" w:line="26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new non-employee director will receive an initial grant of a stock option to purchase 9,750 shares of common stock and 2,625 RSUs, each under the 2015 Plan, upon his or her initial election to our board of directors.</w:t>
      </w:r>
    </w:p>
    <w:p>
      <w:pPr>
        <w:spacing w:after="0" w:line="76" w:lineRule="exact"/>
        <w:rPr>
          <w:rFonts w:ascii="Times New Roman" w:cs="Times New Roman" w:eastAsia="Times New Roman" w:hAnsi="Times New Roman"/>
          <w:sz w:val="18"/>
          <w:szCs w:val="18"/>
          <w:color w:val="auto"/>
        </w:rPr>
      </w:pPr>
    </w:p>
    <w:p>
      <w:pPr>
        <w:ind w:left="1340" w:right="219" w:hanging="324"/>
        <w:spacing w:after="0" w:line="264"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continuing non-employee director will receive an annual grant of a stock option to purchase 4,875 shares of common stock and 1,312 RSUs, each under the 2015 Plan, on the date of the first meeting of our board of directors held after each annual meeting of our stockholders.</w:t>
      </w:r>
    </w:p>
    <w:p>
      <w:pPr>
        <w:spacing w:after="0" w:line="83" w:lineRule="exact"/>
        <w:rPr>
          <w:sz w:val="20"/>
          <w:szCs w:val="20"/>
          <w:color w:val="auto"/>
        </w:rPr>
      </w:pPr>
    </w:p>
    <w:p>
      <w:pPr>
        <w:ind w:left="40" w:right="79" w:firstLine="648"/>
        <w:spacing w:after="0" w:line="267" w:lineRule="auto"/>
        <w:rPr>
          <w:sz w:val="20"/>
          <w:szCs w:val="20"/>
          <w:color w:val="auto"/>
        </w:rPr>
      </w:pPr>
      <w:r>
        <w:rPr>
          <w:rFonts w:ascii="Times New Roman" w:cs="Times New Roman" w:eastAsia="Times New Roman" w:hAnsi="Times New Roman"/>
          <w:sz w:val="16"/>
          <w:szCs w:val="16"/>
          <w:color w:val="auto"/>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initial RSUs granted to new non-employee directors will vest in equal annual installments over a three-year period beginning on the one-year anniversary of the grant date, subject to such director’s continued service on the board of directors. The annual stock options and the annual RSUs granted to our non-employee directors will vest in full upon the earlier of the first anniversary of the date of grant or the date of the following annual meeting of stockholders, subject to such director’s continued service on the board of directors. Any initial and annual equity awards granted to each of our non-employee directors will automatically accelerate and become fully vested and exercisable upon the non-employee director’s death or disability or upon a sale event (as defined in the 2015 Plan). In addition, each non-employee director 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80" w:lineRule="exact"/>
        <w:rPr>
          <w:sz w:val="20"/>
          <w:szCs w:val="20"/>
          <w:color w:val="auto"/>
        </w:rPr>
      </w:pPr>
    </w:p>
    <w:p>
      <w:pPr>
        <w:ind w:left="40" w:right="359" w:firstLine="648"/>
        <w:spacing w:after="0" w:line="281" w:lineRule="auto"/>
        <w:rPr>
          <w:sz w:val="20"/>
          <w:szCs w:val="20"/>
          <w:color w:val="auto"/>
        </w:rPr>
      </w:pPr>
      <w:r>
        <w:rPr>
          <w:rFonts w:ascii="Times New Roman" w:cs="Times New Roman" w:eastAsia="Times New Roman" w:hAnsi="Times New Roman"/>
          <w:sz w:val="16"/>
          <w:szCs w:val="16"/>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69" w:lineRule="exact"/>
        <w:rPr>
          <w:sz w:val="20"/>
          <w:szCs w:val="20"/>
          <w:color w:val="auto"/>
        </w:rPr>
      </w:pPr>
    </w:p>
    <w:p>
      <w:pPr>
        <w:ind w:left="40" w:right="199" w:firstLine="648"/>
        <w:spacing w:after="0" w:line="298" w:lineRule="auto"/>
        <w:rPr>
          <w:sz w:val="20"/>
          <w:szCs w:val="20"/>
          <w:color w:val="auto"/>
        </w:rPr>
      </w:pPr>
      <w:r>
        <w:rPr>
          <w:rFonts w:ascii="Times New Roman" w:cs="Times New Roman" w:eastAsia="Times New Roman" w:hAnsi="Times New Roman"/>
          <w:sz w:val="16"/>
          <w:szCs w:val="16"/>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following table sets forth a summary of the compensation for our non-employee directors during 2019.</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Name (1)</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gridSpan w:val="3"/>
            <w:vMerge w:val="continue"/>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Cash ($)(2)</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Alexis Borisy (4)</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126,962</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George D. Demetri, M.D. (5)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Goldberg, M.D. (6)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Nicholas Lydon, Ph.D. (7)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S. Lynch (7)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A. Rowland, Jr. (9)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70,361</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Lonnel Coats (10)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Lynn Seely, M.D. (6)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126,962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268,681</w:t>
            </w: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42" w:name="page43"/>
    <w:bookmarkEnd w:id="42"/>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right="419" w:hanging="316"/>
        <w:spacing w:after="0" w:line="261" w:lineRule="auto"/>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Albers, our president and chief executive officer, does not receive any compensation for his service as a director. Information regarding his compensation can be found in the “Summary Compensation Table” included elsewhere in this proxy statement.</w:t>
      </w:r>
    </w:p>
    <w:p>
      <w:pPr>
        <w:spacing w:after="0" w:line="54" w:lineRule="exact"/>
        <w:rPr>
          <w:rFonts w:ascii="Times New Roman" w:cs="Times New Roman" w:eastAsia="Times New Roman" w:hAnsi="Times New Roman"/>
          <w:sz w:val="14"/>
          <w:szCs w:val="14"/>
          <w:color w:val="auto"/>
        </w:rPr>
      </w:pPr>
    </w:p>
    <w:p>
      <w:pPr>
        <w:ind w:left="360" w:right="139" w:hanging="316"/>
        <w:spacing w:after="0" w:line="261" w:lineRule="auto"/>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cash compensation for services rendered by each member of our board of directors for their services on our board of directors or a committee thereof.</w:t>
      </w:r>
    </w:p>
    <w:p>
      <w:pPr>
        <w:spacing w:after="0" w:line="54" w:lineRule="exact"/>
        <w:rPr>
          <w:rFonts w:ascii="Times New Roman" w:cs="Times New Roman" w:eastAsia="Times New Roman" w:hAnsi="Times New Roman"/>
          <w:sz w:val="14"/>
          <w:szCs w:val="14"/>
          <w:color w:val="auto"/>
        </w:rPr>
      </w:pPr>
    </w:p>
    <w:p>
      <w:pPr>
        <w:ind w:left="360" w:right="199" w:hanging="316"/>
        <w:spacing w:after="0" w:line="166" w:lineRule="exact"/>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awards granted to our directors in 2019, computed in accordance with FASB ASC Topic 718. Such aggregate grant date fair values do not take into account any estimated forfeitures related to service-based vesting conditions. See Note 10 to the audited consolidated financial statements in our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2019 regarding assumptions underlying the valuation of equity awards.</w:t>
      </w:r>
    </w:p>
    <w:p>
      <w:pPr>
        <w:spacing w:after="0" w:line="68"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Mr. Borisy held options to purchase 12,375 shares of our common stock and 1,312 restricted stock units.</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Dr. Demetri held options to purchase 69,646 shares of our common stock and 1,312 restricted stock units.</w:t>
      </w:r>
    </w:p>
    <w:p>
      <w:pPr>
        <w:spacing w:after="0" w:line="95" w:lineRule="exact"/>
        <w:rPr>
          <w:rFonts w:ascii="Times New Roman" w:cs="Times New Roman" w:eastAsia="Times New Roman" w:hAnsi="Times New Roman"/>
          <w:sz w:val="14"/>
          <w:szCs w:val="14"/>
          <w:color w:val="auto"/>
        </w:rPr>
      </w:pPr>
    </w:p>
    <w:p>
      <w:pPr>
        <w:ind w:left="360" w:right="339" w:hanging="316"/>
        <w:spacing w:after="0" w:line="261" w:lineRule="auto"/>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Drs. Goldberg and Seely each held options to purchase 56,011 shares of our common stock and 1,312 restricted stock units.</w:t>
      </w:r>
    </w:p>
    <w:p>
      <w:pPr>
        <w:spacing w:after="0" w:line="54" w:lineRule="exact"/>
        <w:rPr>
          <w:rFonts w:ascii="Times New Roman" w:cs="Times New Roman" w:eastAsia="Times New Roman" w:hAnsi="Times New Roman"/>
          <w:sz w:val="14"/>
          <w:szCs w:val="14"/>
          <w:color w:val="auto"/>
        </w:rPr>
      </w:pPr>
    </w:p>
    <w:p>
      <w:pPr>
        <w:ind w:left="360" w:right="299" w:hanging="316"/>
        <w:spacing w:after="0" w:line="261" w:lineRule="auto"/>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Mr. Lynch and Dr. Lydon each held options to purchase 34,193 shares of our common stock and 1,312 restricted stock units.</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cash compensation for services rendered by Dr. Lydon as a member of our scientific advisory board.</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Mr. Rowland held options to purchase 44,193 shares of our common stock and 1,312 restricted stock units.</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Mr. Coats held options to purchase 46,011 shares of our common stock and 1,312 restricted stock units.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29" w:lineRule="exact"/>
        <w:rPr>
          <w:sz w:val="20"/>
          <w:szCs w:val="20"/>
          <w:color w:val="auto"/>
        </w:rPr>
      </w:pPr>
    </w:p>
    <w:p>
      <w:pPr>
        <w:ind w:left="40" w:right="199" w:firstLine="648"/>
        <w:spacing w:after="0" w:line="275" w:lineRule="auto"/>
        <w:rPr>
          <w:sz w:val="20"/>
          <w:szCs w:val="20"/>
          <w:color w:val="auto"/>
        </w:rPr>
      </w:pPr>
      <w:r>
        <w:rPr>
          <w:rFonts w:ascii="Times New Roman" w:cs="Times New Roman" w:eastAsia="Times New Roman" w:hAnsi="Times New Roman"/>
          <w:sz w:val="16"/>
          <w:szCs w:val="16"/>
          <w:color w:val="auto"/>
        </w:rPr>
        <w:t>The following table provides information about the securities authorized for issuance under our equity compensation plans as of December 31, 2019. As of December 31, 2019, we had three equity compensation plans, each of which was approved by our stockholders: the 2011 Stock Option and Grant Plan, as amended, or 2011 Plan, the 2015 Plan and the 2015 Employee Stock Purchase Plan, or 2015 ESPP.</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00" w:type="dxa"/>
            <w:vAlign w:val="bottom"/>
            <w:gridSpan w:val="2"/>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gridSpan w:val="2"/>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0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column (a)) (1)</w:t>
            </w:r>
          </w:p>
        </w:tc>
        <w:tc>
          <w:tcPr>
            <w:tcW w:w="0" w:type="dxa"/>
            <w:vAlign w:val="bottom"/>
          </w:tcPr>
          <w:p>
            <w:pPr>
              <w:spacing w:after="0"/>
              <w:rPr>
                <w:sz w:val="1"/>
                <w:szCs w:val="1"/>
                <w:color w:val="auto"/>
              </w:rPr>
            </w:pPr>
          </w:p>
        </w:tc>
      </w:tr>
      <w:tr>
        <w:trPr>
          <w:trHeight w:val="196"/>
        </w:trPr>
        <w:tc>
          <w:tcPr>
            <w:tcW w:w="2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4"/>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6,215,465 (2)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3,012,454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holders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6,215,465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1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3,012,454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179" w:hanging="316"/>
        <w:spacing w:after="0" w:line="261" w:lineRule="auto"/>
        <w:tabs>
          <w:tab w:leader="none" w:pos="3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2019, (i) 1,364,378 shares remained available for future issuance under our 2015 Plan, and (ii) 1,648,076 shares remained available for future issuance under our 2015 ESPP. No shares remained available for future issuance under the 2011 Plan as of December 31, 2019.</w:t>
      </w:r>
    </w:p>
    <w:p>
      <w:pPr>
        <w:spacing w:after="0" w:line="54" w:lineRule="exact"/>
        <w:rPr>
          <w:rFonts w:ascii="Times New Roman" w:cs="Times New Roman" w:eastAsia="Times New Roman" w:hAnsi="Times New Roman"/>
          <w:sz w:val="14"/>
          <w:szCs w:val="14"/>
          <w:color w:val="auto"/>
        </w:rPr>
      </w:pPr>
    </w:p>
    <w:p>
      <w:pPr>
        <w:jc w:val="both"/>
        <w:ind w:left="360" w:right="119" w:hanging="316"/>
        <w:spacing w:after="0" w:line="236" w:lineRule="auto"/>
        <w:tabs>
          <w:tab w:leader="none" w:pos="3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does not include any purchase rights accruing under the 2015 ESPP during the current purchase period, which commenced on December 1, 2019, because the purchase right (and therefore the number of shares to be purchased) will not be determined until the end of the purchase period on May 30, 2020. Subject to the number of shares remaining in the share reserve, the maximum number of shares purchasable by any participant in the 2015 ESPP on any one purchase date for any purchase period, including the current purchase period, may not exceed 2,500 shares.</w:t>
      </w:r>
    </w:p>
    <w:p>
      <w:pPr>
        <w:spacing w:after="0" w:line="68" w:lineRule="exact"/>
        <w:rPr>
          <w:rFonts w:ascii="Times New Roman" w:cs="Times New Roman" w:eastAsia="Times New Roman" w:hAnsi="Times New Roman"/>
          <w:sz w:val="14"/>
          <w:szCs w:val="14"/>
          <w:color w:val="auto"/>
        </w:rPr>
      </w:pPr>
    </w:p>
    <w:p>
      <w:pPr>
        <w:ind w:left="360" w:right="99" w:hanging="316"/>
        <w:spacing w:after="0" w:line="241" w:lineRule="auto"/>
        <w:tabs>
          <w:tab w:leader="none" w:pos="3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above does not reflect amounts available for issuance under our 2020 Inducement Plan, or Inducement Plan, which was approved by the board in March 2020. As of March 31, 2020, a total of 1,000,000 shares of our common stock remained available for issuance under the Inducement Plan and no awards were outstanding under the Inducement Plan.</w:t>
      </w:r>
    </w:p>
    <w:p>
      <w:pPr>
        <w:spacing w:after="0" w:line="68" w:lineRule="exact"/>
        <w:rPr>
          <w:rFonts w:ascii="Times New Roman" w:cs="Times New Roman" w:eastAsia="Times New Roman" w:hAnsi="Times New Roman"/>
          <w:sz w:val="14"/>
          <w:szCs w:val="14"/>
          <w:color w:val="auto"/>
        </w:rPr>
      </w:pPr>
    </w:p>
    <w:p>
      <w:pPr>
        <w:ind w:left="360" w:right="79" w:hanging="316"/>
        <w:spacing w:after="0" w:line="228" w:lineRule="auto"/>
        <w:tabs>
          <w:tab w:leader="none" w:pos="3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2020, 1,970,888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Effective January 1, 2020, 492,722 additional shares were reserved for issuance under the 2015 ESPP pursuant to this provision.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THE AUDIT COMMITTEE OF THE BOARD OF DIRECTORS</w:t>
      </w:r>
    </w:p>
    <w:p>
      <w:pPr>
        <w:spacing w:after="0" w:line="129" w:lineRule="exact"/>
        <w:rPr>
          <w:sz w:val="20"/>
          <w:szCs w:val="20"/>
          <w:color w:val="auto"/>
        </w:rPr>
      </w:pPr>
    </w:p>
    <w:p>
      <w:pPr>
        <w:ind w:left="40" w:right="219" w:firstLine="648"/>
        <w:spacing w:after="0" w:line="298" w:lineRule="auto"/>
        <w:rPr>
          <w:sz w:val="20"/>
          <w:szCs w:val="20"/>
          <w:color w:val="auto"/>
        </w:rPr>
      </w:pPr>
      <w:r>
        <w:rPr>
          <w:rFonts w:ascii="Times New Roman" w:cs="Times New Roman" w:eastAsia="Times New Roman" w:hAnsi="Times New Roman"/>
          <w:sz w:val="16"/>
          <w:szCs w:val="16"/>
          <w:color w:val="auto"/>
        </w:rPr>
        <w:t>Our audit committee has reviewed our audited consolidated financial statements for the fiscal year ended December 31, 2019 and discussed them with our management and our independent registered public accounting firm, Ernst &amp; Young LLP.</w:t>
      </w:r>
    </w:p>
    <w:p>
      <w:pPr>
        <w:spacing w:after="0" w:line="56" w:lineRule="exact"/>
        <w:rPr>
          <w:sz w:val="20"/>
          <w:szCs w:val="20"/>
          <w:color w:val="auto"/>
        </w:rPr>
      </w:pPr>
    </w:p>
    <w:p>
      <w:pPr>
        <w:jc w:val="both"/>
        <w:ind w:left="40" w:right="299" w:firstLine="648"/>
        <w:spacing w:after="0" w:line="281" w:lineRule="auto"/>
        <w:rPr>
          <w:sz w:val="20"/>
          <w:szCs w:val="20"/>
          <w:color w:val="auto"/>
        </w:rPr>
      </w:pPr>
      <w:r>
        <w:rPr>
          <w:rFonts w:ascii="Times New Roman" w:cs="Times New Roman" w:eastAsia="Times New Roman" w:hAnsi="Times New Roman"/>
          <w:sz w:val="16"/>
          <w:szCs w:val="16"/>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No. 16, “Communication with Audit Committees,” as adopted by the Public Company Accounting Oversight Board.</w:t>
      </w:r>
    </w:p>
    <w:p>
      <w:pPr>
        <w:spacing w:after="0" w:line="69" w:lineRule="exact"/>
        <w:rPr>
          <w:sz w:val="20"/>
          <w:szCs w:val="20"/>
          <w:color w:val="auto"/>
        </w:rPr>
      </w:pPr>
    </w:p>
    <w:p>
      <w:pPr>
        <w:ind w:left="40" w:right="59" w:firstLine="648"/>
        <w:spacing w:after="0" w:line="275" w:lineRule="auto"/>
        <w:rPr>
          <w:sz w:val="20"/>
          <w:szCs w:val="20"/>
          <w:color w:val="auto"/>
        </w:rPr>
      </w:pPr>
      <w:r>
        <w:rPr>
          <w:rFonts w:ascii="Times New Roman" w:cs="Times New Roman" w:eastAsia="Times New Roman" w:hAnsi="Times New Roman"/>
          <w:sz w:val="16"/>
          <w:szCs w:val="16"/>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75" w:lineRule="exact"/>
        <w:rPr>
          <w:sz w:val="20"/>
          <w:szCs w:val="20"/>
          <w:color w:val="auto"/>
        </w:rPr>
      </w:pPr>
    </w:p>
    <w:p>
      <w:pPr>
        <w:ind w:left="40" w:right="319" w:firstLine="648"/>
        <w:spacing w:after="0" w:line="216" w:lineRule="exact"/>
        <w:rPr>
          <w:sz w:val="20"/>
          <w:szCs w:val="20"/>
          <w:color w:val="auto"/>
        </w:rPr>
      </w:pPr>
      <w:r>
        <w:rPr>
          <w:rFonts w:ascii="Times New Roman" w:cs="Times New Roman" w:eastAsia="Times New Roman" w:hAnsi="Times New Roman"/>
          <w:sz w:val="16"/>
          <w:szCs w:val="16"/>
          <w:color w:val="auto"/>
        </w:rPr>
        <w:t>Based on the review and discussions referred to above, our audit committee recommended to our board of directors that the audited consolidated financial statements be included in our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the year ended December 31, 2019.</w:t>
      </w:r>
    </w:p>
    <w:p>
      <w:pPr>
        <w:spacing w:after="0" w:line="82" w:lineRule="exact"/>
        <w:rPr>
          <w:sz w:val="20"/>
          <w:szCs w:val="20"/>
          <w:color w:val="auto"/>
        </w:rPr>
      </w:pPr>
    </w:p>
    <w:p>
      <w:pPr>
        <w:ind w:left="40" w:right="59" w:firstLine="648"/>
        <w:spacing w:after="0" w:line="272" w:lineRule="auto"/>
        <w:rPr>
          <w:sz w:val="20"/>
          <w:szCs w:val="20"/>
          <w:color w:val="auto"/>
        </w:rPr>
      </w:pPr>
      <w:r>
        <w:rPr>
          <w:rFonts w:ascii="Times New Roman" w:cs="Times New Roman" w:eastAsia="Times New Roman" w:hAnsi="Times New Roman"/>
          <w:sz w:val="16"/>
          <w:szCs w:val="16"/>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By the audit committee of the board of directors of Blueprint Medicines Corporation.</w:t>
      </w:r>
    </w:p>
    <w:p>
      <w:pPr>
        <w:spacing w:after="0" w:line="1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Charles A. Rowland, Jr., Chair</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Lonnel Coats</w:t>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Mark Goldberg,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 w:name="page46"/>
    <w:bookmarkEnd w:id="45"/>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PROPOSAL 2— NON-BINDING ADVISORY VOTE ON EXECUTIVE COMPENSATION</w:t>
      </w:r>
    </w:p>
    <w:p>
      <w:pPr>
        <w:spacing w:after="0" w:line="129"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78" w:lineRule="exact"/>
        <w:rPr>
          <w:sz w:val="20"/>
          <w:szCs w:val="20"/>
          <w:color w:val="auto"/>
        </w:rPr>
      </w:pPr>
    </w:p>
    <w:p>
      <w:pPr>
        <w:ind w:left="40" w:right="179" w:firstLine="648"/>
        <w:spacing w:after="0" w:line="268" w:lineRule="auto"/>
        <w:rPr>
          <w:sz w:val="20"/>
          <w:szCs w:val="20"/>
          <w:color w:val="auto"/>
        </w:rPr>
      </w:pPr>
      <w:r>
        <w:rPr>
          <w:rFonts w:ascii="Times New Roman" w:cs="Times New Roman" w:eastAsia="Times New Roman" w:hAnsi="Times New Roman"/>
          <w:sz w:val="16"/>
          <w:szCs w:val="16"/>
          <w:color w:val="auto"/>
        </w:rPr>
        <w:t>The section of this proxy statement titled “Executive Compensation” beginning on page 17, including “Compensation Discussion and Analysis,” describes in detail our executive compensation program and the decisions made by our compensation committee. As we describe in greater detail in the “Compensation Discussion and Analysis” section, our executive compensation program rewards value creation for stockholders and progress towards achieving our mission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Our board of directors is asking stockholders to approve a non-binding, advisory vote on the following resolution:</w:t>
      </w:r>
    </w:p>
    <w:p>
      <w:pPr>
        <w:spacing w:after="0" w:line="125" w:lineRule="exact"/>
        <w:rPr>
          <w:sz w:val="20"/>
          <w:szCs w:val="20"/>
          <w:color w:val="auto"/>
        </w:rPr>
      </w:pPr>
    </w:p>
    <w:p>
      <w:pPr>
        <w:ind w:left="40" w:right="459" w:firstLine="648"/>
        <w:spacing w:after="0" w:line="282" w:lineRule="auto"/>
        <w:rPr>
          <w:sz w:val="20"/>
          <w:szCs w:val="20"/>
          <w:color w:val="auto"/>
        </w:rPr>
      </w:pPr>
      <w:r>
        <w:rPr>
          <w:rFonts w:ascii="Times New Roman" w:cs="Times New Roman" w:eastAsia="Times New Roman" w:hAnsi="Times New Roman"/>
          <w:sz w:val="16"/>
          <w:szCs w:val="16"/>
          <w:i w:val="1"/>
          <w:i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69" w:lineRule="exact"/>
        <w:rPr>
          <w:sz w:val="20"/>
          <w:szCs w:val="20"/>
          <w:color w:val="auto"/>
        </w:rPr>
      </w:pPr>
    </w:p>
    <w:p>
      <w:pPr>
        <w:ind w:left="40" w:right="79" w:firstLine="648"/>
        <w:spacing w:after="0" w:line="271" w:lineRule="auto"/>
        <w:rPr>
          <w:sz w:val="20"/>
          <w:szCs w:val="20"/>
          <w:color w:val="auto"/>
        </w:rPr>
      </w:pPr>
      <w:r>
        <w:rPr>
          <w:rFonts w:ascii="Times New Roman" w:cs="Times New Roman" w:eastAsia="Times New Roman" w:hAnsi="Times New Roman"/>
          <w:sz w:val="16"/>
          <w:szCs w:val="16"/>
          <w:color w:val="auto"/>
        </w:rPr>
        <w:t>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Recommendation of the Board of Directors</w:t>
      </w:r>
    </w:p>
    <w:p>
      <w:pPr>
        <w:spacing w:after="0" w:line="127" w:lineRule="exact"/>
        <w:rPr>
          <w:sz w:val="20"/>
          <w:szCs w:val="20"/>
          <w:color w:val="auto"/>
        </w:rPr>
      </w:pPr>
    </w:p>
    <w:p>
      <w:pPr>
        <w:ind w:left="40" w:right="979" w:firstLine="648"/>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STOCKHOLDERS VOTE TO APPROVE THE COMPENSATION OF OUR NAMED EXECUTIVE OFFICERS BY VOTING “ </w:t>
      </w:r>
      <w:r>
        <w:rPr>
          <w:rFonts w:ascii="Times New Roman" w:cs="Times New Roman" w:eastAsia="Times New Roman" w:hAnsi="Times New Roman"/>
          <w:sz w:val="16"/>
          <w:szCs w:val="16"/>
          <w:b w:val="1"/>
          <w:bCs w:val="1"/>
          <w:i w:val="1"/>
          <w:iCs w:val="1"/>
          <w:u w:val="single" w:color="auto"/>
          <w:color w:val="auto"/>
        </w:rPr>
        <w:t>FOR</w:t>
      </w:r>
      <w:r>
        <w:rPr>
          <w:rFonts w:ascii="Times New Roman" w:cs="Times New Roman" w:eastAsia="Times New Roman" w:hAnsi="Times New Roman"/>
          <w:sz w:val="16"/>
          <w:szCs w:val="16"/>
          <w:b w:val="1"/>
          <w:bCs w:val="1"/>
          <w:color w:val="auto"/>
        </w:rPr>
        <w:t xml:space="preserve"> ” THIS PROPOSAL.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jc w:val="center"/>
        <w:ind w:left="1500" w:right="120"/>
        <w:spacing w:after="0" w:line="301" w:lineRule="auto"/>
        <w:rPr>
          <w:sz w:val="20"/>
          <w:szCs w:val="20"/>
          <w:color w:val="auto"/>
        </w:rPr>
      </w:pPr>
      <w:r>
        <w:rPr>
          <w:rFonts w:ascii="Times New Roman" w:cs="Times New Roman" w:eastAsia="Times New Roman" w:hAnsi="Times New Roman"/>
          <w:sz w:val="16"/>
          <w:szCs w:val="16"/>
          <w:b w:val="1"/>
          <w:bCs w:val="1"/>
          <w:color w:val="auto"/>
        </w:rPr>
        <w:t>PROPOSAL 3—RATIFICATION OF THE APPOINTMENT OF INDEPENDENT REGISTERED PUBLIC ACCOUNTING FIRM</w:t>
      </w:r>
    </w:p>
    <w:p>
      <w:pPr>
        <w:spacing w:after="0" w:line="54" w:lineRule="exact"/>
        <w:rPr>
          <w:sz w:val="20"/>
          <w:szCs w:val="20"/>
          <w:color w:val="auto"/>
        </w:rPr>
      </w:pPr>
    </w:p>
    <w:p>
      <w:pPr>
        <w:ind w:left="40" w:right="79" w:firstLine="648"/>
        <w:spacing w:after="0" w:line="272" w:lineRule="auto"/>
        <w:rPr>
          <w:sz w:val="20"/>
          <w:szCs w:val="20"/>
          <w:color w:val="auto"/>
        </w:rPr>
      </w:pPr>
      <w:r>
        <w:rPr>
          <w:rFonts w:ascii="Times New Roman" w:cs="Times New Roman" w:eastAsia="Times New Roman" w:hAnsi="Times New Roman"/>
          <w:sz w:val="16"/>
          <w:szCs w:val="16"/>
          <w:color w:val="auto"/>
        </w:rPr>
        <w:t>Our audit committee has appointed the firm of Ernst &amp; Young LLP, an independent registered public accounting firm, as independent auditors for the fiscal year ending December 31, 2020.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78" w:lineRule="exact"/>
        <w:rPr>
          <w:sz w:val="20"/>
          <w:szCs w:val="20"/>
          <w:color w:val="auto"/>
        </w:rPr>
      </w:pPr>
    </w:p>
    <w:p>
      <w:pPr>
        <w:ind w:left="40" w:right="179" w:firstLine="648"/>
        <w:spacing w:after="0" w:line="281" w:lineRule="auto"/>
        <w:rPr>
          <w:sz w:val="20"/>
          <w:szCs w:val="20"/>
          <w:color w:val="auto"/>
        </w:rPr>
      </w:pPr>
      <w:r>
        <w:rPr>
          <w:rFonts w:ascii="Times New Roman" w:cs="Times New Roman" w:eastAsia="Times New Roman" w:hAnsi="Times New Roman"/>
          <w:sz w:val="16"/>
          <w:szCs w:val="16"/>
          <w:color w:val="auto"/>
        </w:rPr>
        <w:t>Ernst &amp; Young LLP has no direct or indirect material financial interest in our company or our subsidiaries. Representatives of Ernst &amp; Young LLP are expected to be present at the annual meeting online and will have the opportunity to make a statement, if they desire to do so, and will be available to respond to appropriate questions from our stockholders.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Audit Fees and Services</w:t>
      </w:r>
    </w:p>
    <w:p>
      <w:pPr>
        <w:spacing w:after="0" w:line="129" w:lineRule="exact"/>
        <w:rPr>
          <w:sz w:val="20"/>
          <w:szCs w:val="20"/>
          <w:color w:val="auto"/>
        </w:rPr>
      </w:pPr>
    </w:p>
    <w:p>
      <w:pPr>
        <w:ind w:left="40" w:right="119" w:firstLine="648"/>
        <w:spacing w:after="0" w:line="275" w:lineRule="auto"/>
        <w:rPr>
          <w:sz w:val="20"/>
          <w:szCs w:val="20"/>
          <w:color w:val="auto"/>
        </w:rPr>
      </w:pPr>
      <w:r>
        <w:rPr>
          <w:rFonts w:ascii="Times New Roman" w:cs="Times New Roman" w:eastAsia="Times New Roman" w:hAnsi="Times New Roman"/>
          <w:sz w:val="16"/>
          <w:szCs w:val="16"/>
          <w:color w:val="auto"/>
        </w:rPr>
        <w:t>Ernst &amp; Young LLP was our independent registered public accounting firm for the years ended December 31, 2019 and December 31, 2018. The following table summarizes the fees of Ernst &amp; Young LLP billed to us for each of the last two fiscal years. All such accountant services and fees were pre-approved by our audit committee in accordance with the “Pre-Approval Policies and Procedures” described below.</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 (1)</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871,117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737,969</w:t>
            </w:r>
          </w:p>
        </w:tc>
        <w:tc>
          <w:tcPr>
            <w:tcW w:w="0" w:type="dxa"/>
            <w:vAlign w:val="bottom"/>
          </w:tcPr>
          <w:p>
            <w:pPr>
              <w:spacing w:after="0"/>
              <w:rPr>
                <w:sz w:val="1"/>
                <w:szCs w:val="1"/>
                <w:color w:val="auto"/>
              </w:rPr>
            </w:pPr>
          </w:p>
        </w:tc>
      </w:tr>
      <w:tr>
        <w:trPr>
          <w:trHeight w:val="203"/>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Audit-Related Fees (2)</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 (3)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70,710</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64,750</w:t>
            </w:r>
          </w:p>
        </w:tc>
        <w:tc>
          <w:tcPr>
            <w:tcW w:w="0" w:type="dxa"/>
            <w:vAlign w:val="bottom"/>
          </w:tcPr>
          <w:p>
            <w:pPr>
              <w:spacing w:after="0"/>
              <w:rPr>
                <w:sz w:val="1"/>
                <w:szCs w:val="1"/>
                <w:color w:val="auto"/>
              </w:rPr>
            </w:pPr>
          </w:p>
        </w:tc>
      </w:tr>
      <w:tr>
        <w:trPr>
          <w:trHeight w:val="203"/>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Other Fees (4)</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Fees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941,827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804,719</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179" w:hanging="316"/>
        <w:spacing w:after="0" w:line="171" w:lineRule="exact"/>
        <w:tabs>
          <w:tab w:leader="none" w:pos="3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the audit of our annual financial statements, the review of the interim financial statements included in our quarterly reports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our follow-on public offering, which closed in April 2019, and other professional services provided in connection with regulatory filings or engagements.</w:t>
      </w:r>
    </w:p>
    <w:p>
      <w:pPr>
        <w:spacing w:after="0" w:line="69" w:lineRule="exact"/>
        <w:rPr>
          <w:rFonts w:ascii="Times New Roman" w:cs="Times New Roman" w:eastAsia="Times New Roman" w:hAnsi="Times New Roman"/>
          <w:sz w:val="14"/>
          <w:szCs w:val="14"/>
          <w:color w:val="auto"/>
        </w:rPr>
      </w:pPr>
    </w:p>
    <w:p>
      <w:pPr>
        <w:ind w:left="360" w:right="179" w:hanging="316"/>
        <w:spacing w:after="0" w:line="261" w:lineRule="auto"/>
        <w:tabs>
          <w:tab w:leader="none" w:pos="3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by Ernst &amp; Young LLP for assurance and related services that are reasonably related to the performance of the audit or review of our consolidated financial statements. There were no such fees incurred in 2019 or 2018.</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professional services, including tax consulting and compliance performed by Ernst &amp; Young LLP.</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 of database subscription fees paid to Ernst &amp; Young LLP.</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129" w:lineRule="exact"/>
        <w:rPr>
          <w:sz w:val="20"/>
          <w:szCs w:val="20"/>
          <w:color w:val="auto"/>
        </w:rPr>
      </w:pPr>
    </w:p>
    <w:p>
      <w:pPr>
        <w:ind w:left="40" w:right="79" w:firstLine="648"/>
        <w:spacing w:after="0" w:line="269" w:lineRule="auto"/>
        <w:rPr>
          <w:sz w:val="20"/>
          <w:szCs w:val="20"/>
          <w:color w:val="auto"/>
        </w:rPr>
      </w:pPr>
      <w:r>
        <w:rPr>
          <w:rFonts w:ascii="Times New Roman" w:cs="Times New Roman" w:eastAsia="Times New Roman" w:hAnsi="Times New Roman"/>
          <w:sz w:val="16"/>
          <w:szCs w:val="16"/>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w:t>
      </w:r>
    </w:p>
    <w:p>
      <w:pPr>
        <w:spacing w:after="0" w:line="82" w:lineRule="exact"/>
        <w:rPr>
          <w:sz w:val="20"/>
          <w:szCs w:val="20"/>
          <w:color w:val="auto"/>
        </w:rPr>
      </w:pPr>
    </w:p>
    <w:p>
      <w:pPr>
        <w:ind w:left="40" w:right="219" w:firstLine="648"/>
        <w:spacing w:after="0" w:line="267" w:lineRule="auto"/>
        <w:rPr>
          <w:sz w:val="20"/>
          <w:szCs w:val="20"/>
          <w:color w:val="auto"/>
        </w:rPr>
      </w:pPr>
      <w:r>
        <w:rPr>
          <w:rFonts w:ascii="Times New Roman" w:cs="Times New Roman" w:eastAsia="Times New Roman" w:hAnsi="Times New Roman"/>
          <w:sz w:val="16"/>
          <w:szCs w:val="16"/>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Recommendation of the Board of Directors</w:t>
      </w:r>
    </w:p>
    <w:p>
      <w:pPr>
        <w:spacing w:after="0" w:line="125" w:lineRule="exact"/>
        <w:rPr>
          <w:sz w:val="20"/>
          <w:szCs w:val="20"/>
          <w:color w:val="auto"/>
        </w:rPr>
      </w:pPr>
    </w:p>
    <w:p>
      <w:pPr>
        <w:jc w:val="both"/>
        <w:ind w:left="40" w:right="219"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OUR BOARD OF DIRECTORS RECOMMENDS THAT STOCKHOLDERS VOTE “ </w:t>
      </w:r>
      <w:r>
        <w:rPr>
          <w:rFonts w:ascii="Times New Roman" w:cs="Times New Roman" w:eastAsia="Times New Roman" w:hAnsi="Times New Roman"/>
          <w:sz w:val="16"/>
          <w:szCs w:val="16"/>
          <w:b w:val="1"/>
          <w:bCs w:val="1"/>
          <w:i w:val="1"/>
          <w:iCs w:val="1"/>
          <w:u w:val="single" w:color="auto"/>
          <w:color w:val="auto"/>
        </w:rPr>
        <w:t>FOR</w:t>
      </w:r>
      <w:r>
        <w:rPr>
          <w:rFonts w:ascii="Times New Roman" w:cs="Times New Roman" w:eastAsia="Times New Roman" w:hAnsi="Times New Roman"/>
          <w:sz w:val="16"/>
          <w:szCs w:val="16"/>
          <w:b w:val="1"/>
          <w:bCs w:val="1"/>
          <w:color w:val="auto"/>
        </w:rPr>
        <w:t xml:space="preserve"> ” THE RATIFICATION OF THE APPOINTMENT OF ERNST &amp; YOUNG LLP AS OUR INDEPENDENT REGISTERED PUBLIC ACCOUNTING FIRM FOR THE FISCAL YEAR ENDING DECEMBER 31, 2020.</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right="1859" w:firstLine="1800"/>
        <w:spacing w:after="0" w:line="406" w:lineRule="auto"/>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 Policies and Procedures for Related Person Transactions</w:t>
      </w:r>
    </w:p>
    <w:p>
      <w:pPr>
        <w:spacing w:after="0" w:line="1" w:lineRule="exact"/>
        <w:rPr>
          <w:sz w:val="20"/>
          <w:szCs w:val="20"/>
          <w:color w:val="auto"/>
        </w:rPr>
      </w:pPr>
    </w:p>
    <w:p>
      <w:pPr>
        <w:ind w:left="40" w:right="59" w:firstLine="648"/>
        <w:spacing w:after="0" w:line="267"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Related Person Transactions</w:t>
      </w:r>
    </w:p>
    <w:p>
      <w:pPr>
        <w:spacing w:after="0" w:line="129" w:lineRule="exact"/>
        <w:rPr>
          <w:sz w:val="20"/>
          <w:szCs w:val="20"/>
          <w:color w:val="auto"/>
        </w:rPr>
      </w:pPr>
    </w:p>
    <w:p>
      <w:pPr>
        <w:ind w:left="40" w:right="279" w:firstLine="648"/>
        <w:spacing w:after="0" w:line="281" w:lineRule="auto"/>
        <w:rPr>
          <w:sz w:val="20"/>
          <w:szCs w:val="20"/>
          <w:color w:val="auto"/>
        </w:rPr>
      </w:pPr>
      <w:r>
        <w:rPr>
          <w:rFonts w:ascii="Times New Roman" w:cs="Times New Roman" w:eastAsia="Times New Roman" w:hAnsi="Times New Roman"/>
          <w:sz w:val="16"/>
          <w:szCs w:val="16"/>
          <w:color w:val="auto"/>
        </w:rPr>
        <w:t>Other than the compensation arrangements for our named executive officers and directors, which are described elsewhere in the “Executive Compensation” and “Director Compensation” sections of this proxy statement, set forth below is a description of transactions since January 1, 2019 to which we were or will be a party, and in which:</w:t>
      </w:r>
    </w:p>
    <w:p>
      <w:pPr>
        <w:spacing w:after="0" w:line="69" w:lineRule="exact"/>
        <w:rPr>
          <w:sz w:val="20"/>
          <w:szCs w:val="20"/>
          <w:color w:val="auto"/>
        </w:rPr>
      </w:pPr>
    </w:p>
    <w:p>
      <w:pPr>
        <w:ind w:left="1340" w:hanging="324"/>
        <w:spacing w:after="0"/>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340" w:right="99" w:hanging="324"/>
        <w:spacing w:after="0" w:line="264" w:lineRule="auto"/>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83" w:lineRule="exact"/>
        <w:rPr>
          <w:sz w:val="20"/>
          <w:szCs w:val="20"/>
          <w:color w:val="auto"/>
        </w:rPr>
      </w:pPr>
    </w:p>
    <w:p>
      <w:pPr>
        <w:ind w:left="40" w:right="259" w:firstLine="648"/>
        <w:spacing w:after="0" w:line="281" w:lineRule="auto"/>
        <w:rPr>
          <w:sz w:val="20"/>
          <w:szCs w:val="20"/>
          <w:color w:val="auto"/>
        </w:rPr>
      </w:pPr>
      <w:r>
        <w:rPr>
          <w:rFonts w:ascii="Times New Roman" w:cs="Times New Roman" w:eastAsia="Times New Roman" w:hAnsi="Times New Roman"/>
          <w:sz w:val="16"/>
          <w:szCs w:val="16"/>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Participation in Follow-On Public Offerings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January 2020</w:t>
      </w:r>
    </w:p>
    <w:p>
      <w:pPr>
        <w:spacing w:after="0" w:line="129" w:lineRule="exact"/>
        <w:rPr>
          <w:sz w:val="20"/>
          <w:szCs w:val="20"/>
          <w:color w:val="auto"/>
        </w:rPr>
      </w:pPr>
    </w:p>
    <w:p>
      <w:pPr>
        <w:ind w:left="40" w:right="99" w:firstLine="648"/>
        <w:spacing w:after="0" w:line="271" w:lineRule="auto"/>
        <w:rPr>
          <w:sz w:val="20"/>
          <w:szCs w:val="20"/>
          <w:color w:val="auto"/>
        </w:rPr>
      </w:pPr>
      <w:r>
        <w:rPr>
          <w:rFonts w:ascii="Times New Roman" w:cs="Times New Roman" w:eastAsia="Times New Roman" w:hAnsi="Times New Roman"/>
          <w:sz w:val="16"/>
          <w:szCs w:val="16"/>
          <w:color w:val="auto"/>
        </w:rPr>
        <w:t>In January 2020, we entered into an underwriting agreement with Goldman, Sachs &amp; Co. and Cowen and Company, LLC, as representatives of the several underwriters, relating to a follow-on underwritten public offering of shares of our common stock. Pursuant to the underwriting agreement, we sold an aggregate of 4,710,144 shares of our common stock to the underwriters at a price to the public of $69.00 per share. The offering closed on January 27, 2020. Certain holders of more than 5% of our capital stock (including shares of common stock acquired in the offering) purchased shares of our common stock from the underwriters in the offering at the offering price of the shares to the public.</w:t>
      </w:r>
    </w:p>
    <w:p>
      <w:pPr>
        <w:spacing w:after="0" w:line="76" w:lineRule="exact"/>
        <w:rPr>
          <w:sz w:val="20"/>
          <w:szCs w:val="20"/>
          <w:color w:val="auto"/>
        </w:rPr>
      </w:pPr>
    </w:p>
    <w:p>
      <w:pPr>
        <w:ind w:left="40" w:right="79"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number of shares of our common stock purchased and the aggregate cash purchase price paid by each of these stockholders.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11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FMR LLC</w:t>
            </w:r>
          </w:p>
        </w:tc>
        <w:tc>
          <w:tcPr>
            <w:tcW w:w="2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10,685,340</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Entities affiliated with the Vanguard Group</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13,110,000</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BlackRock, Inc.</w:t>
            </w:r>
          </w:p>
        </w:tc>
        <w:tc>
          <w:tcPr>
            <w:tcW w:w="3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10,350,000</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 Rowe Price Associates, Inc.</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335,869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23,174,961</w:t>
            </w:r>
          </w:p>
        </w:tc>
        <w:tc>
          <w:tcPr>
            <w:tcW w:w="0" w:type="dxa"/>
            <w:vAlign w:val="bottom"/>
          </w:tcPr>
          <w:p>
            <w:pPr>
              <w:spacing w:after="0"/>
              <w:rPr>
                <w:sz w:val="1"/>
                <w:szCs w:val="1"/>
                <w:color w:val="auto"/>
              </w:rPr>
            </w:pPr>
          </w:p>
        </w:tc>
      </w:tr>
      <w:tr>
        <w:trPr>
          <w:trHeight w:val="837"/>
        </w:trPr>
        <w:tc>
          <w:tcPr>
            <w:tcW w:w="3600" w:type="dxa"/>
            <w:vAlign w:val="bottom"/>
          </w:tcPr>
          <w:p>
            <w:pPr>
              <w:spacing w:after="0"/>
              <w:rPr>
                <w:sz w:val="24"/>
                <w:szCs w:val="24"/>
                <w:color w:val="auto"/>
              </w:rPr>
            </w:pPr>
          </w:p>
        </w:tc>
        <w:tc>
          <w:tcPr>
            <w:tcW w:w="242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36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48" w:name="page49"/>
    <w:bookmarkEnd w:id="48"/>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April 2019</w:t>
      </w:r>
    </w:p>
    <w:p>
      <w:pPr>
        <w:spacing w:after="0" w:line="129" w:lineRule="exact"/>
        <w:rPr>
          <w:sz w:val="20"/>
          <w:szCs w:val="20"/>
          <w:color w:val="auto"/>
        </w:rPr>
      </w:pPr>
    </w:p>
    <w:p>
      <w:pPr>
        <w:ind w:left="40" w:right="59" w:firstLine="648"/>
        <w:spacing w:after="0" w:line="269" w:lineRule="auto"/>
        <w:rPr>
          <w:sz w:val="20"/>
          <w:szCs w:val="20"/>
          <w:color w:val="auto"/>
        </w:rPr>
      </w:pPr>
      <w:r>
        <w:rPr>
          <w:rFonts w:ascii="Times New Roman" w:cs="Times New Roman" w:eastAsia="Times New Roman" w:hAnsi="Times New Roman"/>
          <w:sz w:val="16"/>
          <w:szCs w:val="16"/>
          <w:color w:val="auto"/>
        </w:rPr>
        <w:t>In March 2019, we entered into an underwriting agreement with Goldman, Sachs &amp; Co. and Cowen and Company, LLC, as representatives of the several underwriters, relating to a follow-on underwritten public offering of shares of our common stock. Pursuant to the underwriting agreement, we sold an aggregate of 4,662,162 shares of our common stock to the underwriters, including 608,108 shares of common stock sold by us pursuant to the exercise in full by the underwriters of their option to purchase additional shares in connection with the offering, at a price to the public of $74.00 per share. The offering closed on April 2, 2019. Certain holders of more than 5% of our capital stock (including shares of common stock acquired in the offering) purchased shares of our common stock from the underwriters in the offering at the offering price of the shares to the public.</w:t>
      </w:r>
    </w:p>
    <w:p>
      <w:pPr>
        <w:spacing w:after="0" w:line="82" w:lineRule="exact"/>
        <w:rPr>
          <w:sz w:val="20"/>
          <w:szCs w:val="20"/>
          <w:color w:val="auto"/>
        </w:rPr>
      </w:pPr>
    </w:p>
    <w:p>
      <w:pPr>
        <w:ind w:left="40" w:right="79"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number of shares of our common stock purchased and the aggregate cash purchase price paid by each of these stockholders.</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11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FMR LLC</w:t>
            </w:r>
          </w:p>
        </w:tc>
        <w:tc>
          <w:tcPr>
            <w:tcW w:w="2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316,595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23,428,030</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Entities affiliated with the Vanguard Group</w:t>
            </w:r>
          </w:p>
        </w:tc>
        <w:tc>
          <w:tcPr>
            <w:tcW w:w="3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16,650,000</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 Associates, Inc.</w:t>
            </w:r>
          </w:p>
        </w:tc>
        <w:tc>
          <w:tcPr>
            <w:tcW w:w="3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6,364,296</w:t>
            </w:r>
          </w:p>
        </w:tc>
        <w:tc>
          <w:tcPr>
            <w:tcW w:w="0" w:type="dxa"/>
            <w:vAlign w:val="bottom"/>
          </w:tcPr>
          <w:p>
            <w:pPr>
              <w:spacing w:after="0"/>
              <w:rPr>
                <w:sz w:val="1"/>
                <w:szCs w:val="1"/>
                <w:color w:val="auto"/>
              </w:rPr>
            </w:pPr>
          </w:p>
        </w:tc>
      </w:tr>
      <w:tr>
        <w:trPr>
          <w:trHeight w:val="858"/>
        </w:trPr>
        <w:tc>
          <w:tcPr>
            <w:tcW w:w="3600" w:type="dxa"/>
            <w:vAlign w:val="bottom"/>
          </w:tcPr>
          <w:p>
            <w:pPr>
              <w:spacing w:after="0"/>
              <w:rPr>
                <w:sz w:val="24"/>
                <w:szCs w:val="24"/>
                <w:color w:val="auto"/>
              </w:rPr>
            </w:pPr>
          </w:p>
        </w:tc>
        <w:tc>
          <w:tcPr>
            <w:tcW w:w="242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36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49" w:name="page50"/>
    <w:bookmarkEnd w:id="49"/>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right="2999" w:firstLine="2950"/>
        <w:spacing w:after="0" w:line="406" w:lineRule="auto"/>
        <w:rPr>
          <w:sz w:val="20"/>
          <w:szCs w:val="20"/>
          <w:color w:val="auto"/>
        </w:rPr>
      </w:pPr>
      <w:r>
        <w:rPr>
          <w:rFonts w:ascii="Times New Roman" w:cs="Times New Roman" w:eastAsia="Times New Roman" w:hAnsi="Times New Roman"/>
          <w:sz w:val="16"/>
          <w:szCs w:val="16"/>
          <w:b w:val="1"/>
          <w:bCs w:val="1"/>
          <w:color w:val="auto"/>
        </w:rPr>
        <w:t>STOCK OWNERSHIP AND REPORTING Security Ownership of Certain Beneficial Owners and Management</w:t>
      </w:r>
    </w:p>
    <w:p>
      <w:pPr>
        <w:spacing w:after="0" w:line="1" w:lineRule="exact"/>
        <w:rPr>
          <w:sz w:val="20"/>
          <w:szCs w:val="20"/>
          <w:color w:val="auto"/>
        </w:rPr>
      </w:pPr>
    </w:p>
    <w:p>
      <w:pPr>
        <w:ind w:left="40" w:right="319" w:firstLine="648"/>
        <w:spacing w:after="0" w:line="298" w:lineRule="auto"/>
        <w:rPr>
          <w:sz w:val="20"/>
          <w:szCs w:val="20"/>
          <w:color w:val="auto"/>
        </w:rPr>
      </w:pPr>
      <w:r>
        <w:rPr>
          <w:rFonts w:ascii="Times New Roman" w:cs="Times New Roman" w:eastAsia="Times New Roman" w:hAnsi="Times New Roman"/>
          <w:sz w:val="16"/>
          <w:szCs w:val="16"/>
          <w:color w:val="auto"/>
        </w:rPr>
        <w:t>Unless otherwise provided below, the following table sets forth information regarding beneficial ownership of our common stock as of March 31, 2020 by:</w:t>
      </w:r>
    </w:p>
    <w:p>
      <w:pPr>
        <w:spacing w:after="0" w:line="56" w:lineRule="exact"/>
        <w:rPr>
          <w:sz w:val="20"/>
          <w:szCs w:val="20"/>
          <w:color w:val="auto"/>
        </w:rPr>
      </w:pPr>
    </w:p>
    <w:p>
      <w:pPr>
        <w:ind w:left="1340" w:right="159" w:hanging="324"/>
        <w:spacing w:after="0" w:line="268" w:lineRule="auto"/>
        <w:tabs>
          <w:tab w:leader="none" w:pos="1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person, or group of affiliated persons, known to us to be the beneficial owner of 5% or more of the outstanding shares of our common stock;</w:t>
      </w:r>
    </w:p>
    <w:p>
      <w:pPr>
        <w:spacing w:after="0" w:line="76"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1340" w:right="159" w:hanging="324"/>
        <w:spacing w:after="0" w:line="264" w:lineRule="auto"/>
        <w:tabs>
          <w:tab w:leader="none" w:pos="1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principal executive officer and our two other executive officers who served during the year ended December 31, 2019 named in the Summary Compensation table above, whom we collectively refer to as our named executive officers; and</w:t>
      </w:r>
    </w:p>
    <w:p>
      <w:pPr>
        <w:spacing w:after="0" w:line="83"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of our executive officers and directors as a group.</w:t>
      </w:r>
    </w:p>
    <w:p>
      <w:pPr>
        <w:spacing w:after="0" w:line="117" w:lineRule="exact"/>
        <w:rPr>
          <w:sz w:val="20"/>
          <w:szCs w:val="20"/>
          <w:color w:val="auto"/>
        </w:rPr>
      </w:pPr>
    </w:p>
    <w:p>
      <w:pPr>
        <w:ind w:left="40" w:right="139" w:firstLine="648"/>
        <w:spacing w:after="0" w:line="269"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2020 or RSUs vesting within 60 days after March 31, 2020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78" w:lineRule="exact"/>
        <w:rPr>
          <w:sz w:val="20"/>
          <w:szCs w:val="20"/>
          <w:color w:val="auto"/>
        </w:rPr>
      </w:pPr>
    </w:p>
    <w:p>
      <w:pPr>
        <w:ind w:left="40" w:right="119" w:firstLine="648"/>
        <w:spacing w:after="0" w:line="275" w:lineRule="auto"/>
        <w:rPr>
          <w:sz w:val="20"/>
          <w:szCs w:val="20"/>
          <w:color w:val="auto"/>
        </w:rPr>
      </w:pPr>
      <w:r>
        <w:rPr>
          <w:rFonts w:ascii="Times New Roman" w:cs="Times New Roman" w:eastAsia="Times New Roman" w:hAnsi="Times New Roman"/>
          <w:sz w:val="16"/>
          <w:szCs w:val="16"/>
          <w:color w:val="auto"/>
        </w:rPr>
        <w:t>The column entitled “Percentage of Shares Beneficially Owned” is based on a total of 54,168,533 shares of our common stock outstanding as of March 31, 2020. Except as otherwise set forth below, the address of the beneficial owner is c/o Blueprint Medicines Corporation, 45 Sidney Street, Cambridge, Massachusetts 02139. Beneficial ownership representing less than one percent of our outstanding common stock is denoted with an “*.”</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8"/>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060" w:type="dxa"/>
            <w:vAlign w:val="bottom"/>
            <w:gridSpan w:val="2"/>
            <w:vMerge w:val="continue"/>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96"/>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FMR LLC (1)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7,379,190</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the Vanguard Group (2)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4,367,984</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Entities affiliated with BlackRock, Inc. (3)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4,257,120</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 Rowe Price Associates, Inc. (4)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3,353,567</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W. Albers (5)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741,174</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Anthony L. Boral, M.D., Ph.D. (6)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161,840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Alexis Borisy (7)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68,406</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Lonnel Coats (8)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George D. Demetri. M.D. (9)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67,233</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 Goldberg, M.D. (10)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Kathryn Haviland (11)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67,419</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Landsittel (12)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Nicholas Lydon, Ph.D. (13)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137,045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Daniel S. Lynch (14)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203,660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Tracey L. McCain, Esq. (15)</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117,781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A. Rowland, Jr. (16)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Lynn Seely, M.D. (17)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All executive officers and directors as a group (18 persons) (18)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2,129,691</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9" w:lineRule="exact"/>
        <w:rPr>
          <w:sz w:val="20"/>
          <w:szCs w:val="20"/>
          <w:color w:val="auto"/>
        </w:rPr>
      </w:pPr>
    </w:p>
    <w:p>
      <w:pPr>
        <w:ind w:left="360" w:right="119" w:hanging="316"/>
        <w:spacing w:after="0" w:line="228" w:lineRule="auto"/>
        <w:tabs>
          <w:tab w:leader="none" w:pos="3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February 7, 2020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collectively referred 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right="139"/>
        <w:spacing w:after="0" w:line="241" w:lineRule="auto"/>
        <w:rPr>
          <w:sz w:val="20"/>
          <w:szCs w:val="20"/>
          <w:color w:val="auto"/>
        </w:rPr>
      </w:pPr>
      <w:r>
        <w:rPr>
          <w:rFonts w:ascii="Times New Roman" w:cs="Times New Roman" w:eastAsia="Times New Roman" w:hAnsi="Times New Roman"/>
          <w:sz w:val="14"/>
          <w:szCs w:val="14"/>
          <w:color w:val="auto"/>
        </w:rPr>
        <w:t>as the Fidelity Funds, advised by Fidelity Management &amp; Research Company, or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 02210.</w:t>
      </w:r>
    </w:p>
    <w:p>
      <w:pPr>
        <w:spacing w:after="0" w:line="69" w:lineRule="exact"/>
        <w:rPr>
          <w:sz w:val="20"/>
          <w:szCs w:val="20"/>
          <w:color w:val="auto"/>
        </w:rPr>
      </w:pPr>
    </w:p>
    <w:p>
      <w:pPr>
        <w:ind w:left="360" w:right="51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February 12, 2020 by entities affiliated with the Vanguard Group, or Vanguard. The address for Vanguard is 100 Vanguard Blvd., Malvern, PA 19355.</w:t>
      </w:r>
    </w:p>
    <w:p>
      <w:pPr>
        <w:spacing w:after="0" w:line="54" w:lineRule="exact"/>
        <w:rPr>
          <w:rFonts w:ascii="Times New Roman" w:cs="Times New Roman" w:eastAsia="Times New Roman" w:hAnsi="Times New Roman"/>
          <w:sz w:val="14"/>
          <w:szCs w:val="14"/>
          <w:color w:val="auto"/>
        </w:rPr>
      </w:pPr>
    </w:p>
    <w:p>
      <w:pPr>
        <w:ind w:left="360" w:right="11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February 5, 2020 by BlackRock Inc., or BlackRock. The address for BlackRock is 55 East 52nd Street, New York, NY 10055.</w:t>
      </w:r>
    </w:p>
    <w:p>
      <w:pPr>
        <w:spacing w:after="0" w:line="54" w:lineRule="exact"/>
        <w:rPr>
          <w:rFonts w:ascii="Times New Roman" w:cs="Times New Roman" w:eastAsia="Times New Roman" w:hAnsi="Times New Roman"/>
          <w:sz w:val="14"/>
          <w:szCs w:val="14"/>
          <w:color w:val="auto"/>
        </w:rPr>
      </w:pPr>
    </w:p>
    <w:p>
      <w:pPr>
        <w:ind w:left="360" w:right="17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February 14, 2020 by T. Rowe Price Associates, Inc., or T Rowe Price. The address for T Rowe Price is 100 E. Pratt Street, Baltimore, MD 21202.</w:t>
      </w:r>
    </w:p>
    <w:p>
      <w:pPr>
        <w:spacing w:after="0" w:line="54" w:lineRule="exact"/>
        <w:rPr>
          <w:rFonts w:ascii="Times New Roman" w:cs="Times New Roman" w:eastAsia="Times New Roman" w:hAnsi="Times New Roman"/>
          <w:sz w:val="14"/>
          <w:szCs w:val="14"/>
          <w:color w:val="auto"/>
        </w:rPr>
      </w:pPr>
    </w:p>
    <w:p>
      <w:pPr>
        <w:ind w:left="360" w:right="31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74,122 shares of common stock and (ii) 667,052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right="37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1,214 shares of common stock and (ii) 160,626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right="45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60,906 shares of common stock and (ii) 7,500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41,136 shares of common stock underlying options exercisable and restricted stock units vesting within 60 days of March 31, 2020.</w:t>
      </w:r>
    </w:p>
    <w:p>
      <w:pPr>
        <w:spacing w:after="0" w:line="95" w:lineRule="exact"/>
        <w:rPr>
          <w:rFonts w:ascii="Times New Roman" w:cs="Times New Roman" w:eastAsia="Times New Roman" w:hAnsi="Times New Roman"/>
          <w:sz w:val="14"/>
          <w:szCs w:val="14"/>
          <w:color w:val="auto"/>
        </w:rPr>
      </w:pPr>
    </w:p>
    <w:p>
      <w:pPr>
        <w:ind w:left="360" w:right="45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2,462 shares of common stock and (ii) 64,771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51,136 shares of common stock underlying options exercisable and restricted stock units vesting within 60 days of March 31, 2020.</w:t>
      </w:r>
    </w:p>
    <w:p>
      <w:pPr>
        <w:spacing w:after="0" w:line="95" w:lineRule="exact"/>
        <w:rPr>
          <w:rFonts w:ascii="Times New Roman" w:cs="Times New Roman" w:eastAsia="Times New Roman" w:hAnsi="Times New Roman"/>
          <w:sz w:val="14"/>
          <w:szCs w:val="14"/>
          <w:color w:val="auto"/>
        </w:rPr>
      </w:pPr>
    </w:p>
    <w:p>
      <w:pPr>
        <w:ind w:left="360" w:right="37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22,026 shares of common stock and (ii) 45,393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right="11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913 shares of common stock and (ii) 74,743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right="31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107,727 shares of common stock and (ii) 29,318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right="31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174,342 shares of common stock and (ii) 29,318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right="39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1,396 shares of common stock and (ii) 116,385 shares of common stock underlying options exercisable and restricted stock units vesting within 60 days of March 31, 2020.</w:t>
      </w:r>
    </w:p>
    <w:p>
      <w:pPr>
        <w:spacing w:after="0" w:line="54"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39,318 shares of common stock underlying options exercisable and restricted stock units vesting within 60 days of March 31, 2020.</w:t>
      </w:r>
    </w:p>
    <w:p>
      <w:pPr>
        <w:spacing w:after="0" w:line="95" w:lineRule="exact"/>
        <w:rPr>
          <w:rFonts w:ascii="Times New Roman" w:cs="Times New Roman" w:eastAsia="Times New Roman" w:hAnsi="Times New Roman"/>
          <w:sz w:val="14"/>
          <w:szCs w:val="14"/>
          <w:color w:val="auto"/>
        </w:rPr>
      </w:pPr>
    </w:p>
    <w:p>
      <w:pPr>
        <w:ind w:left="360" w:hanging="316"/>
        <w:spacing w:after="0"/>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51,136 shares of common stock underlying options exercisable and restricted stock units vesting within 60 days of March 31, 2020.</w:t>
      </w:r>
    </w:p>
    <w:p>
      <w:pPr>
        <w:spacing w:after="0" w:line="95" w:lineRule="exact"/>
        <w:rPr>
          <w:rFonts w:ascii="Times New Roman" w:cs="Times New Roman" w:eastAsia="Times New Roman" w:hAnsi="Times New Roman"/>
          <w:sz w:val="14"/>
          <w:szCs w:val="14"/>
          <w:color w:val="auto"/>
        </w:rPr>
      </w:pPr>
    </w:p>
    <w:p>
      <w:pPr>
        <w:ind w:left="360" w:right="139" w:hanging="316"/>
        <w:spacing w:after="0" w:line="261" w:lineRule="auto"/>
        <w:tabs>
          <w:tab w:leader="none" w:pos="3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448,952 shares of common stock and (ii) 1,680,739 shares of common stock underlying options exercisable and restricted stock units vesting within 60 days of March 31, 2020.</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129" w:lineRule="exact"/>
        <w:rPr>
          <w:sz w:val="20"/>
          <w:szCs w:val="20"/>
          <w:color w:val="auto"/>
        </w:rPr>
      </w:pPr>
    </w:p>
    <w:p>
      <w:pPr>
        <w:ind w:left="40" w:right="119" w:firstLine="648"/>
        <w:spacing w:after="0" w:line="271" w:lineRule="auto"/>
        <w:rPr>
          <w:sz w:val="20"/>
          <w:szCs w:val="20"/>
          <w:color w:val="auto"/>
        </w:rPr>
      </w:pPr>
      <w:r>
        <w:rPr>
          <w:rFonts w:ascii="Times New Roman" w:cs="Times New Roman" w:eastAsia="Times New Roman" w:hAnsi="Times New Roman"/>
          <w:sz w:val="16"/>
          <w:szCs w:val="16"/>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2019.</w:t>
      </w:r>
    </w:p>
    <w:p>
      <w:pPr>
        <w:spacing w:after="0" w:line="7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STOCKHOLDER PROPOSALS</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Stockholder Proposals Included in Proxy Statement</w:t>
      </w:r>
    </w:p>
    <w:p>
      <w:pPr>
        <w:spacing w:after="0" w:line="129" w:lineRule="exact"/>
        <w:rPr>
          <w:sz w:val="20"/>
          <w:szCs w:val="20"/>
          <w:color w:val="auto"/>
        </w:rPr>
      </w:pPr>
    </w:p>
    <w:p>
      <w:pPr>
        <w:ind w:left="40" w:right="59" w:firstLine="648"/>
        <w:spacing w:after="0" w:line="271" w:lineRule="auto"/>
        <w:rPr>
          <w:sz w:val="20"/>
          <w:szCs w:val="20"/>
          <w:color w:val="auto"/>
        </w:rPr>
      </w:pPr>
      <w:r>
        <w:rPr>
          <w:rFonts w:ascii="Times New Roman" w:cs="Times New Roman" w:eastAsia="Times New Roman" w:hAnsi="Times New Roman"/>
          <w:sz w:val="16"/>
          <w:szCs w:val="16"/>
          <w:color w:val="auto"/>
        </w:rPr>
        <w:t>In order to be considered for inclusion in our proxy statement and proxy card relating to our annual meeting of stockholders to be held in 2021, stockholder proposals must be received by us no later than December 30, 2020, which is 120 days prior to the first anniversary of the mailing date of this proxy, unless the date of the 2020 annual meeting of stockholders is changed by more than 30 days from the anniversary of our 2020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ind w:left="40"/>
        <w:spacing w:after="0"/>
        <w:rPr>
          <w:rFonts w:ascii="Times New Roman" w:cs="Times New Roman" w:eastAsia="Times New Roman" w:hAnsi="Times New Roman"/>
          <w:sz w:val="18"/>
          <w:szCs w:val="18"/>
          <w:u w:val="single" w:color="auto"/>
          <w:color w:val="0563C1"/>
        </w:rPr>
      </w:pPr>
      <w:hyperlink w:anchor="page4">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Stockholder Proposals Not Included in Proxy Statement</w:t>
      </w:r>
    </w:p>
    <w:p>
      <w:pPr>
        <w:spacing w:after="0" w:line="129" w:lineRule="exact"/>
        <w:rPr>
          <w:sz w:val="20"/>
          <w:szCs w:val="20"/>
          <w:color w:val="auto"/>
        </w:rPr>
      </w:pPr>
    </w:p>
    <w:p>
      <w:pPr>
        <w:ind w:left="40" w:right="59" w:firstLine="648"/>
        <w:spacing w:after="0" w:line="267" w:lineRule="auto"/>
        <w:rPr>
          <w:sz w:val="20"/>
          <w:szCs w:val="20"/>
          <w:color w:val="auto"/>
        </w:rPr>
      </w:pPr>
      <w:r>
        <w:rPr>
          <w:rFonts w:ascii="Times New Roman" w:cs="Times New Roman" w:eastAsia="Times New Roman" w:hAnsi="Times New Roman"/>
          <w:sz w:val="16"/>
          <w:szCs w:val="16"/>
          <w:color w:val="auto"/>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2021 annual meeting of stockholders but not included in the proxy statement by March 25, 2021, but not before February 23, 2021, which is not less than 90 days nor more than 120 days prior to the anniversary date of the immediately preceding annual meeting. However, if the date of the annual meeting is more than 30 days before or more than 60 days after such anniversary date, notice must be received not earlier than the close of business 120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2021 annual meeting of stockholders may exercise discretionary voting power regarding any such proposal. Stockholders are advised to review our bylaws which also specify requirements as to the form and content of a stockholder’s notice.</w:t>
      </w:r>
    </w:p>
    <w:p>
      <w:pPr>
        <w:spacing w:after="0" w:line="82" w:lineRule="exact"/>
        <w:rPr>
          <w:sz w:val="20"/>
          <w:szCs w:val="20"/>
          <w:color w:val="auto"/>
        </w:rPr>
      </w:pPr>
    </w:p>
    <w:p>
      <w:pPr>
        <w:ind w:left="40" w:right="199" w:firstLine="648"/>
        <w:spacing w:after="0" w:line="281" w:lineRule="auto"/>
        <w:rPr>
          <w:sz w:val="20"/>
          <w:szCs w:val="20"/>
          <w:color w:val="auto"/>
        </w:rPr>
      </w:pPr>
      <w:r>
        <w:rPr>
          <w:rFonts w:ascii="Times New Roman" w:cs="Times New Roman" w:eastAsia="Times New Roman" w:hAnsi="Times New Roman"/>
          <w:sz w:val="16"/>
          <w:szCs w:val="16"/>
          <w:color w:val="auto"/>
        </w:rPr>
        <w:t>Any proposals, notices or information about proposed director candidates should be sent to Blueprint Medicines Corporation, Attention: Nominating and Corporate Governance Committee c/o Chief Legal Officer and Secretary, 45 Sidney Street, Cambridge, Massachusetts 02139.</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SHARING THE SAME ADDRESS</w:t>
      </w:r>
    </w:p>
    <w:p>
      <w:pPr>
        <w:spacing w:after="0" w:line="129" w:lineRule="exact"/>
        <w:rPr>
          <w:sz w:val="20"/>
          <w:szCs w:val="20"/>
          <w:color w:val="auto"/>
        </w:rPr>
      </w:pPr>
    </w:p>
    <w:p>
      <w:pPr>
        <w:ind w:left="40" w:right="179" w:firstLine="648"/>
        <w:spacing w:after="0" w:line="204" w:lineRule="exact"/>
        <w:rPr>
          <w:sz w:val="20"/>
          <w:szCs w:val="20"/>
          <w:color w:val="auto"/>
        </w:rPr>
      </w:pPr>
      <w:r>
        <w:rPr>
          <w:rFonts w:ascii="Times New Roman" w:cs="Times New Roman" w:eastAsia="Times New Roman" w:hAnsi="Times New Roman"/>
          <w:sz w:val="16"/>
          <w:szCs w:val="16"/>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2019 annual report to stockholders, which consists of our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the fiscal year ended December 31, 2019, to you if you contact us at Blueprint Medicines Corporation, 45 Sidney Street, Cambridge, Massachusetts 02139, Attn: Investor Relations, telephone: (617) 714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29" w:lineRule="exact"/>
        <w:rPr>
          <w:sz w:val="20"/>
          <w:szCs w:val="20"/>
          <w:color w:val="auto"/>
        </w:rPr>
      </w:pPr>
    </w:p>
    <w:p>
      <w:pPr>
        <w:ind w:left="40" w:right="379" w:firstLine="648"/>
        <w:spacing w:after="0" w:line="275" w:lineRule="auto"/>
        <w:rPr>
          <w:sz w:val="20"/>
          <w:szCs w:val="20"/>
          <w:color w:val="auto"/>
        </w:rPr>
      </w:pPr>
      <w:r>
        <w:rPr>
          <w:rFonts w:ascii="Times New Roman" w:cs="Times New Roman" w:eastAsia="Times New Roman" w:hAnsi="Times New Roman"/>
          <w:sz w:val="16"/>
          <w:szCs w:val="16"/>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563C1"/>
        </w:rPr>
      </w:pPr>
      <w:hyperlink w:anchor="page4">
        <w:r>
          <w:rPr>
            <w:rFonts w:ascii="Times New Roman" w:cs="Times New Roman" w:eastAsia="Times New Roman" w:hAnsi="Times New Roman"/>
            <w:sz w:val="17"/>
            <w:szCs w:val="17"/>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179070</wp:posOffset>
            </wp:positionV>
            <wp:extent cx="6292215" cy="8324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832421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563C1"/>
        </w:rPr>
      </w:pPr>
      <w:hyperlink w:anchor="page4">
        <w:r>
          <w:rPr>
            <w:rFonts w:ascii="Times New Roman" w:cs="Times New Roman" w:eastAsia="Times New Roman" w:hAnsi="Times New Roman"/>
            <w:sz w:val="17"/>
            <w:szCs w:val="17"/>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8477250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170180</wp:posOffset>
            </wp:positionV>
            <wp:extent cx="5829300" cy="7543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9479"/>
      </w:cols>
      <w:pgMar w:left="9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617"/>
    </w:lvl>
  </w:abstractNum>
  <w:abstractNum w:abstractNumId="7">
    <w:nsid w:val="2CD89A32"/>
    <w:multiLevelType w:val="hybridMultilevel"/>
    <w:lvl w:ilvl="0">
      <w:lvlJc w:val="left"/>
      <w:lvlText w:val="%1."/>
      <w:numFmt w:val="upperLetter"/>
      <w:start w:val="17"/>
    </w:lvl>
    <w:lvl w:ilvl="1">
      <w:lvlJc w:val="left"/>
      <w:lvlText w:val="%2"/>
      <w:numFmt w:val="decimal"/>
      <w:start w:val="1"/>
    </w:lvl>
  </w:abstractNum>
  <w:abstractNum w:abstractNumId="8">
    <w:nsid w:val="57E4CCAF"/>
    <w:multiLevelType w:val="hybridMultilevel"/>
    <w:lvl w:ilvl="0">
      <w:lvlJc w:val="left"/>
      <w:lvlText w:val="%1."/>
      <w:numFmt w:val="upperLetter"/>
      <w:start w:val="1"/>
    </w:lvl>
    <w:lvl w:ilvl="1">
      <w:lvlJc w:val="left"/>
      <w:lvlText w:val="%2"/>
      <w:numFmt w:val="decimal"/>
      <w:start w:val="1"/>
    </w:lvl>
  </w:abstractNum>
  <w:abstractNum w:abstractNumId="9">
    <w:nsid w:val="7A6D8D3C"/>
    <w:multiLevelType w:val="hybridMultilevel"/>
    <w:lvl w:ilvl="0">
      <w:lvlJc w:val="left"/>
      <w:lvlText w:val="%1."/>
      <w:numFmt w:val="upperLetter"/>
      <w:start w:val="17"/>
    </w:lvl>
    <w:lvl w:ilvl="1">
      <w:lvlJc w:val="left"/>
      <w:lvlText w:val="%2"/>
      <w:numFmt w:val="decimal"/>
      <w:start w:val="1"/>
    </w:lvl>
  </w:abstractNum>
  <w:abstractNum w:abstractNumId="10">
    <w:nsid w:val="4B588F54"/>
    <w:multiLevelType w:val="hybridMultilevel"/>
    <w:lvl w:ilvl="0">
      <w:lvlJc w:val="left"/>
      <w:lvlText w:val="%1."/>
      <w:numFmt w:val="upperLetter"/>
      <w:start w:val="1"/>
    </w:lvl>
    <w:lvl w:ilvl="1">
      <w:lvlJc w:val="left"/>
      <w:lvlText w:val="%2"/>
      <w:numFmt w:val="decimal"/>
      <w:start w:val="1"/>
    </w:lvl>
  </w:abstractNum>
  <w:abstractNum w:abstractNumId="11">
    <w:nsid w:val="542289EC"/>
    <w:multiLevelType w:val="hybridMultilevel"/>
    <w:lvl w:ilvl="0">
      <w:lvlJc w:val="left"/>
      <w:lvlText w:val="%1."/>
      <w:numFmt w:val="upperLetter"/>
      <w:start w:val="17"/>
    </w:lvl>
    <w:lvl w:ilvl="1">
      <w:lvlJc w:val="left"/>
      <w:lvlText w:val="%2"/>
      <w:numFmt w:val="decimal"/>
      <w:start w:val="1"/>
    </w:lvl>
  </w:abstractNum>
  <w:abstractNum w:abstractNumId="12">
    <w:nsid w:val="6DE91B18"/>
    <w:multiLevelType w:val="hybridMultilevel"/>
    <w:lvl w:ilvl="0">
      <w:lvlJc w:val="left"/>
      <w:lvlText w:val="%1."/>
      <w:numFmt w:val="upperLetter"/>
      <w:start w:val="1"/>
    </w:lvl>
    <w:lvl w:ilvl="1">
      <w:lvlJc w:val="left"/>
      <w:lvlText w:val="%2."/>
      <w:numFmt w:val="decimal"/>
      <w:start w:val="1"/>
    </w:lvl>
  </w:abstractNum>
  <w:abstractNum w:abstractNumId="13">
    <w:nsid w:val="38437FDB"/>
    <w:multiLevelType w:val="hybridMultilevel"/>
    <w:lvl w:ilvl="0">
      <w:lvlJc w:val="left"/>
      <w:lvlText w:val="%1."/>
      <w:numFmt w:val="upperLetter"/>
      <w:start w:val="17"/>
    </w:lvl>
    <w:lvl w:ilvl="1">
      <w:lvlJc w:val="left"/>
      <w:lvlText w:val="%2"/>
      <w:numFmt w:val="decimal"/>
      <w:start w:val="1"/>
    </w:lvl>
  </w:abstractNum>
  <w:abstractNum w:abstractNumId="14">
    <w:nsid w:val="7644A45C"/>
    <w:multiLevelType w:val="hybridMultilevel"/>
    <w:lvl w:ilvl="0">
      <w:lvlJc w:val="left"/>
      <w:lvlText w:val="%1."/>
      <w:numFmt w:val="upperLetter"/>
      <w:start w:val="1"/>
    </w:lvl>
    <w:lvl w:ilvl="1">
      <w:lvlJc w:val="left"/>
      <w:lvlText w:val="%2"/>
      <w:numFmt w:val="decimal"/>
      <w:start w:val="1"/>
    </w:lvl>
  </w:abstractNum>
  <w:abstractNum w:abstractNumId="15">
    <w:nsid w:val="32FFF902"/>
    <w:multiLevelType w:val="hybridMultilevel"/>
    <w:lvl w:ilvl="0">
      <w:lvlJc w:val="left"/>
      <w:lvlText w:val="%1."/>
      <w:numFmt w:val="upperLetter"/>
      <w:start w:val="17"/>
    </w:lvl>
    <w:lvl w:ilvl="1">
      <w:lvlJc w:val="left"/>
      <w:lvlText w:val="%2"/>
      <w:numFmt w:val="decimal"/>
      <w:start w:val="1"/>
    </w:lvl>
  </w:abstractNum>
  <w:abstractNum w:abstractNumId="16">
    <w:nsid w:val="684A481A"/>
    <w:multiLevelType w:val="hybridMultilevel"/>
    <w:lvl w:ilvl="0">
      <w:lvlJc w:val="left"/>
      <w:lvlText w:val="%1."/>
      <w:numFmt w:val="upperLetter"/>
      <w:start w:val="1"/>
    </w:lvl>
    <w:lvl w:ilvl="1">
      <w:lvlJc w:val="left"/>
      <w:lvlText w:val="%2"/>
      <w:numFmt w:val="decimal"/>
      <w:start w:val="1"/>
    </w:lvl>
  </w:abstractNum>
  <w:abstractNum w:abstractNumId="17">
    <w:nsid w:val="579478FE"/>
    <w:multiLevelType w:val="hybridMultilevel"/>
    <w:lvl w:ilvl="0">
      <w:lvlJc w:val="left"/>
      <w:lvlText w:val="%1."/>
      <w:numFmt w:val="upperLetter"/>
      <w:start w:val="17"/>
    </w:lvl>
    <w:lvl w:ilvl="1">
      <w:lvlJc w:val="left"/>
      <w:lvlText w:val="%2"/>
      <w:numFmt w:val="decimal"/>
      <w:start w:val="1"/>
    </w:lvl>
  </w:abstractNum>
  <w:abstractNum w:abstractNumId="18">
    <w:nsid w:val="749ABB43"/>
    <w:multiLevelType w:val="hybridMultilevel"/>
    <w:lvl w:ilvl="0">
      <w:lvlJc w:val="left"/>
      <w:lvlText w:val="%1."/>
      <w:numFmt w:val="upperLetter"/>
      <w:start w:val="1"/>
    </w:lvl>
    <w:lvl w:ilvl="1">
      <w:lvlJc w:val="left"/>
      <w:lvlText w:val="%2."/>
      <w:numFmt w:val="decimal"/>
      <w:start w:val="1"/>
    </w:lvl>
  </w:abstractNum>
  <w:abstractNum w:abstractNumId="19">
    <w:nsid w:val="3DC240FB"/>
    <w:multiLevelType w:val="hybridMultilevel"/>
    <w:lvl w:ilvl="0">
      <w:lvlJc w:val="left"/>
      <w:lvlText w:val="%1."/>
      <w:numFmt w:val="decimal"/>
      <w:start w:val="4"/>
    </w:lvl>
  </w:abstractNum>
  <w:abstractNum w:abstractNumId="20">
    <w:nsid w:val="1BA026FA"/>
    <w:multiLevelType w:val="hybridMultilevel"/>
    <w:lvl w:ilvl="0">
      <w:lvlJc w:val="left"/>
      <w:lvlText w:val="%1."/>
      <w:numFmt w:val="upperLetter"/>
      <w:start w:val="17"/>
    </w:lvl>
    <w:lvl w:ilvl="1">
      <w:lvlJc w:val="left"/>
      <w:lvlText w:val="%2"/>
      <w:numFmt w:val="decimal"/>
      <w:start w:val="1"/>
    </w:lvl>
  </w:abstractNum>
  <w:abstractNum w:abstractNumId="21">
    <w:nsid w:val="79A1DEAA"/>
    <w:multiLevelType w:val="hybridMultilevel"/>
    <w:lvl w:ilvl="0">
      <w:lvlJc w:val="left"/>
      <w:lvlText w:val="%1."/>
      <w:numFmt w:val="upperLetter"/>
      <w:start w:val="1"/>
    </w:lvl>
    <w:lvl w:ilvl="1">
      <w:lvlJc w:val="left"/>
      <w:lvlText w:val="%2"/>
      <w:numFmt w:val="decimal"/>
      <w:start w:val="1"/>
    </w:lvl>
  </w:abstractNum>
  <w:abstractNum w:abstractNumId="22">
    <w:nsid w:val="75C6C33A"/>
    <w:multiLevelType w:val="hybridMultilevel"/>
    <w:lvl w:ilvl="0">
      <w:lvlJc w:val="left"/>
      <w:lvlText w:val="%1."/>
      <w:numFmt w:val="upperLetter"/>
      <w:start w:val="17"/>
    </w:lvl>
    <w:lvl w:ilvl="1">
      <w:lvlJc w:val="left"/>
      <w:lvlText w:val="%2"/>
      <w:numFmt w:val="decimal"/>
      <w:start w:val="1"/>
    </w:lvl>
  </w:abstractNum>
  <w:abstractNum w:abstractNumId="23">
    <w:nsid w:val="12E685FB"/>
    <w:multiLevelType w:val="hybridMultilevel"/>
    <w:lvl w:ilvl="0">
      <w:lvlJc w:val="left"/>
      <w:lvlText w:val="%1."/>
      <w:numFmt w:val="upperLetter"/>
      <w:start w:val="1"/>
    </w:lvl>
    <w:lvl w:ilvl="1">
      <w:lvlJc w:val="left"/>
      <w:lvlText w:val="%2."/>
      <w:numFmt w:val="decimal"/>
      <w:start w:val="1"/>
    </w:lvl>
  </w:abstractNum>
  <w:abstractNum w:abstractNumId="24">
    <w:nsid w:val="70C6A529"/>
    <w:multiLevelType w:val="hybridMultilevel"/>
    <w:lvl w:ilvl="0">
      <w:lvlJc w:val="left"/>
      <w:lvlText w:val="%1."/>
      <w:numFmt w:val="decimal"/>
      <w:start w:val="2"/>
    </w:lvl>
  </w:abstractNum>
  <w:abstractNum w:abstractNumId="25">
    <w:nsid w:val="520EEDD1"/>
    <w:multiLevelType w:val="hybridMultilevel"/>
    <w:lvl w:ilvl="0">
      <w:lvlJc w:val="left"/>
      <w:lvlText w:val="%1."/>
      <w:numFmt w:val="upperLetter"/>
      <w:start w:val="17"/>
    </w:lvl>
  </w:abstractNum>
  <w:abstractNum w:abstractNumId="26">
    <w:nsid w:val="374A3FE6"/>
    <w:multiLevelType w:val="hybridMultilevel"/>
    <w:lvl w:ilvl="0">
      <w:lvlJc w:val="left"/>
      <w:lvlText w:val="%1."/>
      <w:numFmt w:val="upperLetter"/>
      <w:start w:val="1"/>
    </w:lvl>
  </w:abstractNum>
  <w:abstractNum w:abstractNumId="27">
    <w:nsid w:val="4F4EF005"/>
    <w:multiLevelType w:val="hybridMultilevel"/>
    <w:lvl w:ilvl="0">
      <w:lvlJc w:val="left"/>
      <w:lvlText w:val="%1."/>
      <w:numFmt w:val="upperLetter"/>
      <w:start w:val="17"/>
    </w:lvl>
  </w:abstractNum>
  <w:abstractNum w:abstractNumId="28">
    <w:nsid w:val="23F9C13C"/>
    <w:multiLevelType w:val="hybridMultilevel"/>
    <w:lvl w:ilvl="0">
      <w:lvlJc w:val="left"/>
      <w:lvlText w:val="%1."/>
      <w:numFmt w:val="upperLetter"/>
      <w:start w:val="1"/>
    </w:lvl>
  </w:abstractNum>
  <w:abstractNum w:abstractNumId="29">
    <w:nsid w:val="649BB77C"/>
    <w:multiLevelType w:val="hybridMultilevel"/>
    <w:lvl w:ilvl="0">
      <w:lvlJc w:val="left"/>
      <w:lvlText w:val="%1."/>
      <w:numFmt w:val="decimal"/>
      <w:start w:val="1"/>
    </w:lvl>
    <w:lvl w:ilvl="1">
      <w:lvlJc w:val="left"/>
      <w:lvlText w:val="☐"/>
      <w:numFmt w:val="bullet"/>
      <w:start w:val="1"/>
    </w:lvl>
  </w:abstractNum>
  <w:abstractNum w:abstractNumId="30">
    <w:nsid w:val="275AC794"/>
    <w:multiLevelType w:val="hybridMultilevel"/>
    <w:lvl w:ilvl="0">
      <w:lvlJc w:val="left"/>
      <w:lvlText w:val="%1."/>
      <w:numFmt w:val="upperLetter"/>
      <w:start w:val="17"/>
    </w:lvl>
  </w:abstractNum>
  <w:abstractNum w:abstractNumId="31">
    <w:nsid w:val="39386575"/>
    <w:multiLevelType w:val="hybridMultilevel"/>
    <w:lvl w:ilvl="0">
      <w:lvlJc w:val="left"/>
      <w:lvlText w:val="%1."/>
      <w:numFmt w:val="upperLetter"/>
      <w:start w:val="1"/>
    </w:lvl>
  </w:abstractNum>
  <w:abstractNum w:abstractNumId="32">
    <w:nsid w:val="1CF10FD8"/>
    <w:multiLevelType w:val="hybridMultilevel"/>
    <w:lvl w:ilvl="0">
      <w:lvlJc w:val="left"/>
      <w:lvlText w:val="%1."/>
      <w:numFmt w:val="upperLetter"/>
      <w:start w:val="17"/>
    </w:lvl>
  </w:abstractNum>
  <w:abstractNum w:abstractNumId="33">
    <w:nsid w:val="180115BE"/>
    <w:multiLevelType w:val="hybridMultilevel"/>
    <w:lvl w:ilvl="0">
      <w:lvlJc w:val="left"/>
      <w:lvlText w:val="%1."/>
      <w:numFmt w:val="upperLetter"/>
      <w:start w:val="1"/>
    </w:lvl>
  </w:abstractNum>
  <w:abstractNum w:abstractNumId="34">
    <w:nsid w:val="235BA861"/>
    <w:multiLevelType w:val="hybridMultilevel"/>
    <w:lvl w:ilvl="0">
      <w:lvlJc w:val="left"/>
      <w:lvlText w:val="%1."/>
      <w:numFmt w:val="upperLetter"/>
      <w:start w:val="17"/>
    </w:lvl>
  </w:abstractNum>
  <w:abstractNum w:abstractNumId="35">
    <w:nsid w:val="47398C89"/>
    <w:multiLevelType w:val="hybridMultilevel"/>
    <w:lvl w:ilvl="0">
      <w:lvlJc w:val="left"/>
      <w:lvlText w:val="%1."/>
      <w:numFmt w:val="upperLetter"/>
      <w:start w:val="1"/>
    </w:lvl>
  </w:abstractNum>
  <w:abstractNum w:abstractNumId="36">
    <w:nsid w:val="354FE9F9"/>
    <w:multiLevelType w:val="hybridMultilevel"/>
    <w:lvl w:ilvl="0">
      <w:lvlJc w:val="left"/>
      <w:lvlText w:val="%1."/>
      <w:numFmt w:val="upperLetter"/>
      <w:start w:val="17"/>
    </w:lvl>
  </w:abstractNum>
  <w:abstractNum w:abstractNumId="37">
    <w:nsid w:val="15B5AF5C"/>
    <w:multiLevelType w:val="hybridMultilevel"/>
    <w:lvl w:ilvl="0">
      <w:lvlJc w:val="left"/>
      <w:lvlText w:val="%1."/>
      <w:numFmt w:val="upperLetter"/>
      <w:start w:val="1"/>
    </w:lvl>
  </w:abstractNum>
  <w:abstractNum w:abstractNumId="38">
    <w:nsid w:val="741226BB"/>
    <w:multiLevelType w:val="hybridMultilevel"/>
    <w:lvl w:ilvl="0">
      <w:lvlJc w:val="left"/>
      <w:lvlText w:val="%1."/>
      <w:numFmt w:val="upperLetter"/>
      <w:start w:val="17"/>
    </w:lvl>
  </w:abstractNum>
  <w:abstractNum w:abstractNumId="39">
    <w:nsid w:val="D34B6A8"/>
    <w:multiLevelType w:val="hybridMultilevel"/>
    <w:lvl w:ilvl="0">
      <w:lvlJc w:val="left"/>
      <w:lvlText w:val="%1."/>
      <w:numFmt w:val="upperLetter"/>
      <w:start w:val="1"/>
    </w:lvl>
  </w:abstractNum>
  <w:abstractNum w:abstractNumId="40">
    <w:nsid w:val="10233C99"/>
    <w:multiLevelType w:val="hybridMultilevel"/>
    <w:lvl w:ilvl="0">
      <w:lvlJc w:val="left"/>
      <w:lvlText w:val="%1."/>
      <w:numFmt w:val="upperLetter"/>
      <w:start w:val="17"/>
    </w:lvl>
  </w:abstractNum>
  <w:abstractNum w:abstractNumId="41">
    <w:nsid w:val="3F6AB60F"/>
    <w:multiLevelType w:val="hybridMultilevel"/>
    <w:lvl w:ilvl="0">
      <w:lvlJc w:val="left"/>
      <w:lvlText w:val="%1."/>
      <w:numFmt w:val="upperLetter"/>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
      <w:numFmt w:val="bullet"/>
      <w:start w:val="1"/>
    </w:lvl>
    <w:lvl w:ilvl="1">
      <w:lvlJc w:val="left"/>
      <w:lvlText w:val=" "/>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2020-04-29T15:24:51Z</dcterms:created>
  <dcterms:modified xsi:type="dcterms:W3CDTF">2020-04-29T15:24:51Z</dcterms:modified>
</cp:coreProperties>
</file>