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4,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09"/>
        </w:trPr>
        <w:tc>
          <w:tcPr>
            <w:tcW w:w="44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r>
      <w:tr>
        <w:trPr>
          <w:trHeight w:val="28"/>
        </w:trPr>
        <w:tc>
          <w:tcPr>
            <w:tcW w:w="4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675"/>
        </w:trPr>
        <w:tc>
          <w:tcPr>
            <w:tcW w:w="4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0" w:right="339" w:bottom="1440" w:gutter="0" w:footer="0" w:header="0"/>
          <w:type w:val="continuous"/>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January 5, 2022, Blueprint Medicines Corporation (the “Company”) announced that, effective April 4, 2022 (the “Transition Date”), Jeffrey Albers will transition from his role as Chief Executive Officer and President of the Company and will become Executive Chairman. Mr. Albers will serve as Executive Chairman through December 31, 2022, with continued service as Chairman of the Board of Directors thereafter.</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the same date, the Company announced that Kathryn Haviland, currently the Company’s Chief Operating Officer, has been appointed by the Board of Directors to serve as the Company’s Chief Executive Officer and President, effective as of the Transition Date. In connection with her appointment as Chief Executive Officer and President, Ms. Haviland will replace Mr. Albers as the Company’s principal executive officer. Additionally, on the same date, the Company announced that Christina Rossi, currently the Company’s Chief Commercial Officer, has been appointed by the Board of Directors to serve as the Company’s Chief Operating Officer, effective as of the Transition Date.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Board of Directors also approved an increase in the size of the Board of Directors to ten members and in the size of Class II from three to four, and the appointment of Ms. Haviland as a Class II director, in each case effective as of the Transition Date. Ms. Haviland will serve as a Class II director of the Company until the Company’s 2023 annual meeting of stockholders. The Board of Directors believes Ms. Haviland is qualified to serve as a member of the Board of Directors because of her extensive experience in the pharmaceutical industry and her intimate understanding of the Company’s business and strategy. No arrangement or understanding exists between Ms. Haviland and any other person pursuant to which Ms. Haviland was selected as a director of the Company.</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this transition, on January 4, 2022, Mr. Albers entered into an amended and restated employment agreement, effective as of the Transition Date (the “Albers Agreement”), pursuant to which Mr. Albers will continue to receive an annual base salary of $425,000. For the period beginning on January 1, 2022 and ending on April 3, 2022 (the “Transition Period”), Mr. Albers is eligible to earn pro-rated incentive compensation in connection with his services as President and Chief Executive Officer of the Company during such period based on a target bonus percentage of 70% (as a percentage of annualized base salary, weighted 100% with respect to the Company’s goals for the fiscal year ended December 31, 2022 and 0% with respect to individual goals), provided Mr. Albers remains a member of the Company’s Board of Directors on the day such incentive compensation is paid. In connection with this transition, Mr. Albers was granted options to purchase 15,000 shares of the Company’s common stock, 25% of which will vest upon the one year anniversary of the earlier of (a) the date on which annual equity awards are granted to the Company’s employees for 2022 and (b) the Transition Date (the “Grant Date”) and 75% of which shall thereafter vest ratably in monthly installments over 36 months, subject to continued service through each applicable vesting date, and 7,500 restricted stock units, which shall vest ratably in annual installments over four years beginning on the one year anniversary of the Grant Date, subject to continued service through each applicable vesting date. Mr. Albers’ existing equity awards will continue to vest in accordance with their terms.</w:t>
      </w:r>
    </w:p>
    <w:p>
      <w:pPr>
        <w:spacing w:after="0" w:line="1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January 4, 2022, Ms. Haviland entered into an amended and restated employment agreement, effective as of the Transition Date (the “Haviland Agreement”), pursuant to which she will receive an annual base salary of $745,000 and her target annual incentive compensation shall be 70% of her annual base salary, weighted 100% on Company performance. During the Transition Period, Ms. Haviland is eligible to earn prorated incentive compensation under her existing employment agreement in connection with her services as Chief Operating Officer of the Company during such period based on Ms. Haviland’s target annual incentive compensation equal to 60% of her annual base salary as in effect during such period (which shall be weighed 75% on Company performance and 25% on Ms. Haviland’s individual performance), provided Ms. Haviland remains employed by the Company on the day such incentive compensation is paid. In connection with her appointment, Ms. Haviland was granted options to purchase 80,000 shares of the Company’s common stock, 25% of which will vest upon the one year anniversary of the Grant Date and 75% of which shall thereafter vest ratably in monthly installments over 36 months subject to continued service through each applicable vesting date, and 40,000 restricted stock units, which shall vest ratably in annual installments over four years beginning on the one-year anniversary of the Grant Date subject to continued service through each applicable vesting date. Ms. Haviland’s existing equity awards will continue to vest in accordance with their terms.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Also on January 4, 2022, Ms. Rossi entered into an amended and restated employment agreement, effective as of the Transition Date (the “Rossi Agreement”), pursuant to which she will receive an annual base salary of $581,510 and her target annual incentive compensation shall be 60% of her base salary, weighted 75% on Company performance and 25% on Ms. Rossi’s individual performance. During the Transition Period, Ms. Rossi is eligible to earn prorated incentive compensation under her existing employment agreement in connection with her services as Chief Commercial Officer of the Company during such period based on Ms. Rossi’s target annual incentive compensation equal to 50% of her annual base salary as in effect during such period (which shall be weighed 75% on Company performance and 25% on Ms. Rossi’s individual performance), provided Ms. Rossi remains employed by the Company on the day such incentive compensation is paid. In connection with her appointment, Ms. Rossi was granted options to purchase 30,000 shares of the Company’s common stock, 25% of which will vest upon the one year anniversary of the Grant Date and 75% of which shall thereafter vest ratably in monthly installments over 36 months subject to continued service through each applicable vesting date, and 15,000 restricted stock units, which shall vest ratably in annual installments over four years beginning on the one year anniversary of the Grant Date subject to continued service through each applicable vesting date. Ms. Rossi’s existing equity awards will continue to vest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260"/>
        <w:spacing w:after="0" w:line="263" w:lineRule="auto"/>
        <w:rPr>
          <w:sz w:val="20"/>
          <w:szCs w:val="20"/>
          <w:color w:val="auto"/>
        </w:rPr>
      </w:pPr>
      <w:r>
        <w:rPr>
          <w:rFonts w:ascii="Arial" w:cs="Arial" w:eastAsia="Arial" w:hAnsi="Arial"/>
          <w:sz w:val="18"/>
          <w:szCs w:val="18"/>
          <w:color w:val="auto"/>
        </w:rPr>
        <w:t>The foregoing descriptions of the Albers Agreement, the Haviland Agreement and the Rossi Agreement are qualified in their entirety by reference to the complete text of each such agreement, which are attached as Exhibits 10.1, 10.2 and 10.3, respectively, to this Current Report on Form 8-K, and incorporated by reference herein.</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Biographical information regarding Ms. Haviland and Ms. Rossi is set forth in the Company’s proxy statement for its 2021 annual meeting of stockholders, as filed with the U.S. Securities and Exchange Commission on April 21, 2021, and such information is incorporated by reference herein. No arrangement or understanding exists between Ms. Haviland and any other person pursuant to which Ms. Haviland was selected to serve as Chief Executive Officer and President of the Company, nor between Ms. Rossi and any other person pursuant to which Ms. Rossi was selected to serve as Chief Operating Officer of the Company. There have been no related party transactions between the Company or any of its subsidiaries and Ms. Haviland or Ms. Rossi reportable under Item 404(a) of Regulation S-K. Neither Ms. Haviland nor Ms. Rossi have a family relationship with any of our directors or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copy of the Company’s press release announcing the foregoing is attached to this Current Report on Form 8-K as Exhibit 99.1. The information in this Item 7.01 and in Exhibit 99.1 attached hereto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to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9" w:lineRule="exact"/>
        <w:rPr>
          <w:sz w:val="20"/>
          <w:szCs w:val="20"/>
          <w:color w:val="auto"/>
        </w:rPr>
      </w:pPr>
    </w:p>
    <w:p>
      <w:pPr>
        <w:ind w:left="640" w:right="500" w:hanging="633"/>
        <w:spacing w:after="0" w:line="250" w:lineRule="auto"/>
        <w:tabs>
          <w:tab w:leader="none" w:pos="620" w:val="left"/>
        </w:tabs>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5">
        <w:r>
          <w:rPr>
            <w:rFonts w:ascii="Arial" w:cs="Arial" w:eastAsia="Arial" w:hAnsi="Arial"/>
            <w:sz w:val="18"/>
            <w:szCs w:val="18"/>
            <w:u w:val="single" w:color="auto"/>
            <w:color w:val="0000EE"/>
          </w:rPr>
          <w:t>Amended and Restated Employment Agreement, dated January 4, 2022 and effective as of April 4, 2022, by and between the Registrant and</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Jeffrey W. Albers</w:t>
        </w:r>
      </w:hyperlink>
    </w:p>
    <w:p>
      <w:pPr>
        <w:spacing w:after="0" w:line="1" w:lineRule="exact"/>
        <w:rPr>
          <w:rFonts w:ascii="Arial" w:cs="Arial" w:eastAsia="Arial" w:hAnsi="Arial"/>
          <w:sz w:val="18"/>
          <w:szCs w:val="18"/>
          <w:u w:val="single" w:color="auto"/>
          <w:color w:val="0000EE"/>
        </w:rPr>
      </w:pPr>
    </w:p>
    <w:p>
      <w:pPr>
        <w:ind w:left="640" w:right="500" w:hanging="633"/>
        <w:spacing w:after="0" w:line="250" w:lineRule="auto"/>
        <w:tabs>
          <w:tab w:leader="none" w:pos="620" w:val="left"/>
        </w:tabs>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w:anchor="page17">
        <w:r>
          <w:rPr>
            <w:rFonts w:ascii="Arial" w:cs="Arial" w:eastAsia="Arial" w:hAnsi="Arial"/>
            <w:sz w:val="18"/>
            <w:szCs w:val="18"/>
            <w:u w:val="single" w:color="auto"/>
            <w:color w:val="0000EE"/>
          </w:rPr>
          <w:t>Amended and Restated Employment Agreement, dated January 4, 2022 and effective as of April 4, 2022, by and between the Registrant and</w:t>
        </w:r>
      </w:hyperlink>
      <w:r>
        <w:rPr>
          <w:rFonts w:ascii="Arial" w:cs="Arial" w:eastAsia="Arial" w:hAnsi="Arial"/>
          <w:sz w:val="18"/>
          <w:szCs w:val="18"/>
          <w:u w:val="single" w:color="auto"/>
          <w:color w:val="0000EE"/>
        </w:rPr>
        <w:t xml:space="preserve"> </w:t>
      </w:r>
      <w:hyperlink w:anchor="page17">
        <w:r>
          <w:rPr>
            <w:rFonts w:ascii="Arial" w:cs="Arial" w:eastAsia="Arial" w:hAnsi="Arial"/>
            <w:sz w:val="18"/>
            <w:szCs w:val="18"/>
            <w:u w:val="single" w:color="auto"/>
            <w:color w:val="0000EE"/>
          </w:rPr>
          <w:t>Kathryn Haviland</w:t>
        </w:r>
      </w:hyperlink>
    </w:p>
    <w:p>
      <w:pPr>
        <w:spacing w:after="0" w:line="1" w:lineRule="exact"/>
        <w:rPr>
          <w:rFonts w:ascii="Arial" w:cs="Arial" w:eastAsia="Arial" w:hAnsi="Arial"/>
          <w:sz w:val="18"/>
          <w:szCs w:val="18"/>
          <w:u w:val="single" w:color="auto"/>
          <w:color w:val="0000EE"/>
        </w:rPr>
      </w:pPr>
    </w:p>
    <w:p>
      <w:pPr>
        <w:ind w:left="640" w:right="500" w:hanging="633"/>
        <w:spacing w:after="0" w:line="250" w:lineRule="auto"/>
        <w:tabs>
          <w:tab w:leader="none" w:pos="620" w:val="left"/>
        </w:tabs>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w:anchor="page29">
        <w:r>
          <w:rPr>
            <w:rFonts w:ascii="Arial" w:cs="Arial" w:eastAsia="Arial" w:hAnsi="Arial"/>
            <w:sz w:val="18"/>
            <w:szCs w:val="18"/>
            <w:u w:val="single" w:color="auto"/>
            <w:color w:val="0000EE"/>
          </w:rPr>
          <w:t>Amended and Restated Employment Agreement, dated January 4, 2022 and effective as of April 4, 2022, by and between the Registrant and</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Christina Rossi</w:t>
        </w:r>
      </w:hyperlink>
    </w:p>
    <w:p>
      <w:pPr>
        <w:spacing w:after="0" w:line="1" w:lineRule="exact"/>
        <w:rPr>
          <w:rFonts w:ascii="Arial" w:cs="Arial" w:eastAsia="Arial" w:hAnsi="Arial"/>
          <w:sz w:val="18"/>
          <w:szCs w:val="18"/>
          <w:u w:val="single" w:color="auto"/>
          <w:color w:val="0000EE"/>
        </w:rPr>
      </w:pPr>
    </w:p>
    <w:p>
      <w:pPr>
        <w:spacing w:after="0"/>
        <w:tabs>
          <w:tab w:leader="none" w:pos="620" w:val="left"/>
        </w:tabs>
        <w:rPr>
          <w:rFonts w:ascii="Arial" w:cs="Arial" w:eastAsia="Arial" w:hAnsi="Arial"/>
          <w:sz w:val="15"/>
          <w:szCs w:val="15"/>
          <w:u w:val="single" w:color="auto"/>
          <w:color w:val="0000EE"/>
        </w:rPr>
      </w:pPr>
      <w:hyperlink w:anchor="page41">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1">
        <w:r>
          <w:rPr>
            <w:rFonts w:ascii="Arial" w:cs="Arial" w:eastAsia="Arial" w:hAnsi="Arial"/>
            <w:sz w:val="15"/>
            <w:szCs w:val="15"/>
            <w:u w:val="single" w:color="auto"/>
            <w:color w:val="0000EE"/>
          </w:rPr>
          <w:t>Press Release, dated January 5, 2022</w:t>
        </w:r>
      </w:hyperlink>
    </w:p>
    <w:p>
      <w:pPr>
        <w:spacing w:after="0" w:line="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 and incorporated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BLUEPRINT MEDICINES CORPORATION</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January 5, 2022</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Jeffrey W. Albers</w:t>
            </w:r>
          </w:p>
        </w:tc>
      </w:tr>
      <w:tr>
        <w:trPr>
          <w:trHeight w:val="195"/>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02"/>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ind w:right="4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COPY</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AMENDED &amp; RESTATED</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EMPLOYMENT AGREEMENT</w:t>
      </w:r>
    </w:p>
    <w:p>
      <w:pPr>
        <w:spacing w:after="0" w:line="19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This Amended &amp; Restated Employment Agreement (“Agreement”) is between Blueprint Medicines Corporation, a Delaware corporation (the “Company”), and Jeffrey W. Albers (the “Executive”) and is effective as of April 4, 2022 (the “Effective Date”).</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WHEREAS, the Company and the Executive are parties to the Employment Agreement dated as of November 6, 2015, as amended by a first amendment thereto dated as of December 22, 2021 (as amended, the “Original Employment Agreement”);</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WHEREAS, the Company and the Executive desire to enter into this Agreement effective as of the Effective Date to replace the Original Employment Agreement, provided the Executive remains employed by the Company on the Effective Date; and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employ the Executive and the Executive desires to be employed by the Company on the terms and conditions contained herein.</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0" w:lineRule="exact"/>
        <w:rPr>
          <w:sz w:val="20"/>
          <w:szCs w:val="20"/>
          <w:color w:val="auto"/>
        </w:rPr>
      </w:pPr>
    </w:p>
    <w:p>
      <w:pPr>
        <w:ind w:left="1560" w:hanging="904"/>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sz w:val="20"/>
          <w:szCs w:val="20"/>
          <w:color w:val="auto"/>
        </w:rPr>
      </w:pPr>
    </w:p>
    <w:p>
      <w:pPr>
        <w:ind w:left="1580" w:hanging="924"/>
        <w:spacing w:after="0"/>
        <w:tabs>
          <w:tab w:leader="none" w:pos="1580"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commence on the Effective Date and continue until the earlier of (i) December 31, 2022 or</w:t>
      </w:r>
    </w:p>
    <w:p>
      <w:pPr>
        <w:spacing w:after="0" w:line="46" w:lineRule="exact"/>
        <w:rPr>
          <w:rFonts w:ascii="Arial" w:cs="Arial" w:eastAsia="Arial" w:hAnsi="Arial"/>
          <w:sz w:val="16"/>
          <w:szCs w:val="16"/>
          <w:color w:val="auto"/>
        </w:rPr>
      </w:pPr>
    </w:p>
    <w:p>
      <w:pPr>
        <w:ind w:right="200" w:firstLine="8"/>
        <w:spacing w:after="0" w:line="255"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 that it is terminated in accordance with the provisions of Section 3 (the "Term"). Notwithstanding anything to the contrary in this Agreement, the Executive’s employment with the Company will be “at will,” meaning that the Executive’s employment may be terminated by the Company or the Executive at any time and for any reason, subject to the terms of this Agreement.</w:t>
      </w:r>
    </w:p>
    <w:p>
      <w:pPr>
        <w:spacing w:after="0" w:line="189" w:lineRule="exact"/>
        <w:rPr>
          <w:rFonts w:ascii="Arial" w:cs="Arial" w:eastAsia="Arial" w:hAnsi="Arial"/>
          <w:sz w:val="18"/>
          <w:szCs w:val="18"/>
          <w:color w:val="auto"/>
        </w:rPr>
      </w:pPr>
    </w:p>
    <w:p>
      <w:pPr>
        <w:ind w:firstLine="656"/>
        <w:spacing w:after="0" w:line="286" w:lineRule="auto"/>
        <w:tabs>
          <w:tab w:leader="none" w:pos="1532"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Effective as of the Effective Date, the Executive shall resign as the Company’s President and Chief Executive Officer and shall serve on a part-time basis as the Company's Executive Chairman, reporting solely and directly to the Board of Directors of the Company (the "Board"), and will devote approximately sixty percent (60%) of his full working time and efforts to the business and affairs of the Company. As Executive Chairman, the Executive will be responsible for providing the Company with strategic advice and services upon reasonable request by the Chief Executive Officer (“CEO”) and/or the Board, which may include matters related to corporate strategy, business development, investor relations, corporate communications, commercial, and team leadership development as well as specific transactions, initiatives, matters or projects as may be requested by the CEO and/or the Board from time to time. In addition, during the Term, the Executive will continue to serve on the Board, to perform the functions of Chairman of the Board and participate in Board meetings and sub-committees. The Executive acknowledges and agrees that his role as Executive Chairman may change from time to time, and such changes shall not constitute “Good Reason” as defined herein unless they are made without his consent and constitute a material diminution in the Executive’s responsibilities, authority or duties, in the aggregate, as Executive Chairman. The Executive may engage in outside professional activities including by serving on other boards of directors, provided such activities do not pose a conflict of interest and are approved in advance by the Board. The Executive may also engage in religious, charitable, or other community activities as long as such services and activities do not materially interfere with the performance of his duties to the Company as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1520" w:hanging="904"/>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225" w:lineRule="exact"/>
        <w:rPr>
          <w:sz w:val="20"/>
          <w:szCs w:val="20"/>
          <w:color w:val="auto"/>
        </w:rPr>
      </w:pPr>
    </w:p>
    <w:p>
      <w:pPr>
        <w:ind w:left="-40" w:firstLine="656"/>
        <w:spacing w:after="0" w:line="275" w:lineRule="auto"/>
        <w:tabs>
          <w:tab w:leader="none" w:pos="1482"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Effective as of the Effective Date, the Executive's annualized base salary shall be $425,000. The Executive' s base salary may be re-determined by the Board or the Compensation Committee of the Board (the “Compensation Committee”) from time to time and shall be subject to increase but not decrease (other than for any mutually agreed-upon reduction in the amount of the Executive’s time that will be devoted to the Company) while serving in the role of Executive Chairman. The annualized base salary in effect at any given time is referred to herein as "Base Salary." The Base Salary shall be payable in a manner that is consistent with the Company's usual payroll practices for senior executives.</w:t>
      </w:r>
    </w:p>
    <w:p>
      <w:pPr>
        <w:spacing w:after="0" w:line="176" w:lineRule="exact"/>
        <w:rPr>
          <w:rFonts w:ascii="Arial" w:cs="Arial" w:eastAsia="Arial" w:hAnsi="Arial"/>
          <w:sz w:val="17"/>
          <w:szCs w:val="17"/>
          <w:color w:val="auto"/>
        </w:rPr>
      </w:pPr>
    </w:p>
    <w:p>
      <w:pPr>
        <w:ind w:left="-40" w:firstLine="656"/>
        <w:spacing w:after="0" w:line="275" w:lineRule="auto"/>
        <w:tabs>
          <w:tab w:leader="none" w:pos="1492"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Equity</w:t>
      </w:r>
      <w:r>
        <w:rPr>
          <w:rFonts w:ascii="Arial" w:cs="Arial" w:eastAsia="Arial" w:hAnsi="Arial"/>
          <w:sz w:val="17"/>
          <w:szCs w:val="17"/>
          <w:color w:val="auto"/>
        </w:rPr>
        <w:t>. The Executive may be eligible to receive future equity awards under the Company’s 2015 Stock Option and Incentive Plan (as amended and/or restated from time to time) or such other equity plan as then in effect, in the sole discretion of the Board or the Compensation Committee of the Board. Further, for the avoidance of doubt, each of the Executive’s equity awards outstanding as of the Effective Date will continue to vest following the Effective Date, for so long as the Executive continues to provide services to the Company as an employee of the Company and/or as a member of the Board, subject to the terms of the applicable equity award agreement and equity plan.</w:t>
      </w:r>
    </w:p>
    <w:p>
      <w:pPr>
        <w:spacing w:after="0" w:line="176" w:lineRule="exact"/>
        <w:rPr>
          <w:rFonts w:ascii="Arial" w:cs="Arial" w:eastAsia="Arial" w:hAnsi="Arial"/>
          <w:sz w:val="17"/>
          <w:szCs w:val="17"/>
          <w:color w:val="auto"/>
        </w:rPr>
      </w:pPr>
    </w:p>
    <w:p>
      <w:pPr>
        <w:ind w:left="-40" w:right="80" w:firstLine="656"/>
        <w:spacing w:after="0" w:line="301" w:lineRule="auto"/>
        <w:tabs>
          <w:tab w:leader="none" w:pos="148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Incentive Compensation</w:t>
      </w:r>
      <w:r>
        <w:rPr>
          <w:rFonts w:ascii="Arial" w:cs="Arial" w:eastAsia="Arial" w:hAnsi="Arial"/>
          <w:sz w:val="16"/>
          <w:szCs w:val="16"/>
          <w:color w:val="auto"/>
        </w:rPr>
        <w:t>. The Executive shall not be eligible to receive cash incentive compensation in connection with his service as Executive Chairman during the Term unless otherwise determined by the Board or the Compensation Committee. In the event that the Board or the Compensation determines to pay the Executive cash incentive compensation, the Executive must be an employee of the Company and/or a member of the Board on the day such incentive compensation is paid. For the avoidance of doubt, notwithstanding anything to the contrary herein:</w:t>
      </w:r>
    </w:p>
    <w:p>
      <w:pPr>
        <w:spacing w:after="0" w:line="157" w:lineRule="exact"/>
        <w:rPr>
          <w:rFonts w:ascii="Arial" w:cs="Arial" w:eastAsia="Arial" w:hAnsi="Arial"/>
          <w:sz w:val="16"/>
          <w:szCs w:val="16"/>
          <w:color w:val="auto"/>
        </w:rPr>
      </w:pPr>
    </w:p>
    <w:p>
      <w:pPr>
        <w:ind w:left="760" w:right="40" w:firstLine="666"/>
        <w:spacing w:after="0" w:line="301" w:lineRule="auto"/>
        <w:tabs>
          <w:tab w:leader="none" w:pos="2172"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 the year that ended December 31, 2021, the Executive remains eligible to receive incentive compensation in connection with his services as President and Chief Executive Officer of the Company during such year as determined by the Board or the Compensation Committee based on the Executive’s target incentive compensation under the Original Employment Agreement as previously determined by the Compensation Committee, provided the Executive remains employed by the Company on the day such incentive compensation is paid; and</w:t>
      </w:r>
    </w:p>
    <w:p>
      <w:pPr>
        <w:spacing w:after="0" w:line="157" w:lineRule="exact"/>
        <w:rPr>
          <w:rFonts w:ascii="Arial" w:cs="Arial" w:eastAsia="Arial" w:hAnsi="Arial"/>
          <w:sz w:val="16"/>
          <w:szCs w:val="16"/>
          <w:color w:val="auto"/>
        </w:rPr>
      </w:pPr>
    </w:p>
    <w:p>
      <w:pPr>
        <w:ind w:left="760" w:right="140" w:firstLine="666"/>
        <w:spacing w:after="0" w:line="255" w:lineRule="auto"/>
        <w:tabs>
          <w:tab w:leader="none" w:pos="2177"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the period beginning on January 1, 2022 and ending on April 3, 2022 (inclusive), the Executive is eligible to earn prorated incentive compensation under the Original Employment Agreement in connection with his services as President and Chief Executive Officer of the Company during such period as determined by the Board or the Compensation Committee based on the Executive’s target incentive compensation equal to 70% of his annual base salary as in effect during such period (and the Board or the Compensation Committee shall weigh its bonus determination 100% on Company performance), provided the Executive remains a member of the Board on the day such incentive compensation is paid.</w:t>
      </w:r>
    </w:p>
    <w:p>
      <w:pPr>
        <w:spacing w:after="0" w:line="192" w:lineRule="exact"/>
        <w:rPr>
          <w:rFonts w:ascii="Arial" w:cs="Arial" w:eastAsia="Arial" w:hAnsi="Arial"/>
          <w:sz w:val="18"/>
          <w:szCs w:val="18"/>
          <w:color w:val="auto"/>
        </w:rPr>
      </w:pPr>
    </w:p>
    <w:p>
      <w:pPr>
        <w:ind w:left="-40" w:right="260" w:firstLine="656"/>
        <w:spacing w:after="0" w:line="263" w:lineRule="auto"/>
        <w:tabs>
          <w:tab w:leader="none" w:pos="149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Executive shall be entitled to receive prompt reimbursement for all reasonable expenses incurred by him during the Term in performing services hereunder, in accordance with the policies and procedures then in effect and established by the Company for its senior executive officers.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6" w:name="page7"/>
    <w:bookmarkEnd w:id="6"/>
    <w:p>
      <w:pPr>
        <w:ind w:left="-20" w:right="260" w:firstLine="656"/>
        <w:spacing w:after="0" w:line="277" w:lineRule="auto"/>
        <w:tabs>
          <w:tab w:leader="none" w:pos="150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Term, the Executive shall be eligible to participate in or receive benefits under the Company's employee benefit plans in effect from time to time, subject to the terms of such plans.</w:t>
      </w:r>
    </w:p>
    <w:p>
      <w:pPr>
        <w:spacing w:after="0" w:line="170" w:lineRule="exact"/>
        <w:rPr>
          <w:rFonts w:ascii="Arial" w:cs="Arial" w:eastAsia="Arial" w:hAnsi="Arial"/>
          <w:sz w:val="18"/>
          <w:szCs w:val="18"/>
          <w:color w:val="auto"/>
        </w:rPr>
      </w:pPr>
    </w:p>
    <w:p>
      <w:pPr>
        <w:ind w:left="1540" w:hanging="904"/>
        <w:spacing w:after="0"/>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Vacations</w:t>
      </w:r>
      <w:r>
        <w:rPr>
          <w:rFonts w:ascii="Arial" w:cs="Arial" w:eastAsia="Arial" w:hAnsi="Arial"/>
          <w:sz w:val="17"/>
          <w:szCs w:val="17"/>
          <w:color w:val="auto"/>
        </w:rPr>
        <w:t>. During the Term, the Executive shall be entitled to paid vacation in accordance with the Company's applicable policy.</w:t>
      </w:r>
    </w:p>
    <w:p>
      <w:pPr>
        <w:spacing w:after="0" w:line="237" w:lineRule="exact"/>
        <w:rPr>
          <w:sz w:val="20"/>
          <w:szCs w:val="20"/>
          <w:color w:val="auto"/>
        </w:rPr>
      </w:pPr>
    </w:p>
    <w:p>
      <w:pPr>
        <w:ind w:left="-20" w:right="160" w:firstLine="656"/>
        <w:spacing w:after="0" w:line="263" w:lineRule="auto"/>
        <w:tabs>
          <w:tab w:leader="none" w:pos="148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employment hereunder will end on December 31, 2022, unless it is sooner terminated by the Company or the Executive pursuant to this Section 3. During the Term, the Executive's employment hereunder may be terminated without any breach of this Agreement under the following circumstances:</w:t>
      </w:r>
    </w:p>
    <w:p>
      <w:pPr>
        <w:spacing w:after="0" w:line="184" w:lineRule="exact"/>
        <w:rPr>
          <w:sz w:val="20"/>
          <w:szCs w:val="20"/>
          <w:color w:val="auto"/>
        </w:rPr>
      </w:pPr>
    </w:p>
    <w:p>
      <w:pPr>
        <w:ind w:left="1520" w:hanging="884"/>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his death.</w:t>
      </w:r>
    </w:p>
    <w:p>
      <w:pPr>
        <w:spacing w:after="0" w:line="225" w:lineRule="exact"/>
        <w:rPr>
          <w:rFonts w:ascii="Arial" w:cs="Arial" w:eastAsia="Arial" w:hAnsi="Arial"/>
          <w:sz w:val="18"/>
          <w:szCs w:val="18"/>
          <w:color w:val="auto"/>
        </w:rPr>
      </w:pPr>
    </w:p>
    <w:p>
      <w:pPr>
        <w:ind w:left="-20" w:right="80" w:firstLine="656"/>
        <w:spacing w:after="0" w:line="269" w:lineRule="auto"/>
        <w:tabs>
          <w:tab w:leader="none" w:pos="146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The Company may terminate the Executive's employment if he is disabled and unable to perform the essential functions of the Executive' 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181" w:lineRule="exact"/>
        <w:rPr>
          <w:rFonts w:ascii="Arial" w:cs="Arial" w:eastAsia="Arial" w:hAnsi="Arial"/>
          <w:sz w:val="17"/>
          <w:szCs w:val="17"/>
          <w:color w:val="auto"/>
        </w:rPr>
      </w:pPr>
    </w:p>
    <w:p>
      <w:pPr>
        <w:ind w:left="-20" w:firstLine="656"/>
        <w:spacing w:after="0" w:line="269" w:lineRule="auto"/>
        <w:tabs>
          <w:tab w:leader="none" w:pos="1457"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Termination by Company for Cause</w:t>
      </w:r>
      <w:r>
        <w:rPr>
          <w:rFonts w:ascii="Arial" w:cs="Arial" w:eastAsia="Arial" w:hAnsi="Arial"/>
          <w:sz w:val="17"/>
          <w:szCs w:val="17"/>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30 days following written notice of such non-performance from the Board; (iv) a material breach by the Executive of any of the provisions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124" w:right="339" w:bottom="1440" w:gutter="0" w:footer="0" w:header="0"/>
        </w:sectPr>
      </w:pPr>
    </w:p>
    <w:bookmarkStart w:id="7" w:name="page8"/>
    <w:bookmarkEnd w:id="7"/>
    <w:p>
      <w:pPr>
        <w:jc w:val="both"/>
        <w:ind w:left="-20" w:right="240" w:firstLine="656"/>
        <w:spacing w:after="0" w:line="259" w:lineRule="auto"/>
        <w:tabs>
          <w:tab w:leader="none" w:pos="151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The Company may terminate the Executive's employment at any time without Cause. Any termination by the Company of the Executive' 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86" w:lineRule="exact"/>
        <w:rPr>
          <w:rFonts w:ascii="Arial" w:cs="Arial" w:eastAsia="Arial" w:hAnsi="Arial"/>
          <w:sz w:val="18"/>
          <w:szCs w:val="18"/>
          <w:color w:val="auto"/>
        </w:rPr>
      </w:pPr>
    </w:p>
    <w:p>
      <w:pPr>
        <w:ind w:left="-20" w:firstLine="656"/>
        <w:spacing w:after="0" w:line="269" w:lineRule="auto"/>
        <w:tabs>
          <w:tab w:leader="none" w:pos="1502"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Termination by the Executive</w:t>
      </w:r>
      <w:r>
        <w:rPr>
          <w:rFonts w:ascii="Arial" w:cs="Arial" w:eastAsia="Arial" w:hAnsi="Arial"/>
          <w:sz w:val="17"/>
          <w:szCs w:val="17"/>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 s responsibilities, authority or duties without the Executive' s consent; (ii) a material diminution in the Executive's Base Salary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his employment within 60 days after the end of the Cure Period. If the Company cures the Good Reason condition during the Cure Period, Good Reason shall be deemed not to have occurred.</w:t>
      </w:r>
    </w:p>
    <w:p>
      <w:pPr>
        <w:spacing w:after="0" w:line="178" w:lineRule="exact"/>
        <w:rPr>
          <w:rFonts w:ascii="Arial" w:cs="Arial" w:eastAsia="Arial" w:hAnsi="Arial"/>
          <w:sz w:val="17"/>
          <w:szCs w:val="17"/>
          <w:color w:val="auto"/>
        </w:rPr>
      </w:pPr>
    </w:p>
    <w:p>
      <w:pPr>
        <w:ind w:left="-20" w:right="100" w:firstLine="656"/>
        <w:spacing w:after="0" w:line="311" w:lineRule="auto"/>
        <w:tabs>
          <w:tab w:leader="none" w:pos="152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48" w:lineRule="exact"/>
        <w:rPr>
          <w:rFonts w:ascii="Arial" w:cs="Arial" w:eastAsia="Arial" w:hAnsi="Arial"/>
          <w:sz w:val="16"/>
          <w:szCs w:val="16"/>
          <w:color w:val="auto"/>
        </w:rPr>
      </w:pPr>
    </w:p>
    <w:p>
      <w:pPr>
        <w:ind w:left="-20" w:right="80" w:firstLine="656"/>
        <w:spacing w:after="0" w:line="271" w:lineRule="auto"/>
        <w:tabs>
          <w:tab w:leader="none" w:pos="146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8" w:name="page9"/>
    <w:bookmarkEnd w:id="8"/>
    <w:p>
      <w:pPr>
        <w:ind w:left="-20" w:firstLine="656"/>
        <w:spacing w:after="0" w:line="301" w:lineRule="auto"/>
        <w:tabs>
          <w:tab w:leader="none" w:pos="146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Consent to Amended and Restated Employment Agreement</w:t>
      </w:r>
      <w:r>
        <w:rPr>
          <w:rFonts w:ascii="Arial" w:cs="Arial" w:eastAsia="Arial" w:hAnsi="Arial"/>
          <w:sz w:val="16"/>
          <w:szCs w:val="16"/>
          <w:color w:val="auto"/>
        </w:rPr>
        <w:t>. The Executive hereby gives his express written consent to this Agreement which amends and restates the Original Employment Agreement. Accordingly, the Executive acknowledges and agrees that none of the terms hereof shall serve as the basis of a “Good Reason” trigger as defined in this Agreement or the Original Employment Agreement, and therefore the Executive shall not be eligible to resign for Good Reason as a result of any terms, or in connection with the negotiation, execution and delivery, of this Agreement.</w:t>
      </w:r>
    </w:p>
    <w:p>
      <w:pPr>
        <w:spacing w:after="0" w:line="157" w:lineRule="exact"/>
        <w:rPr>
          <w:sz w:val="20"/>
          <w:szCs w:val="20"/>
          <w:color w:val="auto"/>
        </w:rPr>
      </w:pPr>
    </w:p>
    <w:p>
      <w:pPr>
        <w:ind w:left="1540" w:hanging="904"/>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Compensation Upon Termination</w:t>
      </w:r>
      <w:r>
        <w:rPr>
          <w:rFonts w:ascii="Arial" w:cs="Arial" w:eastAsia="Arial" w:hAnsi="Arial"/>
          <w:sz w:val="18"/>
          <w:szCs w:val="18"/>
          <w:color w:val="auto"/>
        </w:rPr>
        <w:t>.</w:t>
      </w:r>
    </w:p>
    <w:p>
      <w:pPr>
        <w:spacing w:after="0" w:line="225" w:lineRule="exact"/>
        <w:rPr>
          <w:sz w:val="20"/>
          <w:szCs w:val="20"/>
          <w:color w:val="auto"/>
        </w:rPr>
      </w:pPr>
    </w:p>
    <w:p>
      <w:pPr>
        <w:ind w:left="-20" w:right="60" w:firstLine="656"/>
        <w:spacing w:after="0" w:line="273" w:lineRule="auto"/>
        <w:tabs>
          <w:tab w:leader="none" w:pos="1502"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Termination Generally</w:t>
      </w:r>
      <w:r>
        <w:rPr>
          <w:rFonts w:ascii="Arial" w:cs="Arial" w:eastAsia="Arial" w:hAnsi="Arial"/>
          <w:sz w:val="17"/>
          <w:szCs w:val="17"/>
          <w:color w:val="auto"/>
        </w:rPr>
        <w:t>. If the Executive' 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and, if applicable,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77" w:lineRule="exact"/>
        <w:rPr>
          <w:rFonts w:ascii="Arial" w:cs="Arial" w:eastAsia="Arial" w:hAnsi="Arial"/>
          <w:sz w:val="17"/>
          <w:szCs w:val="17"/>
          <w:color w:val="auto"/>
        </w:rPr>
      </w:pPr>
    </w:p>
    <w:p>
      <w:pPr>
        <w:ind w:left="-20" w:right="60" w:firstLine="656"/>
        <w:spacing w:after="0" w:line="289" w:lineRule="auto"/>
        <w:tabs>
          <w:tab w:leader="none" w:pos="146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 or by the Executive with Good Reason</w:t>
      </w:r>
      <w:r>
        <w:rPr>
          <w:rFonts w:ascii="Arial" w:cs="Arial" w:eastAsia="Arial" w:hAnsi="Arial"/>
          <w:sz w:val="16"/>
          <w:szCs w:val="16"/>
          <w:color w:val="auto"/>
        </w:rPr>
        <w:t>. During the Term, if the Executive's employment is terminated by the Company without Cause as provided in Section 3(d), or the Executive terminates his employment for Good Reason as provided in Section 3(e), then the Company shall pay the Executive his Accrued Benefit. In addition, subject to (i) the Executive signing a separation agreement containing, among other provisions, a general release of claims in favor of the Company and related persons and entities, confidentiality, return of property and non-disparagement, and a noncompetition agreement with terms substantially similar to the Restrictive Covenants Agreement (as defined below), and which shall provide that if the Executive breaches any provision of the Restrictive Covenants Agreement or any other continuing obligations the Executive has to the Company, then all payments of the Severance Amount shall immediately cease, in a form and manner satisfactory to the Company (the "Separation Agreement and Release") and (ii) the Separation Agreement and Release becoming irrevocable, all within 60 days after the Date of Termination (or such shorter period as set forth in the Separation Agreement and Release):</w:t>
      </w:r>
    </w:p>
    <w:p>
      <w:pPr>
        <w:spacing w:after="0" w:line="166" w:lineRule="exact"/>
        <w:rPr>
          <w:rFonts w:ascii="Arial" w:cs="Arial" w:eastAsia="Arial" w:hAnsi="Arial"/>
          <w:sz w:val="16"/>
          <w:szCs w:val="16"/>
          <w:color w:val="auto"/>
        </w:rPr>
      </w:pPr>
    </w:p>
    <w:p>
      <w:pPr>
        <w:ind w:left="2180" w:hanging="896"/>
        <w:spacing w:after="0"/>
        <w:tabs>
          <w:tab w:leader="none" w:pos="21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Company shall pay the Executive an amount equal to one (1) times the Executive's Base Salary (the "Severance</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Amount"); and</w:t>
      </w:r>
    </w:p>
    <w:p>
      <w:pPr>
        <w:spacing w:after="0" w:line="210" w:lineRule="exact"/>
        <w:rPr>
          <w:rFonts w:ascii="Arial" w:cs="Arial" w:eastAsia="Arial" w:hAnsi="Arial"/>
          <w:sz w:val="17"/>
          <w:szCs w:val="17"/>
          <w:color w:val="auto"/>
        </w:rPr>
      </w:pPr>
    </w:p>
    <w:p>
      <w:pPr>
        <w:ind w:left="640" w:right="100" w:firstLine="644"/>
        <w:spacing w:after="0" w:line="257" w:lineRule="auto"/>
        <w:tabs>
          <w:tab w:leader="none" w:pos="2183"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9" w:name="page10"/>
    <w:bookmarkEnd w:id="9"/>
    <w:p>
      <w:pPr>
        <w:spacing w:after="0" w:line="296" w:lineRule="auto"/>
        <w:rPr>
          <w:sz w:val="20"/>
          <w:szCs w:val="20"/>
          <w:color w:val="auto"/>
        </w:rPr>
      </w:pPr>
      <w:r>
        <w:rPr>
          <w:rFonts w:ascii="Arial" w:cs="Arial" w:eastAsia="Arial" w:hAnsi="Arial"/>
          <w:sz w:val="16"/>
          <w:szCs w:val="16"/>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6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the avoidance of doubt, neither Section 4 nor Section 5 of this Agreement shall apply to the ending of the Executive’s employment if the Term ends on December 31, 2022 in accordance with Section 1(a) of this Agreement. If the Executive’s employment ends on December 31, 2022, then the Executive shall be entitled to the Accrued Benefit but shall not be entitled to any severance pay or benefits under this Agreement or otherwise.</w:t>
      </w:r>
    </w:p>
    <w:p>
      <w:pPr>
        <w:spacing w:after="0" w:line="165" w:lineRule="exact"/>
        <w:rPr>
          <w:sz w:val="20"/>
          <w:szCs w:val="20"/>
          <w:color w:val="auto"/>
        </w:rPr>
      </w:pPr>
    </w:p>
    <w:p>
      <w:pPr>
        <w:ind w:right="20" w:firstLine="656"/>
        <w:spacing w:after="0" w:line="275" w:lineRule="auto"/>
        <w:tabs>
          <w:tab w:leader="none" w:pos="1548"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Sale Event Payment</w:t>
      </w:r>
      <w:r>
        <w:rPr>
          <w:rFonts w:ascii="Arial" w:cs="Arial" w:eastAsia="Arial" w:hAnsi="Arial"/>
          <w:sz w:val="17"/>
          <w:szCs w:val="17"/>
          <w:color w:val="auto"/>
        </w:rPr>
        <w:t>. The provisions of this Section 5 are intended to assure and encourage in advance the Executive's continued attention and dedication to his assigned duties and his objectivity during the pendency and after the occurrence of any Sale Event (as defined below). These provisions shall apply in lieu of, and expressly supersede, the provisions of Section 4(b) regarding severance pay and benefits upon a termination of employment, if the Date of Termination occurs within twelve (12) months after the occurrence of the first event constituting a Sale Event. These provisions shall terminate and be of no further force or effect beginning twelve (12) months after the occurrence of a Sale Event.</w:t>
      </w:r>
    </w:p>
    <w:p>
      <w:pPr>
        <w:spacing w:after="0" w:line="176" w:lineRule="exact"/>
        <w:rPr>
          <w:sz w:val="20"/>
          <w:szCs w:val="20"/>
          <w:color w:val="auto"/>
        </w:rPr>
      </w:pPr>
    </w:p>
    <w:p>
      <w:pPr>
        <w:ind w:right="20" w:firstLine="656"/>
        <w:spacing w:after="0" w:line="279" w:lineRule="auto"/>
        <w:tabs>
          <w:tab w:leader="none" w:pos="1522"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Sale Event</w:t>
      </w:r>
      <w:r>
        <w:rPr>
          <w:rFonts w:ascii="Arial" w:cs="Arial" w:eastAsia="Arial" w:hAnsi="Arial"/>
          <w:sz w:val="17"/>
          <w:szCs w:val="17"/>
          <w:color w:val="auto"/>
        </w:rPr>
        <w:t>. During the Term, if within twelve (12) months after a Sale Event,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 (or such shorter period as set forth in the Separation Agreement and Release):</w:t>
      </w:r>
    </w:p>
    <w:p>
      <w:pPr>
        <w:spacing w:after="0" w:line="171" w:lineRule="exact"/>
        <w:rPr>
          <w:rFonts w:ascii="Arial" w:cs="Arial" w:eastAsia="Arial" w:hAnsi="Arial"/>
          <w:sz w:val="17"/>
          <w:szCs w:val="17"/>
          <w:color w:val="auto"/>
        </w:rPr>
      </w:pPr>
    </w:p>
    <w:p>
      <w:pPr>
        <w:ind w:left="660" w:right="40" w:firstLine="644"/>
        <w:spacing w:after="0" w:line="263" w:lineRule="auto"/>
        <w:tabs>
          <w:tab w:leader="none" w:pos="224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shall pay the Executive a lump sum in cash in an amount equal to one and one-half (1.5) times the Executive’s current Base Salary (or the Executive’s Base Salary in effect immediately prior to the Sale Event, if higher) (the “Change in Control Payment”); and</w:t>
      </w:r>
    </w:p>
    <w:p>
      <w:pPr>
        <w:spacing w:after="0" w:line="183" w:lineRule="exact"/>
        <w:rPr>
          <w:rFonts w:ascii="Arial" w:cs="Arial" w:eastAsia="Arial" w:hAnsi="Arial"/>
          <w:sz w:val="18"/>
          <w:szCs w:val="18"/>
          <w:color w:val="auto"/>
        </w:rPr>
      </w:pPr>
    </w:p>
    <w:p>
      <w:pPr>
        <w:ind w:left="660" w:right="100" w:firstLine="644"/>
        <w:spacing w:after="0" w:line="257" w:lineRule="auto"/>
        <w:tabs>
          <w:tab w:leader="none" w:pos="2203"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7" w:lineRule="exact"/>
        <w:rPr>
          <w:rFonts w:ascii="Arial" w:cs="Arial" w:eastAsia="Arial" w:hAnsi="Arial"/>
          <w:sz w:val="18"/>
          <w:szCs w:val="18"/>
          <w:color w:val="auto"/>
        </w:rPr>
      </w:pPr>
    </w:p>
    <w:p>
      <w:pPr>
        <w:ind w:left="660" w:right="200" w:firstLine="644"/>
        <w:spacing w:after="0" w:line="257" w:lineRule="auto"/>
        <w:tabs>
          <w:tab w:leader="none" w:pos="22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 w:name="page11"/>
    <w:bookmarkEnd w:id="10"/>
    <w:p>
      <w:pPr>
        <w:jc w:val="both"/>
        <w:ind w:right="12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left="1540" w:hanging="884"/>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Additional Limitation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4"/>
        <w:spacing w:after="0" w:line="286" w:lineRule="auto"/>
        <w:tabs>
          <w:tab w:leader="none" w:pos="2188"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 based payments and acceleration; and (4) non-cash forms of benefits; provided that in the case of all the foregoing Aggregate Payments all amounts or payments that are not subject to calculation under Treas. Reg. §l.280G-1, Q&amp;A-24(b) or (c) shall be reduced before any amounts that are subject to calculation under Treas. Reg. §1.280G-1, Q&amp;A- 24(b) or (c).</w:t>
      </w:r>
    </w:p>
    <w:p>
      <w:pPr>
        <w:spacing w:after="0" w:line="173" w:lineRule="exact"/>
        <w:rPr>
          <w:rFonts w:ascii="Arial" w:cs="Arial" w:eastAsia="Arial" w:hAnsi="Arial"/>
          <w:sz w:val="16"/>
          <w:szCs w:val="16"/>
          <w:color w:val="auto"/>
        </w:rPr>
      </w:pPr>
    </w:p>
    <w:p>
      <w:pPr>
        <w:ind w:left="660" w:right="80" w:firstLine="644"/>
        <w:spacing w:after="0" w:line="273" w:lineRule="auto"/>
        <w:tabs>
          <w:tab w:leader="none" w:pos="2203" w:val="left"/>
        </w:tabs>
        <w:numPr>
          <w:ilvl w:val="1"/>
          <w:numId w:val="16"/>
        </w:numPr>
        <w:rPr>
          <w:rFonts w:ascii="Arial" w:cs="Arial" w:eastAsia="Arial" w:hAnsi="Arial"/>
          <w:sz w:val="17"/>
          <w:szCs w:val="17"/>
          <w:color w:val="auto"/>
        </w:rPr>
      </w:pPr>
      <w:r>
        <w:rPr>
          <w:rFonts w:ascii="Arial" w:cs="Arial" w:eastAsia="Arial" w:hAnsi="Arial"/>
          <w:sz w:val="17"/>
          <w:szCs w:val="17"/>
          <w:color w:val="auto"/>
        </w:rPr>
        <w:t>For purposes of this Section 5(b), the "After Tax Amount" means the amount of the Aggregate Payments less all federal, state, and local income, excise and employment taxes imposed on the Executive as a result of the Executive' 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77" w:lineRule="exact"/>
        <w:rPr>
          <w:rFonts w:ascii="Arial" w:cs="Arial" w:eastAsia="Arial" w:hAnsi="Arial"/>
          <w:sz w:val="17"/>
          <w:szCs w:val="17"/>
          <w:color w:val="auto"/>
        </w:rPr>
      </w:pPr>
    </w:p>
    <w:p>
      <w:pPr>
        <w:ind w:left="660" w:right="80" w:firstLine="644"/>
        <w:spacing w:after="0" w:line="257" w:lineRule="auto"/>
        <w:tabs>
          <w:tab w:leader="none" w:pos="22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 w:name="page12"/>
    <w:bookmarkEnd w:id="11"/>
    <w:p>
      <w:pPr>
        <w:ind w:right="100" w:firstLine="656"/>
        <w:spacing w:after="0" w:line="269" w:lineRule="auto"/>
        <w:tabs>
          <w:tab w:leader="none" w:pos="1522"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Sale Event Definition</w:t>
      </w:r>
      <w:r>
        <w:rPr>
          <w:rFonts w:ascii="Arial" w:cs="Arial" w:eastAsia="Arial" w:hAnsi="Arial"/>
          <w:sz w:val="17"/>
          <w:szCs w:val="17"/>
          <w:color w:val="auto"/>
        </w:rPr>
        <w:t>. For purposes of this Section 5, "Sale Event" shall mean (i) the sale of all or substantially all of the assets of the Company on a consolidated basis to an unrelated person or entity, (ii) a merger, reorganization or consolidation pursuant to which the holders of the Company' 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the foregoing, if the definition of Sale Event in an option agreement or stock based award agreement between the Executive and the Company dated prior to the Effective Date (each, a "Preexisting Equity Agreement") is broader than this definition of Sale Event, the definition of Sale Event in such Preexisting Equity Agreement shall apply solely with respect to the equity award covered by such Preexisting Equity Agreement.</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177" w:lineRule="exact"/>
        <w:rPr>
          <w:sz w:val="20"/>
          <w:szCs w:val="20"/>
          <w:color w:val="auto"/>
        </w:rPr>
      </w:pPr>
    </w:p>
    <w:p>
      <w:pPr>
        <w:ind w:left="1560" w:hanging="904"/>
        <w:spacing w:after="0"/>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91" w:lineRule="auto"/>
        <w:tabs>
          <w:tab w:leader="none" w:pos="1513"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w:t>
      </w:r>
    </w:p>
    <w:p>
      <w:pPr>
        <w:ind w:firstLine="8"/>
        <w:spacing w:after="0" w:line="252"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 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92" w:lineRule="exact"/>
        <w:rPr>
          <w:rFonts w:ascii="Arial" w:cs="Arial" w:eastAsia="Arial" w:hAnsi="Arial"/>
          <w:sz w:val="18"/>
          <w:szCs w:val="18"/>
          <w:color w:val="auto"/>
        </w:rPr>
      </w:pPr>
    </w:p>
    <w:p>
      <w:pPr>
        <w:ind w:right="20" w:firstLine="656"/>
        <w:spacing w:after="0" w:line="273" w:lineRule="auto"/>
        <w:tabs>
          <w:tab w:leader="none" w:pos="1478"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20" w:right="160" w:firstLine="656"/>
        <w:spacing w:after="0" w:line="279" w:lineRule="auto"/>
        <w:tabs>
          <w:tab w:leader="none" w:pos="1499"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1" w:lineRule="exact"/>
        <w:rPr>
          <w:rFonts w:ascii="Arial" w:cs="Arial" w:eastAsia="Arial" w:hAnsi="Arial"/>
          <w:sz w:val="17"/>
          <w:szCs w:val="17"/>
          <w:color w:val="auto"/>
        </w:rPr>
      </w:pPr>
    </w:p>
    <w:p>
      <w:pPr>
        <w:ind w:left="-20" w:right="60" w:firstLine="656"/>
        <w:spacing w:after="0" w:line="255" w:lineRule="auto"/>
        <w:tabs>
          <w:tab w:leader="none" w:pos="14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l.409A-2(b)(2).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92" w:lineRule="exact"/>
        <w:rPr>
          <w:rFonts w:ascii="Arial" w:cs="Arial" w:eastAsia="Arial" w:hAnsi="Arial"/>
          <w:sz w:val="18"/>
          <w:szCs w:val="18"/>
          <w:color w:val="auto"/>
        </w:rPr>
      </w:pPr>
    </w:p>
    <w:p>
      <w:pPr>
        <w:ind w:left="-20" w:firstLine="656"/>
        <w:spacing w:after="0" w:line="263" w:lineRule="auto"/>
        <w:tabs>
          <w:tab w:leader="none" w:pos="149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4" w:lineRule="exact"/>
        <w:rPr>
          <w:sz w:val="20"/>
          <w:szCs w:val="20"/>
          <w:color w:val="auto"/>
        </w:rPr>
      </w:pPr>
    </w:p>
    <w:p>
      <w:pPr>
        <w:ind w:left="-20" w:right="420" w:firstLine="656"/>
        <w:spacing w:after="0" w:line="263" w:lineRule="auto"/>
        <w:tabs>
          <w:tab w:leader="none" w:pos="152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Restrictive Covenants Agreement</w:t>
      </w:r>
      <w:r>
        <w:rPr>
          <w:rFonts w:ascii="Arial" w:cs="Arial" w:eastAsia="Arial" w:hAnsi="Arial"/>
          <w:sz w:val="18"/>
          <w:szCs w:val="18"/>
          <w:color w:val="auto"/>
        </w:rPr>
        <w:t>. The Executive hereby acknowledges and agrees that the terms of the Non-Solicitation, Non-Competition, Confidentiality and Assignment Agreement, dated as of July 21, 2014, by and between the Company and the Executive (the "Restrictive Covenants Agreement"), remain in full force and effect</w:t>
      </w:r>
    </w:p>
    <w:p>
      <w:pPr>
        <w:spacing w:after="0" w:line="183" w:lineRule="exact"/>
        <w:rPr>
          <w:rFonts w:ascii="Arial" w:cs="Arial" w:eastAsia="Arial" w:hAnsi="Arial"/>
          <w:sz w:val="18"/>
          <w:szCs w:val="18"/>
          <w:color w:val="auto"/>
        </w:rPr>
      </w:pPr>
    </w:p>
    <w:p>
      <w:pPr>
        <w:ind w:left="-20" w:right="40" w:firstLine="656"/>
        <w:spacing w:after="0" w:line="269" w:lineRule="auto"/>
        <w:tabs>
          <w:tab w:leader="none" w:pos="1528"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Arbitration of Disputes</w:t>
      </w:r>
      <w:r>
        <w:rPr>
          <w:rFonts w:ascii="Arial" w:cs="Arial" w:eastAsia="Arial" w:hAnsi="Arial"/>
          <w:sz w:val="17"/>
          <w:szCs w:val="17"/>
          <w:color w:val="auto"/>
        </w:rPr>
        <w:t>. Any controversy or claim arising out of or relating to this Agreement or the breach thereof or otherwise arising out of the Executive' 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3" w:name="page14"/>
    <w:bookmarkEnd w:id="13"/>
    <w:p>
      <w:pPr>
        <w:jc w:val="both"/>
        <w:ind w:left="-8" w:right="60" w:firstLine="656"/>
        <w:spacing w:after="0" w:line="257"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87" w:lineRule="exact"/>
        <w:rPr>
          <w:rFonts w:ascii="Arial" w:cs="Arial" w:eastAsia="Arial" w:hAnsi="Arial"/>
          <w:sz w:val="18"/>
          <w:szCs w:val="18"/>
          <w:color w:val="auto"/>
        </w:rPr>
      </w:pPr>
    </w:p>
    <w:p>
      <w:pPr>
        <w:ind w:left="-8" w:right="60" w:firstLine="656"/>
        <w:spacing w:after="0" w:line="287" w:lineRule="auto"/>
        <w:tabs>
          <w:tab w:leader="none" w:pos="1540"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Effective as of the Effective Date, this Agreement constitutes the entire agreement between the parties with respect to the subject matter hereof and supersedes all other prior agreements, written or oral, between the parties concerning such subject matter (including without limitation any offer letter, the Original Employment Agreement, or any severance agreement); provided that (i) the Restrictive Covenants Agreement and</w:t>
      </w:r>
    </w:p>
    <w:p>
      <w:pPr>
        <w:spacing w:after="0" w:line="2" w:lineRule="exact"/>
        <w:rPr>
          <w:rFonts w:ascii="Arial" w:cs="Arial" w:eastAsia="Arial" w:hAnsi="Arial"/>
          <w:sz w:val="16"/>
          <w:szCs w:val="16"/>
          <w:color w:val="auto"/>
        </w:rPr>
      </w:pPr>
    </w:p>
    <w:p>
      <w:pPr>
        <w:ind w:left="272" w:hanging="272"/>
        <w:spacing w:after="0"/>
        <w:tabs>
          <w:tab w:leader="none" w:pos="272"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equity award agreements entered into by the Company and the Executive prior to the date hereof, in each case, are expressly preserved.</w:t>
      </w:r>
    </w:p>
    <w:p>
      <w:pPr>
        <w:spacing w:after="0" w:line="222" w:lineRule="exact"/>
        <w:rPr>
          <w:rFonts w:ascii="Arial" w:cs="Arial" w:eastAsia="Arial" w:hAnsi="Arial"/>
          <w:sz w:val="17"/>
          <w:szCs w:val="17"/>
          <w:color w:val="auto"/>
        </w:rPr>
      </w:pPr>
    </w:p>
    <w:p>
      <w:pPr>
        <w:ind w:left="-8" w:right="340" w:firstLine="656"/>
        <w:spacing w:after="0" w:line="277" w:lineRule="auto"/>
        <w:tabs>
          <w:tab w:leader="none" w:pos="1533"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w:t>
      </w:r>
    </w:p>
    <w:p>
      <w:pPr>
        <w:spacing w:after="0" w:line="170" w:lineRule="exact"/>
        <w:rPr>
          <w:rFonts w:ascii="Arial" w:cs="Arial" w:eastAsia="Arial" w:hAnsi="Arial"/>
          <w:sz w:val="18"/>
          <w:szCs w:val="18"/>
          <w:color w:val="auto"/>
        </w:rPr>
      </w:pPr>
    </w:p>
    <w:p>
      <w:pPr>
        <w:ind w:left="-8" w:right="60" w:firstLine="656"/>
        <w:spacing w:after="0" w:line="301" w:lineRule="auto"/>
        <w:tabs>
          <w:tab w:leader="none" w:pos="1495"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Successor to the Executive</w:t>
      </w:r>
      <w:r>
        <w:rPr>
          <w:rFonts w:ascii="Arial" w:cs="Arial" w:eastAsia="Arial" w:hAnsi="Arial"/>
          <w:sz w:val="16"/>
          <w:szCs w:val="16"/>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him under this Agreement, the Company shall continue such payments to the Executive's beneficiary designated in writing to the Company prior to his death (or to his estate, if the Executive fails to make such designation).</w:t>
      </w:r>
    </w:p>
    <w:p>
      <w:pPr>
        <w:spacing w:after="0" w:line="157" w:lineRule="exact"/>
        <w:rPr>
          <w:rFonts w:ascii="Arial" w:cs="Arial" w:eastAsia="Arial" w:hAnsi="Arial"/>
          <w:sz w:val="16"/>
          <w:szCs w:val="16"/>
          <w:color w:val="auto"/>
        </w:rPr>
      </w:pPr>
    </w:p>
    <w:p>
      <w:pPr>
        <w:ind w:left="-8" w:right="40" w:firstLine="656"/>
        <w:spacing w:after="0" w:line="279" w:lineRule="auto"/>
        <w:tabs>
          <w:tab w:leader="none" w:pos="1540"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Arial" w:cs="Arial" w:eastAsia="Arial" w:hAnsi="Arial"/>
          <w:sz w:val="17"/>
          <w:szCs w:val="17"/>
          <w:color w:val="auto"/>
        </w:rPr>
      </w:pPr>
    </w:p>
    <w:p>
      <w:pPr>
        <w:ind w:left="-8" w:right="140" w:firstLine="656"/>
        <w:spacing w:after="0" w:line="277"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170" w:lineRule="exact"/>
        <w:rPr>
          <w:rFonts w:ascii="Arial" w:cs="Arial" w:eastAsia="Arial" w:hAnsi="Arial"/>
          <w:sz w:val="18"/>
          <w:szCs w:val="18"/>
          <w:color w:val="auto"/>
        </w:rPr>
      </w:pPr>
    </w:p>
    <w:p>
      <w:pPr>
        <w:ind w:left="-8" w:right="220" w:firstLine="656"/>
        <w:spacing w:after="0" w:line="286" w:lineRule="auto"/>
        <w:tabs>
          <w:tab w:leader="none" w:pos="1540"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65" w:lineRule="exact"/>
        <w:rPr>
          <w:rFonts w:ascii="Arial" w:cs="Arial" w:eastAsia="Arial" w:hAnsi="Arial"/>
          <w:sz w:val="17"/>
          <w:szCs w:val="17"/>
          <w:color w:val="auto"/>
        </w:rPr>
      </w:pPr>
    </w:p>
    <w:p>
      <w:pPr>
        <w:ind w:left="-8" w:firstLine="656"/>
        <w:spacing w:after="0" w:line="259" w:lineRule="auto"/>
        <w:tabs>
          <w:tab w:leader="none" w:pos="149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86" w:lineRule="exact"/>
        <w:rPr>
          <w:rFonts w:ascii="Arial" w:cs="Arial" w:eastAsia="Arial" w:hAnsi="Arial"/>
          <w:sz w:val="18"/>
          <w:szCs w:val="18"/>
          <w:color w:val="auto"/>
        </w:rPr>
      </w:pPr>
    </w:p>
    <w:p>
      <w:pPr>
        <w:ind w:left="-8" w:right="540" w:firstLine="656"/>
        <w:spacing w:after="0" w:line="277" w:lineRule="auto"/>
        <w:tabs>
          <w:tab w:leader="none" w:pos="149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4" w:name="page15"/>
    <w:bookmarkEnd w:id="14"/>
    <w:p>
      <w:pPr>
        <w:ind w:left="-20" w:right="100" w:firstLine="656"/>
        <w:spacing w:after="0" w:line="259" w:lineRule="auto"/>
        <w:tabs>
          <w:tab w:leader="none" w:pos="148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86" w:lineRule="exact"/>
        <w:rPr>
          <w:rFonts w:ascii="Arial" w:cs="Arial" w:eastAsia="Arial" w:hAnsi="Arial"/>
          <w:sz w:val="18"/>
          <w:szCs w:val="18"/>
          <w:color w:val="auto"/>
        </w:rPr>
      </w:pPr>
    </w:p>
    <w:p>
      <w:pPr>
        <w:ind w:left="-20" w:right="200" w:firstLine="656"/>
        <w:spacing w:after="0" w:line="277" w:lineRule="auto"/>
        <w:tabs>
          <w:tab w:leader="none" w:pos="152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rFonts w:ascii="Arial" w:cs="Arial" w:eastAsia="Arial" w:hAnsi="Arial"/>
          <w:sz w:val="18"/>
          <w:szCs w:val="18"/>
          <w:color w:val="auto"/>
        </w:rPr>
      </w:pPr>
    </w:p>
    <w:p>
      <w:pPr>
        <w:ind w:left="-20" w:firstLine="656"/>
        <w:spacing w:after="0" w:line="259" w:lineRule="auto"/>
        <w:tabs>
          <w:tab w:leader="none" w:pos="148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Successor to Company</w:t>
      </w:r>
      <w:r>
        <w:rPr>
          <w:rFonts w:ascii="Arial" w:cs="Arial" w:eastAsia="Arial" w:hAnsi="Arial"/>
          <w:sz w:val="18"/>
          <w:szCs w:val="18"/>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IN WITNESS WHEREOF, the parties have executed this Agreement effective as of the Effective Date.</w:t>
      </w:r>
    </w:p>
    <w:p>
      <w:pPr>
        <w:spacing w:after="0" w:line="221" w:lineRule="exact"/>
        <w:rPr>
          <w:sz w:val="20"/>
          <w:szCs w:val="20"/>
          <w:color w:val="auto"/>
        </w:rPr>
      </w:pPr>
    </w:p>
    <w:p>
      <w:pPr>
        <w:jc w:val="right"/>
        <w:ind w:right="206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Tracey McCain</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Tracey McCain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w w:val="99"/>
              </w:rPr>
              <w:t>Executive Vice President, Chief Legal and Compliance Officer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January 4, 2022</w:t>
            </w:r>
          </w:p>
        </w:tc>
      </w:tr>
    </w:tbl>
    <w:p>
      <w:pPr>
        <w:spacing w:after="0" w:line="18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557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Jeffrey Albers</w:t>
      </w:r>
    </w:p>
    <w:p>
      <w:pPr>
        <w:spacing w:after="0" w:line="23" w:lineRule="exact"/>
        <w:rPr>
          <w:sz w:val="20"/>
          <w:szCs w:val="20"/>
          <w:color w:val="auto"/>
        </w:rPr>
      </w:pPr>
    </w:p>
    <w:p>
      <w:pPr>
        <w:ind w:left="4980"/>
        <w:spacing w:after="0"/>
        <w:tabs>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5715</wp:posOffset>
            </wp:positionV>
            <wp:extent cx="3137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91" w:lineRule="exact"/>
        <w:rPr>
          <w:sz w:val="20"/>
          <w:szCs w:val="20"/>
          <w:color w:val="auto"/>
        </w:rPr>
      </w:pPr>
    </w:p>
    <w:p>
      <w:pPr>
        <w:ind w:left="2600"/>
        <w:spacing w:after="0"/>
        <w:rPr>
          <w:sz w:val="20"/>
          <w:szCs w:val="20"/>
          <w:color w:val="auto"/>
        </w:rPr>
      </w:pPr>
      <w:r>
        <w:rPr>
          <w:rFonts w:ascii="Arial" w:cs="Arial" w:eastAsia="Arial" w:hAnsi="Arial"/>
          <w:sz w:val="18"/>
          <w:szCs w:val="18"/>
          <w:i w:val="1"/>
          <w:iCs w:val="1"/>
          <w:color w:val="auto"/>
        </w:rPr>
        <w:t>[Signature Page – Amended &amp; Restated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580390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w:t>Exhibit 10.2</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COPY</w:t>
      </w:r>
    </w:p>
    <w:p>
      <w:pPr>
        <w:spacing w:after="0" w:line="233"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AMENDED &amp; RESTATED</w:t>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EMPLOYMENT AGREEMENT</w:t>
      </w:r>
    </w:p>
    <w:p>
      <w:pPr>
        <w:spacing w:after="0" w:line="22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This Amended &amp; Restated Employment Agreement (“Agreement”) is between Blueprint Medicines Corporation, a Delaware corporation (the “Company”), and Kathryn Haviland (the “Executive”) and is effective as of April 4, 2022 (the “Effective Date”).</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WHEREAS, the Company and the Executive are parties to the Employment Agreement dated as of March 10, 2016, as amended by the first amendment thereto dated as of January 30, 2019 and a second amendment thereto dated as of December 22, 2021 (as amended, the “Original Employment Agreement”);</w:t>
      </w:r>
    </w:p>
    <w:p>
      <w:pPr>
        <w:spacing w:after="0" w:line="184"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WHEREAS, the Company and the Executive desire to enter into this Agreement effective as of the Effective Date to replace the Original Employment Agreement, provided the Executive is employed by the Company on the Effective Date; and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employ the Executive and the Executive desires to be employed by the Company on the terms and conditions contained herein.</w:t>
      </w:r>
    </w:p>
    <w:p>
      <w:pPr>
        <w:spacing w:after="0" w:line="170" w:lineRule="exact"/>
        <w:rPr>
          <w:sz w:val="20"/>
          <w:szCs w:val="20"/>
          <w:color w:val="auto"/>
        </w:rPr>
      </w:pPr>
    </w:p>
    <w:p>
      <w:pPr>
        <w:ind w:left="100" w:right="100" w:firstLine="659"/>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0" w:lineRule="exact"/>
        <w:rPr>
          <w:sz w:val="20"/>
          <w:szCs w:val="20"/>
          <w:color w:val="auto"/>
        </w:rPr>
      </w:pPr>
    </w:p>
    <w:p>
      <w:pPr>
        <w:ind w:left="1420" w:hanging="764"/>
        <w:spacing w:after="0"/>
        <w:tabs>
          <w:tab w:leader="none" w:pos="1420" w:val="left"/>
        </w:tabs>
        <w:numPr>
          <w:ilvl w:val="0"/>
          <w:numId w:val="26"/>
        </w:numPr>
        <w:rPr>
          <w:rFonts w:ascii="Arial" w:cs="Arial" w:eastAsia="Arial" w:hAnsi="Arial"/>
          <w:sz w:val="18"/>
          <w:szCs w:val="18"/>
          <w:color w:val="3B3B3B"/>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sz w:val="20"/>
          <w:szCs w:val="20"/>
          <w:color w:val="auto"/>
        </w:rPr>
      </w:pPr>
    </w:p>
    <w:p>
      <w:pPr>
        <w:ind w:right="380" w:firstLine="656"/>
        <w:spacing w:after="0" w:line="259" w:lineRule="auto"/>
        <w:tabs>
          <w:tab w:leader="none" w:pos="1477" w:val="left"/>
        </w:tabs>
        <w:numPr>
          <w:ilvl w:val="0"/>
          <w:numId w:val="27"/>
        </w:numPr>
        <w:rPr>
          <w:rFonts w:ascii="Arial" w:cs="Arial" w:eastAsia="Arial" w:hAnsi="Arial"/>
          <w:sz w:val="18"/>
          <w:szCs w:val="18"/>
          <w:color w:val="4D4D4D"/>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continue until terminated in accordance with the provisions of Section 3 (the "Term"). Notwithstanding anything to the contrary in this Agreement, the Executive’s employment with the Company will be “at will,” meaning that the Executive’s employment may be terminated by the Company or the Executive at any time and for any reason, subject to the terms of this Agreement.</w:t>
      </w:r>
    </w:p>
    <w:p>
      <w:pPr>
        <w:spacing w:after="0" w:line="186" w:lineRule="exact"/>
        <w:rPr>
          <w:rFonts w:ascii="Arial" w:cs="Arial" w:eastAsia="Arial" w:hAnsi="Arial"/>
          <w:sz w:val="18"/>
          <w:szCs w:val="18"/>
          <w:color w:val="4D4D4D"/>
        </w:rPr>
      </w:pPr>
    </w:p>
    <w:p>
      <w:pPr>
        <w:ind w:right="220" w:firstLine="656"/>
        <w:spacing w:after="0" w:line="269" w:lineRule="auto"/>
        <w:tabs>
          <w:tab w:leader="none" w:pos="1442" w:val="left"/>
        </w:tabs>
        <w:numPr>
          <w:ilvl w:val="0"/>
          <w:numId w:val="27"/>
        </w:numPr>
        <w:rPr>
          <w:rFonts w:ascii="Arial" w:cs="Arial" w:eastAsia="Arial" w:hAnsi="Arial"/>
          <w:sz w:val="17"/>
          <w:szCs w:val="17"/>
          <w:color w:val="4D4D4D"/>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Effective as of the Effective Date, the Executive shall resign as the Chief Business Officer and shall serve as the President and Chief Executive Officer (“CEO”) of the Company and shall have supervision and control over and responsibility for the day-to-day business and affairs of the Company and shall have such other powers and duties as may from time to time be prescribed by the Board of Directors of the Company (the “Board”), provided that such duties are consistent with the Executive’s position as CEO. In addition, the Company shall cause the Executive to be nominated for election to the Board and to be recommended to the stockholders for election to the Board as long as the Executive remains the CEO, provided that the Executive shall be deemed to have resigned from the Board and from any related positions upon ceasing to serve as CEO for any reason. The Executive shall devote her full working time and efforts to the business and affairs of the Company. Notwithstanding the foregoing, the Executive may serve on other boards of directors, with the approval of the Board, or engage in religious, charitable or other activities as long as such services and activities are approved by the Board and do not materially interfere with the Executive’s performance of her duties to the Company as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ind w:left="1420" w:hanging="764"/>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301" w:lineRule="auto"/>
        <w:tabs>
          <w:tab w:leader="none" w:pos="1477"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Effective as of the Effective Date, the Executive’s annualized base salary shall be $745,000. The Executive’s base salary shall be re-determined annually by the Board or the Compensation Committee of the Board (the “Compensation Committee”) and shall be subject to increase but not decrease while the Executive is serving in the CEO role. The annualized base salary in effect at any given time is referred to herein as the “Base Salary.” The Base Salary shall be payable in a manner that is consistent with the Company’s usual payroll practices for senior executives.</w:t>
      </w:r>
    </w:p>
    <w:p>
      <w:pPr>
        <w:spacing w:after="0" w:line="157" w:lineRule="exact"/>
        <w:rPr>
          <w:rFonts w:ascii="Arial" w:cs="Arial" w:eastAsia="Arial" w:hAnsi="Arial"/>
          <w:sz w:val="16"/>
          <w:szCs w:val="16"/>
          <w:color w:val="auto"/>
        </w:rPr>
      </w:pPr>
    </w:p>
    <w:p>
      <w:pPr>
        <w:jc w:val="both"/>
        <w:ind w:right="40" w:firstLine="656"/>
        <w:spacing w:after="0" w:line="342" w:lineRule="auto"/>
        <w:tabs>
          <w:tab w:leader="none" w:pos="1487"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The Executive may be eligible to receive future equity awards under the Company’s 2015 Stock Option and Incentive Plan (as amended and/or restated from time to time) or such other equity plan as then in effect, in the sole discretion of the Board or the Compensation Committee.</w:t>
      </w:r>
    </w:p>
    <w:p>
      <w:pPr>
        <w:spacing w:after="0" w:line="123" w:lineRule="exact"/>
        <w:rPr>
          <w:rFonts w:ascii="Arial" w:cs="Arial" w:eastAsia="Arial" w:hAnsi="Arial"/>
          <w:sz w:val="16"/>
          <w:szCs w:val="16"/>
          <w:color w:val="auto"/>
        </w:rPr>
      </w:pPr>
    </w:p>
    <w:p>
      <w:pPr>
        <w:ind w:right="20" w:firstLine="656"/>
        <w:spacing w:after="0" w:line="257" w:lineRule="auto"/>
        <w:tabs>
          <w:tab w:leader="none" w:pos="147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During the Term, the Executive shall be eligible to receive cash incentive compensation as determined by the Board or the Compensation Committee from time to time. The Executive’s target annual incentive compensation shall be 70% of her Base Salary (the “Target Incentive Compensation”). The Board or the Compensation Committee shall weigh its bonus determination as follows: 100% on Company performance. To earn incentive compensation, the Executive must be employed by the Company on the day such incentive compensation is paid. For the avoidance of doubt, notwithstanding anything to the contrary herein:</w:t>
      </w:r>
    </w:p>
    <w:p>
      <w:pPr>
        <w:spacing w:after="0" w:line="187" w:lineRule="exact"/>
        <w:rPr>
          <w:rFonts w:ascii="Arial" w:cs="Arial" w:eastAsia="Arial" w:hAnsi="Arial"/>
          <w:sz w:val="18"/>
          <w:szCs w:val="18"/>
          <w:color w:val="auto"/>
        </w:rPr>
      </w:pPr>
    </w:p>
    <w:p>
      <w:pPr>
        <w:jc w:val="both"/>
        <w:ind w:left="660" w:right="180" w:firstLine="644"/>
        <w:spacing w:after="0" w:line="301" w:lineRule="auto"/>
        <w:tabs>
          <w:tab w:leader="none" w:pos="2242" w:val="left"/>
        </w:tabs>
        <w:numPr>
          <w:ilvl w:val="1"/>
          <w:numId w:val="29"/>
        </w:numPr>
        <w:rPr>
          <w:rFonts w:ascii="Arial" w:cs="Arial" w:eastAsia="Arial" w:hAnsi="Arial"/>
          <w:sz w:val="16"/>
          <w:szCs w:val="16"/>
          <w:color w:val="auto"/>
        </w:rPr>
      </w:pPr>
      <w:r>
        <w:rPr>
          <w:rFonts w:ascii="Arial" w:cs="Arial" w:eastAsia="Arial" w:hAnsi="Arial"/>
          <w:sz w:val="16"/>
          <w:szCs w:val="16"/>
          <w:color w:val="auto"/>
        </w:rPr>
        <w:t>for the year that ended December 31, 2021, the Executive is eligible to receive incentive compensation in connection with her services as Chief Operating Officer of the Company during such year as determined by the Board or the Compensation Committee based on the Executive’s target incentive compensation under the Original Employment Agreement as previously determined by the Compensation Committee, provided the Executive remains employed by the Company on the day such incentive compensation is paid; and</w:t>
      </w:r>
    </w:p>
    <w:p>
      <w:pPr>
        <w:spacing w:after="0" w:line="157" w:lineRule="exact"/>
        <w:rPr>
          <w:rFonts w:ascii="Arial" w:cs="Arial" w:eastAsia="Arial" w:hAnsi="Arial"/>
          <w:sz w:val="16"/>
          <w:szCs w:val="16"/>
          <w:color w:val="auto"/>
        </w:rPr>
      </w:pPr>
    </w:p>
    <w:p>
      <w:pPr>
        <w:ind w:left="660" w:firstLine="644"/>
        <w:spacing w:after="0" w:line="255" w:lineRule="auto"/>
        <w:tabs>
          <w:tab w:leader="none" w:pos="22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for the period beginning on January 1, 2022 and ending on April 3, 2022 (inclusive), the Executive is eligible to earn prorated incentive compensation under the Original Employment Agreement in connection with her services as Chief Operating Officer of the Company during such period as determined by the Board or the Compensation Committee based on the Executive’s target incentive compensation equal to 60% of her annual base salary as in effect during such period (and Board or the Compensation Committee shall weigh its bonus determination 75% on Company performance and 25% on Executive’s individual performance), provided the Executive remains employed by the Company on the day such incentive compensation is paid.</w:t>
      </w:r>
    </w:p>
    <w:p>
      <w:pPr>
        <w:spacing w:after="0" w:line="192" w:lineRule="exact"/>
        <w:rPr>
          <w:rFonts w:ascii="Arial" w:cs="Arial" w:eastAsia="Arial" w:hAnsi="Arial"/>
          <w:sz w:val="18"/>
          <w:szCs w:val="18"/>
          <w:color w:val="auto"/>
        </w:rPr>
      </w:pPr>
    </w:p>
    <w:p>
      <w:pPr>
        <w:ind w:right="360" w:firstLine="656"/>
        <w:spacing w:after="0" w:line="263" w:lineRule="auto"/>
        <w:tabs>
          <w:tab w:leader="none" w:pos="148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Executive shall be entitled to receive prompt reimbursement for all reasonable expenses incurred by her during the Term in performing services hereunder, in accordance with the policies and procedures then in effect and established by the Company for its senior executive officers.</w:t>
      </w:r>
    </w:p>
    <w:p>
      <w:pPr>
        <w:spacing w:after="0" w:line="183" w:lineRule="exact"/>
        <w:rPr>
          <w:rFonts w:ascii="Arial" w:cs="Arial" w:eastAsia="Arial" w:hAnsi="Arial"/>
          <w:sz w:val="18"/>
          <w:szCs w:val="18"/>
          <w:color w:val="auto"/>
        </w:rPr>
      </w:pPr>
    </w:p>
    <w:p>
      <w:pPr>
        <w:ind w:right="220" w:firstLine="656"/>
        <w:spacing w:after="0" w:line="277" w:lineRule="auto"/>
        <w:tabs>
          <w:tab w:leader="none" w:pos="152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Term, the Executive shall be eligible to participate in or receive benefits under the Company's employee benefit plans in effect from time to time, subject to the terms of such plans.</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8" w:name="page19"/>
    <w:bookmarkEnd w:id="18"/>
    <w:p>
      <w:pPr>
        <w:ind w:left="1460" w:hanging="804"/>
        <w:spacing w:after="0"/>
        <w:tabs>
          <w:tab w:leader="none" w:pos="146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Vacations</w:t>
      </w:r>
      <w:r>
        <w:rPr>
          <w:rFonts w:ascii="Arial" w:cs="Arial" w:eastAsia="Arial" w:hAnsi="Arial"/>
          <w:sz w:val="17"/>
          <w:szCs w:val="17"/>
          <w:color w:val="auto"/>
        </w:rPr>
        <w:t>. During the Term, the Executive shall be entitled to paid vacation in accordance with the Company's applicable policy.</w:t>
      </w:r>
    </w:p>
    <w:p>
      <w:pPr>
        <w:spacing w:after="0" w:line="237" w:lineRule="exact"/>
        <w:rPr>
          <w:sz w:val="20"/>
          <w:szCs w:val="20"/>
          <w:color w:val="auto"/>
        </w:rPr>
      </w:pPr>
    </w:p>
    <w:p>
      <w:pPr>
        <w:ind w:right="120" w:firstLine="656"/>
        <w:spacing w:after="0" w:line="277" w:lineRule="auto"/>
        <w:tabs>
          <w:tab w:leader="none" w:pos="145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During the Term, the Executive's employment hereunder may be terminated without any breach of this Agreement under the following circumstances:</w:t>
      </w:r>
    </w:p>
    <w:p>
      <w:pPr>
        <w:spacing w:after="0" w:line="170" w:lineRule="exact"/>
        <w:rPr>
          <w:sz w:val="20"/>
          <w:szCs w:val="20"/>
          <w:color w:val="auto"/>
        </w:rPr>
      </w:pPr>
    </w:p>
    <w:p>
      <w:pPr>
        <w:ind w:left="1480" w:hanging="824"/>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 s employment hereunder shall terminate upon her death.</w:t>
      </w:r>
    </w:p>
    <w:p>
      <w:pPr>
        <w:spacing w:after="0" w:line="225" w:lineRule="exact"/>
        <w:rPr>
          <w:rFonts w:ascii="Arial" w:cs="Arial" w:eastAsia="Arial" w:hAnsi="Arial"/>
          <w:sz w:val="18"/>
          <w:szCs w:val="18"/>
          <w:color w:val="auto"/>
        </w:rPr>
      </w:pPr>
    </w:p>
    <w:p>
      <w:pPr>
        <w:ind w:right="40" w:firstLine="656"/>
        <w:spacing w:after="0" w:line="269" w:lineRule="auto"/>
        <w:tabs>
          <w:tab w:leader="none" w:pos="1487"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The Company may terminate the Executive's employment if she is disabled and unable to perform the essential functions of the Executive' 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 ' 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181" w:lineRule="exact"/>
        <w:rPr>
          <w:rFonts w:ascii="Arial" w:cs="Arial" w:eastAsia="Arial" w:hAnsi="Arial"/>
          <w:sz w:val="17"/>
          <w:szCs w:val="17"/>
          <w:color w:val="auto"/>
        </w:rPr>
      </w:pPr>
    </w:p>
    <w:p>
      <w:pPr>
        <w:ind w:firstLine="656"/>
        <w:spacing w:after="0" w:line="269" w:lineRule="auto"/>
        <w:tabs>
          <w:tab w:leader="none" w:pos="1477"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Termination by Company for Cause</w:t>
      </w:r>
      <w:r>
        <w:rPr>
          <w:rFonts w:ascii="Arial" w:cs="Arial" w:eastAsia="Arial" w:hAnsi="Arial"/>
          <w:sz w:val="17"/>
          <w:szCs w:val="17"/>
          <w:color w:val="auto"/>
        </w:rPr>
        <w:t>. The Company may terminate the Executive's employment hereunder for Cause. For purposes of this Agreement, "Cause" shall mean: (i) conduct by the Executive constituting a material act of misconduct in connection with the performance of her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she were retained in her position; (iii) continued non-performance by the Executive of her duties hereunder (other than by reason of the Executive's physical or mental illness, incapacity or disability) which has continued for more than 30 days following written notice of such non-performance from the Board; (iv) a material breach by the Executive of any of the provisions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200" w:lineRule="exact"/>
        <w:rPr>
          <w:sz w:val="20"/>
          <w:szCs w:val="20"/>
          <w:color w:val="auto"/>
        </w:rPr>
      </w:pP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right="280" w:firstLine="656"/>
        <w:spacing w:after="0" w:line="259" w:lineRule="auto"/>
        <w:tabs>
          <w:tab w:leader="none" w:pos="144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86" w:lineRule="exact"/>
        <w:rPr>
          <w:rFonts w:ascii="Arial" w:cs="Arial" w:eastAsia="Arial" w:hAnsi="Arial"/>
          <w:sz w:val="18"/>
          <w:szCs w:val="18"/>
          <w:color w:val="auto"/>
        </w:rPr>
      </w:pPr>
    </w:p>
    <w:p>
      <w:pPr>
        <w:ind w:right="40" w:firstLine="656"/>
        <w:spacing w:after="0" w:line="287" w:lineRule="auto"/>
        <w:tabs>
          <w:tab w:leader="none" w:pos="147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Termination by the Executive</w:t>
      </w:r>
      <w:r>
        <w:rPr>
          <w:rFonts w:ascii="Arial" w:cs="Arial" w:eastAsia="Arial" w:hAnsi="Arial"/>
          <w:sz w:val="16"/>
          <w:szCs w:val="16"/>
          <w:color w:val="auto"/>
        </w:rPr>
        <w:t>. The Executive may terminate her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her employment within 60 days after the end of the Cure Period. If the Company cures the Good Reason condition during the Cure Period, Good Reason shall be deemed not to have occurred.</w:t>
      </w:r>
    </w:p>
    <w:p>
      <w:pPr>
        <w:spacing w:after="0" w:line="167" w:lineRule="exact"/>
        <w:rPr>
          <w:rFonts w:ascii="Arial" w:cs="Arial" w:eastAsia="Arial" w:hAnsi="Arial"/>
          <w:sz w:val="16"/>
          <w:szCs w:val="16"/>
          <w:color w:val="auto"/>
        </w:rPr>
      </w:pPr>
    </w:p>
    <w:p>
      <w:pPr>
        <w:ind w:right="100" w:firstLine="656"/>
        <w:spacing w:after="0" w:line="311" w:lineRule="auto"/>
        <w:tabs>
          <w:tab w:leader="none" w:pos="1502"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48" w:lineRule="exact"/>
        <w:rPr>
          <w:rFonts w:ascii="Arial" w:cs="Arial" w:eastAsia="Arial" w:hAnsi="Arial"/>
          <w:sz w:val="16"/>
          <w:szCs w:val="16"/>
          <w:color w:val="auto"/>
        </w:rPr>
      </w:pPr>
    </w:p>
    <w:p>
      <w:pPr>
        <w:ind w:right="80" w:firstLine="656"/>
        <w:spacing w:after="0" w:line="271" w:lineRule="auto"/>
        <w:tabs>
          <w:tab w:leader="none" w:pos="148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"Date of Termination" shall mean: (i) if the Executive's employment is terminated by her death, the date of her death; (ii) if the Executive' s employment is terminated on account of disability under Section 3(b) or by the Company for Cause under Section 3(c), the date on which Notice of Termination is given; (iii) if the Executive' 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78" w:lineRule="exact"/>
        <w:rPr>
          <w:rFonts w:ascii="Arial" w:cs="Arial" w:eastAsia="Arial" w:hAnsi="Arial"/>
          <w:sz w:val="17"/>
          <w:szCs w:val="17"/>
          <w:color w:val="auto"/>
        </w:rPr>
      </w:pPr>
    </w:p>
    <w:p>
      <w:pPr>
        <w:ind w:firstLine="656"/>
        <w:spacing w:after="0" w:line="301" w:lineRule="auto"/>
        <w:tabs>
          <w:tab w:leader="none" w:pos="148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Consent to Amended and Restated Employment Agreement</w:t>
      </w:r>
      <w:r>
        <w:rPr>
          <w:rFonts w:ascii="Arial" w:cs="Arial" w:eastAsia="Arial" w:hAnsi="Arial"/>
          <w:sz w:val="16"/>
          <w:szCs w:val="16"/>
          <w:color w:val="auto"/>
        </w:rPr>
        <w:t>. The Executive hereby gives her express written consent to this Agreement which amends and restates the Original Employment Agreement. Accordingly, the Executive acknowledges and agrees that none of the terms hereof shall serve as the basis of a “Good Reason” trigger as defined in this Agreement or the Original Employment Agreement, and therefore the Executive shall not be eligible to resign for Good Reason as a result of any terms, or in connection with the negotiation, execution and delivery, of this Agreement.</w:t>
      </w: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1520" w:hanging="864"/>
        <w:spacing w:after="0"/>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Compensation Upon Termination</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73" w:lineRule="auto"/>
        <w:tabs>
          <w:tab w:leader="none" w:pos="1477"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Termination Generally</w:t>
      </w:r>
      <w:r>
        <w:rPr>
          <w:rFonts w:ascii="Arial" w:cs="Arial" w:eastAsia="Arial" w:hAnsi="Arial"/>
          <w:sz w:val="17"/>
          <w:szCs w:val="17"/>
          <w:color w:val="auto"/>
        </w:rPr>
        <w:t>. If the Executive's employment with the Company is terminated for any reason, the Company shall pay or provide to the Executive (or to her authorized representative or estate) (i) any Base Salary earned through the Date of Termination, unpaid expense reimbursements (subject to, and in accordance with, Section 2(c) of this Agreement) and, if applicable,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77" w:lineRule="exact"/>
        <w:rPr>
          <w:rFonts w:ascii="Arial" w:cs="Arial" w:eastAsia="Arial" w:hAnsi="Arial"/>
          <w:sz w:val="17"/>
          <w:szCs w:val="17"/>
          <w:color w:val="auto"/>
        </w:rPr>
      </w:pPr>
    </w:p>
    <w:p>
      <w:pPr>
        <w:ind w:firstLine="656"/>
        <w:spacing w:after="0" w:line="289" w:lineRule="auto"/>
        <w:tabs>
          <w:tab w:leader="none" w:pos="144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 or by the Executive with Good Reason</w:t>
      </w:r>
      <w:r>
        <w:rPr>
          <w:rFonts w:ascii="Arial" w:cs="Arial" w:eastAsia="Arial" w:hAnsi="Arial"/>
          <w:sz w:val="16"/>
          <w:szCs w:val="16"/>
          <w:color w:val="auto"/>
        </w:rPr>
        <w:t>. During the Term, if the Executive's employment is terminated by the Company without Cause as provided in Section 3(d), or the Executive terminates her employment for Good Reason as provided in Section 3(e), then the Company shall pay the Executive her Accrued Benefit. In addition, subject to (i) the Executive signing a separation agreement containing, among other provisions, a general release of claims in favor of the Company and related persons and entities, confidentiality, return of property and non-disparagement, and a noncompetition agreement with terms substantially similar to the Restrictive Covenants Agreement (as defined below), and which shall provide that if the Executive breaches any provision of the Restrictive Covenants Agreement or any other continuing obligations the Executive has to the Company, then all payments of the Severance Amount shall immediately cease, such separation agreement to be in a form and manner satisfactory to the Company (the "Separation Agreement and Release") and (ii) the Separation Agreement and Release becoming irrevocable, all within 60 days after the Date of Termination (or such shorter period as set forth in the Separation Agreement and Release):</w:t>
      </w:r>
    </w:p>
    <w:p>
      <w:pPr>
        <w:spacing w:after="0" w:line="166" w:lineRule="exact"/>
        <w:rPr>
          <w:rFonts w:ascii="Arial" w:cs="Arial" w:eastAsia="Arial" w:hAnsi="Arial"/>
          <w:sz w:val="16"/>
          <w:szCs w:val="16"/>
          <w:color w:val="auto"/>
        </w:rPr>
      </w:pPr>
    </w:p>
    <w:p>
      <w:pPr>
        <w:ind w:left="2240" w:hanging="936"/>
        <w:spacing w:after="0"/>
        <w:tabs>
          <w:tab w:leader="none" w:pos="22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Company shall pay the Executive an amount equal to one (1) times the Executive's Base Salary (the "Severance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Amount"); and</w:t>
      </w:r>
    </w:p>
    <w:p>
      <w:pPr>
        <w:spacing w:after="0" w:line="210" w:lineRule="exact"/>
        <w:rPr>
          <w:rFonts w:ascii="Arial" w:cs="Arial" w:eastAsia="Arial" w:hAnsi="Arial"/>
          <w:sz w:val="17"/>
          <w:szCs w:val="17"/>
          <w:color w:val="auto"/>
        </w:rPr>
      </w:pPr>
    </w:p>
    <w:p>
      <w:pPr>
        <w:ind w:left="660" w:right="120" w:firstLine="644"/>
        <w:spacing w:after="0" w:line="257" w:lineRule="auto"/>
        <w:tabs>
          <w:tab w:leader="none" w:pos="2202"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l .409A-2(b)(2).</w:t>
      </w: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right="20" w:firstLine="656"/>
        <w:spacing w:after="0" w:line="275" w:lineRule="auto"/>
        <w:tabs>
          <w:tab w:leader="none" w:pos="1457"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Sale Event Payment</w:t>
      </w:r>
      <w:r>
        <w:rPr>
          <w:rFonts w:ascii="Arial" w:cs="Arial" w:eastAsia="Arial" w:hAnsi="Arial"/>
          <w:sz w:val="17"/>
          <w:szCs w:val="17"/>
          <w:color w:val="auto"/>
        </w:rPr>
        <w:t>. The provisions of this Section 5 are intended to assure and encourage in advance the Executive's continued attention and dedication to her assigned duties and her objectivity during the pendency and after the occurrence of any Sale Event (as defined below). These provisions shall apply in lieu of, and expressly supersede, the provisions of Section 4(b) regarding severance pay and benefits upon a termination of employment, if the Date of Termination occurs within twelve (12) months after the occurrence of the first event constituting a Sale Event. These provisions shall terminate and be of no further force or effect beginning twelve (12) months after the occurrence of a Sale Event.</w:t>
      </w:r>
    </w:p>
    <w:p>
      <w:pPr>
        <w:spacing w:after="0" w:line="176" w:lineRule="exact"/>
        <w:rPr>
          <w:sz w:val="20"/>
          <w:szCs w:val="20"/>
          <w:color w:val="auto"/>
        </w:rPr>
      </w:pPr>
    </w:p>
    <w:p>
      <w:pPr>
        <w:ind w:right="20" w:firstLine="656"/>
        <w:spacing w:after="0" w:line="279" w:lineRule="auto"/>
        <w:tabs>
          <w:tab w:leader="none" w:pos="1477"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Sale Event</w:t>
      </w:r>
      <w:r>
        <w:rPr>
          <w:rFonts w:ascii="Arial" w:cs="Arial" w:eastAsia="Arial" w:hAnsi="Arial"/>
          <w:sz w:val="17"/>
          <w:szCs w:val="17"/>
          <w:color w:val="auto"/>
        </w:rPr>
        <w:t>. During the Term, if within twelve (12) months after a Sale Event,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 (or such shorter period as set forth in the Separation Agreement and Release):</w:t>
      </w:r>
    </w:p>
    <w:p>
      <w:pPr>
        <w:spacing w:after="0" w:line="171" w:lineRule="exact"/>
        <w:rPr>
          <w:rFonts w:ascii="Arial" w:cs="Arial" w:eastAsia="Arial" w:hAnsi="Arial"/>
          <w:sz w:val="17"/>
          <w:szCs w:val="17"/>
          <w:color w:val="auto"/>
        </w:rPr>
      </w:pPr>
    </w:p>
    <w:p>
      <w:pPr>
        <w:jc w:val="both"/>
        <w:ind w:left="660" w:firstLine="644"/>
        <w:spacing w:after="0" w:line="263" w:lineRule="auto"/>
        <w:tabs>
          <w:tab w:leader="none" w:pos="224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shall pay the Executive a lump sum in cash in an amount equal to the sum of (A) two (2) times the Executive’s current Base Salary (or the Executive’s Base Salary in effect immediately prior to the Sale Event, if higher) plus (B) two (2) times the Executive’s Target Incentive Compensation ((A) and (B) together, the “Change in Control Payment”); and</w:t>
      </w:r>
    </w:p>
    <w:p>
      <w:pPr>
        <w:spacing w:after="0" w:line="183" w:lineRule="exact"/>
        <w:rPr>
          <w:rFonts w:ascii="Arial" w:cs="Arial" w:eastAsia="Arial" w:hAnsi="Arial"/>
          <w:sz w:val="18"/>
          <w:szCs w:val="18"/>
          <w:color w:val="auto"/>
        </w:rPr>
      </w:pPr>
    </w:p>
    <w:p>
      <w:pPr>
        <w:ind w:left="660" w:right="20" w:firstLine="644"/>
        <w:spacing w:after="0" w:line="257" w:lineRule="auto"/>
        <w:tabs>
          <w:tab w:leader="none" w:pos="220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twenty-four (24)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7" w:lineRule="exact"/>
        <w:rPr>
          <w:rFonts w:ascii="Arial" w:cs="Arial" w:eastAsia="Arial" w:hAnsi="Arial"/>
          <w:sz w:val="18"/>
          <w:szCs w:val="18"/>
          <w:color w:val="auto"/>
        </w:rPr>
      </w:pPr>
    </w:p>
    <w:p>
      <w:pPr>
        <w:ind w:left="660" w:firstLine="644"/>
        <w:spacing w:after="0" w:line="257" w:lineRule="auto"/>
        <w:tabs>
          <w:tab w:leader="none" w:pos="216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88" w:lineRule="exact"/>
        <w:rPr>
          <w:sz w:val="20"/>
          <w:szCs w:val="20"/>
          <w:color w:val="auto"/>
        </w:rPr>
      </w:pPr>
    </w:p>
    <w:p>
      <w:pPr>
        <w:jc w:val="both"/>
        <w:ind w:left="660" w:right="12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 w:name="page23"/>
    <w:bookmarkEnd w:id="22"/>
    <w:p>
      <w:pPr>
        <w:ind w:left="1500" w:hanging="844"/>
        <w:spacing w:after="0"/>
        <w:tabs>
          <w:tab w:leader="none" w:pos="15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Additional Limitation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4"/>
        <w:spacing w:after="0" w:line="286" w:lineRule="auto"/>
        <w:tabs>
          <w:tab w:leader="none" w:pos="2242"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 based payments and acceleration; and (4) non-cash forms of benefits ; provided that in the case of all the foregoing Aggregate Payments all amounts or payments that are not subject to calculation under Treas. Reg. §1.280G-1, Q&amp;A-24(b) or (c) shall be reduced before any amounts that are subject to calculation under Treas. Reg. §1.280G -1, Q&amp;A- 24(b) or (c).</w:t>
      </w:r>
    </w:p>
    <w:p>
      <w:pPr>
        <w:spacing w:after="0" w:line="173" w:lineRule="exact"/>
        <w:rPr>
          <w:rFonts w:ascii="Arial" w:cs="Arial" w:eastAsia="Arial" w:hAnsi="Arial"/>
          <w:sz w:val="16"/>
          <w:szCs w:val="16"/>
          <w:color w:val="auto"/>
        </w:rPr>
      </w:pPr>
    </w:p>
    <w:p>
      <w:pPr>
        <w:ind w:left="660" w:right="140" w:firstLine="644"/>
        <w:spacing w:after="0" w:line="273" w:lineRule="auto"/>
        <w:tabs>
          <w:tab w:leader="none" w:pos="2202" w:val="left"/>
        </w:tabs>
        <w:numPr>
          <w:ilvl w:val="1"/>
          <w:numId w:val="38"/>
        </w:numPr>
        <w:rPr>
          <w:rFonts w:ascii="Arial" w:cs="Arial" w:eastAsia="Arial" w:hAnsi="Arial"/>
          <w:sz w:val="17"/>
          <w:szCs w:val="17"/>
          <w:color w:val="auto"/>
        </w:rPr>
      </w:pPr>
      <w:r>
        <w:rPr>
          <w:rFonts w:ascii="Arial" w:cs="Arial" w:eastAsia="Arial" w:hAnsi="Arial"/>
          <w:sz w:val="17"/>
          <w:szCs w:val="17"/>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77" w:lineRule="exact"/>
        <w:rPr>
          <w:rFonts w:ascii="Arial" w:cs="Arial" w:eastAsia="Arial" w:hAnsi="Arial"/>
          <w:sz w:val="17"/>
          <w:szCs w:val="17"/>
          <w:color w:val="auto"/>
        </w:rPr>
      </w:pPr>
    </w:p>
    <w:p>
      <w:pPr>
        <w:ind w:left="660" w:right="80" w:firstLine="644"/>
        <w:spacing w:after="0" w:line="257" w:lineRule="auto"/>
        <w:tabs>
          <w:tab w:leader="none" w:pos="2163"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7" w:lineRule="exact"/>
        <w:rPr>
          <w:rFonts w:ascii="Arial" w:cs="Arial" w:eastAsia="Arial" w:hAnsi="Arial"/>
          <w:sz w:val="18"/>
          <w:szCs w:val="18"/>
          <w:color w:val="auto"/>
        </w:rPr>
      </w:pPr>
    </w:p>
    <w:p>
      <w:pPr>
        <w:ind w:right="40" w:firstLine="656"/>
        <w:spacing w:after="0" w:line="269" w:lineRule="auto"/>
        <w:tabs>
          <w:tab w:leader="none" w:pos="1477"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Sale Event Definitions</w:t>
      </w:r>
      <w:r>
        <w:rPr>
          <w:rFonts w:ascii="Arial" w:cs="Arial" w:eastAsia="Arial" w:hAnsi="Arial"/>
          <w:sz w:val="17"/>
          <w:szCs w:val="17"/>
          <w:color w:val="auto"/>
        </w:rPr>
        <w:t>. For purposes of this Section 5, "Sale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the foregoing, if the definition of Sale Event in an option agreement or stock-based award agreement between the Executive and the Company dated prior to the Effective Date (each, a "Preexisting Equity Agreement") is broader than this definition of Sale Event, the definition of Sale Event in such Preexisting Equity Agreement shall apply solely with respect to the equity award covered by such Preexisting Equity Agreement.</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3" w:name="page24"/>
    <w:bookmarkEnd w:id="23"/>
    <w:p>
      <w:pPr>
        <w:spacing w:after="0" w:line="272" w:lineRule="auto"/>
        <w:rPr>
          <w:sz w:val="20"/>
          <w:szCs w:val="20"/>
          <w:color w:val="auto"/>
        </w:rPr>
      </w:pPr>
      <w:r>
        <w:rPr>
          <w:rFonts w:ascii="Arial" w:cs="Arial" w:eastAsia="Arial" w:hAnsi="Arial"/>
          <w:sz w:val="17"/>
          <w:szCs w:val="17"/>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177" w:lineRule="exact"/>
        <w:rPr>
          <w:sz w:val="20"/>
          <w:szCs w:val="20"/>
          <w:color w:val="auto"/>
        </w:rPr>
      </w:pPr>
    </w:p>
    <w:p>
      <w:pPr>
        <w:ind w:left="1420" w:hanging="764"/>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91" w:lineRule="auto"/>
        <w:tabs>
          <w:tab w:leader="none" w:pos="1477"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w:t>
      </w:r>
    </w:p>
    <w:p>
      <w:pPr>
        <w:ind w:firstLine="8"/>
        <w:spacing w:after="0" w:line="252" w:lineRule="auto"/>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 s separation from service, or (B) the Executive' 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92" w:lineRule="exact"/>
        <w:rPr>
          <w:rFonts w:ascii="Arial" w:cs="Arial" w:eastAsia="Arial" w:hAnsi="Arial"/>
          <w:sz w:val="18"/>
          <w:szCs w:val="18"/>
          <w:color w:val="auto"/>
        </w:rPr>
      </w:pPr>
    </w:p>
    <w:p>
      <w:pPr>
        <w:ind w:right="20" w:firstLine="656"/>
        <w:spacing w:after="0" w:line="273" w:lineRule="auto"/>
        <w:tabs>
          <w:tab w:leader="none" w:pos="1487"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firstLine="656"/>
        <w:spacing w:after="0" w:line="279" w:lineRule="auto"/>
        <w:tabs>
          <w:tab w:leader="none" w:pos="147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 s termination of employment, then such payments or benefits shall be payable only upon the Executive' s "separation from service." The determination of whether and when a separation from service has occurred shall be made in accordance with the presumptions set forth in Treasury Regulation Section l.409A-l(h).</w:t>
      </w:r>
    </w:p>
    <w:p>
      <w:pPr>
        <w:spacing w:after="0" w:line="171" w:lineRule="exact"/>
        <w:rPr>
          <w:rFonts w:ascii="Arial" w:cs="Arial" w:eastAsia="Arial" w:hAnsi="Arial"/>
          <w:sz w:val="17"/>
          <w:szCs w:val="17"/>
          <w:color w:val="auto"/>
        </w:rPr>
      </w:pPr>
    </w:p>
    <w:p>
      <w:pPr>
        <w:ind w:right="40" w:firstLine="656"/>
        <w:spacing w:after="0" w:line="255" w:lineRule="auto"/>
        <w:tabs>
          <w:tab w:leader="none" w:pos="148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92" w:lineRule="exact"/>
        <w:rPr>
          <w:rFonts w:ascii="Arial" w:cs="Arial" w:eastAsia="Arial" w:hAnsi="Arial"/>
          <w:sz w:val="18"/>
          <w:szCs w:val="18"/>
          <w:color w:val="auto"/>
        </w:rPr>
      </w:pPr>
    </w:p>
    <w:p>
      <w:pPr>
        <w:ind w:right="40" w:firstLine="656"/>
        <w:spacing w:after="0" w:line="263" w:lineRule="auto"/>
        <w:tabs>
          <w:tab w:leader="none" w:pos="14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3" w:lineRule="exact"/>
        <w:rPr>
          <w:rFonts w:ascii="Arial" w:cs="Arial" w:eastAsia="Arial" w:hAnsi="Arial"/>
          <w:sz w:val="18"/>
          <w:szCs w:val="18"/>
          <w:color w:val="auto"/>
        </w:rPr>
      </w:pPr>
    </w:p>
    <w:p>
      <w:pPr>
        <w:ind w:right="600" w:firstLine="786"/>
        <w:spacing w:after="0" w:line="263" w:lineRule="auto"/>
        <w:tabs>
          <w:tab w:leader="none" w:pos="1452"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Restrictive Covenants Agreement</w:t>
      </w:r>
      <w:r>
        <w:rPr>
          <w:rFonts w:ascii="Arial" w:cs="Arial" w:eastAsia="Arial" w:hAnsi="Arial"/>
          <w:sz w:val="18"/>
          <w:szCs w:val="18"/>
          <w:color w:val="auto"/>
        </w:rPr>
        <w:t>. The Executive hereby acknowledges and agrees that the terms of the Non-Solicitation, Non-Competition, Confidentiality and Assignment Agreement, dated as of December 11, 2015, by and between the Company and the Executive (the "Restrictive Covenants Agreement"), remain in full force and effect</w:t>
      </w:r>
    </w:p>
    <w:p>
      <w:pPr>
        <w:spacing w:after="0" w:line="183" w:lineRule="exact"/>
        <w:rPr>
          <w:rFonts w:ascii="Arial" w:cs="Arial" w:eastAsia="Arial" w:hAnsi="Arial"/>
          <w:sz w:val="18"/>
          <w:szCs w:val="18"/>
          <w:color w:val="auto"/>
        </w:rPr>
      </w:pPr>
    </w:p>
    <w:p>
      <w:pPr>
        <w:ind w:right="20" w:firstLine="786"/>
        <w:spacing w:after="0" w:line="269" w:lineRule="auto"/>
        <w:tabs>
          <w:tab w:leader="none" w:pos="1452"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Arbitration of Disputes</w:t>
      </w:r>
      <w:r>
        <w:rPr>
          <w:rFonts w:ascii="Arial" w:cs="Arial" w:eastAsia="Arial" w:hAnsi="Arial"/>
          <w:sz w:val="17"/>
          <w:szCs w:val="17"/>
          <w:color w:val="auto"/>
        </w:rPr>
        <w:t>. Any controversy or claim arising out of or relating to this Agreement or the breach thereof or otherwise arising out of the Executive' 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 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 w:name="page26"/>
    <w:bookmarkEnd w:id="25"/>
    <w:p>
      <w:pPr>
        <w:ind w:right="60" w:firstLine="786"/>
        <w:spacing w:after="0" w:line="257" w:lineRule="auto"/>
        <w:tabs>
          <w:tab w:leader="none" w:pos="145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87" w:lineRule="exact"/>
        <w:rPr>
          <w:rFonts w:ascii="Arial" w:cs="Arial" w:eastAsia="Arial" w:hAnsi="Arial"/>
          <w:sz w:val="18"/>
          <w:szCs w:val="18"/>
          <w:color w:val="auto"/>
        </w:rPr>
      </w:pPr>
    </w:p>
    <w:p>
      <w:pPr>
        <w:ind w:right="160" w:firstLine="786"/>
        <w:spacing w:after="0" w:line="287" w:lineRule="auto"/>
        <w:tabs>
          <w:tab w:leader="none" w:pos="1452"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Effective as of the Effective Date, this Agreement constitutes the entire agreement between the parties with respect to the subject matter hereof and supersedes all other prior agreements, written or oral, between the parties concerning such subject matter (including without limitation any offer letter, the Original Employment Agreement, or any severance agreement); provided that (i) the Restrictive Covenants Agreement and</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equity award agreements entered into by the Company and the Executive prior to the date hereof, in each case, are expressly preserved.</w:t>
      </w:r>
    </w:p>
    <w:p>
      <w:pPr>
        <w:spacing w:after="0" w:line="222" w:lineRule="exact"/>
        <w:rPr>
          <w:rFonts w:ascii="Arial" w:cs="Arial" w:eastAsia="Arial" w:hAnsi="Arial"/>
          <w:sz w:val="17"/>
          <w:szCs w:val="17"/>
          <w:color w:val="auto"/>
        </w:rPr>
      </w:pPr>
    </w:p>
    <w:p>
      <w:pPr>
        <w:ind w:right="440" w:firstLine="786"/>
        <w:spacing w:after="0" w:line="277" w:lineRule="auto"/>
        <w:tabs>
          <w:tab w:leader="none" w:pos="144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w:t>
      </w:r>
    </w:p>
    <w:p>
      <w:pPr>
        <w:spacing w:after="0" w:line="170" w:lineRule="exact"/>
        <w:rPr>
          <w:rFonts w:ascii="Arial" w:cs="Arial" w:eastAsia="Arial" w:hAnsi="Arial"/>
          <w:sz w:val="18"/>
          <w:szCs w:val="18"/>
          <w:color w:val="auto"/>
        </w:rPr>
      </w:pPr>
    </w:p>
    <w:p>
      <w:pPr>
        <w:ind w:right="100" w:firstLine="786"/>
        <w:spacing w:after="0" w:line="301" w:lineRule="auto"/>
        <w:tabs>
          <w:tab w:leader="none" w:pos="1452"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Successor to the Executive</w:t>
      </w:r>
      <w:r>
        <w:rPr>
          <w:rFonts w:ascii="Arial" w:cs="Arial" w:eastAsia="Arial" w:hAnsi="Arial"/>
          <w:sz w:val="16"/>
          <w:szCs w:val="16"/>
          <w:color w:val="auto"/>
        </w:rPr>
        <w:t>. This Agreement shall inure to the benefit of and be enforceable by the Executive' s personal representatives, executors, administrators, heirs, distributees, devisees and legatees. In the event of the Executive's death after her termination of employment but prior to the completion by the Company of all payments due her under this Agreement, the Company shall continue such payments to the Executive's beneficiary designated in writing to the Company prior to her death (or to her estate, if the Executive fails to make such designation).</w:t>
      </w:r>
    </w:p>
    <w:p>
      <w:pPr>
        <w:spacing w:after="0" w:line="157" w:lineRule="exact"/>
        <w:rPr>
          <w:rFonts w:ascii="Arial" w:cs="Arial" w:eastAsia="Arial" w:hAnsi="Arial"/>
          <w:sz w:val="16"/>
          <w:szCs w:val="16"/>
          <w:color w:val="auto"/>
        </w:rPr>
      </w:pPr>
    </w:p>
    <w:p>
      <w:pPr>
        <w:jc w:val="both"/>
        <w:ind w:right="140" w:firstLine="786"/>
        <w:spacing w:after="0" w:line="279" w:lineRule="auto"/>
        <w:tabs>
          <w:tab w:leader="none" w:pos="1452"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Arial" w:cs="Arial" w:eastAsia="Arial" w:hAnsi="Arial"/>
          <w:sz w:val="17"/>
          <w:szCs w:val="17"/>
          <w:color w:val="auto"/>
        </w:rPr>
      </w:pPr>
    </w:p>
    <w:p>
      <w:pPr>
        <w:ind w:right="220" w:firstLine="786"/>
        <w:spacing w:after="0" w:line="277" w:lineRule="auto"/>
        <w:tabs>
          <w:tab w:leader="none" w:pos="1452"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170" w:lineRule="exact"/>
        <w:rPr>
          <w:rFonts w:ascii="Arial" w:cs="Arial" w:eastAsia="Arial" w:hAnsi="Arial"/>
          <w:sz w:val="18"/>
          <w:szCs w:val="18"/>
          <w:color w:val="auto"/>
        </w:rPr>
      </w:pPr>
    </w:p>
    <w:p>
      <w:pPr>
        <w:jc w:val="both"/>
        <w:ind w:firstLine="786"/>
        <w:spacing w:after="0" w:line="263" w:lineRule="auto"/>
        <w:tabs>
          <w:tab w:leader="none" w:pos="1452"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3" w:lineRule="exact"/>
        <w:rPr>
          <w:rFonts w:ascii="Arial" w:cs="Arial" w:eastAsia="Arial" w:hAnsi="Arial"/>
          <w:sz w:val="18"/>
          <w:szCs w:val="18"/>
          <w:color w:val="auto"/>
        </w:rPr>
      </w:pPr>
    </w:p>
    <w:p>
      <w:pPr>
        <w:jc w:val="both"/>
        <w:ind w:right="60" w:firstLine="786"/>
        <w:spacing w:after="0" w:line="259" w:lineRule="auto"/>
        <w:tabs>
          <w:tab w:leader="none" w:pos="1452"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ind w:right="620" w:firstLine="786"/>
        <w:spacing w:after="0" w:line="277" w:lineRule="auto"/>
        <w:tabs>
          <w:tab w:leader="none" w:pos="14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70" w:lineRule="exact"/>
        <w:rPr>
          <w:rFonts w:ascii="Arial" w:cs="Arial" w:eastAsia="Arial" w:hAnsi="Arial"/>
          <w:sz w:val="18"/>
          <w:szCs w:val="18"/>
          <w:color w:val="auto"/>
        </w:rPr>
      </w:pPr>
    </w:p>
    <w:p>
      <w:pPr>
        <w:ind w:right="100" w:firstLine="786"/>
        <w:spacing w:after="0" w:line="259" w:lineRule="auto"/>
        <w:tabs>
          <w:tab w:leader="none" w:pos="14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86" w:lineRule="exact"/>
        <w:rPr>
          <w:rFonts w:ascii="Arial" w:cs="Arial" w:eastAsia="Arial" w:hAnsi="Arial"/>
          <w:sz w:val="18"/>
          <w:szCs w:val="18"/>
          <w:color w:val="auto"/>
        </w:rPr>
      </w:pPr>
    </w:p>
    <w:p>
      <w:pPr>
        <w:ind w:right="100" w:firstLine="786"/>
        <w:spacing w:after="0" w:line="277" w:lineRule="auto"/>
        <w:tabs>
          <w:tab w:leader="none" w:pos="14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rFonts w:ascii="Arial" w:cs="Arial" w:eastAsia="Arial" w:hAnsi="Arial"/>
          <w:sz w:val="18"/>
          <w:szCs w:val="18"/>
          <w:color w:val="auto"/>
        </w:rPr>
      </w:pPr>
    </w:p>
    <w:p>
      <w:pPr>
        <w:ind w:firstLine="786"/>
        <w:spacing w:after="0" w:line="259" w:lineRule="auto"/>
        <w:tabs>
          <w:tab w:leader="none" w:pos="14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Successor to Company</w:t>
      </w:r>
      <w:r>
        <w:rPr>
          <w:rFonts w:ascii="Arial" w:cs="Arial" w:eastAsia="Arial" w:hAnsi="Arial"/>
          <w:sz w:val="18"/>
          <w:szCs w:val="18"/>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IN WITNESS WHEREOF, the parties have executed this Agreement effective as of the Effective Date.</w:t>
      </w:r>
    </w:p>
    <w:p>
      <w:pPr>
        <w:spacing w:after="0" w:line="221" w:lineRule="exact"/>
        <w:rPr>
          <w:sz w:val="20"/>
          <w:szCs w:val="20"/>
          <w:color w:val="auto"/>
        </w:rPr>
      </w:pPr>
    </w:p>
    <w:p>
      <w:pPr>
        <w:jc w:val="right"/>
        <w:ind w:right="206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Albers</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Jeffrey Albers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January 4, 2022</w:t>
            </w:r>
          </w:p>
        </w:tc>
      </w:tr>
    </w:tbl>
    <w:p>
      <w:pPr>
        <w:spacing w:after="0" w:line="18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5572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Kathryn Haviland</w:t>
      </w:r>
    </w:p>
    <w:p>
      <w:pPr>
        <w:spacing w:after="0" w:line="23" w:lineRule="exact"/>
        <w:rPr>
          <w:sz w:val="20"/>
          <w:szCs w:val="20"/>
          <w:color w:val="auto"/>
        </w:rPr>
      </w:pPr>
    </w:p>
    <w:p>
      <w:pPr>
        <w:ind w:left="4980"/>
        <w:spacing w:after="0"/>
        <w:tabs>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5715</wp:posOffset>
            </wp:positionV>
            <wp:extent cx="31375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97" w:lineRule="exact"/>
        <w:rPr>
          <w:sz w:val="20"/>
          <w:szCs w:val="20"/>
          <w:color w:val="auto"/>
        </w:rPr>
      </w:pPr>
    </w:p>
    <w:p>
      <w:pPr>
        <w:ind w:left="2140"/>
        <w:spacing w:after="0"/>
        <w:rPr>
          <w:sz w:val="20"/>
          <w:szCs w:val="20"/>
          <w:color w:val="auto"/>
        </w:rPr>
      </w:pPr>
      <w:r>
        <w:rPr>
          <w:rFonts w:ascii="Arial" w:cs="Arial" w:eastAsia="Arial" w:hAnsi="Arial"/>
          <w:sz w:val="22"/>
          <w:szCs w:val="22"/>
          <w:i w:val="1"/>
          <w:iCs w:val="1"/>
          <w:color w:val="auto"/>
        </w:rPr>
        <w:t>[Signature Page – Amended &amp; Restated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452755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10.3</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COPY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&amp;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2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This Amended &amp; Restated Employment Agreement (“Agreement”) is between Blueprint Medicines Corporation, a Delaware corporation (the “Company”), and Christina Rossi (the “Executive”) and is effective as of April 4, 2022 (the “Effective Date”).</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WHEREAS, the Company and the Executive are parties to the Employment Agreement dated as of October 29, 2018, as amended by a first amendment thereto dated as of December 22, 2021 (as amended, the “Original Employment Agreement”);</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WHEREAS, the Company and the Executive desire to enter into this Agreement effective as of the Effective Date to replace the Original Employment Agreement, provided the Executive is employed by the Company on the Effective Date; and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employ the Executive and the Executive desires to be employed by the Company on the terms and conditions contained herein.</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0"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sz w:val="20"/>
          <w:szCs w:val="20"/>
          <w:color w:val="auto"/>
        </w:rPr>
      </w:pPr>
    </w:p>
    <w:p>
      <w:pPr>
        <w:ind w:right="160" w:firstLine="656"/>
        <w:spacing w:after="0" w:line="259" w:lineRule="auto"/>
        <w:tabs>
          <w:tab w:leader="none" w:pos="179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continue until terminated in accordance with the provisions of Section 3 (the “Term”). Notwithstanding anything to the contrary in this Agreement, the Executive’s employment with the Company will be “at will,” meaning that the Executive’s employment may be terminated by the Company or the Executive at any time and for any reason, subject to the terms of this Agreement.</w:t>
      </w:r>
    </w:p>
    <w:p>
      <w:pPr>
        <w:spacing w:after="0" w:line="186" w:lineRule="exact"/>
        <w:rPr>
          <w:rFonts w:ascii="Arial" w:cs="Arial" w:eastAsia="Arial" w:hAnsi="Arial"/>
          <w:sz w:val="18"/>
          <w:szCs w:val="18"/>
          <w:color w:val="auto"/>
        </w:rPr>
      </w:pPr>
    </w:p>
    <w:p>
      <w:pPr>
        <w:ind w:right="120" w:firstLine="656"/>
        <w:spacing w:after="0" w:line="293" w:lineRule="auto"/>
        <w:tabs>
          <w:tab w:leader="none" w:pos="175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Effective as of the Effective Date, the Executive shall resign as the Chief Commercial Officer and shall serve as the Chief Operating Officer of the Company, and shall have such duties as are consistent with such position. The Executive shall report to the Chief Executive Officer of the Company (the “CEO”) or another authorized executive. The Executive shall devote her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her duties to the Company as provided in this Agreement.</w:t>
      </w:r>
    </w:p>
    <w:p>
      <w:pPr>
        <w:spacing w:after="0" w:line="164"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301" w:lineRule="auto"/>
        <w:tabs>
          <w:tab w:leader="none" w:pos="179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Effective as of the Effective Date, the Executive’s annual base salary shall be $581,510.00. The Executive’s base salary shall be re-determined annually by the Board or the Compensation Committee of the Board (the “Compensation Committee”) and shall be subject to increase but not decrease while Executive is serving in the Chief Operating Officer role. The annual base salary in effect at any given time is referred to herein as “Base Salary.” The Base Salary shall be payable in a manner that is consistent with the Company’s usual payroll practices for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 w:name="page30"/>
    <w:bookmarkEnd w:id="29"/>
    <w:p>
      <w:pPr>
        <w:ind w:left="1760" w:hanging="1104"/>
        <w:spacing w:after="0"/>
        <w:tabs>
          <w:tab w:leader="none" w:pos="1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656"/>
        <w:spacing w:after="0" w:line="263" w:lineRule="auto"/>
        <w:tabs>
          <w:tab w:leader="none" w:pos="179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The Executive may be eligible to receive future equity awards under the Company’s 2015 Stock Option and Incentive Plan (as amended and/or restated from time to time) or such other equity plan as then in effect, in the sole discretion of the Board or the Compensation Committee of the Board.</w:t>
      </w:r>
    </w:p>
    <w:p>
      <w:pPr>
        <w:spacing w:after="0" w:line="184" w:lineRule="exact"/>
        <w:rPr>
          <w:sz w:val="20"/>
          <w:szCs w:val="20"/>
          <w:color w:val="auto"/>
        </w:rPr>
      </w:pPr>
    </w:p>
    <w:p>
      <w:pPr>
        <w:ind w:firstLine="656"/>
        <w:spacing w:after="0" w:line="275" w:lineRule="auto"/>
        <w:tabs>
          <w:tab w:leader="none" w:pos="1792"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During the Term, the Executive shall be eligible to receive cash incentive compensation as determined by the Board or the Compensation Committee from time to time. Executive’s target annual incentive compensation shall be 60% of her Base Salary (the “Target Incentive Compensation”). The Board or the Compensation Committee shall weigh its bonus determination as follows: 75% on Company performance and 25% on Executive’s individual performance. To earn incentive compensation, the Executive must be employed by the Company on the day such incentive compensation is paid. For the avoidance of doubt, notwithstanding anything to the contrary herein:</w:t>
      </w:r>
    </w:p>
    <w:p>
      <w:pPr>
        <w:spacing w:after="0" w:line="176" w:lineRule="exact"/>
        <w:rPr>
          <w:rFonts w:ascii="Arial" w:cs="Arial" w:eastAsia="Arial" w:hAnsi="Arial"/>
          <w:sz w:val="17"/>
          <w:szCs w:val="17"/>
          <w:color w:val="auto"/>
        </w:rPr>
      </w:pPr>
    </w:p>
    <w:p>
      <w:pPr>
        <w:ind w:left="660" w:right="60" w:firstLine="644"/>
        <w:spacing w:after="0" w:line="301" w:lineRule="auto"/>
        <w:tabs>
          <w:tab w:leader="none" w:pos="2242" w:val="left"/>
        </w:tabs>
        <w:numPr>
          <w:ilvl w:val="1"/>
          <w:numId w:val="51"/>
        </w:numPr>
        <w:rPr>
          <w:rFonts w:ascii="Arial" w:cs="Arial" w:eastAsia="Arial" w:hAnsi="Arial"/>
          <w:sz w:val="16"/>
          <w:szCs w:val="16"/>
          <w:color w:val="424242"/>
        </w:rPr>
      </w:pPr>
      <w:r>
        <w:rPr>
          <w:rFonts w:ascii="Arial" w:cs="Arial" w:eastAsia="Arial" w:hAnsi="Arial"/>
          <w:sz w:val="16"/>
          <w:szCs w:val="16"/>
          <w:color w:val="auto"/>
        </w:rPr>
        <w:t>for the year that ended December 31, 2021, the Executive is eligible to receive incentive compensation in connection with her services as Chief Commercial Officer of the Company during such year as determined by the Board or the Compensation Committee based on the Executive’s target incentive compensation under the Original Employment Agreement as previously determined by the Compensation Committee, provided the Executive remains employed by the Company on the day such incentive compensation is paid; and</w:t>
      </w:r>
    </w:p>
    <w:p>
      <w:pPr>
        <w:spacing w:after="0" w:line="157" w:lineRule="exact"/>
        <w:rPr>
          <w:rFonts w:ascii="Arial" w:cs="Arial" w:eastAsia="Arial" w:hAnsi="Arial"/>
          <w:sz w:val="16"/>
          <w:szCs w:val="16"/>
          <w:color w:val="424242"/>
        </w:rPr>
      </w:pPr>
    </w:p>
    <w:p>
      <w:pPr>
        <w:ind w:left="660" w:right="40" w:firstLine="644"/>
        <w:spacing w:after="0" w:line="273" w:lineRule="auto"/>
        <w:tabs>
          <w:tab w:leader="none" w:pos="2157" w:val="left"/>
        </w:tabs>
        <w:numPr>
          <w:ilvl w:val="1"/>
          <w:numId w:val="51"/>
        </w:numPr>
        <w:rPr>
          <w:rFonts w:ascii="Arial" w:cs="Arial" w:eastAsia="Arial" w:hAnsi="Arial"/>
          <w:sz w:val="17"/>
          <w:szCs w:val="17"/>
          <w:color w:val="424242"/>
        </w:rPr>
      </w:pPr>
      <w:r>
        <w:rPr>
          <w:rFonts w:ascii="Arial" w:cs="Arial" w:eastAsia="Arial" w:hAnsi="Arial"/>
          <w:sz w:val="17"/>
          <w:szCs w:val="17"/>
          <w:color w:val="auto"/>
        </w:rPr>
        <w:t>for the period beginning on January 1, 2022 and ending on April 3, 2022 (inclusive), the Executive is eligible to earn prorated incentive compensation under the Original Employment Agreement in connection with her services as Chief Commercial Officer of the Company during such period as determined by the Board or the Compensation Committee based on the Executive’s target incentive compensation equal to 50% of her annual base salary as in effect during such period (and the Board or the Compensation Committee shall weigh its bonus determination 75% on Company performance and 25% on the Executive’s individual performance), provided the Executive remains employed by the Company on the day such incentive compensation is paid.</w:t>
      </w:r>
    </w:p>
    <w:p>
      <w:pPr>
        <w:spacing w:after="0" w:line="178" w:lineRule="exact"/>
        <w:rPr>
          <w:sz w:val="20"/>
          <w:szCs w:val="20"/>
          <w:color w:val="auto"/>
        </w:rPr>
      </w:pPr>
    </w:p>
    <w:p>
      <w:pPr>
        <w:ind w:right="160" w:firstLine="656"/>
        <w:spacing w:after="0" w:line="263" w:lineRule="auto"/>
        <w:tabs>
          <w:tab w:leader="none" w:pos="175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senior executive officers.</w:t>
      </w:r>
    </w:p>
    <w:p>
      <w:pPr>
        <w:spacing w:after="0" w:line="183" w:lineRule="exact"/>
        <w:rPr>
          <w:rFonts w:ascii="Arial" w:cs="Arial" w:eastAsia="Arial" w:hAnsi="Arial"/>
          <w:sz w:val="18"/>
          <w:szCs w:val="18"/>
          <w:color w:val="auto"/>
        </w:rPr>
      </w:pPr>
    </w:p>
    <w:p>
      <w:pPr>
        <w:ind w:right="700" w:firstLine="656"/>
        <w:spacing w:after="0" w:line="277" w:lineRule="auto"/>
        <w:tabs>
          <w:tab w:leader="none" w:pos="179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Term, the Executive shall be eligible to participate in or receive benefits under the Company’s employee benefit plans in effect from time to time, subject to the terms of such plans.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1820" w:hanging="1164"/>
        <w:spacing w:after="0"/>
        <w:tabs>
          <w:tab w:leader="none" w:pos="182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Vacations</w:t>
      </w:r>
      <w:r>
        <w:rPr>
          <w:rFonts w:ascii="Arial" w:cs="Arial" w:eastAsia="Arial" w:hAnsi="Arial"/>
          <w:sz w:val="16"/>
          <w:szCs w:val="16"/>
          <w:color w:val="auto"/>
        </w:rPr>
        <w:t>. During the Term, the Executive shall be entitled to paid vacation in accordance with the Company’s applicable policy.</w:t>
      </w:r>
    </w:p>
    <w:p>
      <w:pPr>
        <w:spacing w:after="0" w:line="248" w:lineRule="exact"/>
        <w:rPr>
          <w:sz w:val="20"/>
          <w:szCs w:val="20"/>
          <w:color w:val="auto"/>
        </w:rPr>
      </w:pPr>
    </w:p>
    <w:p>
      <w:pPr>
        <w:ind w:right="380" w:firstLine="656"/>
        <w:spacing w:after="0" w:line="277" w:lineRule="auto"/>
        <w:tabs>
          <w:tab w:leader="none" w:pos="159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During the Term, the Executive’s employment hereunder may be terminated without any breach of this Agreement under the following circumstances:</w:t>
      </w:r>
    </w:p>
    <w:p>
      <w:pPr>
        <w:spacing w:after="0" w:line="170" w:lineRule="exact"/>
        <w:rPr>
          <w:sz w:val="20"/>
          <w:szCs w:val="20"/>
          <w:color w:val="auto"/>
        </w:rPr>
      </w:pPr>
    </w:p>
    <w:p>
      <w:pPr>
        <w:ind w:left="1800" w:hanging="1144"/>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her death.</w:t>
      </w:r>
    </w:p>
    <w:p>
      <w:pPr>
        <w:spacing w:after="0" w:line="225" w:lineRule="exact"/>
        <w:rPr>
          <w:rFonts w:ascii="Arial" w:cs="Arial" w:eastAsia="Arial" w:hAnsi="Arial"/>
          <w:sz w:val="18"/>
          <w:szCs w:val="18"/>
          <w:color w:val="auto"/>
        </w:rPr>
      </w:pPr>
    </w:p>
    <w:p>
      <w:pPr>
        <w:ind w:firstLine="656"/>
        <w:spacing w:after="0" w:line="269" w:lineRule="auto"/>
        <w:tabs>
          <w:tab w:leader="none" w:pos="1757"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The Company may terminate the Executive’s employment if she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§260l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181" w:lineRule="exact"/>
        <w:rPr>
          <w:rFonts w:ascii="Arial" w:cs="Arial" w:eastAsia="Arial" w:hAnsi="Arial"/>
          <w:sz w:val="17"/>
          <w:szCs w:val="17"/>
          <w:color w:val="auto"/>
        </w:rPr>
      </w:pPr>
    </w:p>
    <w:p>
      <w:pPr>
        <w:ind w:firstLine="656"/>
        <w:spacing w:after="0" w:line="287" w:lineRule="auto"/>
        <w:tabs>
          <w:tab w:leader="none" w:pos="1792"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Termination by Company for Cause</w:t>
      </w:r>
      <w:r>
        <w:rPr>
          <w:rFonts w:ascii="Arial" w:cs="Arial" w:eastAsia="Arial" w:hAnsi="Arial"/>
          <w:sz w:val="16"/>
          <w:szCs w:val="16"/>
          <w:color w:val="auto"/>
        </w:rPr>
        <w:t>. The Company may terminate the Executive’s employment hereunder for Cause. For purposes of this Agreement, “Cause” shall mean: (i) conduct by the Executive constituting a material act of misconduct in connection with the performance of her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she were retained in her position; (iii) continued non-performance by the Executive of her duties hereunder (other than by reason of the Executive’s physical or mental illness, incapacity or disability) which has continued for more than 30 days following written notice of such non-performance from the CEO; (iv) a material breach by the Executive of any of the provisions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1" w:name="page32"/>
    <w:bookmarkEnd w:id="31"/>
    <w:p>
      <w:pPr>
        <w:ind w:right="280" w:firstLine="656"/>
        <w:spacing w:after="0" w:line="259" w:lineRule="auto"/>
        <w:tabs>
          <w:tab w:leader="none" w:pos="175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86" w:lineRule="exact"/>
        <w:rPr>
          <w:rFonts w:ascii="Arial" w:cs="Arial" w:eastAsia="Arial" w:hAnsi="Arial"/>
          <w:sz w:val="18"/>
          <w:szCs w:val="18"/>
          <w:color w:val="auto"/>
        </w:rPr>
      </w:pPr>
    </w:p>
    <w:p>
      <w:pPr>
        <w:ind w:firstLine="656"/>
        <w:spacing w:after="0" w:line="287" w:lineRule="auto"/>
        <w:tabs>
          <w:tab w:leader="none" w:pos="179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Termination by the Executive</w:t>
      </w:r>
      <w:r>
        <w:rPr>
          <w:rFonts w:ascii="Arial" w:cs="Arial" w:eastAsia="Arial" w:hAnsi="Arial"/>
          <w:sz w:val="16"/>
          <w:szCs w:val="16"/>
          <w:color w:val="auto"/>
        </w:rPr>
        <w:t>. The Executive may terminate her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 to remedy the condition; (iv) notwithstanding such efforts, the Good Reason condition continues to exist; and (v) the Executive terminates her employment within 60 days after the end of the Cure Period . If the Company cures the Good Reason condition during the Cure Period, Good Reason shall be deemed not to have occurred.</w:t>
      </w:r>
    </w:p>
    <w:p>
      <w:pPr>
        <w:spacing w:after="0" w:line="167" w:lineRule="exact"/>
        <w:rPr>
          <w:rFonts w:ascii="Arial" w:cs="Arial" w:eastAsia="Arial" w:hAnsi="Arial"/>
          <w:sz w:val="16"/>
          <w:szCs w:val="16"/>
          <w:color w:val="auto"/>
        </w:rPr>
      </w:pPr>
    </w:p>
    <w:p>
      <w:pPr>
        <w:jc w:val="both"/>
        <w:ind w:right="60" w:firstLine="656"/>
        <w:spacing w:after="0" w:line="311" w:lineRule="auto"/>
        <w:tabs>
          <w:tab w:leader="none" w:pos="1817"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48" w:lineRule="exact"/>
        <w:rPr>
          <w:rFonts w:ascii="Arial" w:cs="Arial" w:eastAsia="Arial" w:hAnsi="Arial"/>
          <w:sz w:val="16"/>
          <w:szCs w:val="16"/>
          <w:color w:val="auto"/>
        </w:rPr>
      </w:pPr>
    </w:p>
    <w:p>
      <w:pPr>
        <w:ind w:firstLine="656"/>
        <w:spacing w:after="0" w:line="271" w:lineRule="auto"/>
        <w:tabs>
          <w:tab w:leader="none" w:pos="1757"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“Date of Termination” shall mean: (i) if the Executive’s employment is terminated by her death, the date of her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2" w:name="page33"/>
    <w:bookmarkEnd w:id="32"/>
    <w:p>
      <w:pPr>
        <w:ind w:right="200" w:firstLine="656"/>
        <w:spacing w:after="0" w:line="257" w:lineRule="auto"/>
        <w:tabs>
          <w:tab w:leader="none" w:pos="175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Consent to Amended and Restated Employment Agreement</w:t>
      </w:r>
      <w:r>
        <w:rPr>
          <w:rFonts w:ascii="Arial" w:cs="Arial" w:eastAsia="Arial" w:hAnsi="Arial"/>
          <w:sz w:val="18"/>
          <w:szCs w:val="18"/>
          <w:color w:val="auto"/>
        </w:rPr>
        <w:t>. The Executive hereby gives her express written consent to this Agreement which amends and restates the Original Employment Agreement. Accordingly, the Executive acknowledges and agrees that none of the terms hereof shall serve as the basis of a “Good Reason” trigger as defined in this Agreement or the Original Employment Agreement, and therefore the Executive shall not be eligible to resign for Good Reason as a result of any terms, or in connection with the negotiation, execution and delivery, of this Agreement.</w:t>
      </w:r>
    </w:p>
    <w:p>
      <w:pPr>
        <w:spacing w:after="0" w:line="188" w:lineRule="exact"/>
        <w:rPr>
          <w:sz w:val="20"/>
          <w:szCs w:val="20"/>
          <w:color w:val="auto"/>
        </w:rPr>
      </w:pPr>
    </w:p>
    <w:p>
      <w:pPr>
        <w:ind w:left="1600" w:hanging="944"/>
        <w:spacing w:after="0"/>
        <w:tabs>
          <w:tab w:leader="none" w:pos="16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Compensation Upon Termination</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73" w:lineRule="auto"/>
        <w:tabs>
          <w:tab w:leader="none" w:pos="1792"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Termination Generally</w:t>
      </w:r>
      <w:r>
        <w:rPr>
          <w:rFonts w:ascii="Arial" w:cs="Arial" w:eastAsia="Arial" w:hAnsi="Arial"/>
          <w:sz w:val="17"/>
          <w:szCs w:val="17"/>
          <w:color w:val="auto"/>
        </w:rPr>
        <w:t>. If the Executive’s employment with the Company is terminated for any reason, the Company shall pay or provide to the Executive (or to her authorized representative or estate) (i) any Base Salary earned through the Date of Termination, unpaid expense reimbursements (subject to, and in accordance with, Section 2(d) of this Agreement) and, if applicable,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77" w:lineRule="exact"/>
        <w:rPr>
          <w:rFonts w:ascii="Arial" w:cs="Arial" w:eastAsia="Arial" w:hAnsi="Arial"/>
          <w:sz w:val="17"/>
          <w:szCs w:val="17"/>
          <w:color w:val="auto"/>
        </w:rPr>
      </w:pPr>
    </w:p>
    <w:p>
      <w:pPr>
        <w:ind w:right="120" w:firstLine="656"/>
        <w:spacing w:after="0" w:line="289" w:lineRule="auto"/>
        <w:tabs>
          <w:tab w:leader="none" w:pos="1757"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 or by the Executive with Good Reason</w:t>
      </w:r>
      <w:r>
        <w:rPr>
          <w:rFonts w:ascii="Arial" w:cs="Arial" w:eastAsia="Arial" w:hAnsi="Arial"/>
          <w:sz w:val="16"/>
          <w:szCs w:val="16"/>
          <w:color w:val="auto"/>
        </w:rPr>
        <w:t>. During the Term, if the Executive’s employment is terminated by the Company without Cause as provided in Section 3(d), or the Executive terminates her employment for Good Reason as provided in Section 3(e), then the Company shall pay the Executive her Accrued Benefit. In addition, subject to (i) the Executive signing a separation agreement containing, among other provisions, a general release of claims in favor of the Company and related persons and entities, confidentiality, return of property and non-disparagement, and a noncompetition agreement with terms substantially similar to the Restrictive Covenants Agreement (as defined below), and which shall provide that if the Executive breaches any provision of the Restrictive Covenants Agreement or any other continuing obligations the Executive has to the Company, then all payments of the Severance Amount shall immediately cease, such separation agreement to be in a form and manner satisfactory to the Company (the “Separation Agreement and Release”) and (ii) the Separation Agreement and Release becoming irrevocable, all within 60 days after the Date of Termination (or such shorter period as set forth in the Separation Agreement and Release):</w:t>
      </w:r>
    </w:p>
    <w:p>
      <w:pPr>
        <w:spacing w:after="0" w:line="166" w:lineRule="exact"/>
        <w:rPr>
          <w:rFonts w:ascii="Arial" w:cs="Arial" w:eastAsia="Arial" w:hAnsi="Arial"/>
          <w:sz w:val="16"/>
          <w:szCs w:val="16"/>
          <w:color w:val="auto"/>
        </w:rPr>
      </w:pPr>
    </w:p>
    <w:p>
      <w:pPr>
        <w:ind w:left="660" w:right="560" w:firstLine="644"/>
        <w:spacing w:after="0" w:line="259" w:lineRule="auto"/>
        <w:tabs>
          <w:tab w:leader="none" w:pos="2242" w:val="left"/>
        </w:tabs>
        <w:numPr>
          <w:ilvl w:val="1"/>
          <w:numId w:val="59"/>
        </w:numPr>
        <w:rPr>
          <w:rFonts w:ascii="Arial" w:cs="Arial" w:eastAsia="Arial" w:hAnsi="Arial"/>
          <w:sz w:val="18"/>
          <w:szCs w:val="18"/>
          <w:color w:val="424242"/>
        </w:rPr>
      </w:pPr>
      <w:r>
        <w:rPr>
          <w:rFonts w:ascii="Arial" w:cs="Arial" w:eastAsia="Arial" w:hAnsi="Arial"/>
          <w:sz w:val="18"/>
          <w:szCs w:val="18"/>
          <w:color w:val="auto"/>
        </w:rPr>
        <w:t>the Company shall pay the Executive an amount equal to one (1) times the Executive’s Base Salary (the “Severance Amount”), provided in the event the Executive is entitled to any payments pursuant to the Restrictive Covenants Agreement, the Severance Amount will be reduced by the amount the Executive is paid pursuant to the Restrictive Covenants Agreement (the “Restrictive Covenants Agreement Setoff”); and</w:t>
      </w:r>
    </w:p>
    <w:p>
      <w:pPr>
        <w:spacing w:after="0" w:line="186" w:lineRule="exact"/>
        <w:rPr>
          <w:rFonts w:ascii="Arial" w:cs="Arial" w:eastAsia="Arial" w:hAnsi="Arial"/>
          <w:sz w:val="18"/>
          <w:szCs w:val="18"/>
          <w:color w:val="424242"/>
        </w:rPr>
      </w:pPr>
    </w:p>
    <w:p>
      <w:pPr>
        <w:jc w:val="both"/>
        <w:ind w:left="660" w:firstLine="644"/>
        <w:spacing w:after="0" w:line="301" w:lineRule="auto"/>
        <w:tabs>
          <w:tab w:leader="none" w:pos="2157" w:val="left"/>
        </w:tabs>
        <w:numPr>
          <w:ilvl w:val="1"/>
          <w:numId w:val="59"/>
        </w:numPr>
        <w:rPr>
          <w:rFonts w:ascii="Arial" w:cs="Arial" w:eastAsia="Arial" w:hAnsi="Arial"/>
          <w:sz w:val="16"/>
          <w:szCs w:val="16"/>
          <w:color w:val="424242"/>
        </w:rPr>
      </w:pPr>
      <w:r>
        <w:rPr>
          <w:rFonts w:ascii="Arial" w:cs="Arial" w:eastAsia="Arial" w:hAnsi="Arial"/>
          <w:sz w:val="16"/>
          <w:szCs w:val="16"/>
          <w:color w:val="auto"/>
        </w:rPr>
        <w:t>if the Executive was participating in the Company’s group health (medical, dental and/or vision)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right="20"/>
        <w:spacing w:after="0" w:line="296" w:lineRule="auto"/>
        <w:rPr>
          <w:sz w:val="20"/>
          <w:szCs w:val="20"/>
          <w:color w:val="auto"/>
        </w:rPr>
      </w:pPr>
      <w:r>
        <w:rPr>
          <w:rFonts w:ascii="Arial" w:cs="Arial" w:eastAsia="Arial" w:hAnsi="Arial"/>
          <w:sz w:val="16"/>
          <w:szCs w:val="16"/>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l.409A-2(b)(2).</w:t>
      </w:r>
    </w:p>
    <w:p>
      <w:pPr>
        <w:spacing w:after="0" w:line="161" w:lineRule="exact"/>
        <w:rPr>
          <w:sz w:val="20"/>
          <w:szCs w:val="20"/>
          <w:color w:val="auto"/>
        </w:rPr>
      </w:pPr>
    </w:p>
    <w:p>
      <w:pPr>
        <w:ind w:right="40" w:firstLine="656"/>
        <w:spacing w:after="0" w:line="275" w:lineRule="auto"/>
        <w:tabs>
          <w:tab w:leader="none" w:pos="1592"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Sale Event Payment</w:t>
      </w:r>
      <w:r>
        <w:rPr>
          <w:rFonts w:ascii="Arial" w:cs="Arial" w:eastAsia="Arial" w:hAnsi="Arial"/>
          <w:sz w:val="17"/>
          <w:szCs w:val="17"/>
          <w:color w:val="auto"/>
        </w:rPr>
        <w:t>. The provisions of this Section 5 are intended to assure and encourage in advance the Executive’s continued attention and dedication to her assigned duties and her objectivity during the pendency and after the occurrence of any Sale Event (as defined below). These provisions shall apply in lieu of, and expressly supersede, the provisions of Section 4(b) regarding severance pay and benefits upon a termination of employment, if the Date of Termination occurs within twelve (12) months after the occurrence of the first event constituting a Sale Event. These provisions shall terminate and be of no further force or effect beginning twelve (12) months after the occurrence of a Sale Event.</w:t>
      </w:r>
    </w:p>
    <w:p>
      <w:pPr>
        <w:spacing w:after="0" w:line="176" w:lineRule="exact"/>
        <w:rPr>
          <w:sz w:val="20"/>
          <w:szCs w:val="20"/>
          <w:color w:val="auto"/>
        </w:rPr>
      </w:pPr>
    </w:p>
    <w:p>
      <w:pPr>
        <w:ind w:right="40" w:firstLine="656"/>
        <w:spacing w:after="0" w:line="279" w:lineRule="auto"/>
        <w:tabs>
          <w:tab w:leader="none" w:pos="1522"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Sale Event</w:t>
      </w:r>
      <w:r>
        <w:rPr>
          <w:rFonts w:ascii="Arial" w:cs="Arial" w:eastAsia="Arial" w:hAnsi="Arial"/>
          <w:sz w:val="17"/>
          <w:szCs w:val="17"/>
          <w:color w:val="auto"/>
        </w:rPr>
        <w:t>. During the Term, if within twelve (12) months after a Sale Event,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 (or such shorter period as set forth in the Separation Agreement and Release):</w:t>
      </w:r>
    </w:p>
    <w:p>
      <w:pPr>
        <w:spacing w:after="0" w:line="171" w:lineRule="exact"/>
        <w:rPr>
          <w:rFonts w:ascii="Arial" w:cs="Arial" w:eastAsia="Arial" w:hAnsi="Arial"/>
          <w:sz w:val="17"/>
          <w:szCs w:val="17"/>
          <w:color w:val="auto"/>
        </w:rPr>
      </w:pPr>
    </w:p>
    <w:p>
      <w:pPr>
        <w:jc w:val="both"/>
        <w:ind w:left="660" w:right="60" w:firstLine="644"/>
        <w:spacing w:after="0" w:line="279" w:lineRule="auto"/>
        <w:tabs>
          <w:tab w:leader="none" w:pos="2242" w:val="left"/>
        </w:tabs>
        <w:numPr>
          <w:ilvl w:val="1"/>
          <w:numId w:val="61"/>
        </w:numPr>
        <w:rPr>
          <w:rFonts w:ascii="Arial" w:cs="Arial" w:eastAsia="Arial" w:hAnsi="Arial"/>
          <w:sz w:val="17"/>
          <w:szCs w:val="17"/>
          <w:color w:val="424242"/>
        </w:rPr>
      </w:pPr>
      <w:r>
        <w:rPr>
          <w:rFonts w:ascii="Arial" w:cs="Arial" w:eastAsia="Arial" w:hAnsi="Arial"/>
          <w:sz w:val="17"/>
          <w:szCs w:val="17"/>
          <w:color w:val="auto"/>
        </w:rPr>
        <w:t>the Company shall pay the Executive a lump sum in cash in an amount equal to the sum of (A) one and one-half (1.5) times the Executive’s current Base Salary (or the Executive’s Base Salary in effect immediately prior to the Sale Event, if higher) plus (B) one and one-half (1.5) times the Executive’s Target Incentive Compensation ((A) and (B) together, the “Change in Control Payment”), provided any Change in Control Payment shall be less the Restrictive Covenants Agreement Setoff, if applicable; and</w:t>
      </w:r>
    </w:p>
    <w:p>
      <w:pPr>
        <w:spacing w:after="0" w:line="171" w:lineRule="exact"/>
        <w:rPr>
          <w:rFonts w:ascii="Arial" w:cs="Arial" w:eastAsia="Arial" w:hAnsi="Arial"/>
          <w:sz w:val="17"/>
          <w:szCs w:val="17"/>
          <w:color w:val="424242"/>
        </w:rPr>
      </w:pPr>
    </w:p>
    <w:p>
      <w:pPr>
        <w:ind w:left="660" w:firstLine="644"/>
        <w:spacing w:after="0" w:line="257" w:lineRule="auto"/>
        <w:tabs>
          <w:tab w:leader="none" w:pos="2157" w:val="left"/>
        </w:tabs>
        <w:numPr>
          <w:ilvl w:val="1"/>
          <w:numId w:val="61"/>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560" w:right="60" w:firstLine="644"/>
        <w:spacing w:after="0" w:line="257" w:lineRule="auto"/>
        <w:tabs>
          <w:tab w:leader="none" w:pos="2018" w:val="left"/>
        </w:tabs>
        <w:numPr>
          <w:ilvl w:val="0"/>
          <w:numId w:val="62"/>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8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left="2080" w:hanging="876"/>
        <w:spacing w:after="0"/>
        <w:tabs>
          <w:tab w:leader="none" w:pos="20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Additional Limitation</w:t>
      </w:r>
      <w:r>
        <w:rPr>
          <w:rFonts w:ascii="Arial" w:cs="Arial" w:eastAsia="Arial" w:hAnsi="Arial"/>
          <w:sz w:val="18"/>
          <w:szCs w:val="18"/>
          <w:color w:val="auto"/>
        </w:rPr>
        <w:t>.</w:t>
      </w:r>
    </w:p>
    <w:p>
      <w:pPr>
        <w:spacing w:after="0" w:line="225" w:lineRule="exact"/>
        <w:rPr>
          <w:sz w:val="20"/>
          <w:szCs w:val="20"/>
          <w:color w:val="auto"/>
        </w:rPr>
      </w:pPr>
    </w:p>
    <w:p>
      <w:pPr>
        <w:ind w:left="560" w:firstLine="644"/>
        <w:spacing w:after="0" w:line="286" w:lineRule="auto"/>
        <w:tabs>
          <w:tab w:leader="none" w:pos="2098"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73" w:lineRule="exact"/>
        <w:rPr>
          <w:rFonts w:ascii="Arial" w:cs="Arial" w:eastAsia="Arial" w:hAnsi="Arial"/>
          <w:sz w:val="16"/>
          <w:szCs w:val="16"/>
          <w:color w:val="auto"/>
        </w:rPr>
      </w:pPr>
    </w:p>
    <w:p>
      <w:pPr>
        <w:ind w:left="560" w:right="140" w:firstLine="644"/>
        <w:spacing w:after="0" w:line="273" w:lineRule="auto"/>
        <w:tabs>
          <w:tab w:leader="none" w:pos="2057"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39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908" w:right="339" w:bottom="1440" w:gutter="0" w:footer="0" w:header="0"/>
        </w:sectPr>
      </w:pPr>
    </w:p>
    <w:bookmarkStart w:id="35" w:name="page36"/>
    <w:bookmarkEnd w:id="35"/>
    <w:p>
      <w:pPr>
        <w:ind w:left="660" w:right="100" w:firstLine="644"/>
        <w:spacing w:after="0" w:line="257" w:lineRule="auto"/>
        <w:tabs>
          <w:tab w:leader="none" w:pos="2118"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7" w:lineRule="exact"/>
        <w:rPr>
          <w:rFonts w:ascii="Arial" w:cs="Arial" w:eastAsia="Arial" w:hAnsi="Arial"/>
          <w:sz w:val="18"/>
          <w:szCs w:val="18"/>
          <w:color w:val="auto"/>
        </w:rPr>
      </w:pPr>
    </w:p>
    <w:p>
      <w:pPr>
        <w:ind w:right="80" w:firstLine="656"/>
        <w:spacing w:after="0" w:line="254" w:lineRule="auto"/>
        <w:tabs>
          <w:tab w:leader="none" w:pos="179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Sale Event Definition</w:t>
      </w:r>
      <w:r>
        <w:rPr>
          <w:rFonts w:ascii="Arial" w:cs="Arial" w:eastAsia="Arial" w:hAnsi="Arial"/>
          <w:sz w:val="18"/>
          <w:szCs w:val="18"/>
          <w:color w:val="auto"/>
        </w:rPr>
        <w:t>. For purposes of this Section 5, “Sale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9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177" w:lineRule="exact"/>
        <w:rPr>
          <w:sz w:val="20"/>
          <w:szCs w:val="20"/>
          <w:color w:val="auto"/>
        </w:rPr>
      </w:pPr>
    </w:p>
    <w:p>
      <w:pPr>
        <w:ind w:left="1600" w:hanging="944"/>
        <w:spacing w:after="0"/>
        <w:tabs>
          <w:tab w:leader="none" w:pos="16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91" w:lineRule="auto"/>
        <w:tabs>
          <w:tab w:leader="none" w:pos="1792"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 if at the time of the Executive’s separation from service within the meaning of Section 409A of the Code, the Company determines that the Executive is a “specified employee” within the meaning of Section 409A(a)(2)(B)</w:t>
      </w:r>
    </w:p>
    <w:p>
      <w:pPr>
        <w:ind w:firstLine="8"/>
        <w:spacing w:after="0" w:line="252" w:lineRule="auto"/>
        <w:tabs>
          <w:tab w:leader="none" w:pos="2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firstLine="656"/>
        <w:spacing w:after="0" w:line="273" w:lineRule="auto"/>
        <w:tabs>
          <w:tab w:leader="none" w:pos="1757"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7" w:lineRule="exact"/>
        <w:rPr>
          <w:rFonts w:ascii="Arial" w:cs="Arial" w:eastAsia="Arial" w:hAnsi="Arial"/>
          <w:sz w:val="17"/>
          <w:szCs w:val="17"/>
          <w:color w:val="auto"/>
        </w:rPr>
      </w:pPr>
    </w:p>
    <w:p>
      <w:pPr>
        <w:ind w:right="80" w:firstLine="656"/>
        <w:spacing w:after="0" w:line="279" w:lineRule="auto"/>
        <w:tabs>
          <w:tab w:leader="none" w:pos="1792"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 then such payments or benefits shall be payable only upon the Executive’s “separation from service.” The determination of whether and when a separation from service has occurred shall be made in accordance with the presumptions set forth in Treasury Regulation Section 1.409A-l(h).</w:t>
      </w:r>
    </w:p>
    <w:p>
      <w:pPr>
        <w:spacing w:after="0" w:line="171" w:lineRule="exact"/>
        <w:rPr>
          <w:rFonts w:ascii="Arial" w:cs="Arial" w:eastAsia="Arial" w:hAnsi="Arial"/>
          <w:sz w:val="17"/>
          <w:szCs w:val="17"/>
          <w:color w:val="auto"/>
        </w:rPr>
      </w:pPr>
    </w:p>
    <w:p>
      <w:pPr>
        <w:ind w:right="40" w:firstLine="656"/>
        <w:spacing w:after="0" w:line="273" w:lineRule="auto"/>
        <w:tabs>
          <w:tab w:leader="none" w:pos="1757"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77" w:lineRule="exact"/>
        <w:rPr>
          <w:rFonts w:ascii="Arial" w:cs="Arial" w:eastAsia="Arial" w:hAnsi="Arial"/>
          <w:sz w:val="17"/>
          <w:szCs w:val="17"/>
          <w:color w:val="auto"/>
        </w:rPr>
      </w:pPr>
    </w:p>
    <w:p>
      <w:pPr>
        <w:ind w:right="420" w:firstLine="656"/>
        <w:spacing w:after="0" w:line="263" w:lineRule="auto"/>
        <w:tabs>
          <w:tab w:leader="none" w:pos="179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4" w:lineRule="exact"/>
        <w:rPr>
          <w:sz w:val="20"/>
          <w:szCs w:val="20"/>
          <w:color w:val="auto"/>
        </w:rPr>
      </w:pPr>
    </w:p>
    <w:p>
      <w:pPr>
        <w:ind w:right="220" w:firstLine="656"/>
        <w:spacing w:after="0" w:line="263" w:lineRule="auto"/>
        <w:tabs>
          <w:tab w:leader="none" w:pos="159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Restrictive Covenants Agreement</w:t>
      </w:r>
      <w:r>
        <w:rPr>
          <w:rFonts w:ascii="Arial" w:cs="Arial" w:eastAsia="Arial" w:hAnsi="Arial"/>
          <w:sz w:val="18"/>
          <w:szCs w:val="18"/>
          <w:color w:val="auto"/>
        </w:rPr>
        <w:t>. The Executive hereby acknowledges and agrees that the terms of the Employee Confidentiality, Assignment and Non-Competition Agreement between the Company and the Executive, dated as of September 27, 2018 (the “Restrictive Covenants Agreement”), remain in full force and effect.</w:t>
      </w:r>
    </w:p>
    <w:p>
      <w:pPr>
        <w:spacing w:after="0" w:line="183" w:lineRule="exact"/>
        <w:rPr>
          <w:rFonts w:ascii="Arial" w:cs="Arial" w:eastAsia="Arial" w:hAnsi="Arial"/>
          <w:sz w:val="18"/>
          <w:szCs w:val="18"/>
          <w:color w:val="auto"/>
        </w:rPr>
      </w:pPr>
    </w:p>
    <w:p>
      <w:pPr>
        <w:ind w:right="20" w:firstLine="656"/>
        <w:spacing w:after="0" w:line="269" w:lineRule="auto"/>
        <w:tabs>
          <w:tab w:leader="none" w:pos="1592"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Arbitration of Disputes</w:t>
      </w:r>
      <w:r>
        <w:rPr>
          <w:rFonts w:ascii="Arial" w:cs="Arial" w:eastAsia="Arial" w:hAnsi="Arial"/>
          <w:sz w:val="17"/>
          <w:szCs w:val="17"/>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 w:name="page38"/>
    <w:bookmarkEnd w:id="37"/>
    <w:p>
      <w:pPr>
        <w:ind w:left="-8" w:firstLine="656"/>
        <w:spacing w:after="0" w:line="257" w:lineRule="auto"/>
        <w:tabs>
          <w:tab w:leader="none" w:pos="1449"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87" w:lineRule="exact"/>
        <w:rPr>
          <w:rFonts w:ascii="Arial" w:cs="Arial" w:eastAsia="Arial" w:hAnsi="Arial"/>
          <w:sz w:val="18"/>
          <w:szCs w:val="18"/>
          <w:color w:val="auto"/>
        </w:rPr>
      </w:pPr>
    </w:p>
    <w:p>
      <w:pPr>
        <w:ind w:left="-8" w:right="40" w:firstLine="656"/>
        <w:spacing w:after="0" w:line="287" w:lineRule="auto"/>
        <w:tabs>
          <w:tab w:leader="none" w:pos="1495"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xml:space="preserve">. Effective as of the Effective Date, </w:t>
      </w:r>
      <w:r>
        <w:rPr>
          <w:rFonts w:ascii="Arial" w:cs="Arial" w:eastAsia="Arial" w:hAnsi="Arial"/>
          <w:sz w:val="16"/>
          <w:szCs w:val="16"/>
          <w:color w:val="494949"/>
        </w:rPr>
        <w:t>t</w:t>
      </w:r>
      <w:r>
        <w:rPr>
          <w:rFonts w:ascii="Arial" w:cs="Arial" w:eastAsia="Arial" w:hAnsi="Arial"/>
          <w:sz w:val="16"/>
          <w:szCs w:val="16"/>
          <w:color w:val="auto"/>
        </w:rPr>
        <w:t>his Agreement constitutes the entire agreement between the parties with respect to the subject matter hereof and supersedes all other prior agreements, written or oral, between the parties concerning such subject matter (including without limitation any offer letter, the Original Employment Agreement, or any severance agreement); provided that (i) the Restrictive Covenants Agreement and</w:t>
      </w:r>
    </w:p>
    <w:p>
      <w:pPr>
        <w:spacing w:after="0" w:line="2" w:lineRule="exact"/>
        <w:rPr>
          <w:rFonts w:ascii="Arial" w:cs="Arial" w:eastAsia="Arial" w:hAnsi="Arial"/>
          <w:sz w:val="16"/>
          <w:szCs w:val="16"/>
          <w:color w:val="auto"/>
        </w:rPr>
      </w:pPr>
    </w:p>
    <w:p>
      <w:pPr>
        <w:ind w:left="272" w:hanging="272"/>
        <w:spacing w:after="0"/>
        <w:tabs>
          <w:tab w:leader="none" w:pos="272"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equity award agreements entered into by the Company and the Executive prior to the date hereof, in each case, are expressly preserved.</w:t>
      </w:r>
    </w:p>
    <w:p>
      <w:pPr>
        <w:spacing w:after="0" w:line="222" w:lineRule="exact"/>
        <w:rPr>
          <w:rFonts w:ascii="Arial" w:cs="Arial" w:eastAsia="Arial" w:hAnsi="Arial"/>
          <w:sz w:val="17"/>
          <w:szCs w:val="17"/>
          <w:color w:val="auto"/>
        </w:rPr>
      </w:pPr>
    </w:p>
    <w:p>
      <w:pPr>
        <w:ind w:left="-8" w:right="320" w:firstLine="656"/>
        <w:spacing w:after="0" w:line="277" w:lineRule="auto"/>
        <w:tabs>
          <w:tab w:leader="none" w:pos="1488"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w:t>
      </w:r>
    </w:p>
    <w:p>
      <w:pPr>
        <w:spacing w:after="0" w:line="170" w:lineRule="exact"/>
        <w:rPr>
          <w:rFonts w:ascii="Arial" w:cs="Arial" w:eastAsia="Arial" w:hAnsi="Arial"/>
          <w:sz w:val="18"/>
          <w:szCs w:val="18"/>
          <w:color w:val="auto"/>
        </w:rPr>
      </w:pPr>
    </w:p>
    <w:p>
      <w:pPr>
        <w:ind w:left="-8" w:right="40" w:firstLine="656"/>
        <w:spacing w:after="0" w:line="301" w:lineRule="auto"/>
        <w:tabs>
          <w:tab w:leader="none" w:pos="1495"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Successor to the Executive</w:t>
      </w:r>
      <w:r>
        <w:rPr>
          <w:rFonts w:ascii="Arial" w:cs="Arial" w:eastAsia="Arial" w:hAnsi="Arial"/>
          <w:sz w:val="16"/>
          <w:szCs w:val="16"/>
          <w:color w:val="auto"/>
        </w:rPr>
        <w:t>. This Agreement shall inure to the benefit of and be enforceable by the Executive’s personal representatives, executors, administrators, heirs, distributees, devisees and legatees. In the event of the Executive’s death after her termination of employment but prior to the completion by the Company of all payments due her under this Agreement, the Company shall continue such payments to the Executive’s beneficiary designated in writing to the Company prior to her death (or to her estate, if the Executive fails to make such designation).</w:t>
      </w:r>
    </w:p>
    <w:p>
      <w:pPr>
        <w:spacing w:after="0" w:line="157" w:lineRule="exact"/>
        <w:rPr>
          <w:rFonts w:ascii="Arial" w:cs="Arial" w:eastAsia="Arial" w:hAnsi="Arial"/>
          <w:sz w:val="16"/>
          <w:szCs w:val="16"/>
          <w:color w:val="auto"/>
        </w:rPr>
      </w:pPr>
    </w:p>
    <w:p>
      <w:pPr>
        <w:ind w:left="-8" w:right="20" w:firstLine="656"/>
        <w:spacing w:after="0" w:line="279" w:lineRule="auto"/>
        <w:tabs>
          <w:tab w:leader="none" w:pos="1495"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3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52"/>
          </w:cols>
          <w:pgMar w:left="328" w:top="908" w:right="419" w:bottom="1440" w:gutter="0" w:footer="0" w:header="0"/>
        </w:sectPr>
      </w:pPr>
    </w:p>
    <w:bookmarkStart w:id="38" w:name="page39"/>
    <w:bookmarkEnd w:id="38"/>
    <w:p>
      <w:pPr>
        <w:ind w:right="180" w:firstLine="656"/>
        <w:spacing w:after="0" w:line="277" w:lineRule="auto"/>
        <w:tabs>
          <w:tab w:leader="none" w:pos="150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170" w:lineRule="exact"/>
        <w:rPr>
          <w:rFonts w:ascii="Arial" w:cs="Arial" w:eastAsia="Arial" w:hAnsi="Arial"/>
          <w:sz w:val="18"/>
          <w:szCs w:val="18"/>
          <w:color w:val="auto"/>
        </w:rPr>
      </w:pPr>
    </w:p>
    <w:p>
      <w:pPr>
        <w:ind w:right="280" w:firstLine="656"/>
        <w:spacing w:after="0" w:line="286" w:lineRule="auto"/>
        <w:tabs>
          <w:tab w:leader="none" w:pos="1503"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65" w:lineRule="exact"/>
        <w:rPr>
          <w:rFonts w:ascii="Arial" w:cs="Arial" w:eastAsia="Arial" w:hAnsi="Arial"/>
          <w:sz w:val="17"/>
          <w:szCs w:val="17"/>
          <w:color w:val="auto"/>
        </w:rPr>
      </w:pPr>
    </w:p>
    <w:p>
      <w:pPr>
        <w:ind w:right="20" w:firstLine="656"/>
        <w:spacing w:after="0" w:line="259" w:lineRule="auto"/>
        <w:tabs>
          <w:tab w:leader="none" w:pos="150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86" w:lineRule="exact"/>
        <w:rPr>
          <w:rFonts w:ascii="Arial" w:cs="Arial" w:eastAsia="Arial" w:hAnsi="Arial"/>
          <w:sz w:val="18"/>
          <w:szCs w:val="18"/>
          <w:color w:val="auto"/>
        </w:rPr>
      </w:pPr>
    </w:p>
    <w:p>
      <w:pPr>
        <w:ind w:right="560" w:firstLine="656"/>
        <w:spacing w:after="0" w:line="277" w:lineRule="auto"/>
        <w:tabs>
          <w:tab w:leader="none" w:pos="150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70" w:lineRule="exact"/>
        <w:rPr>
          <w:rFonts w:ascii="Arial" w:cs="Arial" w:eastAsia="Arial" w:hAnsi="Arial"/>
          <w:sz w:val="18"/>
          <w:szCs w:val="18"/>
          <w:color w:val="auto"/>
        </w:rPr>
      </w:pPr>
    </w:p>
    <w:p>
      <w:pPr>
        <w:ind w:right="100" w:firstLine="656"/>
        <w:spacing w:after="0" w:line="259" w:lineRule="auto"/>
        <w:tabs>
          <w:tab w:leader="none" w:pos="150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86" w:lineRule="exact"/>
        <w:rPr>
          <w:rFonts w:ascii="Arial" w:cs="Arial" w:eastAsia="Arial" w:hAnsi="Arial"/>
          <w:sz w:val="18"/>
          <w:szCs w:val="18"/>
          <w:color w:val="auto"/>
        </w:rPr>
      </w:pPr>
    </w:p>
    <w:p>
      <w:pPr>
        <w:ind w:right="40" w:firstLine="656"/>
        <w:spacing w:after="0" w:line="277" w:lineRule="auto"/>
        <w:tabs>
          <w:tab w:leader="none" w:pos="150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rFonts w:ascii="Arial" w:cs="Arial" w:eastAsia="Arial" w:hAnsi="Arial"/>
          <w:sz w:val="18"/>
          <w:szCs w:val="18"/>
          <w:color w:val="auto"/>
        </w:rPr>
      </w:pPr>
    </w:p>
    <w:p>
      <w:pPr>
        <w:ind w:firstLine="656"/>
        <w:spacing w:after="0" w:line="259" w:lineRule="auto"/>
        <w:tabs>
          <w:tab w:leader="none" w:pos="150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Successor to Company</w:t>
      </w:r>
      <w:r>
        <w:rPr>
          <w:rFonts w:ascii="Arial" w:cs="Arial" w:eastAsia="Arial" w:hAnsi="Arial"/>
          <w:sz w:val="18"/>
          <w:szCs w:val="18"/>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IN WITNESS WHEREOF, the parties have executed this Agreement effective as of the Effective Date.</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Jeffrey Albers</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January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5715</wp:posOffset>
            </wp:positionV>
            <wp:extent cx="32061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8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Christina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557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Christina Rossi</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January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5715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4" w:lineRule="exact"/>
        <w:rPr>
          <w:sz w:val="20"/>
          <w:szCs w:val="20"/>
          <w:color w:val="auto"/>
        </w:rPr>
      </w:pPr>
    </w:p>
    <w:p>
      <w:pPr>
        <w:ind w:left="2600"/>
        <w:spacing w:after="0"/>
        <w:rPr>
          <w:sz w:val="20"/>
          <w:szCs w:val="20"/>
          <w:color w:val="auto"/>
        </w:rPr>
      </w:pPr>
      <w:r>
        <w:rPr>
          <w:rFonts w:ascii="Arial" w:cs="Arial" w:eastAsia="Arial" w:hAnsi="Arial"/>
          <w:sz w:val="18"/>
          <w:szCs w:val="18"/>
          <w:i w:val="1"/>
          <w:iCs w:val="1"/>
          <w:color w:val="auto"/>
        </w:rPr>
        <w:t>[Signature Page – Amended &amp; Restated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Announces CEO and Leadership Transition Plan</w:t>
      </w:r>
    </w:p>
    <w:p>
      <w:pPr>
        <w:spacing w:after="0" w:line="229" w:lineRule="exact"/>
        <w:rPr>
          <w:sz w:val="20"/>
          <w:szCs w:val="20"/>
          <w:color w:val="auto"/>
        </w:rPr>
      </w:pPr>
    </w:p>
    <w:p>
      <w:pPr>
        <w:jc w:val="center"/>
        <w:ind w:left="340" w:right="2260"/>
        <w:spacing w:after="0" w:line="259" w:lineRule="auto"/>
        <w:rPr>
          <w:sz w:val="20"/>
          <w:szCs w:val="20"/>
          <w:color w:val="auto"/>
        </w:rPr>
      </w:pPr>
      <w:r>
        <w:rPr>
          <w:rFonts w:ascii="Arial" w:cs="Arial" w:eastAsia="Arial" w:hAnsi="Arial"/>
          <w:sz w:val="18"/>
          <w:szCs w:val="18"/>
          <w:i w:val="1"/>
          <w:iCs w:val="1"/>
          <w:color w:val="auto"/>
        </w:rPr>
        <w:t>-- Jeff Albers to transition to role of Executive Chairman of the Board of Directors -- -- Chief Operating Officer Kate Haviland appointed President and Chief Executive Officer -- -- Chief Commercial Officer Christina Rossi promoted to Chief Operating Officer -- -- Leadership transitions to be effective as of April 4, 2022 --</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CAMBRIDGE, Mass., Jan. 5, 2022 /PRNewswire/ -- Blueprint Medicines Corporation (NASDAQ: BPMC) today announced that its Board of Directors has appointed Kate Haviland to succeed Jeff Albers as Chief Executive Officer (CEO), effective April 4, 2022. At that time, Mr. Albers will transition from his current role as Chairman, President and CEO to Executive Chairman of the Board of Directors and Ms. Haviland will transition from her current role as Chief Operating Officer (COO) to President and CEO. In addition, Ms. Haviland will be appointed to serve on the company’s Board of Directors, effective April 4, 2022.</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Blueprint Medicines also announced today that Christina Rossi has been promoted from Chief Commercial Officer to COO. In her new role, Ms. Rossi will retain leadership of global commercial strategy and operations, and expand her oversight to include portfolio strategy and program management, corporate development, and corporate affairs, effective April 4, 2022.</w:t>
      </w:r>
    </w:p>
    <w:p>
      <w:pPr>
        <w:spacing w:after="0" w:line="18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“Serving as CEO of Blueprint Medicines for the last eight years has been the highlight of my career, and I’m immensely proud of all that we’ve accomplished in our efforts to improve and extend the lives of patients,” said Jeff Albers, Chairman, President and CEO of Blueprint Medicines. “Today, Blueprint Medicines is a fully integrated, global company delivering approved medicines to patients around the world. With a foundation of R&amp;D and commercial success and an exciting pipeline of therapeutic candidates positioned to drive the company’s next phase of transformational growth, it is the right time for me to transition leadership to Kate and our outstanding executive team.”</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Mr. Albers continued, “I have known Kate for nearly two decades and have valued her expertise and leadership throughout our time working together at Blueprint Medicines. Since joining the company six years ago, Kate has touched all aspects of our business and has been a steadfast partner in charting the company’s course through both successes and setbacks. She is adept at identifying and pursuing opportunities for growth and managing resource allocations across our broad portfolio, while also driving a high-performance culture anchored in transparency and a commitment to a diverse and inclusive workforce.”</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Board’s selection of Kate as our next CEO is the culmination of a thoughtful, long-term succession planning process that was led by Jeff and the Board and purposefully designed to drive the company’s continued success, ensure continuity, and empower our strong executive team. Kate is an exceptional leader with a clear and inspiring vision, demonstrated ability to lead and execute an integrated business strategy, and deep commitment to our patient-centric mission and culture of innovation. The Board is confident in her ability to lead the company to reach its full potential through our next phase of growth and beyond,” said Alexis Borisy, co-founder and member of the Board of Directors of Blueprint Medicines. “On behalf of the Board, I want to thank Jeff for his remarkable leadership as CEO. During his tenure, the company has achieved tremendous success, developing from a privately held preclinical enterprise into a leading independent precision therapy company. It has been a privilege to be part of the company’s exponential growth, and I look forward to working with Kate and Jeff as the company continues to deliver important, innovative medicines to patients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 w:name="page42"/>
    <w:bookmarkEnd w:id="41"/>
    <w:p>
      <w:pPr>
        <w:spacing w:after="0" w:line="289" w:lineRule="auto"/>
        <w:rPr>
          <w:sz w:val="20"/>
          <w:szCs w:val="20"/>
          <w:color w:val="auto"/>
        </w:rPr>
      </w:pPr>
      <w:r>
        <w:rPr>
          <w:rFonts w:ascii="Arial" w:cs="Arial" w:eastAsia="Arial" w:hAnsi="Arial"/>
          <w:sz w:val="16"/>
          <w:szCs w:val="16"/>
          <w:color w:val="auto"/>
        </w:rPr>
        <w:t>“I am excited to become CEO of Blueprint Medicines as we build on our success by advancing the ongoing commercial launch of AYVAKIT® (avapritinib) in advanced systemic mastocytosis, achieving a constellation of near-term clinical data milestones for multiple therapeutic candidates, and expanding our portfolio with promising new research programs that we believe will drive substantial growth over the long term,” said Kate Haviland. “Blueprint Medicines was founded with a vision to change the lives of patients who have received a devastating diagnosis of cancer or hematologic disease. I have been honored to be a part of the team that has made this vision a reality. Over the years, I have met many patients and families whose lives have been impacted and extended by our efforts. I am driven by these experiences to expand the impact Blueprint Medicines can have on more people and families across the globe who are looking to us with hope for a better future. I look forward to continuing to work with Jeff, as he steps into the Executive Chairman role, the Board, and our executive team. Most importantly, I’m thrilled to lead and work side-by-side with our employees at Blueprint Medicines, a team that is passionate and deeply committed to continuously driving and delivering medical innovation.”</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Ms. Haviland joined Blueprint Medicines in January 2016 as Chief Business Officer and has served as Chief Operating Officer since January 2019. Over this time, she served as the founding chair of the portfolio management team, formed and executed business development strategy, drove global capital investment plans, and played a key role in capital market financings. In addition, she directly supported the company’s evolution into a fully integrated business by developing and providing ongoing management of critical functions, including portfolio strategy and program management, corporate development, commercial strategy, international, technical operations, corporate affairs, and information systems. Prior to joining Blueprint Medicines, Ms. Haviland held leadership roles focused on building emerging, high-growth companies and advancing the development of innovative therapies in oncology and rare diseases as Vice President, Rare Diseases and Oncology Program Leadership at Idera Pharmaceuticals, Head of Commercial Development at Sarepta Therapeutics, Executive Director of Commercial Development at PTC Therapeutics, and roles in both corporate development and project management at Genzyme. She holds a B.A. from Wesleyan University with a double major in Biochemistry/Molecular Biology and Economics and an M.B.A. from Harvard Business School. Ms. Haviland has served as an independent director on the board of Fulcrum Therapeutics since June 2018 and is a member of the audit and compensation committees.</w:t>
      </w:r>
    </w:p>
    <w:p>
      <w:pPr>
        <w:spacing w:after="0" w:line="182"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As part of the succession plan, Mr. Albers has agreed to serve as Executive Chairman through the end of 2022, with continued service as Chairman thereafter, with the goal of enabling a seamless leadership transition as the company continues to execute on its growth strategy.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and cancer immunotherapy. For more information, visit </w:t>
      </w:r>
      <w:r>
        <w:rPr>
          <w:rFonts w:ascii="Arial" w:cs="Arial" w:eastAsia="Arial" w:hAnsi="Arial"/>
          <w:sz w:val="16"/>
          <w:szCs w:val="16"/>
          <w:u w:val="single" w:color="auto"/>
          <w:color w:val="auto"/>
        </w:rPr>
        <w:t>www.BlueprintMedicines.com</w:t>
      </w:r>
      <w:r>
        <w:rPr>
          <w:rFonts w:ascii="Arial" w:cs="Arial" w:eastAsia="Arial" w:hAnsi="Arial"/>
          <w:sz w:val="16"/>
          <w:szCs w:val="16"/>
          <w:color w:val="auto"/>
        </w:rPr>
        <w:t xml:space="preserve"> and follow us on Twitter (</w:t>
      </w:r>
      <w:r>
        <w:rPr>
          <w:rFonts w:ascii="Arial" w:cs="Arial" w:eastAsia="Arial" w:hAnsi="Arial"/>
          <w:sz w:val="16"/>
          <w:szCs w:val="16"/>
          <w:u w:val="single" w:color="auto"/>
          <w:color w:val="auto"/>
        </w:rPr>
        <w:t>@BlueprintMeds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LinkedIn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express or implied statements regarding plans, strategies, timelines and expectations for Blueprint Medicines' current or future approved drugs and drug candidates, including timelines for marketing applications and approvals, the initiation of clinical trials or the results of ongoing and planned clinical trials; Blueprint Medicines' plans, strategies and timelines to nominate development candidates;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collaborations; Blueprint Medicines' strategy, goals and anticipated financial performance, milestones, business plans and focus; and the potential benefits of Blueprint Medicines’ succession planning process and executive leadership transition plan.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w:t>
      </w:r>
    </w:p>
    <w:p>
      <w:pPr>
        <w:spacing w:after="0" w:line="1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the success of Blueprint Medicines' current and future collaborations, partnerships or licensing arrangements; and Blueprint Medicines' ability to realize the anticipated benefits of its succession planning process and executive leadership transition plan.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Investor and 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Jim Baker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Corporate Affairs</w:t>
      </w:r>
    </w:p>
    <w:p>
      <w:pPr>
        <w:spacing w:after="0" w:line="32" w:lineRule="exact"/>
        <w:rPr>
          <w:sz w:val="20"/>
          <w:szCs w:val="20"/>
          <w:color w:val="auto"/>
        </w:rPr>
      </w:pPr>
    </w:p>
    <w:p>
      <w:pPr>
        <w:ind w:right="7799" w:firstLine="8"/>
        <w:spacing w:after="0" w:line="302" w:lineRule="auto"/>
        <w:tabs>
          <w:tab w:leader="none" w:pos="4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844-8236 </w:t>
      </w:r>
      <w:r>
        <w:rPr>
          <w:rFonts w:ascii="Arial" w:cs="Arial" w:eastAsia="Arial" w:hAnsi="Arial"/>
          <w:sz w:val="16"/>
          <w:szCs w:val="16"/>
          <w:u w:val="single" w:color="auto"/>
          <w:color w:val="auto"/>
        </w:rPr>
        <w:t>ir@blueprintmedicines.com 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1."/>
      <w:numFmt w:val="decimal"/>
      <w:start w:val="1"/>
    </w:lvl>
  </w:abstractNum>
  <w:abstractNum w:abstractNumId="2">
    <w:nsid w:val="5E884ADC"/>
    <w:multiLevelType w:val="hybridMultilevel"/>
    <w:lvl w:ilvl="0">
      <w:lvlJc w:val="left"/>
      <w:lvlText w:val="%1"/>
      <w:numFmt w:val="lowerLetter"/>
      <w:start w:val="1"/>
    </w:lvl>
    <w:lvl w:ilvl="1">
      <w:lvlJc w:val="left"/>
      <w:lvlText w:val="(%2)"/>
      <w:numFmt w:val="lowerLetter"/>
      <w:start w:val="1"/>
    </w:lvl>
  </w:abstractNum>
  <w:abstractNum w:abstractNumId="3">
    <w:nsid w:val="51EAD36B"/>
    <w:multiLevelType w:val="hybridMultilevel"/>
    <w:lvl w:ilvl="0">
      <w:lvlJc w:val="left"/>
      <w:lvlText w:val="(%1)"/>
      <w:numFmt w:val="lowerLetter"/>
      <w:start w:val="35"/>
    </w:lvl>
    <w:lvl w:ilvl="1">
      <w:lvlJc w:val="left"/>
      <w:lvlText w:val="(%2)"/>
      <w:numFmt w:val="lowerLetter"/>
      <w:start w:val="2"/>
    </w:lvl>
  </w:abstractNum>
  <w:abstractNum w:abstractNumId="4">
    <w:nsid w:val="2D517796"/>
    <w:multiLevelType w:val="hybridMultilevel"/>
    <w:lvl w:ilvl="0">
      <w:lvlJc w:val="left"/>
      <w:lvlText w:val="%1."/>
      <w:numFmt w:val="decimal"/>
      <w:start w:val="2"/>
    </w:lvl>
  </w:abstractNum>
  <w:abstractNum w:abstractNumId="5">
    <w:nsid w:val="580BD78F"/>
    <w:multiLevelType w:val="hybridMultilevel"/>
    <w:lvl w:ilvl="0">
      <w:lvlJc w:val="left"/>
      <w:lvlText w:val="(%1)"/>
      <w:numFmt w:val="lowerLetter"/>
      <w:start w:val="1"/>
    </w:lvl>
    <w:lvl w:ilvl="1">
      <w:lvlJc w:val="left"/>
      <w:lvlText w:val="(%2)"/>
      <w:numFmt w:val="lowerRoman"/>
      <w:start w:val="1"/>
    </w:lvl>
  </w:abstractNum>
  <w:abstractNum w:abstractNumId="6">
    <w:nsid w:val="153EA438"/>
    <w:multiLevelType w:val="hybridMultilevel"/>
    <w:lvl w:ilvl="0">
      <w:lvlJc w:val="left"/>
      <w:lvlText w:val="(%1)"/>
      <w:numFmt w:val="lowerLetter"/>
      <w:start w:val="5"/>
    </w:lvl>
  </w:abstractNum>
  <w:abstractNum w:abstractNumId="7">
    <w:nsid w:val="3855585C"/>
    <w:multiLevelType w:val="hybridMultilevel"/>
    <w:lvl w:ilvl="0">
      <w:lvlJc w:val="left"/>
      <w:lvlText w:val="%1."/>
      <w:numFmt w:val="decimal"/>
      <w:start w:val="3"/>
    </w:lvl>
  </w:abstractNum>
  <w:abstractNum w:abstractNumId="8">
    <w:nsid w:val="70A64E2A"/>
    <w:multiLevelType w:val="hybridMultilevel"/>
    <w:lvl w:ilvl="0">
      <w:lvlJc w:val="left"/>
      <w:lvlText w:val="(%1)"/>
      <w:numFmt w:val="lowerLetter"/>
      <w:start w:val="1"/>
    </w:lvl>
  </w:abstractNum>
  <w:abstractNum w:abstractNumId="9">
    <w:nsid w:val="6A2342EC"/>
    <w:multiLevelType w:val="hybridMultilevel"/>
    <w:lvl w:ilvl="0">
      <w:lvlJc w:val="left"/>
      <w:lvlText w:val="(%1)"/>
      <w:numFmt w:val="lowerLetter"/>
      <w:start w:val="4"/>
    </w:lvl>
  </w:abstractNum>
  <w:abstractNum w:abstractNumId="10">
    <w:nsid w:val="2A487CB0"/>
    <w:multiLevelType w:val="hybridMultilevel"/>
    <w:lvl w:ilvl="0">
      <w:lvlJc w:val="left"/>
      <w:lvlText w:val="(%1)"/>
      <w:numFmt w:val="lowerLetter"/>
      <w:start w:val="8"/>
    </w:lvl>
  </w:abstractNum>
  <w:abstractNum w:abstractNumId="11">
    <w:nsid w:val="1D4ED43B"/>
    <w:multiLevelType w:val="hybridMultilevel"/>
    <w:lvl w:ilvl="0">
      <w:lvlJc w:val="left"/>
      <w:lvlText w:val="%1."/>
      <w:numFmt w:val="decimal"/>
      <w:start w:val="4"/>
    </w:lvl>
  </w:abstractNum>
  <w:abstractNum w:abstractNumId="12">
    <w:nsid w:val="725A06FB"/>
    <w:multiLevelType w:val="hybridMultilevel"/>
    <w:lvl w:ilvl="0">
      <w:lvlJc w:val="left"/>
      <w:lvlText w:val="(%1)"/>
      <w:numFmt w:val="lowerLetter"/>
      <w:start w:val="1"/>
    </w:lvl>
    <w:lvl w:ilvl="1">
      <w:lvlJc w:val="left"/>
      <w:lvlText w:val="(%2)"/>
      <w:numFmt w:val="lowerRoman"/>
      <w:start w:val="1"/>
    </w:lvl>
  </w:abstractNum>
  <w:abstractNum w:abstractNumId="13">
    <w:nsid w:val="2CD89A32"/>
    <w:multiLevelType w:val="hybridMultilevel"/>
    <w:lvl w:ilvl="0">
      <w:lvlJc w:val="left"/>
      <w:lvlText w:val="%1."/>
      <w:numFmt w:val="decimal"/>
      <w:start w:val="5"/>
    </w:lvl>
  </w:abstractNum>
  <w:abstractNum w:abstractNumId="14">
    <w:nsid w:val="57E4CCAF"/>
    <w:multiLevelType w:val="hybridMultilevel"/>
    <w:lvl w:ilvl="0">
      <w:lvlJc w:val="left"/>
      <w:lvlText w:val="(%1)"/>
      <w:numFmt w:val="lowerLetter"/>
      <w:start w:val="1"/>
    </w:lvl>
    <w:lvl w:ilvl="1">
      <w:lvlJc w:val="left"/>
      <w:lvlText w:val="(%2)"/>
      <w:numFmt w:val="lowerRoman"/>
      <w:start w:val="1"/>
    </w:lvl>
  </w:abstractNum>
  <w:abstractNum w:abstractNumId="15">
    <w:nsid w:val="7A6D8D3C"/>
    <w:multiLevelType w:val="hybridMultilevel"/>
    <w:lvl w:ilvl="0">
      <w:lvlJc w:val="left"/>
      <w:lvlText w:val="(%1)"/>
      <w:numFmt w:val="lowerLetter"/>
      <w:start w:val="2"/>
    </w:lvl>
    <w:lvl w:ilvl="1">
      <w:lvlJc w:val="left"/>
      <w:lvlText w:val="(%2)"/>
      <w:numFmt w:val="lowerRoman"/>
      <w:start w:val="1"/>
    </w:lvl>
  </w:abstractNum>
  <w:abstractNum w:abstractNumId="16">
    <w:nsid w:val="4B588F54"/>
    <w:multiLevelType w:val="hybridMultilevel"/>
    <w:lvl w:ilvl="0">
      <w:lvlJc w:val="left"/>
      <w:lvlText w:val="(%1)"/>
      <w:numFmt w:val="lowerLetter"/>
      <w:start w:val="3"/>
    </w:lvl>
  </w:abstractNum>
  <w:abstractNum w:abstractNumId="17">
    <w:nsid w:val="542289EC"/>
    <w:multiLevelType w:val="hybridMultilevel"/>
    <w:lvl w:ilvl="0">
      <w:lvlJc w:val="left"/>
      <w:lvlText w:val="%1."/>
      <w:numFmt w:val="decimal"/>
      <w:start w:val="6"/>
    </w:lvl>
  </w:abstractNum>
  <w:abstractNum w:abstractNumId="18">
    <w:nsid w:val="6DE91B18"/>
    <w:multiLevelType w:val="hybridMultilevel"/>
    <w:lvl w:ilvl="0">
      <w:lvlJc w:val="left"/>
      <w:lvlText w:val="%1"/>
      <w:numFmt w:val="lowerLetter"/>
      <w:start w:val="1"/>
    </w:lvl>
    <w:lvl w:ilvl="1">
      <w:lvlJc w:val="left"/>
      <w:lvlText w:val="(%2)"/>
      <w:numFmt w:val="lowerLetter"/>
      <w:start w:val="1"/>
    </w:lvl>
  </w:abstractNum>
  <w:abstractNum w:abstractNumId="19">
    <w:nsid w:val="38437FDB"/>
    <w:multiLevelType w:val="hybridMultilevel"/>
    <w:lvl w:ilvl="0">
      <w:lvlJc w:val="left"/>
      <w:lvlText w:val="(%1)"/>
      <w:numFmt w:val="lowerLetter"/>
      <w:start w:val="9"/>
    </w:lvl>
    <w:lvl w:ilvl="1">
      <w:lvlJc w:val="left"/>
      <w:lvlText w:val="(%2)"/>
      <w:numFmt w:val="lowerLetter"/>
      <w:start w:val="2"/>
    </w:lvl>
  </w:abstractNum>
  <w:abstractNum w:abstractNumId="20">
    <w:nsid w:val="7644A45C"/>
    <w:multiLevelType w:val="hybridMultilevel"/>
    <w:lvl w:ilvl="0">
      <w:lvlJc w:val="left"/>
      <w:lvlText w:val="(%1)"/>
      <w:numFmt w:val="lowerLetter"/>
      <w:start w:val="3"/>
    </w:lvl>
  </w:abstractNum>
  <w:abstractNum w:abstractNumId="21">
    <w:nsid w:val="32FFF902"/>
    <w:multiLevelType w:val="hybridMultilevel"/>
    <w:lvl w:ilvl="0">
      <w:lvlJc w:val="left"/>
      <w:lvlText w:val="%1."/>
      <w:numFmt w:val="decimal"/>
      <w:start w:val="7"/>
    </w:lvl>
  </w:abstractNum>
  <w:abstractNum w:abstractNumId="22">
    <w:nsid w:val="684A481A"/>
    <w:multiLevelType w:val="hybridMultilevel"/>
    <w:lvl w:ilvl="0">
      <w:lvlJc w:val="left"/>
      <w:lvlText w:val="%1"/>
      <w:numFmt w:val="lowerRoman"/>
      <w:start w:val="1"/>
    </w:lvl>
    <w:lvl w:ilvl="1">
      <w:lvlJc w:val="left"/>
      <w:lvlText w:val="%2."/>
      <w:numFmt w:val="decimal"/>
      <w:start w:val="9"/>
    </w:lvl>
  </w:abstractNum>
  <w:abstractNum w:abstractNumId="23">
    <w:nsid w:val="579478FE"/>
    <w:multiLevelType w:val="hybridMultilevel"/>
    <w:lvl w:ilvl="0">
      <w:lvlJc w:val="left"/>
      <w:lvlText w:val="(%1)"/>
      <w:numFmt w:val="lowerRoman"/>
      <w:start w:val="2"/>
    </w:lvl>
    <w:lvl w:ilvl="1">
      <w:lvlJc w:val="left"/>
      <w:lvlText w:val="%2."/>
      <w:numFmt w:val="decimal"/>
      <w:start w:val="11"/>
    </w:lvl>
  </w:abstractNum>
  <w:abstractNum w:abstractNumId="24">
    <w:nsid w:val="749ABB43"/>
    <w:multiLevelType w:val="hybridMultilevel"/>
    <w:lvl w:ilvl="0">
      <w:lvlJc w:val="left"/>
      <w:lvlText w:val="%1."/>
      <w:numFmt w:val="decimal"/>
      <w:start w:val="18"/>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lowerLetter"/>
      <w:start w:val="1"/>
    </w:lvl>
  </w:abstractNum>
  <w:abstractNum w:abstractNumId="27">
    <w:nsid w:val="79A1DEAA"/>
    <w:multiLevelType w:val="hybridMultilevel"/>
    <w:lvl w:ilvl="0">
      <w:lvlJc w:val="left"/>
      <w:lvlText w:val="%1."/>
      <w:numFmt w:val="decimal"/>
      <w:start w:val="2"/>
    </w:lvl>
  </w:abstractNum>
  <w:abstractNum w:abstractNumId="28">
    <w:nsid w:val="75C6C33A"/>
    <w:multiLevelType w:val="hybridMultilevel"/>
    <w:lvl w:ilvl="0">
      <w:lvlJc w:val="left"/>
      <w:lvlText w:val="(%1)"/>
      <w:numFmt w:val="lowerLetter"/>
      <w:start w:val="1"/>
    </w:lvl>
    <w:lvl w:ilvl="1">
      <w:lvlJc w:val="left"/>
      <w:lvlText w:val="(%2)"/>
      <w:numFmt w:val="lowerRoman"/>
      <w:start w:val="1"/>
    </w:lvl>
  </w:abstractNum>
  <w:abstractNum w:abstractNumId="29">
    <w:nsid w:val="12E685FB"/>
    <w:multiLevelType w:val="hybridMultilevel"/>
    <w:lvl w:ilvl="0">
      <w:lvlJc w:val="left"/>
      <w:lvlText w:val="(%1)"/>
      <w:numFmt w:val="lowerLetter"/>
      <w:start w:val="6"/>
    </w:lvl>
  </w:abstractNum>
  <w:abstractNum w:abstractNumId="30">
    <w:nsid w:val="70C6A529"/>
    <w:multiLevelType w:val="hybridMultilevel"/>
    <w:lvl w:ilvl="0">
      <w:lvlJc w:val="left"/>
      <w:lvlText w:val="%1."/>
      <w:numFmt w:val="decimal"/>
      <w:start w:val="3"/>
    </w:lvl>
  </w:abstractNum>
  <w:abstractNum w:abstractNumId="31">
    <w:nsid w:val="520EEDD1"/>
    <w:multiLevelType w:val="hybridMultilevel"/>
    <w:lvl w:ilvl="0">
      <w:lvlJc w:val="left"/>
      <w:lvlText w:val="(%1)"/>
      <w:numFmt w:val="lowerLetter"/>
      <w:start w:val="1"/>
    </w:lvl>
  </w:abstractNum>
  <w:abstractNum w:abstractNumId="32">
    <w:nsid w:val="374A3FE6"/>
    <w:multiLevelType w:val="hybridMultilevel"/>
    <w:lvl w:ilvl="0">
      <w:lvlJc w:val="left"/>
      <w:lvlText w:val="(%1)"/>
      <w:numFmt w:val="lowerLetter"/>
      <w:start w:val="4"/>
    </w:lvl>
  </w:abstractNum>
  <w:abstractNum w:abstractNumId="33">
    <w:nsid w:val="4F4EF005"/>
    <w:multiLevelType w:val="hybridMultilevel"/>
    <w:lvl w:ilvl="0">
      <w:lvlJc w:val="left"/>
      <w:lvlText w:val="%1."/>
      <w:numFmt w:val="decimal"/>
      <w:start w:val="4"/>
    </w:lvl>
  </w:abstractNum>
  <w:abstractNum w:abstractNumId="34">
    <w:nsid w:val="23F9C13C"/>
    <w:multiLevelType w:val="hybridMultilevel"/>
    <w:lvl w:ilvl="0">
      <w:lvlJc w:val="left"/>
      <w:lvlText w:val="(%1)"/>
      <w:numFmt w:val="lowerLetter"/>
      <w:start w:val="1"/>
    </w:lvl>
    <w:lvl w:ilvl="1">
      <w:lvlJc w:val="left"/>
      <w:lvlText w:val="(%2)"/>
      <w:numFmt w:val="lowerRoman"/>
      <w:start w:val="1"/>
    </w:lvl>
  </w:abstractNum>
  <w:abstractNum w:abstractNumId="35">
    <w:nsid w:val="649BB77C"/>
    <w:multiLevelType w:val="hybridMultilevel"/>
    <w:lvl w:ilvl="0">
      <w:lvlJc w:val="left"/>
      <w:lvlText w:val="%1."/>
      <w:numFmt w:val="decimal"/>
      <w:start w:val="5"/>
    </w:lvl>
  </w:abstractNum>
  <w:abstractNum w:abstractNumId="36">
    <w:nsid w:val="275AC794"/>
    <w:multiLevelType w:val="hybridMultilevel"/>
    <w:lvl w:ilvl="0">
      <w:lvlJc w:val="left"/>
      <w:lvlText w:val="(%1)"/>
      <w:numFmt w:val="lowerLetter"/>
      <w:start w:val="1"/>
    </w:lvl>
    <w:lvl w:ilvl="1">
      <w:lvlJc w:val="left"/>
      <w:lvlText w:val="(%2)"/>
      <w:numFmt w:val="lowerRoman"/>
      <w:start w:val="1"/>
    </w:lvl>
  </w:abstractNum>
  <w:abstractNum w:abstractNumId="37">
    <w:nsid w:val="39386575"/>
    <w:multiLevelType w:val="hybridMultilevel"/>
    <w:lvl w:ilvl="0">
      <w:lvlJc w:val="left"/>
      <w:lvlText w:val="(%1)"/>
      <w:numFmt w:val="lowerLetter"/>
      <w:start w:val="2"/>
    </w:lvl>
    <w:lvl w:ilvl="1">
      <w:lvlJc w:val="left"/>
      <w:lvlText w:val="(%2)"/>
      <w:numFmt w:val="lowerRoman"/>
      <w:start w:val="1"/>
    </w:lvl>
  </w:abstractNum>
  <w:abstractNum w:abstractNumId="38">
    <w:nsid w:val="1CF10FD8"/>
    <w:multiLevelType w:val="hybridMultilevel"/>
    <w:lvl w:ilvl="0">
      <w:lvlJc w:val="left"/>
      <w:lvlText w:val="%1."/>
      <w:numFmt w:val="decimal"/>
      <w:start w:val="6"/>
    </w:lvl>
  </w:abstractNum>
  <w:abstractNum w:abstractNumId="39">
    <w:nsid w:val="180115BE"/>
    <w:multiLevelType w:val="hybridMultilevel"/>
    <w:lvl w:ilvl="0">
      <w:lvlJc w:val="left"/>
      <w:lvlText w:val="%1"/>
      <w:numFmt w:val="lowerLetter"/>
      <w:start w:val="1"/>
    </w:lvl>
    <w:lvl w:ilvl="1">
      <w:lvlJc w:val="left"/>
      <w:lvlText w:val="(%2)"/>
      <w:numFmt w:val="lowerLetter"/>
      <w:start w:val="1"/>
    </w:lvl>
  </w:abstractNum>
  <w:abstractNum w:abstractNumId="40">
    <w:nsid w:val="235BA861"/>
    <w:multiLevelType w:val="hybridMultilevel"/>
    <w:lvl w:ilvl="0">
      <w:lvlJc w:val="left"/>
      <w:lvlText w:val="(%1)"/>
      <w:numFmt w:val="lowerLetter"/>
      <w:start w:val="9"/>
    </w:lvl>
    <w:lvl w:ilvl="1">
      <w:lvlJc w:val="left"/>
      <w:lvlText w:val="(%2)"/>
      <w:numFmt w:val="lowerLetter"/>
      <w:start w:val="2"/>
    </w:lvl>
  </w:abstractNum>
  <w:abstractNum w:abstractNumId="41">
    <w:nsid w:val="47398C89"/>
    <w:multiLevelType w:val="hybridMultilevel"/>
    <w:lvl w:ilvl="0">
      <w:lvlJc w:val="left"/>
      <w:lvlText w:val="(%1)"/>
      <w:numFmt w:val="lowerLetter"/>
      <w:start w:val="3"/>
    </w:lvl>
    <w:lvl w:ilvl="1">
      <w:lvlJc w:val="left"/>
      <w:lvlText w:val="%2."/>
      <w:numFmt w:val="decimal"/>
      <w:start w:val="7"/>
    </w:lvl>
  </w:abstractNum>
  <w:abstractNum w:abstractNumId="42">
    <w:nsid w:val="354FE9F9"/>
    <w:multiLevelType w:val="hybridMultilevel"/>
    <w:lvl w:ilvl="0">
      <w:lvlJc w:val="left"/>
      <w:lvlText w:val="%1"/>
      <w:numFmt w:val="lowerRoman"/>
      <w:start w:val="1"/>
    </w:lvl>
    <w:lvl w:ilvl="1">
      <w:lvlJc w:val="left"/>
      <w:lvlText w:val="%2."/>
      <w:numFmt w:val="decimal"/>
      <w:start w:val="9"/>
    </w:lvl>
  </w:abstractNum>
  <w:abstractNum w:abstractNumId="43">
    <w:nsid w:val="15B5AF5C"/>
    <w:multiLevelType w:val="hybridMultilevel"/>
    <w:lvl w:ilvl="0">
      <w:lvlJc w:val="left"/>
      <w:lvlText w:val="(%1)"/>
      <w:numFmt w:val="lowerRoman"/>
      <w:start w:val="2"/>
    </w:lvl>
    <w:lvl w:ilvl="1">
      <w:lvlJc w:val="left"/>
      <w:lvlText w:val="%2."/>
      <w:numFmt w:val="decimal"/>
      <w:start w:val="11"/>
    </w:lvl>
  </w:abstractNum>
  <w:abstractNum w:abstractNumId="44">
    <w:nsid w:val="741226BB"/>
    <w:multiLevelType w:val="hybridMultilevel"/>
    <w:lvl w:ilvl="0">
      <w:lvlJc w:val="left"/>
      <w:lvlText w:val="%1."/>
      <w:numFmt w:val="decimal"/>
      <w:start w:val="17"/>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lowerLetter"/>
      <w:start w:val="1"/>
    </w:lvl>
  </w:abstractNum>
  <w:abstractNum w:abstractNumId="47">
    <w:nsid w:val="3F6AB60F"/>
    <w:multiLevelType w:val="hybridMultilevel"/>
    <w:lvl w:ilvl="0">
      <w:lvlJc w:val="left"/>
      <w:lvlText w:val="%1."/>
      <w:numFmt w:val="decimal"/>
      <w:start w:val="2"/>
    </w:lvl>
  </w:abstractNum>
  <w:abstractNum w:abstractNumId="48">
    <w:nsid w:val="61574095"/>
    <w:multiLevelType w:val="hybridMultilevel"/>
    <w:lvl w:ilvl="0">
      <w:lvlJc w:val="left"/>
      <w:lvlText w:val="(%1)"/>
      <w:numFmt w:val="lowerLetter"/>
      <w:start w:val="1"/>
    </w:lvl>
  </w:abstractNum>
  <w:abstractNum w:abstractNumId="49">
    <w:nsid w:val="7E0C57B1"/>
    <w:multiLevelType w:val="hybridMultilevel"/>
    <w:lvl w:ilvl="0">
      <w:lvlJc w:val="left"/>
      <w:lvlText w:val="(%1)"/>
      <w:numFmt w:val="lowerLetter"/>
      <w:start w:val="2"/>
    </w:lvl>
  </w:abstractNum>
  <w:abstractNum w:abstractNumId="50">
    <w:nsid w:val="77AE35EB"/>
    <w:multiLevelType w:val="hybridMultilevel"/>
    <w:lvl w:ilvl="0">
      <w:lvlJc w:val="left"/>
      <w:lvlText w:val="(%1)"/>
      <w:numFmt w:val="lowerLetter"/>
      <w:start w:val="1"/>
    </w:lvl>
    <w:lvl w:ilvl="1">
      <w:lvlJc w:val="left"/>
      <w:lvlText w:val="(%2)"/>
      <w:numFmt w:val="lowerRoman"/>
      <w:start w:val="1"/>
    </w:lvl>
  </w:abstractNum>
  <w:abstractNum w:abstractNumId="51">
    <w:nsid w:val="579BE4F1"/>
    <w:multiLevelType w:val="hybridMultilevel"/>
    <w:lvl w:ilvl="0">
      <w:lvlJc w:val="left"/>
      <w:lvlText w:val="(%1)"/>
      <w:numFmt w:val="lowerLetter"/>
      <w:start w:val="4"/>
    </w:lvl>
  </w:abstractNum>
  <w:abstractNum w:abstractNumId="52">
    <w:nsid w:val="310C50B3"/>
    <w:multiLevelType w:val="hybridMultilevel"/>
    <w:lvl w:ilvl="0">
      <w:lvlJc w:val="left"/>
      <w:lvlText w:val="(%1)"/>
      <w:numFmt w:val="lowerLetter"/>
      <w:start w:val="6"/>
    </w:lvl>
  </w:abstractNum>
  <w:abstractNum w:abstractNumId="53">
    <w:nsid w:val="5FF87E05"/>
    <w:multiLevelType w:val="hybridMultilevel"/>
    <w:lvl w:ilvl="0">
      <w:lvlJc w:val="left"/>
      <w:lvlText w:val="%1."/>
      <w:numFmt w:val="decimal"/>
      <w:start w:val="3"/>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1)"/>
      <w:numFmt w:val="lowerLetter"/>
      <w:start w:val="4"/>
    </w:lvl>
  </w:abstractNum>
  <w:abstractNum w:abstractNumId="56">
    <w:nsid w:val="1DBABF00"/>
    <w:multiLevelType w:val="hybridMultilevel"/>
    <w:lvl w:ilvl="0">
      <w:lvlJc w:val="left"/>
      <w:lvlText w:val="(%1)"/>
      <w:numFmt w:val="lowerLetter"/>
      <w:start w:val="8"/>
    </w:lvl>
  </w:abstractNum>
  <w:abstractNum w:abstractNumId="57">
    <w:nsid w:val="4AD084E9"/>
    <w:multiLevelType w:val="hybridMultilevel"/>
    <w:lvl w:ilvl="0">
      <w:lvlJc w:val="left"/>
      <w:lvlText w:val="%1."/>
      <w:numFmt w:val="decimal"/>
      <w:start w:val="4"/>
    </w:lvl>
  </w:abstractNum>
  <w:abstractNum w:abstractNumId="58">
    <w:nsid w:val="1F48EAA1"/>
    <w:multiLevelType w:val="hybridMultilevel"/>
    <w:lvl w:ilvl="0">
      <w:lvlJc w:val="left"/>
      <w:lvlText w:val="(%1)"/>
      <w:numFmt w:val="lowerLetter"/>
      <w:start w:val="1"/>
    </w:lvl>
    <w:lvl w:ilvl="1">
      <w:lvlJc w:val="left"/>
      <w:lvlText w:val="(%2)"/>
      <w:numFmt w:val="lowerRoman"/>
      <w:start w:val="1"/>
    </w:lvl>
  </w:abstractNum>
  <w:abstractNum w:abstractNumId="59">
    <w:nsid w:val="1381823A"/>
    <w:multiLevelType w:val="hybridMultilevel"/>
    <w:lvl w:ilvl="0">
      <w:lvlJc w:val="left"/>
      <w:lvlText w:val="%1."/>
      <w:numFmt w:val="decimal"/>
      <w:start w:val="5"/>
    </w:lvl>
  </w:abstractNum>
  <w:abstractNum w:abstractNumId="60">
    <w:nsid w:val="5DB70AE5"/>
    <w:multiLevelType w:val="hybridMultilevel"/>
    <w:lvl w:ilvl="0">
      <w:lvlJc w:val="left"/>
      <w:lvlText w:val="(%1)"/>
      <w:numFmt w:val="lowerLetter"/>
      <w:start w:val="1"/>
    </w:lvl>
    <w:lvl w:ilvl="1">
      <w:lvlJc w:val="left"/>
      <w:lvlText w:val="(%2)"/>
      <w:numFmt w:val="lowerRoman"/>
      <w:start w:val="1"/>
    </w:lvl>
  </w:abstractNum>
  <w:abstractNum w:abstractNumId="61">
    <w:nsid w:val="100F8FCA"/>
    <w:multiLevelType w:val="hybridMultilevel"/>
    <w:lvl w:ilvl="0">
      <w:lvlJc w:val="left"/>
      <w:lvlText w:val="(%1)"/>
      <w:numFmt w:val="lowerRoman"/>
      <w:start w:val="3"/>
    </w:lvl>
  </w:abstractNum>
  <w:abstractNum w:abstractNumId="62">
    <w:nsid w:val="6590700B"/>
    <w:multiLevelType w:val="hybridMultilevel"/>
    <w:lvl w:ilvl="0">
      <w:lvlJc w:val="left"/>
      <w:lvlText w:val="(%1)"/>
      <w:numFmt w:val="lowerLetter"/>
      <w:start w:val="2"/>
    </w:lvl>
  </w:abstractNum>
  <w:abstractNum w:abstractNumId="63">
    <w:nsid w:val="15014ACB"/>
    <w:multiLevelType w:val="hybridMultilevel"/>
    <w:lvl w:ilvl="0">
      <w:lvlJc w:val="left"/>
      <w:lvlText w:val="(%1)"/>
      <w:numFmt w:val="lowerRoman"/>
      <w:start w:val="1"/>
    </w:lvl>
  </w:abstractNum>
  <w:abstractNum w:abstractNumId="64">
    <w:nsid w:val="5F5E7FD0"/>
    <w:multiLevelType w:val="hybridMultilevel"/>
    <w:lvl w:ilvl="0">
      <w:lvlJc w:val="left"/>
      <w:lvlText w:val="%1"/>
      <w:numFmt w:val="lowerLetter"/>
      <w:start w:val="1"/>
    </w:lvl>
    <w:lvl w:ilvl="1">
      <w:lvlJc w:val="left"/>
      <w:lvlText w:val="(%2)"/>
      <w:numFmt w:val="lowerLetter"/>
      <w:start w:val="61"/>
    </w:lvl>
  </w:abstractNum>
  <w:abstractNum w:abstractNumId="65">
    <w:nsid w:val="98A3148"/>
    <w:multiLevelType w:val="hybridMultilevel"/>
    <w:lvl w:ilvl="0">
      <w:lvlJc w:val="left"/>
      <w:lvlText w:val="(%1)"/>
      <w:numFmt w:val="lowerLetter"/>
      <w:start w:val="3"/>
    </w:lvl>
    <w:lvl w:ilvl="1">
      <w:lvlJc w:val="left"/>
      <w:lvlText w:val="%2"/>
      <w:numFmt w:val="lowerLetter"/>
      <w:start w:val="1"/>
    </w:lvl>
  </w:abstractNum>
  <w:abstractNum w:abstractNumId="66">
    <w:nsid w:val="799D0247"/>
    <w:multiLevelType w:val="hybridMultilevel"/>
    <w:lvl w:ilvl="0">
      <w:lvlJc w:val="left"/>
      <w:lvlText w:val="%1."/>
      <w:numFmt w:val="decimal"/>
      <w:start w:val="6"/>
    </w:lvl>
  </w:abstractNum>
  <w:abstractNum w:abstractNumId="67">
    <w:nsid w:val="6B94764"/>
    <w:multiLevelType w:val="hybridMultilevel"/>
    <w:lvl w:ilvl="0">
      <w:lvlJc w:val="left"/>
      <w:lvlText w:val="%1"/>
      <w:numFmt w:val="lowerLetter"/>
      <w:start w:val="1"/>
    </w:lvl>
    <w:lvl w:ilvl="1">
      <w:lvlJc w:val="left"/>
      <w:lvlText w:val="(%2)"/>
      <w:numFmt w:val="lowerLetter"/>
      <w:start w:val="1"/>
    </w:lvl>
  </w:abstractNum>
  <w:abstractNum w:abstractNumId="68">
    <w:nsid w:val="42C296BD"/>
    <w:multiLevelType w:val="hybridMultilevel"/>
    <w:lvl w:ilvl="0">
      <w:lvlJc w:val="left"/>
      <w:lvlText w:val="(%1)"/>
      <w:numFmt w:val="lowerLetter"/>
      <w:start w:val="9"/>
    </w:lvl>
    <w:lvl w:ilvl="1">
      <w:lvlJc w:val="left"/>
      <w:lvlText w:val="%2"/>
      <w:numFmt w:val="lowerLetter"/>
      <w:start w:val="1"/>
    </w:lvl>
  </w:abstractNum>
  <w:abstractNum w:abstractNumId="69">
    <w:nsid w:val="168E121F"/>
    <w:multiLevelType w:val="hybridMultilevel"/>
    <w:lvl w:ilvl="0">
      <w:lvlJc w:val="left"/>
      <w:lvlText w:val="(%1)"/>
      <w:numFmt w:val="lowerLetter"/>
      <w:start w:val="2"/>
    </w:lvl>
  </w:abstractNum>
  <w:abstractNum w:abstractNumId="70">
    <w:nsid w:val="1EBA5D23"/>
    <w:multiLevelType w:val="hybridMultilevel"/>
    <w:lvl w:ilvl="0">
      <w:lvlJc w:val="left"/>
      <w:lvlText w:val="%1."/>
      <w:numFmt w:val="decimal"/>
      <w:start w:val="7"/>
    </w:lvl>
  </w:abstractNum>
  <w:abstractNum w:abstractNumId="71">
    <w:nsid w:val="661E3F1E"/>
    <w:multiLevelType w:val="hybridMultilevel"/>
    <w:lvl w:ilvl="0">
      <w:lvlJc w:val="left"/>
      <w:lvlText w:val="%1"/>
      <w:numFmt w:val="lowerRoman"/>
      <w:start w:val="1"/>
    </w:lvl>
    <w:lvl w:ilvl="1">
      <w:lvlJc w:val="left"/>
      <w:lvlText w:val="%2."/>
      <w:numFmt w:val="decimal"/>
      <w:start w:val="9"/>
    </w:lvl>
  </w:abstractNum>
  <w:abstractNum w:abstractNumId="72">
    <w:nsid w:val="5DC79EA8"/>
    <w:multiLevelType w:val="hybridMultilevel"/>
    <w:lvl w:ilvl="0">
      <w:lvlJc w:val="left"/>
      <w:lvlText w:val="(%1)"/>
      <w:numFmt w:val="lowerRoman"/>
      <w:start w:val="2"/>
    </w:lvl>
    <w:lvl w:ilvl="1">
      <w:lvlJc w:val="left"/>
      <w:lvlText w:val="%2."/>
      <w:numFmt w:val="decimal"/>
      <w:start w:val="11"/>
    </w:lvl>
  </w:abstractNum>
  <w:abstractNum w:abstractNumId="73">
    <w:nsid w:val="540A471C"/>
    <w:multiLevelType w:val="hybridMultilevel"/>
    <w:lvl w:ilvl="0">
      <w:lvlJc w:val="left"/>
      <w:lvlText w:val="%1."/>
      <w:numFmt w:val="decimal"/>
      <w:start w:val="14"/>
    </w:lvl>
  </w:abstractNum>
  <w:abstractNum w:abstractNumId="74">
    <w:nsid w:val="7BD3EE7B"/>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2022-01-05T07:10:42Z</dcterms:created>
  <dcterms:modified xsi:type="dcterms:W3CDTF">2022-01-05T07:10:42Z</dcterms:modified>
</cp:coreProperties>
</file>