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shd w:fill="FFFFFF" w:val="clear"/>
        <w:bidi w:val="0"/>
        <w:spacing w:before="0" w:after="0"/>
        <w:ind w:left="0" w:right="0" w:hanging="0"/>
        <w:jc w:val="center"/>
        <w:rPr>
          <w:caps w:val="false"/>
          <w:smallCaps w:val="false"/>
        </w:rPr>
      </w:pPr>
      <w:bookmarkStart w:id="0" w:name="tm246267d1_s8.htm"/>
      <w:bookmarkStart w:id="1" w:name="kstm246267d1_s8"/>
      <w:bookmarkEnd w:id="0"/>
      <w:bookmarkEnd w:id="1"/>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filed with the Securities and Exchange Commission on February 16, 2024</w:t>
      </w:r>
    </w:p>
    <w:p>
      <w:pPr>
        <w:pStyle w:val="TextBody"/>
        <w:shd w:fill="FFFFFF" w:val="clear"/>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Registration No. 333- </w:t>
      </w:r>
    </w:p>
    <w:p>
      <w:pPr>
        <w:pStyle w:val="TextBody"/>
        <w:bidi w:val="0"/>
        <w:spacing w:before="40" w:after="60"/>
        <w:ind w:left="0" w:right="0" w:hanging="0"/>
        <w:jc w:val="left"/>
        <w:rPr>
          <w:bdr w:val="single" w:sz="16" w:space="1" w:color="000000"/>
        </w:rPr>
      </w:pPr>
      <w:r>
        <w:rPr>
          <w:bdr w:val="single" w:sz="16" w:space="1" w:color="000000"/>
        </w:rPr>
        <w:t> </w:t>
      </w:r>
    </w:p>
    <w:p>
      <w:pPr>
        <w:pStyle w:val="TextBody"/>
        <w:shd w:fill="FFFFFF" w:val="clear"/>
        <w:bidi w:val="0"/>
        <w:spacing w:before="0" w:after="0"/>
        <w:ind w:left="0" w:right="0" w:hanging="0"/>
        <w:jc w:val="righ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FORM S-8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REGISTRATION STATEMENT </w:t>
      </w:r>
    </w:p>
    <w:p>
      <w:pPr>
        <w:pStyle w:val="TextBody"/>
        <w:shd w:fill="FFFFFF" w:val="clear"/>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UNDER THE </w:t>
      </w:r>
    </w:p>
    <w:p>
      <w:pPr>
        <w:pStyle w:val="TextBody"/>
        <w:shd w:fill="FFFFFF" w:val="clear"/>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SECURITIES ACT OF 1933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Blueprint Medicines Corporation</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4810" w:type="dxa"/>
        <w:jc w:val="left"/>
        <w:tblInd w:w="0" w:type="dxa"/>
        <w:shd w:fill="FFFFFF" w:val="clear"/>
        <w:tblLayout w:type="fixed"/>
        <w:tblCellMar>
          <w:top w:w="0" w:type="dxa"/>
          <w:left w:w="0" w:type="dxa"/>
          <w:bottom w:w="0" w:type="dxa"/>
          <w:right w:w="0" w:type="dxa"/>
        </w:tblCellMar>
      </w:tblPr>
      <w:tblGrid>
        <w:gridCol w:w="3215"/>
        <w:gridCol w:w="60"/>
        <w:gridCol w:w="1535"/>
      </w:tblGrid>
      <w:tr>
        <w:trPr/>
        <w:tc>
          <w:tcPr>
            <w:tcW w:w="3215"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Delaware</w:t>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26-3632015</w:t>
            </w:r>
          </w:p>
        </w:tc>
      </w:tr>
      <w:tr>
        <w:trPr/>
        <w:tc>
          <w:tcPr>
            <w:tcW w:w="3215" w:type="dxa"/>
            <w:tcBorders/>
            <w:shd w:fill="FFFFFF" w:val="cle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w:t>
              <w:br/>
              <w:t>Identification No.)</w:t>
            </w:r>
          </w:p>
        </w:tc>
      </w:tr>
      <w:tr>
        <w:trPr/>
        <w:tc>
          <w:tcPr>
            <w:tcW w:w="3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left"/>
              <w:rPr/>
            </w:pPr>
            <w:r>
              <w:rPr/>
              <w:t> </w:t>
            </w:r>
          </w:p>
        </w:tc>
      </w:tr>
      <w:tr>
        <w:trPr/>
        <w:tc>
          <w:tcPr>
            <w:tcW w:w="3215" w:type="dxa"/>
            <w:tcBorders/>
            <w:shd w:fill="FFFFFF" w:val="cle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45 Sidney Street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Cambridge, Massachusetts</w:t>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02139</w:t>
            </w:r>
          </w:p>
        </w:tc>
      </w:tr>
      <w:tr>
        <w:trPr/>
        <w:tc>
          <w:tcPr>
            <w:tcW w:w="321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2015 Stock Option and Incentive Plan</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2015 Employee Stock Purchase Plan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 titles of the plans)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Kathryn Haviland</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President and Chief Executive Officer</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Blueprint Medicines Corporation</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45 Sidney Street</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Cambridge, Massachusetts 02139</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and address of agent for service)</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(617) 374-7580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number, including area code, of agent for service)</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Please send copies of all communications to: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Kingsley L. Taft, Esq.</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Danielle M. Lauzon, Esq.</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Yasin Akbari, Esq.</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Goodwin Procter LLP</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100 Northern Avenue</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Boston, Massachusetts 02210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(617) 570-1000</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shd w:fill="FFFFFF" w:val="clear"/>
        <w:bidi w:val="0"/>
        <w:spacing w:before="0" w:after="0"/>
        <w:ind w:left="0" w:right="0" w:firstLine="720"/>
        <w:jc w:val="left"/>
        <w:rPr>
          <w:caps w:val="false"/>
          <w:smallCaps w:val="false"/>
        </w:rPr>
      </w:pPr>
      <w:r>
        <w:rPr>
          <w:caps w:val="false"/>
          <w:smallCaps w:val="false"/>
        </w:rPr>
        <w:t> </w:t>
      </w:r>
    </w:p>
    <w:tbl>
      <w:tblPr>
        <w:tblW w:w="4570" w:type="dxa"/>
        <w:jc w:val="left"/>
        <w:tblInd w:w="0" w:type="dxa"/>
        <w:shd w:fill="FFFFFF" w:val="clear"/>
        <w:tblLayout w:type="fixed"/>
        <w:tblCellMar>
          <w:top w:w="0" w:type="dxa"/>
          <w:left w:w="0" w:type="dxa"/>
          <w:bottom w:w="0" w:type="dxa"/>
          <w:right w:w="0" w:type="dxa"/>
        </w:tblCellMar>
      </w:tblPr>
      <w:tblGrid>
        <w:gridCol w:w="2060"/>
        <w:gridCol w:w="2510"/>
      </w:tblGrid>
      <w:tr>
        <w:trPr/>
        <w:tc>
          <w:tcPr>
            <w:tcW w:w="2060" w:type="dxa"/>
            <w:tcBorders/>
            <w:shd w:fill="FFFFFF" w:val="clear"/>
            <w:vAlign w:val="center"/>
          </w:tcPr>
          <w:p>
            <w:pPr>
              <w:pStyle w:val="TableContents"/>
              <w:bidi w:val="0"/>
              <w:spacing w:before="0" w:after="0"/>
              <w:ind w:left="240" w:right="0" w:hanging="24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 ☒</w:t>
            </w:r>
          </w:p>
          <w:p>
            <w:pPr>
              <w:pStyle w:val="TableContents"/>
              <w:bidi w:val="0"/>
              <w:spacing w:before="0" w:after="0"/>
              <w:ind w:left="245" w:right="0" w:hanging="245"/>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Non-accelerated filer ☐</w:t>
            </w:r>
          </w:p>
        </w:tc>
        <w:tc>
          <w:tcPr>
            <w:tcW w:w="2510" w:type="dxa"/>
            <w:tcBorders/>
            <w:shd w:fill="FFFFFF" w:val="clear"/>
            <w:vAlign w:val="center"/>
          </w:tcPr>
          <w:p>
            <w:pPr>
              <w:pStyle w:val="TableContents"/>
              <w:bidi w:val="0"/>
              <w:spacing w:before="0" w:after="0"/>
              <w:ind w:left="240" w:right="0" w:hanging="24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 ☐</w:t>
            </w:r>
          </w:p>
          <w:p>
            <w:pPr>
              <w:pStyle w:val="TableContents"/>
              <w:bidi w:val="0"/>
              <w:spacing w:before="0" w:after="0"/>
              <w:ind w:left="240" w:right="0" w:hanging="24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Smaller reporting company ☐ </w:t>
            </w:r>
          </w:p>
          <w:p>
            <w:pPr>
              <w:pStyle w:val="TableContents"/>
              <w:bidi w:val="0"/>
              <w:spacing w:before="0" w:after="0"/>
              <w:ind w:left="240" w:right="0" w:hanging="24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p>
        </w:tc>
      </w:tr>
    </w:tbl>
    <w:p>
      <w:pPr>
        <w:pStyle w:val="TextBody"/>
        <w:shd w:fill="FFFFFF" w:val="clear"/>
        <w:bidi w:val="0"/>
        <w:spacing w:before="0" w:after="0"/>
        <w:ind w:left="0" w:right="0" w:firstLine="72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shd w:fill="FFFFFF" w:val="clear"/>
        <w:bidi w:val="0"/>
        <w:spacing w:before="0" w:after="0"/>
        <w:ind w:left="0" w:right="0" w:firstLine="720"/>
        <w:jc w:val="left"/>
        <w:rPr>
          <w:caps w:val="false"/>
          <w:smallCaps w:val="false"/>
        </w:rPr>
      </w:pPr>
      <w:r>
        <w:rPr>
          <w:caps w:val="false"/>
          <w:smallCaps w:val="false"/>
        </w:rPr>
        <w:t> </w:t>
      </w:r>
    </w:p>
    <w:p>
      <w:pPr>
        <w:pStyle w:val="TextBody"/>
        <w:bidi w:val="0"/>
        <w:spacing w:before="60" w:after="240"/>
        <w:ind w:left="0" w:right="0" w:firstLine="72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shd w:fill="FFFFFF" w:val="clear"/>
        <w:bidi w:val="0"/>
        <w:spacing w:before="0" w:after="0"/>
        <w:ind w:left="0" w:right="0" w:firstLine="72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left"/>
        <w:rPr/>
      </w:pPr>
      <w:r>
        <w:rPr>
          <w:rFonts w:ascii="Times New Roman;Times;Serif" w:hAnsi="Times New Roman;Times;Serif"/>
          <w:b w:val="false"/>
          <w:i w:val="false"/>
          <w:caps w:val="false"/>
          <w:smallCaps w:val="false"/>
          <w:sz w:val="20"/>
        </w:rPr>
        <w:t xml:space="preserve">This Registration Statement on Form S-8 relating to the 2015 Stock Option and Incentive Plan (as amended, the “2015 Plan”) and the 2015 Employee Stock Purchase Plan (as amended, the “2015 ESPP”) of Blueprint Medicines Corporation (the “Registrant”) is being filed for the purpose of registering additional securities of the same class as other securities for which a Registration Statement on Form S-8 has previously been filed and is effective. Accordingly, this Registration Statement on Form S-8 incorporates by reference the contents of (i) the </w:t>
      </w:r>
      <w:hyperlink r:id="rId2">
        <w:r>
          <w:rPr>
            <w:rStyle w:val="InternetLink"/>
            <w:rFonts w:ascii="Times New Roman;Times;Serif" w:hAnsi="Times New Roman;Times;Serif"/>
            <w:b w:val="false"/>
            <w:i w:val="false"/>
            <w:caps w:val="false"/>
            <w:smallCaps w:val="false"/>
            <w:sz w:val="20"/>
          </w:rPr>
          <w:t>Registration Statement on Form S-8 (File No. 333-203749) filed with the Securities and Exchange Commission (the “SEC”) on April 30, 2015</w:t>
        </w:r>
      </w:hyperlink>
      <w:r>
        <w:rPr>
          <w:rFonts w:ascii="Times New Roman;Times;Serif" w:hAnsi="Times New Roman;Times;Serif"/>
          <w:b w:val="false"/>
          <w:i w:val="false"/>
          <w:caps w:val="false"/>
          <w:smallCaps w:val="false"/>
          <w:sz w:val="20"/>
        </w:rPr>
        <w:t xml:space="preserve"> by the Registrant, relating to the 2015 Plan and the 2015 ESPP, (ii) the </w:t>
      </w:r>
      <w:hyperlink r:id="rId3">
        <w:r>
          <w:rPr>
            <w:rStyle w:val="InternetLink"/>
            <w:rFonts w:ascii="Times New Roman;Times;Serif" w:hAnsi="Times New Roman;Times;Serif"/>
            <w:b w:val="false"/>
            <w:i w:val="false"/>
            <w:caps w:val="false"/>
            <w:smallCaps w:val="false"/>
            <w:sz w:val="20"/>
          </w:rPr>
          <w:t>Registration Statement on Form S-8 (File No. 333-210125) filed with the SEC on March 11, 2016</w:t>
        </w:r>
      </w:hyperlink>
      <w:r>
        <w:rPr>
          <w:rFonts w:ascii="Times New Roman;Times;Serif" w:hAnsi="Times New Roman;Times;Serif"/>
          <w:b w:val="false"/>
          <w:i w:val="false"/>
          <w:caps w:val="false"/>
          <w:smallCaps w:val="false"/>
          <w:sz w:val="20"/>
        </w:rPr>
        <w:t xml:space="preserve"> by the Registrant, relating to the 2015 Plan and the 2015 ESPP, (iii) the </w:t>
      </w:r>
      <w:hyperlink r:id="rId4">
        <w:r>
          <w:rPr>
            <w:rStyle w:val="InternetLink"/>
            <w:rFonts w:ascii="Times New Roman;Times;Serif" w:hAnsi="Times New Roman;Times;Serif"/>
            <w:b w:val="false"/>
            <w:i w:val="false"/>
            <w:caps w:val="false"/>
            <w:smallCaps w:val="false"/>
            <w:sz w:val="20"/>
          </w:rPr>
          <w:t>Registration Statement on Form S-8 (File No. 333-216575) filed with the SEC on March 9, 2017</w:t>
        </w:r>
      </w:hyperlink>
      <w:r>
        <w:rPr>
          <w:rFonts w:ascii="Times New Roman;Times;Serif" w:hAnsi="Times New Roman;Times;Serif"/>
          <w:b w:val="false"/>
          <w:i w:val="false"/>
          <w:caps w:val="false"/>
          <w:smallCaps w:val="false"/>
          <w:sz w:val="20"/>
        </w:rPr>
        <w:t xml:space="preserve"> by the Registrant, relating to the 2015 Plan and the 2015 ESPP, (iv) the </w:t>
      </w:r>
      <w:hyperlink r:id="rId5">
        <w:r>
          <w:rPr>
            <w:rStyle w:val="InternetLink"/>
            <w:rFonts w:ascii="Times New Roman;Times;Serif" w:hAnsi="Times New Roman;Times;Serif"/>
            <w:b w:val="false"/>
            <w:i w:val="false"/>
            <w:caps w:val="false"/>
            <w:smallCaps w:val="false"/>
            <w:sz w:val="20"/>
          </w:rPr>
          <w:t>Registration Statement on Form S-8 (File No. 333-223131) filed with the SEC on February 21, 2018</w:t>
        </w:r>
      </w:hyperlink>
      <w:r>
        <w:rPr>
          <w:rFonts w:ascii="Times New Roman;Times;Serif" w:hAnsi="Times New Roman;Times;Serif"/>
          <w:b w:val="false"/>
          <w:i w:val="false"/>
          <w:caps w:val="false"/>
          <w:smallCaps w:val="false"/>
          <w:sz w:val="20"/>
        </w:rPr>
        <w:t xml:space="preserve"> by the Registrant, relating to the 2015 Plan and the 2015 ESPP, (v) the </w:t>
      </w:r>
      <w:hyperlink r:id="rId6">
        <w:r>
          <w:rPr>
            <w:rStyle w:val="InternetLink"/>
            <w:rFonts w:ascii="Times New Roman;Times;Serif" w:hAnsi="Times New Roman;Times;Serif"/>
            <w:b w:val="false"/>
            <w:i w:val="false"/>
            <w:caps w:val="false"/>
            <w:smallCaps w:val="false"/>
            <w:sz w:val="20"/>
          </w:rPr>
          <w:t>Registration Statement on Form S-8 (File No. 333-229885) filed with the SEC on February 26, 2019</w:t>
        </w:r>
      </w:hyperlink>
      <w:r>
        <w:rPr>
          <w:rFonts w:ascii="Times New Roman;Times;Serif" w:hAnsi="Times New Roman;Times;Serif"/>
          <w:b w:val="false"/>
          <w:i w:val="false"/>
          <w:caps w:val="false"/>
          <w:smallCaps w:val="false"/>
          <w:sz w:val="20"/>
        </w:rPr>
        <w:t xml:space="preserve"> by the Registrant, relating to the 2015 Plan and the 2015 ESPP, (vi) the </w:t>
      </w:r>
      <w:hyperlink r:id="rId7">
        <w:r>
          <w:rPr>
            <w:rStyle w:val="InternetLink"/>
            <w:rFonts w:ascii="Times New Roman;Times;Serif" w:hAnsi="Times New Roman;Times;Serif"/>
            <w:b w:val="false"/>
            <w:i w:val="false"/>
            <w:caps w:val="false"/>
            <w:smallCaps w:val="false"/>
            <w:sz w:val="20"/>
          </w:rPr>
          <w:t>Registration Statement on Form S-8 (File No. 333-236421) filed with the SEC on February 13, 2020</w:t>
        </w:r>
      </w:hyperlink>
      <w:r>
        <w:rPr>
          <w:rFonts w:ascii="Times New Roman;Times;Serif" w:hAnsi="Times New Roman;Times;Serif"/>
          <w:b w:val="false"/>
          <w:i w:val="false"/>
          <w:caps w:val="false"/>
          <w:smallCaps w:val="false"/>
          <w:sz w:val="20"/>
        </w:rPr>
        <w:t xml:space="preserve"> by the Registrant, relating to the 2015 Plan and the 2015 ESPP, (vii) the </w:t>
      </w:r>
      <w:hyperlink r:id="rId8">
        <w:r>
          <w:rPr>
            <w:rStyle w:val="InternetLink"/>
            <w:rFonts w:ascii="Times New Roman;Times;Serif" w:hAnsi="Times New Roman;Times;Serif"/>
            <w:b w:val="false"/>
            <w:i w:val="false"/>
            <w:caps w:val="false"/>
            <w:smallCaps w:val="false"/>
            <w:sz w:val="20"/>
          </w:rPr>
          <w:t>Registration Statement on Form S-8 (File No. 333-253215) filed with the SEC on February 17, 2021</w:t>
        </w:r>
      </w:hyperlink>
      <w:r>
        <w:rPr>
          <w:rFonts w:ascii="Times New Roman;Times;Serif" w:hAnsi="Times New Roman;Times;Serif"/>
          <w:b w:val="false"/>
          <w:i w:val="false"/>
          <w:caps w:val="false"/>
          <w:smallCaps w:val="false"/>
          <w:sz w:val="20"/>
        </w:rPr>
        <w:t xml:space="preserve"> by the Registrant, relating to the 2015 Plan and the 2015 ESPP, (viii) the </w:t>
      </w:r>
      <w:hyperlink r:id="rId9">
        <w:r>
          <w:rPr>
            <w:rStyle w:val="InternetLink"/>
            <w:rFonts w:ascii="Times New Roman;Times;Serif" w:hAnsi="Times New Roman;Times;Serif"/>
            <w:b w:val="false"/>
            <w:i w:val="false"/>
            <w:caps w:val="false"/>
            <w:smallCaps w:val="false"/>
            <w:sz w:val="20"/>
          </w:rPr>
          <w:t>Registration Statement on Form S-8 (File No. 333-262800) filed with the SEC on February 17, 2022</w:t>
        </w:r>
      </w:hyperlink>
      <w:r>
        <w:rPr>
          <w:rFonts w:ascii="Times New Roman;Times;Serif" w:hAnsi="Times New Roman;Times;Serif"/>
          <w:b w:val="false"/>
          <w:i w:val="false"/>
          <w:caps w:val="false"/>
          <w:smallCaps w:val="false"/>
          <w:sz w:val="20"/>
        </w:rPr>
        <w:t xml:space="preserve"> by the Registrant, relating to the 2015 Plan and the 2015 ESPP, (ix) the </w:t>
      </w:r>
      <w:hyperlink r:id="rId10">
        <w:r>
          <w:rPr>
            <w:rStyle w:val="InternetLink"/>
            <w:rFonts w:ascii="Times New Roman;Times;Serif" w:hAnsi="Times New Roman;Times;Serif"/>
            <w:b w:val="false"/>
            <w:i w:val="false"/>
            <w:caps w:val="false"/>
            <w:smallCaps w:val="false"/>
            <w:sz w:val="20"/>
          </w:rPr>
          <w:t>Registration Statement on Form S-8 (File No. 333-269844) filed with the SEC on February 17, 2023</w:t>
        </w:r>
      </w:hyperlink>
      <w:r>
        <w:rPr>
          <w:rFonts w:ascii="Times New Roman;Times;Serif" w:hAnsi="Times New Roman;Times;Serif"/>
          <w:b w:val="false"/>
          <w:i w:val="false"/>
          <w:caps w:val="false"/>
          <w:smallCaps w:val="false"/>
          <w:sz w:val="20"/>
        </w:rPr>
        <w:t xml:space="preserve"> by the Registrant, relating to the 2015 Plan and the 2015 ESPP, in each case, except for “Item 8. Exhibits” with respect to which the Exhibit Index set forth below is incorporated herein by reference.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EXHIBIT INDEX </w:t>
      </w:r>
    </w:p>
    <w:tbl>
      <w:tblPr>
        <w:tblW w:w="10205" w:type="dxa"/>
        <w:jc w:val="left"/>
        <w:tblInd w:w="0" w:type="dxa"/>
        <w:shd w:fill="FFFFFF" w:val="clear"/>
        <w:tblLayout w:type="fixed"/>
        <w:tblCellMar>
          <w:top w:w="0" w:type="dxa"/>
          <w:left w:w="0" w:type="dxa"/>
          <w:bottom w:w="0" w:type="dxa"/>
          <w:right w:w="0" w:type="dxa"/>
        </w:tblCellMar>
      </w:tblPr>
      <w:tblGrid>
        <w:gridCol w:w="725"/>
        <w:gridCol w:w="60"/>
        <w:gridCol w:w="5588"/>
        <w:gridCol w:w="60"/>
        <w:gridCol w:w="500"/>
        <w:gridCol w:w="60"/>
        <w:gridCol w:w="938"/>
        <w:gridCol w:w="60"/>
        <w:gridCol w:w="710"/>
        <w:gridCol w:w="60"/>
        <w:gridCol w:w="1368"/>
        <w:gridCol w:w="76"/>
      </w:tblGrid>
      <w:tr>
        <w:trPr/>
        <w:tc>
          <w:tcPr>
            <w:tcW w:w="7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58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8"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r>
      <w:tr>
        <w:trPr/>
        <w:tc>
          <w:tcPr>
            <w:tcW w:w="7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58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68" w:type="dxa"/>
            <w:gridSpan w:val="5"/>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Incorporated by Reference</w:t>
            </w:r>
          </w:p>
        </w:tc>
        <w:tc>
          <w:tcPr>
            <w:tcW w:w="60" w:type="dxa"/>
            <w:tcBorders/>
            <w:shd w:fill="FFFFFF" w:val="clear"/>
            <w:vAlign w:val="center"/>
          </w:tcPr>
          <w:p>
            <w:pPr>
              <w:pStyle w:val="TableContents"/>
              <w:bidi w:val="0"/>
              <w:spacing w:before="0" w:after="283"/>
              <w:jc w:val="left"/>
              <w:rPr/>
            </w:pPr>
            <w:r>
              <w:rPr/>
              <w:t> </w:t>
            </w:r>
          </w:p>
        </w:tc>
        <w:tc>
          <w:tcPr>
            <w:tcW w:w="1368"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r>
      <w:tr>
        <w:trPr/>
        <w:tc>
          <w:tcPr>
            <w:tcW w:w="72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Exhibit</w:t>
              <w:br/>
              <w:t>Number</w:t>
            </w:r>
          </w:p>
        </w:tc>
        <w:tc>
          <w:tcPr>
            <w:tcW w:w="60" w:type="dxa"/>
            <w:tcBorders>
              <w:bottom w:val="single" w:sz="8" w:space="0" w:color="FFFFFF"/>
            </w:tcBorders>
            <w:shd w:fill="FFFFFF" w:val="clear"/>
            <w:tcMar>
              <w:bottom w:w="28" w:type="dxa"/>
            </w:tcMar>
            <w:vAlign w:val="center"/>
          </w:tcPr>
          <w:p>
            <w:pPr>
              <w:pStyle w:val="TableContents"/>
              <w:bidi w:val="0"/>
              <w:spacing w:before="0" w:after="283"/>
              <w:jc w:val="left"/>
              <w:rPr/>
            </w:pPr>
            <w:r>
              <w:rPr/>
              <w:t> </w:t>
            </w:r>
          </w:p>
        </w:tc>
        <w:tc>
          <w:tcPr>
            <w:tcW w:w="5588"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 of Exhibit</w:t>
            </w:r>
          </w:p>
        </w:tc>
        <w:tc>
          <w:tcPr>
            <w:tcW w:w="60" w:type="dxa"/>
            <w:tcBorders>
              <w:bottom w:val="single" w:sz="8" w:space="0" w:color="FFFFFF"/>
            </w:tcBorders>
            <w:shd w:fill="FFFFFF" w:val="clear"/>
            <w:tcMar>
              <w:bottom w:w="28" w:type="dxa"/>
            </w:tcMar>
            <w:vAlign w:val="center"/>
          </w:tcPr>
          <w:p>
            <w:pPr>
              <w:pStyle w:val="TableContents"/>
              <w:bidi w:val="0"/>
              <w:spacing w:before="0" w:after="283"/>
              <w:jc w:val="left"/>
              <w:rPr/>
            </w:pPr>
            <w:r>
              <w:rPr/>
              <w:t> </w:t>
            </w:r>
          </w:p>
        </w:tc>
        <w:tc>
          <w:tcPr>
            <w:tcW w:w="50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Form</w:t>
            </w:r>
          </w:p>
        </w:tc>
        <w:tc>
          <w:tcPr>
            <w:tcW w:w="60" w:type="dxa"/>
            <w:tcBorders>
              <w:bottom w:val="single" w:sz="8" w:space="0" w:color="FFFFFF"/>
            </w:tcBorders>
            <w:shd w:fill="FFFFFF" w:val="clear"/>
            <w:tcMar>
              <w:bottom w:w="28" w:type="dxa"/>
            </w:tcMar>
            <w:vAlign w:val="center"/>
          </w:tcPr>
          <w:p>
            <w:pPr>
              <w:pStyle w:val="TableContents"/>
              <w:bidi w:val="0"/>
              <w:spacing w:before="0" w:after="283"/>
              <w:jc w:val="left"/>
              <w:rPr/>
            </w:pPr>
            <w:r>
              <w:rPr/>
              <w:t> </w:t>
            </w:r>
          </w:p>
        </w:tc>
        <w:tc>
          <w:tcPr>
            <w:tcW w:w="938"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File No.</w:t>
            </w:r>
          </w:p>
        </w:tc>
        <w:tc>
          <w:tcPr>
            <w:tcW w:w="60" w:type="dxa"/>
            <w:tcBorders>
              <w:bottom w:val="single" w:sz="8" w:space="0" w:color="FFFFFF"/>
            </w:tcBorders>
            <w:shd w:fill="FFFFFF" w:val="clear"/>
            <w:tcMar>
              <w:bottom w:w="28" w:type="dxa"/>
            </w:tcMar>
            <w:vAlign w:val="center"/>
          </w:tcPr>
          <w:p>
            <w:pPr>
              <w:pStyle w:val="TableContents"/>
              <w:bidi w:val="0"/>
              <w:spacing w:before="0" w:after="283"/>
              <w:jc w:val="left"/>
              <w:rPr/>
            </w:pPr>
            <w:r>
              <w:rPr/>
              <w:t> </w:t>
            </w:r>
          </w:p>
        </w:tc>
        <w:tc>
          <w:tcPr>
            <w:tcW w:w="71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Exhibit</w:t>
              <w:br/>
              <w:t>Number</w:t>
            </w:r>
          </w:p>
        </w:tc>
        <w:tc>
          <w:tcPr>
            <w:tcW w:w="60" w:type="dxa"/>
            <w:tcBorders/>
            <w:shd w:fill="FFFFFF" w:val="clear"/>
            <w:vAlign w:val="center"/>
          </w:tcPr>
          <w:p>
            <w:pPr>
              <w:pStyle w:val="TableContents"/>
              <w:bidi w:val="0"/>
              <w:spacing w:before="0" w:after="283"/>
              <w:jc w:val="left"/>
              <w:rPr/>
            </w:pPr>
            <w:r>
              <w:rPr/>
              <w:t> </w:t>
            </w:r>
          </w:p>
        </w:tc>
        <w:tc>
          <w:tcPr>
            <w:tcW w:w="1368"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Filing Date</w:t>
            </w:r>
          </w:p>
        </w:tc>
        <w:tc>
          <w:tcPr>
            <w:tcW w:w="76" w:type="dxa"/>
            <w:tcBorders>
              <w:bottom w:val="single" w:sz="8" w:space="0" w:color="FFFFFF"/>
            </w:tcBorders>
            <w:shd w:fill="FFFFFF" w:val="clear"/>
            <w:tcMar>
              <w:bottom w:w="28" w:type="dxa"/>
            </w:tcMar>
            <w:vAlign w:val="center"/>
          </w:tcPr>
          <w:p>
            <w:pPr>
              <w:pStyle w:val="TableContents"/>
              <w:bidi w:val="0"/>
              <w:spacing w:before="0" w:after="283"/>
              <w:jc w:val="left"/>
              <w:rPr/>
            </w:pPr>
            <w:r>
              <w:rPr/>
              <w:t> </w:t>
            </w:r>
          </w:p>
        </w:tc>
      </w:tr>
      <w:tr>
        <w:trPr/>
        <w:tc>
          <w:tcPr>
            <w:tcW w:w="725" w:type="dxa"/>
            <w:tcBorders/>
            <w:shd w:fill="FFFFFF" w:val="clear"/>
            <w:vAlign w:val="center"/>
          </w:tcPr>
          <w:p>
            <w:pPr>
              <w:pStyle w:val="TableContents"/>
              <w:bidi w:val="0"/>
              <w:spacing w:before="0" w:after="283"/>
              <w:jc w:val="left"/>
              <w:rPr/>
            </w:pPr>
            <w:hyperlink r:id="rId11">
              <w:r>
                <w:rPr>
                  <w:rStyle w:val="InternetLink"/>
                  <w:rFonts w:ascii="Times New Roman;Times;Serif" w:hAnsi="Times New Roman;Times;Serif"/>
                  <w:sz w:val="20"/>
                </w:rPr>
                <w:t>3.1</w:t>
              </w:r>
            </w:hyperlink>
          </w:p>
        </w:tc>
        <w:tc>
          <w:tcPr>
            <w:tcW w:w="60" w:type="dxa"/>
            <w:tcBorders/>
            <w:shd w:fill="FFFFFF" w:val="clear"/>
            <w:vAlign w:val="center"/>
          </w:tcPr>
          <w:p>
            <w:pPr>
              <w:pStyle w:val="TableContents"/>
              <w:bidi w:val="0"/>
              <w:spacing w:before="0" w:after="283"/>
              <w:jc w:val="left"/>
              <w:rPr/>
            </w:pPr>
            <w:r>
              <w:rPr/>
              <w:t> </w:t>
            </w:r>
          </w:p>
        </w:tc>
        <w:tc>
          <w:tcPr>
            <w:tcW w:w="5588" w:type="dxa"/>
            <w:tcBorders/>
            <w:shd w:fill="FFFFFF" w:val="clear"/>
            <w:vAlign w:val="center"/>
          </w:tcPr>
          <w:p>
            <w:pPr>
              <w:pStyle w:val="TableContents"/>
              <w:bidi w:val="0"/>
              <w:spacing w:before="0" w:after="283"/>
              <w:jc w:val="left"/>
              <w:rPr/>
            </w:pPr>
            <w:hyperlink r:id="rId12">
              <w:r>
                <w:rPr>
                  <w:rStyle w:val="InternetLink"/>
                  <w:rFonts w:ascii="Times New Roman;Times;Serif" w:hAnsi="Times New Roman;Times;Serif"/>
                  <w:sz w:val="20"/>
                </w:rPr>
                <w:t>Fifth Amended and Restated Certificate of Incorporation of the Registrant</w:t>
              </w:r>
            </w:hyperlink>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hyperlink r:id="rId13">
              <w:r>
                <w:rPr>
                  <w:rStyle w:val="InternetLink"/>
                  <w:rFonts w:ascii="Times New Roman;Times;Serif" w:hAnsi="Times New Roman;Times;Serif"/>
                  <w:sz w:val="20"/>
                </w:rPr>
                <w:t>10-Q</w:t>
              </w:r>
            </w:hyperlink>
          </w:p>
        </w:tc>
        <w:tc>
          <w:tcPr>
            <w:tcW w:w="60"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center"/>
              <w:rPr/>
            </w:pPr>
            <w:hyperlink r:id="rId14">
              <w:r>
                <w:rPr>
                  <w:rStyle w:val="InternetLink"/>
                  <w:rFonts w:ascii="Times New Roman;Times;Serif" w:hAnsi="Times New Roman;Times;Serif"/>
                  <w:sz w:val="20"/>
                </w:rPr>
                <w:t>001-37359</w:t>
              </w:r>
            </w:hyperlink>
          </w:p>
        </w:tc>
        <w:tc>
          <w:tcPr>
            <w:tcW w:w="6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center"/>
              <w:rPr/>
            </w:pPr>
            <w:hyperlink r:id="rId15">
              <w:r>
                <w:rPr>
                  <w:rStyle w:val="InternetLink"/>
                  <w:rFonts w:ascii="Times New Roman;Times;Serif" w:hAnsi="Times New Roman;Times;Serif"/>
                  <w:sz w:val="20"/>
                </w:rPr>
                <w:t>3.1</w:t>
              </w:r>
            </w:hyperlink>
          </w:p>
        </w:tc>
        <w:tc>
          <w:tcPr>
            <w:tcW w:w="60" w:type="dxa"/>
            <w:tcBorders/>
            <w:shd w:fill="FFFFFF" w:val="clear"/>
            <w:vAlign w:val="center"/>
          </w:tcPr>
          <w:p>
            <w:pPr>
              <w:pStyle w:val="TableContents"/>
              <w:bidi w:val="0"/>
              <w:spacing w:before="0" w:after="283"/>
              <w:jc w:val="left"/>
              <w:rPr/>
            </w:pPr>
            <w:r>
              <w:rPr/>
              <w:t> </w:t>
            </w:r>
          </w:p>
        </w:tc>
        <w:tc>
          <w:tcPr>
            <w:tcW w:w="1368" w:type="dxa"/>
            <w:tcBorders/>
            <w:shd w:fill="FFFFFF" w:val="clear"/>
            <w:vAlign w:val="center"/>
          </w:tcPr>
          <w:p>
            <w:pPr>
              <w:pStyle w:val="TableContents"/>
              <w:bidi w:val="0"/>
              <w:spacing w:before="0" w:after="283"/>
              <w:jc w:val="center"/>
              <w:rPr/>
            </w:pPr>
            <w:hyperlink r:id="rId16">
              <w:r>
                <w:rPr>
                  <w:rStyle w:val="InternetLink"/>
                  <w:rFonts w:ascii="Times New Roman;Times;Serif" w:hAnsi="Times New Roman;Times;Serif"/>
                  <w:sz w:val="20"/>
                </w:rPr>
                <w:t>November 9, 2015</w:t>
              </w:r>
            </w:hyperlink>
          </w:p>
        </w:tc>
        <w:tc>
          <w:tcPr>
            <w:tcW w:w="76" w:type="dxa"/>
            <w:tcBorders/>
            <w:shd w:fill="FFFFFF" w:val="clear"/>
            <w:vAlign w:val="center"/>
          </w:tcPr>
          <w:p>
            <w:pPr>
              <w:pStyle w:val="TableContents"/>
              <w:bidi w:val="0"/>
              <w:spacing w:before="0" w:after="283"/>
              <w:jc w:val="left"/>
              <w:rPr/>
            </w:pPr>
            <w:r>
              <w:rPr/>
              <w:t> </w:t>
            </w:r>
          </w:p>
        </w:tc>
      </w:tr>
      <w:tr>
        <w:trPr/>
        <w:tc>
          <w:tcPr>
            <w:tcW w:w="7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58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368" w:type="dxa"/>
            <w:tcBorders/>
            <w:shd w:fill="FFFFFF" w:val="clear"/>
            <w:vAlign w:val="center"/>
          </w:tcPr>
          <w:p>
            <w:pPr>
              <w:pStyle w:val="TableContents"/>
              <w:bidi w:val="0"/>
              <w:spacing w:before="0" w:after="283"/>
              <w:jc w:val="center"/>
              <w:rPr/>
            </w:pPr>
            <w:r>
              <w:rPr/>
              <w:t> </w:t>
            </w:r>
          </w:p>
        </w:tc>
        <w:tc>
          <w:tcPr>
            <w:tcW w:w="76" w:type="dxa"/>
            <w:tcBorders/>
            <w:shd w:fill="FFFFFF" w:val="clear"/>
            <w:vAlign w:val="center"/>
          </w:tcPr>
          <w:p>
            <w:pPr>
              <w:pStyle w:val="TableContents"/>
              <w:bidi w:val="0"/>
              <w:spacing w:before="0" w:after="283"/>
              <w:jc w:val="left"/>
              <w:rPr/>
            </w:pPr>
            <w:r>
              <w:rPr/>
              <w:t> </w:t>
            </w:r>
          </w:p>
        </w:tc>
      </w:tr>
      <w:tr>
        <w:trPr/>
        <w:tc>
          <w:tcPr>
            <w:tcW w:w="725" w:type="dxa"/>
            <w:tcBorders/>
            <w:shd w:fill="FFFFFF" w:val="clear"/>
            <w:vAlign w:val="center"/>
          </w:tcPr>
          <w:p>
            <w:pPr>
              <w:pStyle w:val="TableContents"/>
              <w:bidi w:val="0"/>
              <w:spacing w:before="0" w:after="283"/>
              <w:jc w:val="left"/>
              <w:rPr/>
            </w:pPr>
            <w:hyperlink r:id="rId17">
              <w:r>
                <w:rPr>
                  <w:rStyle w:val="InternetLink"/>
                  <w:rFonts w:ascii="Times New Roman;Times;Serif" w:hAnsi="Times New Roman;Times;Serif"/>
                  <w:sz w:val="20"/>
                </w:rPr>
                <w:t>3.2</w:t>
              </w:r>
            </w:hyperlink>
          </w:p>
        </w:tc>
        <w:tc>
          <w:tcPr>
            <w:tcW w:w="60" w:type="dxa"/>
            <w:tcBorders/>
            <w:shd w:fill="FFFFFF" w:val="clear"/>
            <w:vAlign w:val="center"/>
          </w:tcPr>
          <w:p>
            <w:pPr>
              <w:pStyle w:val="TableContents"/>
              <w:bidi w:val="0"/>
              <w:spacing w:before="0" w:after="283"/>
              <w:jc w:val="left"/>
              <w:rPr/>
            </w:pPr>
            <w:r>
              <w:rPr/>
              <w:t> </w:t>
            </w:r>
          </w:p>
        </w:tc>
        <w:tc>
          <w:tcPr>
            <w:tcW w:w="5588" w:type="dxa"/>
            <w:tcBorders/>
            <w:shd w:fill="FFFFFF" w:val="clear"/>
            <w:vAlign w:val="center"/>
          </w:tcPr>
          <w:p>
            <w:pPr>
              <w:pStyle w:val="TableContents"/>
              <w:bidi w:val="0"/>
              <w:spacing w:before="0" w:after="283"/>
              <w:jc w:val="left"/>
              <w:rPr/>
            </w:pPr>
            <w:hyperlink r:id="rId18">
              <w:r>
                <w:rPr>
                  <w:rStyle w:val="InternetLink"/>
                  <w:rFonts w:ascii="Times New Roman;Times;Serif" w:hAnsi="Times New Roman;Times;Serif"/>
                  <w:sz w:val="20"/>
                </w:rPr>
                <w:t>Amended and Restated Bylaws, as amended on November 30, 2022, of the Registrant</w:t>
              </w:r>
            </w:hyperlink>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hyperlink r:id="rId19">
              <w:r>
                <w:rPr>
                  <w:rStyle w:val="InternetLink"/>
                  <w:rFonts w:ascii="Times New Roman;Times;Serif" w:hAnsi="Times New Roman;Times;Serif"/>
                  <w:sz w:val="20"/>
                </w:rPr>
                <w:t>8-K</w:t>
              </w:r>
            </w:hyperlink>
          </w:p>
        </w:tc>
        <w:tc>
          <w:tcPr>
            <w:tcW w:w="60"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center"/>
              <w:rPr/>
            </w:pPr>
            <w:hyperlink r:id="rId20">
              <w:r>
                <w:rPr>
                  <w:rStyle w:val="InternetLink"/>
                  <w:rFonts w:ascii="Times New Roman;Times;Serif" w:hAnsi="Times New Roman;Times;Serif"/>
                  <w:sz w:val="20"/>
                </w:rPr>
                <w:t>001-37359</w:t>
              </w:r>
            </w:hyperlink>
          </w:p>
        </w:tc>
        <w:tc>
          <w:tcPr>
            <w:tcW w:w="6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center"/>
              <w:rPr/>
            </w:pPr>
            <w:hyperlink r:id="rId21">
              <w:r>
                <w:rPr>
                  <w:rStyle w:val="InternetLink"/>
                  <w:rFonts w:ascii="Times New Roman;Times;Serif" w:hAnsi="Times New Roman;Times;Serif"/>
                  <w:sz w:val="20"/>
                </w:rPr>
                <w:t>3.1</w:t>
              </w:r>
            </w:hyperlink>
          </w:p>
        </w:tc>
        <w:tc>
          <w:tcPr>
            <w:tcW w:w="60" w:type="dxa"/>
            <w:tcBorders/>
            <w:shd w:fill="FFFFFF" w:val="clear"/>
            <w:vAlign w:val="center"/>
          </w:tcPr>
          <w:p>
            <w:pPr>
              <w:pStyle w:val="TableContents"/>
              <w:bidi w:val="0"/>
              <w:spacing w:before="0" w:after="283"/>
              <w:jc w:val="left"/>
              <w:rPr/>
            </w:pPr>
            <w:r>
              <w:rPr/>
              <w:t> </w:t>
            </w:r>
          </w:p>
        </w:tc>
        <w:tc>
          <w:tcPr>
            <w:tcW w:w="1368" w:type="dxa"/>
            <w:tcBorders/>
            <w:shd w:fill="FFFFFF" w:val="clear"/>
            <w:vAlign w:val="center"/>
          </w:tcPr>
          <w:p>
            <w:pPr>
              <w:pStyle w:val="TableContents"/>
              <w:bidi w:val="0"/>
              <w:spacing w:before="0" w:after="283"/>
              <w:jc w:val="center"/>
              <w:rPr/>
            </w:pPr>
            <w:hyperlink r:id="rId22">
              <w:r>
                <w:rPr>
                  <w:rStyle w:val="InternetLink"/>
                  <w:rFonts w:ascii="Times New Roman;Times;Serif" w:hAnsi="Times New Roman;Times;Serif"/>
                  <w:sz w:val="20"/>
                </w:rPr>
                <w:t>December 6, 2022</w:t>
              </w:r>
            </w:hyperlink>
          </w:p>
        </w:tc>
        <w:tc>
          <w:tcPr>
            <w:tcW w:w="76" w:type="dxa"/>
            <w:tcBorders/>
            <w:shd w:fill="FFFFFF" w:val="clear"/>
            <w:vAlign w:val="center"/>
          </w:tcPr>
          <w:p>
            <w:pPr>
              <w:pStyle w:val="TableContents"/>
              <w:bidi w:val="0"/>
              <w:spacing w:before="0" w:after="283"/>
              <w:jc w:val="left"/>
              <w:rPr/>
            </w:pPr>
            <w:r>
              <w:rPr/>
              <w:t> </w:t>
            </w:r>
          </w:p>
        </w:tc>
      </w:tr>
      <w:tr>
        <w:trPr/>
        <w:tc>
          <w:tcPr>
            <w:tcW w:w="7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58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368" w:type="dxa"/>
            <w:tcBorders/>
            <w:shd w:fill="FFFFFF" w:val="clear"/>
            <w:vAlign w:val="center"/>
          </w:tcPr>
          <w:p>
            <w:pPr>
              <w:pStyle w:val="TableContents"/>
              <w:bidi w:val="0"/>
              <w:spacing w:before="0" w:after="283"/>
              <w:jc w:val="center"/>
              <w:rPr/>
            </w:pPr>
            <w:r>
              <w:rPr/>
              <w:t> </w:t>
            </w:r>
          </w:p>
        </w:tc>
        <w:tc>
          <w:tcPr>
            <w:tcW w:w="76" w:type="dxa"/>
            <w:tcBorders/>
            <w:shd w:fill="FFFFFF" w:val="clear"/>
            <w:vAlign w:val="center"/>
          </w:tcPr>
          <w:p>
            <w:pPr>
              <w:pStyle w:val="TableContents"/>
              <w:bidi w:val="0"/>
              <w:spacing w:before="0" w:after="283"/>
              <w:jc w:val="left"/>
              <w:rPr/>
            </w:pPr>
            <w:r>
              <w:rPr/>
              <w:t> </w:t>
            </w:r>
          </w:p>
        </w:tc>
      </w:tr>
      <w:tr>
        <w:trPr/>
        <w:tc>
          <w:tcPr>
            <w:tcW w:w="725" w:type="dxa"/>
            <w:tcBorders/>
            <w:shd w:fill="FFFFFF" w:val="clear"/>
            <w:vAlign w:val="center"/>
          </w:tcPr>
          <w:p>
            <w:pPr>
              <w:pStyle w:val="TableContents"/>
              <w:bidi w:val="0"/>
              <w:spacing w:before="0" w:after="283"/>
              <w:jc w:val="left"/>
              <w:rPr/>
            </w:pPr>
            <w:hyperlink r:id="rId23">
              <w:r>
                <w:rPr>
                  <w:rStyle w:val="InternetLink"/>
                  <w:rFonts w:ascii="Times New Roman;Times;Serif" w:hAnsi="Times New Roman;Times;Serif"/>
                  <w:sz w:val="20"/>
                </w:rPr>
                <w:t>4.1</w:t>
              </w:r>
            </w:hyperlink>
          </w:p>
        </w:tc>
        <w:tc>
          <w:tcPr>
            <w:tcW w:w="60" w:type="dxa"/>
            <w:tcBorders/>
            <w:shd w:fill="FFFFFF" w:val="clear"/>
            <w:vAlign w:val="center"/>
          </w:tcPr>
          <w:p>
            <w:pPr>
              <w:pStyle w:val="TableContents"/>
              <w:bidi w:val="0"/>
              <w:spacing w:before="0" w:after="283"/>
              <w:jc w:val="left"/>
              <w:rPr/>
            </w:pPr>
            <w:r>
              <w:rPr/>
              <w:t> </w:t>
            </w:r>
          </w:p>
        </w:tc>
        <w:tc>
          <w:tcPr>
            <w:tcW w:w="5588" w:type="dxa"/>
            <w:tcBorders/>
            <w:shd w:fill="FFFFFF" w:val="clear"/>
            <w:vAlign w:val="center"/>
          </w:tcPr>
          <w:p>
            <w:pPr>
              <w:pStyle w:val="TableContents"/>
              <w:bidi w:val="0"/>
              <w:spacing w:before="0" w:after="283"/>
              <w:jc w:val="left"/>
              <w:rPr/>
            </w:pPr>
            <w:hyperlink r:id="rId24">
              <w:r>
                <w:rPr>
                  <w:rStyle w:val="InternetLink"/>
                  <w:rFonts w:ascii="Times New Roman;Times;Serif" w:hAnsi="Times New Roman;Times;Serif"/>
                  <w:sz w:val="20"/>
                </w:rPr>
                <w:t>Specimen Common Stock Certificate</w:t>
              </w:r>
            </w:hyperlink>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hyperlink r:id="rId25">
              <w:r>
                <w:rPr>
                  <w:rStyle w:val="InternetLink"/>
                  <w:rFonts w:ascii="Times New Roman;Times;Serif" w:hAnsi="Times New Roman;Times;Serif"/>
                  <w:sz w:val="20"/>
                </w:rPr>
                <w:t>S-1/A</w:t>
              </w:r>
            </w:hyperlink>
          </w:p>
        </w:tc>
        <w:tc>
          <w:tcPr>
            <w:tcW w:w="60"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center"/>
              <w:rPr/>
            </w:pPr>
            <w:hyperlink r:id="rId26">
              <w:r>
                <w:rPr>
                  <w:rStyle w:val="InternetLink"/>
                  <w:rFonts w:ascii="Times New Roman;Times;Serif" w:hAnsi="Times New Roman;Times;Serif"/>
                  <w:sz w:val="20"/>
                </w:rPr>
                <w:t>333-202938</w:t>
              </w:r>
            </w:hyperlink>
          </w:p>
        </w:tc>
        <w:tc>
          <w:tcPr>
            <w:tcW w:w="6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center"/>
              <w:rPr/>
            </w:pPr>
            <w:hyperlink r:id="rId27">
              <w:r>
                <w:rPr>
                  <w:rStyle w:val="InternetLink"/>
                  <w:rFonts w:ascii="Times New Roman;Times;Serif" w:hAnsi="Times New Roman;Times;Serif"/>
                  <w:sz w:val="20"/>
                </w:rPr>
                <w:t>4.1</w:t>
              </w:r>
            </w:hyperlink>
          </w:p>
        </w:tc>
        <w:tc>
          <w:tcPr>
            <w:tcW w:w="60" w:type="dxa"/>
            <w:tcBorders/>
            <w:shd w:fill="FFFFFF" w:val="clear"/>
            <w:vAlign w:val="center"/>
          </w:tcPr>
          <w:p>
            <w:pPr>
              <w:pStyle w:val="TableContents"/>
              <w:bidi w:val="0"/>
              <w:spacing w:before="0" w:after="283"/>
              <w:jc w:val="left"/>
              <w:rPr/>
            </w:pPr>
            <w:r>
              <w:rPr/>
              <w:t> </w:t>
            </w:r>
          </w:p>
        </w:tc>
        <w:tc>
          <w:tcPr>
            <w:tcW w:w="1368" w:type="dxa"/>
            <w:tcBorders/>
            <w:shd w:fill="FFFFFF" w:val="clear"/>
            <w:vAlign w:val="center"/>
          </w:tcPr>
          <w:p>
            <w:pPr>
              <w:pStyle w:val="TableContents"/>
              <w:bidi w:val="0"/>
              <w:spacing w:before="0" w:after="283"/>
              <w:jc w:val="center"/>
              <w:rPr/>
            </w:pPr>
            <w:hyperlink r:id="rId28">
              <w:r>
                <w:rPr>
                  <w:rStyle w:val="InternetLink"/>
                  <w:rFonts w:ascii="Times New Roman;Times;Serif" w:hAnsi="Times New Roman;Times;Serif"/>
                  <w:sz w:val="20"/>
                </w:rPr>
                <w:t>April 20, 2015</w:t>
              </w:r>
            </w:hyperlink>
          </w:p>
        </w:tc>
        <w:tc>
          <w:tcPr>
            <w:tcW w:w="76" w:type="dxa"/>
            <w:tcBorders/>
            <w:shd w:fill="FFFFFF" w:val="clear"/>
            <w:vAlign w:val="center"/>
          </w:tcPr>
          <w:p>
            <w:pPr>
              <w:pStyle w:val="TableContents"/>
              <w:bidi w:val="0"/>
              <w:spacing w:before="0" w:after="283"/>
              <w:jc w:val="left"/>
              <w:rPr/>
            </w:pPr>
            <w:r>
              <w:rPr/>
              <w:t> </w:t>
            </w:r>
          </w:p>
        </w:tc>
      </w:tr>
      <w:tr>
        <w:trPr/>
        <w:tc>
          <w:tcPr>
            <w:tcW w:w="7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58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368" w:type="dxa"/>
            <w:tcBorders/>
            <w:shd w:fill="FFFFFF" w:val="clear"/>
            <w:vAlign w:val="center"/>
          </w:tcPr>
          <w:p>
            <w:pPr>
              <w:pStyle w:val="TableContents"/>
              <w:bidi w:val="0"/>
              <w:spacing w:before="0" w:after="283"/>
              <w:jc w:val="center"/>
              <w:rPr/>
            </w:pPr>
            <w:r>
              <w:rPr/>
              <w:t> </w:t>
            </w:r>
          </w:p>
        </w:tc>
        <w:tc>
          <w:tcPr>
            <w:tcW w:w="76" w:type="dxa"/>
            <w:tcBorders/>
            <w:shd w:fill="FFFFFF" w:val="clear"/>
            <w:vAlign w:val="center"/>
          </w:tcPr>
          <w:p>
            <w:pPr>
              <w:pStyle w:val="TableContents"/>
              <w:bidi w:val="0"/>
              <w:spacing w:before="0" w:after="283"/>
              <w:jc w:val="left"/>
              <w:rPr/>
            </w:pPr>
            <w:r>
              <w:rPr/>
              <w:t> </w:t>
            </w:r>
          </w:p>
        </w:tc>
      </w:tr>
      <w:tr>
        <w:trPr/>
        <w:tc>
          <w:tcPr>
            <w:tcW w:w="725" w:type="dxa"/>
            <w:tcBorders/>
            <w:shd w:fill="FFFFFF" w:val="clear"/>
            <w:vAlign w:val="center"/>
          </w:tcPr>
          <w:p>
            <w:pPr>
              <w:pStyle w:val="TableContents"/>
              <w:bidi w:val="0"/>
              <w:spacing w:before="0" w:after="283"/>
              <w:jc w:val="left"/>
              <w:rPr/>
            </w:pPr>
            <w:hyperlink w:anchor="tm246267d1_ex5-1.htm">
              <w:r>
                <w:rPr>
                  <w:rStyle w:val="InternetLink"/>
                  <w:rFonts w:ascii="Times New Roman;Times;Serif" w:hAnsi="Times New Roman;Times;Serif"/>
                  <w:sz w:val="20"/>
                </w:rPr>
                <w:t>5.1</w:t>
              </w:r>
            </w:hyperlink>
          </w:p>
        </w:tc>
        <w:tc>
          <w:tcPr>
            <w:tcW w:w="60" w:type="dxa"/>
            <w:tcBorders/>
            <w:shd w:fill="FFFFFF" w:val="clear"/>
            <w:vAlign w:val="center"/>
          </w:tcPr>
          <w:p>
            <w:pPr>
              <w:pStyle w:val="TableContents"/>
              <w:bidi w:val="0"/>
              <w:spacing w:before="0" w:after="283"/>
              <w:jc w:val="left"/>
              <w:rPr/>
            </w:pPr>
            <w:r>
              <w:rPr/>
              <w:t> </w:t>
            </w:r>
          </w:p>
        </w:tc>
        <w:tc>
          <w:tcPr>
            <w:tcW w:w="5588" w:type="dxa"/>
            <w:tcBorders/>
            <w:shd w:fill="FFFFFF" w:val="clear"/>
            <w:vAlign w:val="center"/>
          </w:tcPr>
          <w:p>
            <w:pPr>
              <w:pStyle w:val="TableContents"/>
              <w:bidi w:val="0"/>
              <w:spacing w:before="0" w:after="283"/>
              <w:jc w:val="left"/>
              <w:rPr/>
            </w:pPr>
            <w:hyperlink w:anchor="tm246267d1_ex5-1.htm">
              <w:r>
                <w:rPr>
                  <w:rStyle w:val="InternetLink"/>
                  <w:rFonts w:ascii="Times New Roman;Times;Serif" w:hAnsi="Times New Roman;Times;Serif"/>
                  <w:sz w:val="20"/>
                </w:rPr>
                <w:t>Opinion of Goodwin Procter LLP, counsel to the Registrant</w:t>
              </w:r>
            </w:hyperlink>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8" w:type="dxa"/>
            <w:tcBorders/>
            <w:shd w:fill="FFFFFF" w:val="clear"/>
            <w:vAlign w:val="center"/>
          </w:tcPr>
          <w:p>
            <w:pPr>
              <w:pStyle w:val="TableContents"/>
              <w:bidi w:val="0"/>
              <w:spacing w:before="0" w:after="283"/>
              <w:jc w:val="center"/>
              <w:rPr/>
            </w:pPr>
            <w:hyperlink w:anchor="tm246267d1_ex5-1.htm">
              <w:r>
                <w:rPr>
                  <w:rStyle w:val="InternetLink"/>
                  <w:rFonts w:ascii="Times New Roman;Times;Serif" w:hAnsi="Times New Roman;Times;Serif"/>
                  <w:sz w:val="20"/>
                </w:rPr>
                <w:t>*</w:t>
              </w:r>
            </w:hyperlink>
          </w:p>
        </w:tc>
        <w:tc>
          <w:tcPr>
            <w:tcW w:w="76" w:type="dxa"/>
            <w:tcBorders/>
            <w:shd w:fill="FFFFFF" w:val="clear"/>
            <w:vAlign w:val="center"/>
          </w:tcPr>
          <w:p>
            <w:pPr>
              <w:pStyle w:val="TableContents"/>
              <w:bidi w:val="0"/>
              <w:spacing w:before="0" w:after="283"/>
              <w:jc w:val="left"/>
              <w:rPr/>
            </w:pPr>
            <w:r>
              <w:rPr/>
              <w:t> </w:t>
            </w:r>
          </w:p>
        </w:tc>
      </w:tr>
      <w:tr>
        <w:trPr/>
        <w:tc>
          <w:tcPr>
            <w:tcW w:w="7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58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8" w:type="dxa"/>
            <w:tcBorders/>
            <w:shd w:fill="FFFFFF" w:val="clear"/>
            <w:vAlign w:val="center"/>
          </w:tcPr>
          <w:p>
            <w:pPr>
              <w:pStyle w:val="TableContents"/>
              <w:bidi w:val="0"/>
              <w:spacing w:before="0" w:after="283"/>
              <w:jc w:val="center"/>
              <w:rPr/>
            </w:pPr>
            <w:r>
              <w:rPr/>
              <w:t> </w:t>
            </w:r>
          </w:p>
        </w:tc>
        <w:tc>
          <w:tcPr>
            <w:tcW w:w="76" w:type="dxa"/>
            <w:tcBorders/>
            <w:shd w:fill="FFFFFF" w:val="clear"/>
            <w:vAlign w:val="center"/>
          </w:tcPr>
          <w:p>
            <w:pPr>
              <w:pStyle w:val="TableContents"/>
              <w:bidi w:val="0"/>
              <w:spacing w:before="0" w:after="283"/>
              <w:jc w:val="left"/>
              <w:rPr/>
            </w:pPr>
            <w:r>
              <w:rPr/>
              <w:t> </w:t>
            </w:r>
          </w:p>
        </w:tc>
      </w:tr>
      <w:tr>
        <w:trPr/>
        <w:tc>
          <w:tcPr>
            <w:tcW w:w="725" w:type="dxa"/>
            <w:tcBorders/>
            <w:shd w:fill="FFFFFF" w:val="clear"/>
            <w:vAlign w:val="center"/>
          </w:tcPr>
          <w:p>
            <w:pPr>
              <w:pStyle w:val="TableContents"/>
              <w:bidi w:val="0"/>
              <w:spacing w:before="0" w:after="283"/>
              <w:jc w:val="left"/>
              <w:rPr/>
            </w:pPr>
            <w:hyperlink w:anchor="tm246267d1_ex23-1.htm">
              <w:r>
                <w:rPr>
                  <w:rStyle w:val="InternetLink"/>
                  <w:rFonts w:ascii="Times New Roman;Times;Serif" w:hAnsi="Times New Roman;Times;Serif"/>
                  <w:sz w:val="20"/>
                </w:rPr>
                <w:t>23.1</w:t>
              </w:r>
            </w:hyperlink>
          </w:p>
        </w:tc>
        <w:tc>
          <w:tcPr>
            <w:tcW w:w="60" w:type="dxa"/>
            <w:tcBorders/>
            <w:shd w:fill="FFFFFF" w:val="clear"/>
            <w:vAlign w:val="center"/>
          </w:tcPr>
          <w:p>
            <w:pPr>
              <w:pStyle w:val="TableContents"/>
              <w:bidi w:val="0"/>
              <w:spacing w:before="0" w:after="283"/>
              <w:jc w:val="left"/>
              <w:rPr/>
            </w:pPr>
            <w:r>
              <w:rPr/>
              <w:t> </w:t>
            </w:r>
          </w:p>
        </w:tc>
        <w:tc>
          <w:tcPr>
            <w:tcW w:w="5588" w:type="dxa"/>
            <w:tcBorders/>
            <w:shd w:fill="FFFFFF" w:val="clear"/>
            <w:vAlign w:val="center"/>
          </w:tcPr>
          <w:p>
            <w:pPr>
              <w:pStyle w:val="TableContents"/>
              <w:bidi w:val="0"/>
              <w:spacing w:before="0" w:after="283"/>
              <w:jc w:val="left"/>
              <w:rPr/>
            </w:pPr>
            <w:hyperlink w:anchor="tm246267d1_ex23-1.htm">
              <w:r>
                <w:rPr>
                  <w:rStyle w:val="InternetLink"/>
                  <w:rFonts w:ascii="Times New Roman;Times;Serif" w:hAnsi="Times New Roman;Times;Serif"/>
                  <w:sz w:val="20"/>
                </w:rPr>
                <w:t>Consent of Ernst &amp; Young LLP, an independent registered public accounting firm</w:t>
              </w:r>
            </w:hyperlink>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8" w:type="dxa"/>
            <w:tcBorders/>
            <w:shd w:fill="FFFFFF" w:val="clear"/>
            <w:vAlign w:val="center"/>
          </w:tcPr>
          <w:p>
            <w:pPr>
              <w:pStyle w:val="TableContents"/>
              <w:bidi w:val="0"/>
              <w:spacing w:before="0" w:after="283"/>
              <w:jc w:val="center"/>
              <w:rPr/>
            </w:pPr>
            <w:hyperlink w:anchor="tm246267d1_ex23-1.htm">
              <w:r>
                <w:rPr>
                  <w:rStyle w:val="InternetLink"/>
                  <w:rFonts w:ascii="Times New Roman;Times;Serif" w:hAnsi="Times New Roman;Times;Serif"/>
                  <w:sz w:val="20"/>
                </w:rPr>
                <w:t>*</w:t>
              </w:r>
            </w:hyperlink>
          </w:p>
        </w:tc>
        <w:tc>
          <w:tcPr>
            <w:tcW w:w="76" w:type="dxa"/>
            <w:tcBorders/>
            <w:shd w:fill="FFFFFF" w:val="clear"/>
            <w:vAlign w:val="center"/>
          </w:tcPr>
          <w:p>
            <w:pPr>
              <w:pStyle w:val="TableContents"/>
              <w:bidi w:val="0"/>
              <w:spacing w:before="0" w:after="283"/>
              <w:jc w:val="left"/>
              <w:rPr/>
            </w:pPr>
            <w:r>
              <w:rPr/>
              <w:t> </w:t>
            </w:r>
          </w:p>
        </w:tc>
      </w:tr>
      <w:tr>
        <w:trPr/>
        <w:tc>
          <w:tcPr>
            <w:tcW w:w="7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58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8" w:type="dxa"/>
            <w:tcBorders/>
            <w:shd w:fill="FFFFFF" w:val="clear"/>
            <w:vAlign w:val="center"/>
          </w:tcPr>
          <w:p>
            <w:pPr>
              <w:pStyle w:val="TableContents"/>
              <w:bidi w:val="0"/>
              <w:spacing w:before="0" w:after="283"/>
              <w:jc w:val="center"/>
              <w:rPr/>
            </w:pPr>
            <w:r>
              <w:rPr/>
              <w:t> </w:t>
            </w:r>
          </w:p>
        </w:tc>
        <w:tc>
          <w:tcPr>
            <w:tcW w:w="76" w:type="dxa"/>
            <w:tcBorders/>
            <w:shd w:fill="FFFFFF" w:val="clear"/>
            <w:vAlign w:val="center"/>
          </w:tcPr>
          <w:p>
            <w:pPr>
              <w:pStyle w:val="TableContents"/>
              <w:bidi w:val="0"/>
              <w:spacing w:before="0" w:after="283"/>
              <w:jc w:val="left"/>
              <w:rPr/>
            </w:pPr>
            <w:r>
              <w:rPr/>
              <w:t> </w:t>
            </w:r>
          </w:p>
        </w:tc>
      </w:tr>
      <w:tr>
        <w:trPr/>
        <w:tc>
          <w:tcPr>
            <w:tcW w:w="725" w:type="dxa"/>
            <w:tcBorders/>
            <w:shd w:fill="FFFFFF" w:val="clear"/>
            <w:vAlign w:val="center"/>
          </w:tcPr>
          <w:p>
            <w:pPr>
              <w:pStyle w:val="TableContents"/>
              <w:bidi w:val="0"/>
              <w:spacing w:before="0" w:after="283"/>
              <w:jc w:val="left"/>
              <w:rPr/>
            </w:pPr>
            <w:hyperlink w:anchor="tm246267d1_ex5-1.htm">
              <w:r>
                <w:rPr>
                  <w:rStyle w:val="InternetLink"/>
                  <w:rFonts w:ascii="Times New Roman;Times;Serif" w:hAnsi="Times New Roman;Times;Serif"/>
                  <w:sz w:val="20"/>
                </w:rPr>
                <w:t>23.2</w:t>
              </w:r>
            </w:hyperlink>
          </w:p>
        </w:tc>
        <w:tc>
          <w:tcPr>
            <w:tcW w:w="60" w:type="dxa"/>
            <w:tcBorders/>
            <w:shd w:fill="FFFFFF" w:val="clear"/>
            <w:vAlign w:val="center"/>
          </w:tcPr>
          <w:p>
            <w:pPr>
              <w:pStyle w:val="TableContents"/>
              <w:bidi w:val="0"/>
              <w:spacing w:before="0" w:after="283"/>
              <w:jc w:val="left"/>
              <w:rPr/>
            </w:pPr>
            <w:r>
              <w:rPr/>
              <w:t> </w:t>
            </w:r>
          </w:p>
        </w:tc>
        <w:tc>
          <w:tcPr>
            <w:tcW w:w="5588" w:type="dxa"/>
            <w:tcBorders/>
            <w:shd w:fill="FFFFFF" w:val="clear"/>
            <w:vAlign w:val="center"/>
          </w:tcPr>
          <w:p>
            <w:pPr>
              <w:pStyle w:val="TableContents"/>
              <w:bidi w:val="0"/>
              <w:spacing w:before="0" w:after="283"/>
              <w:jc w:val="left"/>
              <w:rPr/>
            </w:pPr>
            <w:hyperlink w:anchor="tm246267d1_ex5-1.htm">
              <w:r>
                <w:rPr>
                  <w:rStyle w:val="InternetLink"/>
                  <w:rFonts w:ascii="Times New Roman;Times;Serif" w:hAnsi="Times New Roman;Times;Serif"/>
                  <w:sz w:val="20"/>
                </w:rPr>
                <w:t>Consent of Goodwin Procter LLP (included in Exhibit 5.1)</w:t>
              </w:r>
            </w:hyperlink>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8" w:type="dxa"/>
            <w:tcBorders/>
            <w:shd w:fill="FFFFFF" w:val="clear"/>
            <w:vAlign w:val="center"/>
          </w:tcPr>
          <w:p>
            <w:pPr>
              <w:pStyle w:val="TableContents"/>
              <w:bidi w:val="0"/>
              <w:spacing w:before="0" w:after="283"/>
              <w:jc w:val="center"/>
              <w:rPr/>
            </w:pPr>
            <w:hyperlink w:anchor="tm246267d1_ex5-1.htm">
              <w:r>
                <w:rPr>
                  <w:rStyle w:val="InternetLink"/>
                  <w:rFonts w:ascii="Times New Roman;Times;Serif" w:hAnsi="Times New Roman;Times;Serif"/>
                  <w:sz w:val="20"/>
                </w:rPr>
                <w:t>*</w:t>
              </w:r>
            </w:hyperlink>
          </w:p>
        </w:tc>
        <w:tc>
          <w:tcPr>
            <w:tcW w:w="76" w:type="dxa"/>
            <w:tcBorders/>
            <w:shd w:fill="FFFFFF" w:val="clear"/>
            <w:vAlign w:val="center"/>
          </w:tcPr>
          <w:p>
            <w:pPr>
              <w:pStyle w:val="TableContents"/>
              <w:bidi w:val="0"/>
              <w:spacing w:before="0" w:after="283"/>
              <w:jc w:val="left"/>
              <w:rPr/>
            </w:pPr>
            <w:r>
              <w:rPr/>
              <w:t> </w:t>
            </w:r>
          </w:p>
        </w:tc>
      </w:tr>
      <w:tr>
        <w:trPr/>
        <w:tc>
          <w:tcPr>
            <w:tcW w:w="7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58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8" w:type="dxa"/>
            <w:tcBorders/>
            <w:shd w:fill="FFFFFF" w:val="clear"/>
            <w:vAlign w:val="center"/>
          </w:tcPr>
          <w:p>
            <w:pPr>
              <w:pStyle w:val="TableContents"/>
              <w:bidi w:val="0"/>
              <w:spacing w:before="0" w:after="283"/>
              <w:jc w:val="center"/>
              <w:rPr/>
            </w:pPr>
            <w:r>
              <w:rPr/>
              <w:t> </w:t>
            </w:r>
          </w:p>
        </w:tc>
        <w:tc>
          <w:tcPr>
            <w:tcW w:w="76" w:type="dxa"/>
            <w:tcBorders/>
            <w:shd w:fill="FFFFFF" w:val="clear"/>
            <w:vAlign w:val="center"/>
          </w:tcPr>
          <w:p>
            <w:pPr>
              <w:pStyle w:val="TableContents"/>
              <w:bidi w:val="0"/>
              <w:spacing w:before="0" w:after="283"/>
              <w:jc w:val="left"/>
              <w:rPr/>
            </w:pPr>
            <w:r>
              <w:rPr/>
              <w:t> </w:t>
            </w:r>
          </w:p>
        </w:tc>
      </w:tr>
      <w:tr>
        <w:trPr/>
        <w:tc>
          <w:tcPr>
            <w:tcW w:w="725" w:type="dxa"/>
            <w:tcBorders/>
            <w:shd w:fill="FFFFFF" w:val="clear"/>
            <w:vAlign w:val="center"/>
          </w:tcPr>
          <w:p>
            <w:pPr>
              <w:pStyle w:val="TableContents"/>
              <w:bidi w:val="0"/>
              <w:spacing w:before="0" w:after="283"/>
              <w:jc w:val="left"/>
              <w:rPr/>
            </w:pPr>
            <w:hyperlink w:anchor="a_001">
              <w:r>
                <w:rPr>
                  <w:rStyle w:val="InternetLink"/>
                  <w:rFonts w:ascii="Times New Roman;Times;Serif" w:hAnsi="Times New Roman;Times;Serif"/>
                  <w:sz w:val="20"/>
                </w:rPr>
                <w:t>24.1</w:t>
              </w:r>
            </w:hyperlink>
          </w:p>
        </w:tc>
        <w:tc>
          <w:tcPr>
            <w:tcW w:w="60" w:type="dxa"/>
            <w:tcBorders/>
            <w:shd w:fill="FFFFFF" w:val="clear"/>
            <w:vAlign w:val="center"/>
          </w:tcPr>
          <w:p>
            <w:pPr>
              <w:pStyle w:val="TableContents"/>
              <w:bidi w:val="0"/>
              <w:spacing w:before="0" w:after="283"/>
              <w:jc w:val="left"/>
              <w:rPr/>
            </w:pPr>
            <w:r>
              <w:rPr/>
              <w:t> </w:t>
            </w:r>
          </w:p>
        </w:tc>
        <w:tc>
          <w:tcPr>
            <w:tcW w:w="5588" w:type="dxa"/>
            <w:tcBorders/>
            <w:shd w:fill="FFFFFF" w:val="clear"/>
            <w:vAlign w:val="center"/>
          </w:tcPr>
          <w:p>
            <w:pPr>
              <w:pStyle w:val="TableContents"/>
              <w:bidi w:val="0"/>
              <w:spacing w:before="0" w:after="283"/>
              <w:jc w:val="left"/>
              <w:rPr/>
            </w:pPr>
            <w:hyperlink w:anchor="a_001">
              <w:r>
                <w:rPr>
                  <w:rStyle w:val="InternetLink"/>
                  <w:rFonts w:ascii="Times New Roman;Times;Serif" w:hAnsi="Times New Roman;Times;Serif"/>
                  <w:sz w:val="20"/>
                </w:rPr>
                <w:t>Power of attorney (included on the signature pages of this registration statement)</w:t>
              </w:r>
            </w:hyperlink>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8" w:type="dxa"/>
            <w:tcBorders/>
            <w:shd w:fill="FFFFFF" w:val="clear"/>
            <w:vAlign w:val="center"/>
          </w:tcPr>
          <w:p>
            <w:pPr>
              <w:pStyle w:val="TableContents"/>
              <w:bidi w:val="0"/>
              <w:spacing w:before="0" w:after="283"/>
              <w:jc w:val="center"/>
              <w:rPr/>
            </w:pPr>
            <w:hyperlink w:anchor="a_001">
              <w:r>
                <w:rPr>
                  <w:rStyle w:val="InternetLink"/>
                  <w:rFonts w:ascii="Times New Roman;Times;Serif" w:hAnsi="Times New Roman;Times;Serif"/>
                  <w:sz w:val="20"/>
                </w:rPr>
                <w:t>*</w:t>
              </w:r>
            </w:hyperlink>
          </w:p>
        </w:tc>
        <w:tc>
          <w:tcPr>
            <w:tcW w:w="76" w:type="dxa"/>
            <w:tcBorders/>
            <w:shd w:fill="FFFFFF" w:val="clear"/>
            <w:vAlign w:val="center"/>
          </w:tcPr>
          <w:p>
            <w:pPr>
              <w:pStyle w:val="TableContents"/>
              <w:bidi w:val="0"/>
              <w:spacing w:before="0" w:after="283"/>
              <w:jc w:val="left"/>
              <w:rPr/>
            </w:pPr>
            <w:r>
              <w:rPr/>
              <w:t> </w:t>
            </w:r>
          </w:p>
        </w:tc>
      </w:tr>
      <w:tr>
        <w:trPr/>
        <w:tc>
          <w:tcPr>
            <w:tcW w:w="7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58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8" w:type="dxa"/>
            <w:tcBorders/>
            <w:shd w:fill="FFFFFF" w:val="clear"/>
            <w:vAlign w:val="center"/>
          </w:tcPr>
          <w:p>
            <w:pPr>
              <w:pStyle w:val="TableContents"/>
              <w:bidi w:val="0"/>
              <w:spacing w:before="0" w:after="283"/>
              <w:jc w:val="center"/>
              <w:rPr/>
            </w:pPr>
            <w:r>
              <w:rPr/>
              <w:t> </w:t>
            </w:r>
          </w:p>
        </w:tc>
        <w:tc>
          <w:tcPr>
            <w:tcW w:w="76" w:type="dxa"/>
            <w:tcBorders/>
            <w:shd w:fill="FFFFFF" w:val="clear"/>
            <w:vAlign w:val="center"/>
          </w:tcPr>
          <w:p>
            <w:pPr>
              <w:pStyle w:val="TableContents"/>
              <w:bidi w:val="0"/>
              <w:spacing w:before="0" w:after="283"/>
              <w:jc w:val="left"/>
              <w:rPr/>
            </w:pPr>
            <w:r>
              <w:rPr/>
              <w:t> </w:t>
            </w:r>
          </w:p>
        </w:tc>
      </w:tr>
      <w:tr>
        <w:trPr/>
        <w:tc>
          <w:tcPr>
            <w:tcW w:w="725" w:type="dxa"/>
            <w:tcBorders/>
            <w:shd w:fill="FFFFFF" w:val="clear"/>
            <w:vAlign w:val="center"/>
          </w:tcPr>
          <w:p>
            <w:pPr>
              <w:pStyle w:val="TableContents"/>
              <w:bidi w:val="0"/>
              <w:spacing w:before="0" w:after="283"/>
              <w:jc w:val="left"/>
              <w:rPr/>
            </w:pPr>
            <w:hyperlink r:id="rId29">
              <w:r>
                <w:rPr>
                  <w:rStyle w:val="InternetLink"/>
                  <w:rFonts w:ascii="Times New Roman;Times;Serif" w:hAnsi="Times New Roman;Times;Serif"/>
                  <w:sz w:val="20"/>
                </w:rPr>
                <w:t>99.1</w:t>
              </w:r>
            </w:hyperlink>
          </w:p>
        </w:tc>
        <w:tc>
          <w:tcPr>
            <w:tcW w:w="60" w:type="dxa"/>
            <w:tcBorders/>
            <w:shd w:fill="FFFFFF" w:val="clear"/>
            <w:vAlign w:val="center"/>
          </w:tcPr>
          <w:p>
            <w:pPr>
              <w:pStyle w:val="TableContents"/>
              <w:bidi w:val="0"/>
              <w:spacing w:before="0" w:after="283"/>
              <w:jc w:val="left"/>
              <w:rPr/>
            </w:pPr>
            <w:r>
              <w:rPr/>
              <w:t> </w:t>
            </w:r>
          </w:p>
        </w:tc>
        <w:tc>
          <w:tcPr>
            <w:tcW w:w="5588" w:type="dxa"/>
            <w:tcBorders/>
            <w:shd w:fill="FFFFFF" w:val="clear"/>
            <w:vAlign w:val="center"/>
          </w:tcPr>
          <w:p>
            <w:pPr>
              <w:pStyle w:val="TableContents"/>
              <w:bidi w:val="0"/>
              <w:spacing w:before="0" w:after="283"/>
              <w:jc w:val="left"/>
              <w:rPr/>
            </w:pPr>
            <w:hyperlink r:id="rId30">
              <w:r>
                <w:rPr>
                  <w:rStyle w:val="InternetLink"/>
                  <w:rFonts w:ascii="Times New Roman;Times;Serif" w:hAnsi="Times New Roman;Times;Serif"/>
                  <w:sz w:val="20"/>
                </w:rPr>
                <w:t>2015 Stock Option and Incentive Plan and forms of award agreements thereunder</w:t>
              </w:r>
            </w:hyperlink>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hyperlink r:id="rId31">
              <w:r>
                <w:rPr>
                  <w:rStyle w:val="InternetLink"/>
                  <w:rFonts w:ascii="Times New Roman;Times;Serif" w:hAnsi="Times New Roman;Times;Serif"/>
                  <w:sz w:val="20"/>
                </w:rPr>
                <w:t>10-K</w:t>
              </w:r>
            </w:hyperlink>
          </w:p>
        </w:tc>
        <w:tc>
          <w:tcPr>
            <w:tcW w:w="60"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center"/>
              <w:rPr/>
            </w:pPr>
            <w:hyperlink r:id="rId32">
              <w:r>
                <w:rPr>
                  <w:rStyle w:val="InternetLink"/>
                  <w:rFonts w:ascii="Times New Roman;Times;Serif" w:hAnsi="Times New Roman;Times;Serif"/>
                  <w:sz w:val="20"/>
                </w:rPr>
                <w:t>001-37359</w:t>
              </w:r>
            </w:hyperlink>
          </w:p>
        </w:tc>
        <w:tc>
          <w:tcPr>
            <w:tcW w:w="6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center"/>
              <w:rPr/>
            </w:pPr>
            <w:hyperlink r:id="rId33">
              <w:r>
                <w:rPr>
                  <w:rStyle w:val="InternetLink"/>
                  <w:rFonts w:ascii="Times New Roman;Times;Serif" w:hAnsi="Times New Roman;Times;Serif"/>
                  <w:sz w:val="20"/>
                </w:rPr>
                <w:t>10.2</w:t>
              </w:r>
            </w:hyperlink>
          </w:p>
        </w:tc>
        <w:tc>
          <w:tcPr>
            <w:tcW w:w="60" w:type="dxa"/>
            <w:tcBorders/>
            <w:shd w:fill="FFFFFF" w:val="clear"/>
            <w:vAlign w:val="center"/>
          </w:tcPr>
          <w:p>
            <w:pPr>
              <w:pStyle w:val="TableContents"/>
              <w:bidi w:val="0"/>
              <w:spacing w:before="0" w:after="283"/>
              <w:jc w:val="left"/>
              <w:rPr/>
            </w:pPr>
            <w:r>
              <w:rPr/>
              <w:t> </w:t>
            </w:r>
          </w:p>
        </w:tc>
        <w:tc>
          <w:tcPr>
            <w:tcW w:w="1368" w:type="dxa"/>
            <w:tcBorders/>
            <w:shd w:fill="FFFFFF" w:val="clear"/>
            <w:vAlign w:val="center"/>
          </w:tcPr>
          <w:p>
            <w:pPr>
              <w:pStyle w:val="TableContents"/>
              <w:bidi w:val="0"/>
              <w:spacing w:before="0" w:after="283"/>
              <w:jc w:val="center"/>
              <w:rPr/>
            </w:pPr>
            <w:hyperlink r:id="rId34">
              <w:r>
                <w:rPr>
                  <w:rStyle w:val="InternetLink"/>
                  <w:rFonts w:ascii="Times New Roman;Times;Serif" w:hAnsi="Times New Roman;Times;Serif"/>
                  <w:sz w:val="20"/>
                </w:rPr>
                <w:t>February 13, 2020</w:t>
              </w:r>
            </w:hyperlink>
          </w:p>
        </w:tc>
        <w:tc>
          <w:tcPr>
            <w:tcW w:w="76" w:type="dxa"/>
            <w:tcBorders/>
            <w:shd w:fill="FFFFFF" w:val="clear"/>
            <w:vAlign w:val="center"/>
          </w:tcPr>
          <w:p>
            <w:pPr>
              <w:pStyle w:val="TableContents"/>
              <w:bidi w:val="0"/>
              <w:spacing w:before="0" w:after="283"/>
              <w:jc w:val="left"/>
              <w:rPr/>
            </w:pPr>
            <w:r>
              <w:rPr/>
              <w:t> </w:t>
            </w:r>
          </w:p>
        </w:tc>
      </w:tr>
      <w:tr>
        <w:trPr/>
        <w:tc>
          <w:tcPr>
            <w:tcW w:w="7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58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368" w:type="dxa"/>
            <w:tcBorders/>
            <w:shd w:fill="FFFFFF" w:val="clear"/>
            <w:vAlign w:val="center"/>
          </w:tcPr>
          <w:p>
            <w:pPr>
              <w:pStyle w:val="TableContents"/>
              <w:bidi w:val="0"/>
              <w:spacing w:before="0" w:after="283"/>
              <w:jc w:val="center"/>
              <w:rPr/>
            </w:pPr>
            <w:r>
              <w:rPr/>
              <w:t> </w:t>
            </w:r>
          </w:p>
        </w:tc>
        <w:tc>
          <w:tcPr>
            <w:tcW w:w="76" w:type="dxa"/>
            <w:tcBorders/>
            <w:shd w:fill="FFFFFF" w:val="clear"/>
            <w:vAlign w:val="center"/>
          </w:tcPr>
          <w:p>
            <w:pPr>
              <w:pStyle w:val="TableContents"/>
              <w:bidi w:val="0"/>
              <w:spacing w:before="0" w:after="283"/>
              <w:jc w:val="left"/>
              <w:rPr/>
            </w:pPr>
            <w:r>
              <w:rPr/>
              <w:t> </w:t>
            </w:r>
          </w:p>
        </w:tc>
      </w:tr>
      <w:tr>
        <w:trPr/>
        <w:tc>
          <w:tcPr>
            <w:tcW w:w="725" w:type="dxa"/>
            <w:tcBorders/>
            <w:shd w:fill="FFFFFF" w:val="clear"/>
            <w:vAlign w:val="center"/>
          </w:tcPr>
          <w:p>
            <w:pPr>
              <w:pStyle w:val="TableContents"/>
              <w:bidi w:val="0"/>
              <w:spacing w:before="0" w:after="283"/>
              <w:jc w:val="left"/>
              <w:rPr/>
            </w:pPr>
            <w:hyperlink r:id="rId35">
              <w:r>
                <w:rPr>
                  <w:rStyle w:val="InternetLink"/>
                  <w:rFonts w:ascii="Times New Roman;Times;Serif" w:hAnsi="Times New Roman;Times;Serif"/>
                  <w:sz w:val="20"/>
                </w:rPr>
                <w:t>99.2</w:t>
              </w:r>
            </w:hyperlink>
          </w:p>
        </w:tc>
        <w:tc>
          <w:tcPr>
            <w:tcW w:w="60" w:type="dxa"/>
            <w:tcBorders/>
            <w:shd w:fill="FFFFFF" w:val="clear"/>
            <w:vAlign w:val="center"/>
          </w:tcPr>
          <w:p>
            <w:pPr>
              <w:pStyle w:val="TableContents"/>
              <w:bidi w:val="0"/>
              <w:spacing w:before="0" w:after="283"/>
              <w:jc w:val="left"/>
              <w:rPr/>
            </w:pPr>
            <w:r>
              <w:rPr/>
              <w:t> </w:t>
            </w:r>
          </w:p>
        </w:tc>
        <w:tc>
          <w:tcPr>
            <w:tcW w:w="5588" w:type="dxa"/>
            <w:tcBorders/>
            <w:shd w:fill="FFFFFF" w:val="clear"/>
            <w:vAlign w:val="center"/>
          </w:tcPr>
          <w:p>
            <w:pPr>
              <w:pStyle w:val="TableContents"/>
              <w:bidi w:val="0"/>
              <w:spacing w:before="0" w:after="283"/>
              <w:jc w:val="left"/>
              <w:rPr/>
            </w:pPr>
            <w:hyperlink r:id="rId36">
              <w:r>
                <w:rPr>
                  <w:rStyle w:val="InternetLink"/>
                  <w:rFonts w:ascii="Times New Roman;Times;Serif" w:hAnsi="Times New Roman;Times;Serif"/>
                  <w:sz w:val="20"/>
                </w:rPr>
                <w:t>2015 Employee Stock Purchase Plan</w:t>
              </w:r>
            </w:hyperlink>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hyperlink r:id="rId37">
              <w:r>
                <w:rPr>
                  <w:rStyle w:val="InternetLink"/>
                  <w:rFonts w:ascii="Times New Roman;Times;Serif" w:hAnsi="Times New Roman;Times;Serif"/>
                  <w:sz w:val="20"/>
                </w:rPr>
                <w:t>10-K</w:t>
              </w:r>
            </w:hyperlink>
          </w:p>
        </w:tc>
        <w:tc>
          <w:tcPr>
            <w:tcW w:w="60"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center"/>
              <w:rPr/>
            </w:pPr>
            <w:hyperlink r:id="rId38">
              <w:r>
                <w:rPr>
                  <w:rStyle w:val="InternetLink"/>
                  <w:rFonts w:ascii="Times New Roman;Times;Serif" w:hAnsi="Times New Roman;Times;Serif"/>
                  <w:sz w:val="20"/>
                </w:rPr>
                <w:t>001-37359</w:t>
              </w:r>
            </w:hyperlink>
          </w:p>
        </w:tc>
        <w:tc>
          <w:tcPr>
            <w:tcW w:w="6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center"/>
              <w:rPr/>
            </w:pPr>
            <w:hyperlink r:id="rId39">
              <w:r>
                <w:rPr>
                  <w:rStyle w:val="InternetLink"/>
                  <w:rFonts w:ascii="Times New Roman;Times;Serif" w:hAnsi="Times New Roman;Times;Serif"/>
                  <w:sz w:val="20"/>
                </w:rPr>
                <w:t>10.3</w:t>
              </w:r>
            </w:hyperlink>
          </w:p>
        </w:tc>
        <w:tc>
          <w:tcPr>
            <w:tcW w:w="60" w:type="dxa"/>
            <w:tcBorders/>
            <w:shd w:fill="FFFFFF" w:val="clear"/>
            <w:vAlign w:val="center"/>
          </w:tcPr>
          <w:p>
            <w:pPr>
              <w:pStyle w:val="TableContents"/>
              <w:bidi w:val="0"/>
              <w:spacing w:before="0" w:after="283"/>
              <w:jc w:val="left"/>
              <w:rPr/>
            </w:pPr>
            <w:r>
              <w:rPr/>
              <w:t> </w:t>
            </w:r>
          </w:p>
        </w:tc>
        <w:tc>
          <w:tcPr>
            <w:tcW w:w="1368" w:type="dxa"/>
            <w:tcBorders/>
            <w:shd w:fill="FFFFFF" w:val="clear"/>
            <w:vAlign w:val="center"/>
          </w:tcPr>
          <w:p>
            <w:pPr>
              <w:pStyle w:val="TableContents"/>
              <w:bidi w:val="0"/>
              <w:spacing w:before="0" w:after="283"/>
              <w:jc w:val="center"/>
              <w:rPr/>
            </w:pPr>
            <w:hyperlink r:id="rId40">
              <w:r>
                <w:rPr>
                  <w:rStyle w:val="InternetLink"/>
                  <w:rFonts w:ascii="Times New Roman;Times;Serif" w:hAnsi="Times New Roman;Times;Serif"/>
                  <w:sz w:val="20"/>
                </w:rPr>
                <w:t>February 13, 2020</w:t>
              </w:r>
            </w:hyperlink>
          </w:p>
        </w:tc>
        <w:tc>
          <w:tcPr>
            <w:tcW w:w="76" w:type="dxa"/>
            <w:tcBorders/>
            <w:shd w:fill="FFFFFF" w:val="clear"/>
            <w:vAlign w:val="center"/>
          </w:tcPr>
          <w:p>
            <w:pPr>
              <w:pStyle w:val="TableContents"/>
              <w:bidi w:val="0"/>
              <w:spacing w:before="0" w:after="283"/>
              <w:jc w:val="left"/>
              <w:rPr/>
            </w:pPr>
            <w:r>
              <w:rPr/>
              <w:t> </w:t>
            </w:r>
          </w:p>
        </w:tc>
      </w:tr>
      <w:tr>
        <w:trPr/>
        <w:tc>
          <w:tcPr>
            <w:tcW w:w="7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58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368" w:type="dxa"/>
            <w:tcBorders/>
            <w:shd w:fill="FFFFFF" w:val="clear"/>
            <w:vAlign w:val="center"/>
          </w:tcPr>
          <w:p>
            <w:pPr>
              <w:pStyle w:val="TableContents"/>
              <w:bidi w:val="0"/>
              <w:spacing w:before="0" w:after="283"/>
              <w:jc w:val="center"/>
              <w:rPr/>
            </w:pPr>
            <w:r>
              <w:rPr/>
              <w:t> </w:t>
            </w:r>
          </w:p>
        </w:tc>
        <w:tc>
          <w:tcPr>
            <w:tcW w:w="76" w:type="dxa"/>
            <w:tcBorders/>
            <w:shd w:fill="FFFFFF" w:val="clear"/>
            <w:vAlign w:val="center"/>
          </w:tcPr>
          <w:p>
            <w:pPr>
              <w:pStyle w:val="TableContents"/>
              <w:bidi w:val="0"/>
              <w:spacing w:before="0" w:after="283"/>
              <w:jc w:val="left"/>
              <w:rPr/>
            </w:pPr>
            <w:r>
              <w:rPr/>
              <w:t> </w:t>
            </w:r>
          </w:p>
        </w:tc>
      </w:tr>
      <w:tr>
        <w:trPr/>
        <w:tc>
          <w:tcPr>
            <w:tcW w:w="725" w:type="dxa"/>
            <w:tcBorders/>
            <w:shd w:fill="FFFFFF" w:val="clear"/>
            <w:vAlign w:val="center"/>
          </w:tcPr>
          <w:p>
            <w:pPr>
              <w:pStyle w:val="TableContents"/>
              <w:bidi w:val="0"/>
              <w:spacing w:before="0" w:after="283"/>
              <w:jc w:val="left"/>
              <w:rPr/>
            </w:pPr>
            <w:hyperlink w:anchor="tm246267d1_ex-filingfees.htm">
              <w:r>
                <w:rPr>
                  <w:rStyle w:val="InternetLink"/>
                  <w:rFonts w:ascii="Times New Roman;Times;Serif" w:hAnsi="Times New Roman;Times;Serif"/>
                  <w:sz w:val="20"/>
                </w:rPr>
                <w:t>107</w:t>
              </w:r>
            </w:hyperlink>
          </w:p>
        </w:tc>
        <w:tc>
          <w:tcPr>
            <w:tcW w:w="60" w:type="dxa"/>
            <w:tcBorders/>
            <w:shd w:fill="FFFFFF" w:val="clear"/>
            <w:vAlign w:val="center"/>
          </w:tcPr>
          <w:p>
            <w:pPr>
              <w:pStyle w:val="TableContents"/>
              <w:bidi w:val="0"/>
              <w:spacing w:before="0" w:after="283"/>
              <w:jc w:val="left"/>
              <w:rPr/>
            </w:pPr>
            <w:r>
              <w:rPr/>
              <w:t> </w:t>
            </w:r>
          </w:p>
        </w:tc>
        <w:tc>
          <w:tcPr>
            <w:tcW w:w="5588" w:type="dxa"/>
            <w:tcBorders/>
            <w:shd w:fill="FFFFFF" w:val="clear"/>
            <w:vAlign w:val="center"/>
          </w:tcPr>
          <w:p>
            <w:pPr>
              <w:pStyle w:val="TableContents"/>
              <w:bidi w:val="0"/>
              <w:spacing w:before="0" w:after="283"/>
              <w:jc w:val="left"/>
              <w:rPr/>
            </w:pPr>
            <w:hyperlink w:anchor="tm246267d1_ex-filingfees.htm">
              <w:r>
                <w:rPr>
                  <w:rStyle w:val="InternetLink"/>
                  <w:rFonts w:ascii="Times New Roman;Times;Serif" w:hAnsi="Times New Roman;Times;Serif"/>
                  <w:sz w:val="20"/>
                </w:rPr>
                <w:t>Filing Fee Exhibit</w:t>
              </w:r>
            </w:hyperlink>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93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71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368" w:type="dxa"/>
            <w:tcBorders/>
            <w:shd w:fill="FFFFFF" w:val="clear"/>
            <w:vAlign w:val="center"/>
          </w:tcPr>
          <w:p>
            <w:pPr>
              <w:pStyle w:val="TableContents"/>
              <w:bidi w:val="0"/>
              <w:spacing w:before="0" w:after="283"/>
              <w:jc w:val="center"/>
              <w:rPr/>
            </w:pPr>
            <w:hyperlink w:anchor="tm246267d1_ex-filingfees.htm">
              <w:r>
                <w:rPr>
                  <w:rStyle w:val="InternetLink"/>
                  <w:rFonts w:ascii="Times New Roman;Times;Serif" w:hAnsi="Times New Roman;Times;Serif"/>
                  <w:sz w:val="20"/>
                </w:rPr>
                <w:t>*</w:t>
              </w:r>
            </w:hyperlink>
          </w:p>
        </w:tc>
        <w:tc>
          <w:tcPr>
            <w:tcW w:w="76" w:type="dxa"/>
            <w:tcBorders/>
            <w:shd w:fill="FFFFFF" w:val="clear"/>
            <w:vAlign w:val="center"/>
          </w:tcPr>
          <w:p>
            <w:pPr>
              <w:pStyle w:val="TableContents"/>
              <w:bidi w:val="0"/>
              <w:spacing w:before="0" w:after="283"/>
              <w:jc w:val="left"/>
              <w:rPr/>
            </w:pPr>
            <w:r>
              <w:rPr/>
              <w:t> </w:t>
            </w:r>
          </w:p>
        </w:tc>
      </w:tr>
    </w:tbl>
    <w:p>
      <w:pPr>
        <w:pStyle w:val="TextBody"/>
        <w:shd w:fill="FFFFFF" w:val="clear"/>
        <w:bidi w:val="0"/>
        <w:spacing w:before="0" w:after="0"/>
        <w:ind w:left="0" w:right="0" w:firstLine="720"/>
        <w:jc w:val="left"/>
        <w:rPr>
          <w:caps w:val="false"/>
          <w:smallCaps w:val="false"/>
        </w:rPr>
      </w:pPr>
      <w:r>
        <w:rPr>
          <w:caps w:val="false"/>
          <w:smallCaps w:val="false"/>
        </w:rPr>
        <w:t> </w:t>
      </w:r>
    </w:p>
    <w:p>
      <w:pPr>
        <w:pStyle w:val="TextBody"/>
        <w:bidi w:val="0"/>
        <w:spacing w:before="60" w:after="60"/>
        <w:jc w:val="left"/>
        <w:rPr>
          <w:bdr w:val="single" w:sz="8" w:space="1" w:color="000000"/>
        </w:rPr>
      </w:pPr>
      <w:r>
        <w:rPr>
          <w:bdr w:val="single" w:sz="8" w:space="1" w:color="000000"/>
        </w:rPr>
        <w:t> </w:t>
      </w:r>
    </w:p>
    <w:p>
      <w:pPr>
        <w:pStyle w:val="TextBody"/>
        <w:shd w:fill="FFFFFF" w:val="clear"/>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Filed herewith.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Cambridge, Commonwealth of Massachusetts, on this 16th day of February, 2024.</w:t>
      </w:r>
    </w:p>
    <w:p>
      <w:pPr>
        <w:pStyle w:val="TextBody"/>
        <w:shd w:fill="FFFFFF" w:val="clear"/>
        <w:bidi w:val="0"/>
        <w:spacing w:before="0" w:after="0"/>
        <w:ind w:left="0" w:right="0" w:firstLine="720"/>
        <w:jc w:val="left"/>
        <w:rPr>
          <w:caps w:val="false"/>
          <w:smallCaps w:val="false"/>
        </w:rPr>
      </w:pPr>
      <w:r>
        <w:rPr>
          <w:caps w:val="false"/>
          <w:smallCaps w:val="false"/>
        </w:rPr>
        <w:t> </w:t>
      </w:r>
    </w:p>
    <w:tbl>
      <w:tblPr>
        <w:tblW w:w="5980" w:type="dxa"/>
        <w:jc w:val="left"/>
        <w:tblInd w:w="0" w:type="dxa"/>
        <w:shd w:fill="FFFFFF" w:val="clear"/>
        <w:tblLayout w:type="fixed"/>
        <w:tblCellMar>
          <w:top w:w="0" w:type="dxa"/>
          <w:left w:w="0" w:type="dxa"/>
          <w:bottom w:w="0" w:type="dxa"/>
          <w:right w:w="0" w:type="dxa"/>
        </w:tblCellMar>
      </w:tblPr>
      <w:tblGrid>
        <w:gridCol w:w="75"/>
        <w:gridCol w:w="320"/>
        <w:gridCol w:w="5585"/>
      </w:tblGrid>
      <w:tr>
        <w:trPr/>
        <w:tc>
          <w:tcPr>
            <w:tcW w:w="75" w:type="dxa"/>
            <w:tcBorders/>
            <w:shd w:fill="FFFFFF" w:val="clear"/>
            <w:vAlign w:val="center"/>
          </w:tcPr>
          <w:p>
            <w:pPr>
              <w:pStyle w:val="TableContents"/>
              <w:bidi w:val="0"/>
              <w:spacing w:before="0" w:after="283"/>
              <w:jc w:val="left"/>
              <w:rPr/>
            </w:pPr>
            <w:r>
              <w:rPr/>
              <w:t> </w:t>
            </w:r>
          </w:p>
        </w:tc>
        <w:tc>
          <w:tcPr>
            <w:tcW w:w="5905" w:type="dxa"/>
            <w:gridSpan w:val="2"/>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BLUEPRINT MEDICINES CORPORATION</w:t>
            </w:r>
          </w:p>
        </w:tc>
      </w:tr>
      <w:tr>
        <w:trPr/>
        <w:tc>
          <w:tcPr>
            <w:tcW w:w="75" w:type="dxa"/>
            <w:tcBorders/>
            <w:shd w:fill="FFFFFF" w:val="clear"/>
            <w:vAlign w:val="center"/>
          </w:tcPr>
          <w:p>
            <w:pPr>
              <w:pStyle w:val="TableContents"/>
              <w:bidi w:val="0"/>
              <w:spacing w:before="0" w:after="283"/>
              <w:jc w:val="left"/>
              <w:rPr/>
            </w:pPr>
            <w:r>
              <w:rPr/>
              <w:t> </w:t>
            </w:r>
          </w:p>
        </w:tc>
        <w:tc>
          <w:tcPr>
            <w:tcW w:w="5905" w:type="dxa"/>
            <w:gridSpan w:val="2"/>
            <w:tcBorders/>
            <w:shd w:fill="FFFF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58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Kathryn Haviland&amp;NegativeThickSpace; &amp;NegativeThickSpace;</w:t>
            </w:r>
          </w:p>
        </w:tc>
      </w:tr>
      <w:tr>
        <w:trPr/>
        <w:tc>
          <w:tcPr>
            <w:tcW w:w="75"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55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Kathryn Haviland</w:t>
            </w:r>
          </w:p>
        </w:tc>
      </w:tr>
      <w:tr>
        <w:trPr/>
        <w:tc>
          <w:tcPr>
            <w:tcW w:w="75"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55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President and Chief Executive Officer</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POWER OF ATTORNEY AND SIGNATURES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the undersigned officers and directors of Blueprint Medicines Corporation, hereby severally constitute and appoint Kathryn Haviland and Michael Landsittel, and each of them singly, our true and lawful attorneys with full power to any of them, and to each of them singly, to sign for us and in our names in the capacities indicated below the Registration Statement on Form S-8 filed herewith and any and all amendments to said Registration Statement, and generally to do all such things in our name and on our behalf in our capacities as officers and directors to enable Blueprint Medicines Corporation to comply with the provisions of the Securities Act of 1933, as amended, and all requirements of the Securities and Exchange Commission, hereby ratifying and confirming our signatures as they may be signed by our said attorneys, or any of them, to said registration statement and any and all amendments thereto.</w:t>
      </w:r>
    </w:p>
    <w:p>
      <w:pPr>
        <w:pStyle w:val="TextBody"/>
        <w:shd w:fill="FFFFFF" w:val="clear"/>
        <w:bidi w:val="0"/>
        <w:spacing w:before="0" w:after="0"/>
        <w:ind w:left="0" w:right="0" w:firstLine="72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this registration statement has been signed by the following persons in the capacities and on the dates indicated.</w:t>
      </w:r>
    </w:p>
    <w:tbl>
      <w:tblPr>
        <w:tblW w:w="6630" w:type="dxa"/>
        <w:jc w:val="left"/>
        <w:tblInd w:w="0" w:type="dxa"/>
        <w:shd w:fill="FFFFFF" w:val="clear"/>
        <w:tblLayout w:type="fixed"/>
        <w:tblCellMar>
          <w:top w:w="0" w:type="dxa"/>
          <w:left w:w="0" w:type="dxa"/>
          <w:bottom w:w="0" w:type="dxa"/>
          <w:right w:w="0" w:type="dxa"/>
        </w:tblCellMar>
      </w:tblPr>
      <w:tblGrid>
        <w:gridCol w:w="1865"/>
        <w:gridCol w:w="60"/>
        <w:gridCol w:w="3125"/>
        <w:gridCol w:w="60"/>
        <w:gridCol w:w="1520"/>
      </w:tblGrid>
      <w:tr>
        <w:trPr/>
        <w:tc>
          <w:tcPr>
            <w:tcW w:w="18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left"/>
              <w:rPr/>
            </w:pPr>
            <w:r>
              <w:rPr/>
              <w:t> </w:t>
            </w:r>
          </w:p>
        </w:tc>
      </w:tr>
      <w:tr>
        <w:trPr/>
        <w:tc>
          <w:tcPr>
            <w:tcW w:w="186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Signature</w:t>
            </w:r>
          </w:p>
        </w:tc>
        <w:tc>
          <w:tcPr>
            <w:tcW w:w="60" w:type="dxa"/>
            <w:tcBorders/>
            <w:shd w:fill="FFFFFF" w:val="clear"/>
            <w:vAlign w:val="center"/>
          </w:tcPr>
          <w:p>
            <w:pPr>
              <w:pStyle w:val="TableContents"/>
              <w:bidi w:val="0"/>
              <w:spacing w:before="0" w:after="283"/>
              <w:jc w:val="left"/>
              <w:rPr/>
            </w:pPr>
            <w:r>
              <w:rPr/>
              <w:t> </w:t>
            </w:r>
          </w:p>
        </w:tc>
        <w:tc>
          <w:tcPr>
            <w:tcW w:w="312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w:t>
            </w:r>
          </w:p>
        </w:tc>
        <w:tc>
          <w:tcPr>
            <w:tcW w:w="60" w:type="dxa"/>
            <w:tcBorders/>
            <w:shd w:fill="FFFFFF" w:val="clear"/>
            <w:vAlign w:val="center"/>
          </w:tcPr>
          <w:p>
            <w:pPr>
              <w:pStyle w:val="TableContents"/>
              <w:bidi w:val="0"/>
              <w:spacing w:before="0" w:after="283"/>
              <w:jc w:val="left"/>
              <w:rPr/>
            </w:pPr>
            <w:r>
              <w:rPr/>
              <w:t> </w:t>
            </w:r>
          </w:p>
        </w:tc>
        <w:tc>
          <w:tcPr>
            <w:tcW w:w="152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Date</w:t>
            </w:r>
          </w:p>
        </w:tc>
      </w:tr>
      <w:tr>
        <w:trPr/>
        <w:tc>
          <w:tcPr>
            <w:tcW w:w="186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Kathryn Haviland</w:t>
            </w:r>
          </w:p>
        </w:tc>
        <w:tc>
          <w:tcPr>
            <w:tcW w:w="60" w:type="dxa"/>
            <w:tcBorders/>
            <w:shd w:fill="FFFFFF" w:val="clear"/>
            <w:vAlign w:val="center"/>
          </w:tcPr>
          <w:p>
            <w:pPr>
              <w:pStyle w:val="TableContents"/>
              <w:bidi w:val="0"/>
              <w:spacing w:before="0" w:after="283"/>
              <w:jc w:val="left"/>
              <w:rPr/>
            </w:pPr>
            <w:r>
              <w:rPr/>
              <w:t> </w:t>
            </w:r>
          </w:p>
        </w:tc>
        <w:tc>
          <w:tcPr>
            <w:tcW w:w="3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President and Chief Executive Officer </w:t>
            </w:r>
          </w:p>
        </w:tc>
        <w:tc>
          <w:tcPr>
            <w:tcW w:w="60" w:type="dxa"/>
            <w:tcBorders/>
            <w:shd w:fill="FFFFFF" w:val="clear"/>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center"/>
              <w:rPr>
                <w:sz w:val="20"/>
              </w:rPr>
            </w:pPr>
            <w:r>
              <w:rPr>
                <w:rFonts w:ascii="Times New Roman;Times;Serif" w:hAnsi="Times New Roman;Times;Serif"/>
                <w:sz w:val="20"/>
              </w:rPr>
              <w:t xml:space="preserve">February </w:t>
            </w:r>
            <w:r>
              <w:rPr>
                <w:sz w:val="20"/>
              </w:rPr>
              <w:t>16, 2024</w:t>
            </w:r>
          </w:p>
        </w:tc>
      </w:tr>
      <w:tr>
        <w:trPr/>
        <w:tc>
          <w:tcPr>
            <w:tcW w:w="18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Kathryn Haviland</w:t>
            </w:r>
          </w:p>
        </w:tc>
        <w:tc>
          <w:tcPr>
            <w:tcW w:w="60" w:type="dxa"/>
            <w:tcBorders/>
            <w:shd w:fill="FFFFFF" w:val="clear"/>
            <w:vAlign w:val="center"/>
          </w:tcPr>
          <w:p>
            <w:pPr>
              <w:pStyle w:val="TableContents"/>
              <w:bidi w:val="0"/>
              <w:spacing w:before="0" w:after="283"/>
              <w:jc w:val="left"/>
              <w:rPr/>
            </w:pPr>
            <w:r>
              <w:rPr/>
              <w:t> </w:t>
            </w:r>
          </w:p>
        </w:tc>
        <w:tc>
          <w:tcPr>
            <w:tcW w:w="3125" w:type="dxa"/>
            <w:tcBorders/>
            <w:shd w:fill="FFFFFF" w:val="cle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(Principal Executive Officer)</w:t>
            </w:r>
          </w:p>
        </w:tc>
        <w:tc>
          <w:tcPr>
            <w:tcW w:w="60" w:type="dxa"/>
            <w:tcBorders/>
            <w:shd w:fill="FFFFFF" w:val="clear"/>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left"/>
              <w:rPr/>
            </w:pPr>
            <w:r>
              <w:rPr/>
              <w:t> </w:t>
            </w:r>
          </w:p>
        </w:tc>
      </w:tr>
      <w:tr>
        <w:trPr/>
        <w:tc>
          <w:tcPr>
            <w:tcW w:w="1865" w:type="dxa"/>
            <w:tcBorders>
              <w:bottom w:val="single" w:sz="8" w:space="0" w:color="000000"/>
            </w:tcBorders>
            <w:shd w:fill="FFFFFF" w:val="clear"/>
            <w:tcMar>
              <w:bottom w:w="28"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Michael Landsittel</w:t>
            </w:r>
          </w:p>
        </w:tc>
        <w:tc>
          <w:tcPr>
            <w:tcW w:w="60" w:type="dxa"/>
            <w:tcBorders/>
            <w:shd w:fill="FFFFFF" w:val="clear"/>
            <w:vAlign w:val="center"/>
          </w:tcPr>
          <w:p>
            <w:pPr>
              <w:pStyle w:val="TableContents"/>
              <w:bidi w:val="0"/>
              <w:spacing w:before="0" w:after="283"/>
              <w:jc w:val="left"/>
              <w:rPr/>
            </w:pPr>
            <w:r>
              <w:rPr/>
              <w:t> </w:t>
            </w:r>
          </w:p>
        </w:tc>
        <w:tc>
          <w:tcPr>
            <w:tcW w:w="312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c>
          <w:tcPr>
            <w:tcW w:w="60" w:type="dxa"/>
            <w:tcBorders/>
            <w:shd w:fill="FFFFFF" w:val="clear"/>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16, 2024</w:t>
            </w:r>
          </w:p>
        </w:tc>
      </w:tr>
      <w:tr>
        <w:trPr/>
        <w:tc>
          <w:tcPr>
            <w:tcW w:w="18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Michael Landsittel</w:t>
            </w:r>
          </w:p>
        </w:tc>
        <w:tc>
          <w:tcPr>
            <w:tcW w:w="60" w:type="dxa"/>
            <w:tcBorders/>
            <w:shd w:fill="FFFFFF" w:val="clear"/>
            <w:vAlign w:val="center"/>
          </w:tcPr>
          <w:p>
            <w:pPr>
              <w:pStyle w:val="TableContents"/>
              <w:bidi w:val="0"/>
              <w:spacing w:before="0" w:after="283"/>
              <w:jc w:val="left"/>
              <w:rPr/>
            </w:pPr>
            <w:r>
              <w:rPr/>
              <w:t> </w:t>
            </w:r>
          </w:p>
        </w:tc>
        <w:tc>
          <w:tcPr>
            <w:tcW w:w="3125" w:type="dxa"/>
            <w:tcBorders/>
            <w:shd w:fill="FFFFFF" w:val="cle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(Principal Financial Officer)</w:t>
            </w:r>
          </w:p>
        </w:tc>
        <w:tc>
          <w:tcPr>
            <w:tcW w:w="60" w:type="dxa"/>
            <w:tcBorders/>
            <w:shd w:fill="FFFFFF" w:val="clear"/>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left"/>
              <w:rPr/>
            </w:pPr>
            <w:r>
              <w:rPr/>
              <w:t> </w:t>
            </w:r>
          </w:p>
        </w:tc>
      </w:tr>
      <w:tr>
        <w:trPr/>
        <w:tc>
          <w:tcPr>
            <w:tcW w:w="18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left"/>
              <w:rPr/>
            </w:pPr>
            <w:r>
              <w:rPr/>
              <w:t> </w:t>
            </w:r>
          </w:p>
        </w:tc>
      </w:tr>
      <w:tr>
        <w:trPr/>
        <w:tc>
          <w:tcPr>
            <w:tcW w:w="186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Ariel Hurley</w:t>
            </w:r>
          </w:p>
        </w:tc>
        <w:tc>
          <w:tcPr>
            <w:tcW w:w="60" w:type="dxa"/>
            <w:tcBorders/>
            <w:shd w:fill="FFFFFF" w:val="clear"/>
            <w:vAlign w:val="center"/>
          </w:tcPr>
          <w:p>
            <w:pPr>
              <w:pStyle w:val="TableContents"/>
              <w:bidi w:val="0"/>
              <w:spacing w:before="0" w:after="283"/>
              <w:jc w:val="left"/>
              <w:rPr/>
            </w:pPr>
            <w:r>
              <w:rPr/>
              <w:t> </w:t>
            </w:r>
          </w:p>
        </w:tc>
        <w:tc>
          <w:tcPr>
            <w:tcW w:w="3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Senior Vice President, Finance</w:t>
            </w:r>
          </w:p>
        </w:tc>
        <w:tc>
          <w:tcPr>
            <w:tcW w:w="60" w:type="dxa"/>
            <w:tcBorders/>
            <w:shd w:fill="FFFFFF" w:val="clear"/>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center"/>
              <w:rPr>
                <w:sz w:val="20"/>
              </w:rPr>
            </w:pPr>
            <w:r>
              <w:rPr>
                <w:rFonts w:ascii="Times New Roman;Times;Serif" w:hAnsi="Times New Roman;Times;Serif"/>
                <w:sz w:val="20"/>
              </w:rPr>
              <w:t xml:space="preserve">February </w:t>
            </w:r>
            <w:r>
              <w:rPr>
                <w:sz w:val="20"/>
              </w:rPr>
              <w:t>16, 2024</w:t>
            </w:r>
          </w:p>
        </w:tc>
      </w:tr>
      <w:tr>
        <w:trPr/>
        <w:tc>
          <w:tcPr>
            <w:tcW w:w="18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Ariel Hurley</w:t>
            </w:r>
          </w:p>
        </w:tc>
        <w:tc>
          <w:tcPr>
            <w:tcW w:w="60" w:type="dxa"/>
            <w:tcBorders/>
            <w:shd w:fill="FFFFFF" w:val="clear"/>
            <w:vAlign w:val="center"/>
          </w:tcPr>
          <w:p>
            <w:pPr>
              <w:pStyle w:val="TableContents"/>
              <w:bidi w:val="0"/>
              <w:spacing w:before="0" w:after="283"/>
              <w:jc w:val="left"/>
              <w:rPr/>
            </w:pPr>
            <w:r>
              <w:rPr/>
              <w:t> </w:t>
            </w:r>
          </w:p>
        </w:tc>
        <w:tc>
          <w:tcPr>
            <w:tcW w:w="3125" w:type="dxa"/>
            <w:tcBorders/>
            <w:shd w:fill="FFFFFF" w:val="cle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(Principal Accounting Officer)</w:t>
            </w:r>
          </w:p>
        </w:tc>
        <w:tc>
          <w:tcPr>
            <w:tcW w:w="60" w:type="dxa"/>
            <w:tcBorders/>
            <w:shd w:fill="FFFFFF" w:val="clear"/>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left"/>
              <w:rPr/>
            </w:pPr>
            <w:r>
              <w:rPr/>
              <w:t> </w:t>
            </w:r>
          </w:p>
        </w:tc>
      </w:tr>
      <w:tr>
        <w:trPr/>
        <w:tc>
          <w:tcPr>
            <w:tcW w:w="1865" w:type="dxa"/>
            <w:tcBorders>
              <w:bottom w:val="single" w:sz="8" w:space="0" w:color="000000"/>
            </w:tcBorders>
            <w:shd w:fill="FFFFFF" w:val="clear"/>
            <w:tcMar>
              <w:bottom w:w="28"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Jeffrey W. Albers</w:t>
            </w:r>
          </w:p>
        </w:tc>
        <w:tc>
          <w:tcPr>
            <w:tcW w:w="60" w:type="dxa"/>
            <w:tcBorders/>
            <w:shd w:fill="FFFFFF" w:val="clear"/>
            <w:vAlign w:val="center"/>
          </w:tcPr>
          <w:p>
            <w:pPr>
              <w:pStyle w:val="TableContents"/>
              <w:bidi w:val="0"/>
              <w:spacing w:before="0" w:after="283"/>
              <w:jc w:val="left"/>
              <w:rPr/>
            </w:pPr>
            <w:r>
              <w:rPr/>
              <w:t> </w:t>
            </w:r>
          </w:p>
        </w:tc>
        <w:tc>
          <w:tcPr>
            <w:tcW w:w="312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of the Board of Directors</w:t>
            </w:r>
          </w:p>
        </w:tc>
        <w:tc>
          <w:tcPr>
            <w:tcW w:w="60" w:type="dxa"/>
            <w:tcBorders/>
            <w:shd w:fill="FFFFFF" w:val="clear"/>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16, 2024</w:t>
            </w:r>
          </w:p>
        </w:tc>
      </w:tr>
      <w:tr>
        <w:trPr/>
        <w:tc>
          <w:tcPr>
            <w:tcW w:w="18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Jeffrey W. Albers</w:t>
            </w:r>
          </w:p>
        </w:tc>
        <w:tc>
          <w:tcPr>
            <w:tcW w:w="60" w:type="dxa"/>
            <w:tcBorders/>
            <w:shd w:fill="FFFFFF" w:val="clear"/>
            <w:vAlign w:val="center"/>
          </w:tcPr>
          <w:p>
            <w:pPr>
              <w:pStyle w:val="TableContents"/>
              <w:bidi w:val="0"/>
              <w:spacing w:before="0" w:after="283"/>
              <w:jc w:val="left"/>
              <w:rPr/>
            </w:pPr>
            <w:r>
              <w:rPr/>
              <w:t> </w:t>
            </w:r>
          </w:p>
        </w:tc>
        <w:tc>
          <w:tcPr>
            <w:tcW w:w="3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left"/>
              <w:rPr/>
            </w:pPr>
            <w:r>
              <w:rPr/>
              <w:t> </w:t>
            </w:r>
          </w:p>
        </w:tc>
      </w:tr>
      <w:tr>
        <w:trPr/>
        <w:tc>
          <w:tcPr>
            <w:tcW w:w="1865" w:type="dxa"/>
            <w:tcBorders>
              <w:bottom w:val="single" w:sz="8" w:space="0" w:color="000000"/>
            </w:tcBorders>
            <w:shd w:fill="FFFFFF" w:val="clear"/>
            <w:tcMar>
              <w:bottom w:w="28"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Daniella Beckman</w:t>
            </w:r>
          </w:p>
        </w:tc>
        <w:tc>
          <w:tcPr>
            <w:tcW w:w="60" w:type="dxa"/>
            <w:tcBorders/>
            <w:shd w:fill="FFFFFF" w:val="clear"/>
            <w:vAlign w:val="center"/>
          </w:tcPr>
          <w:p>
            <w:pPr>
              <w:pStyle w:val="TableContents"/>
              <w:bidi w:val="0"/>
              <w:spacing w:before="0" w:after="283"/>
              <w:jc w:val="left"/>
              <w:rPr/>
            </w:pPr>
            <w:r>
              <w:rPr/>
              <w:t> </w:t>
            </w:r>
          </w:p>
        </w:tc>
        <w:tc>
          <w:tcPr>
            <w:tcW w:w="312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shd w:fill="FFFFFF" w:val="clear"/>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16, 2024</w:t>
            </w:r>
          </w:p>
        </w:tc>
      </w:tr>
      <w:tr>
        <w:trPr/>
        <w:tc>
          <w:tcPr>
            <w:tcW w:w="18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Daniella Beckman</w:t>
            </w:r>
          </w:p>
        </w:tc>
        <w:tc>
          <w:tcPr>
            <w:tcW w:w="60" w:type="dxa"/>
            <w:tcBorders/>
            <w:shd w:fill="FFFFFF" w:val="clear"/>
            <w:vAlign w:val="center"/>
          </w:tcPr>
          <w:p>
            <w:pPr>
              <w:pStyle w:val="TableContents"/>
              <w:bidi w:val="0"/>
              <w:spacing w:before="0" w:after="283"/>
              <w:jc w:val="left"/>
              <w:rPr/>
            </w:pPr>
            <w:r>
              <w:rPr/>
              <w:t> </w:t>
            </w:r>
          </w:p>
        </w:tc>
        <w:tc>
          <w:tcPr>
            <w:tcW w:w="3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left"/>
              <w:rPr/>
            </w:pPr>
            <w:r>
              <w:rPr/>
              <w:t> </w:t>
            </w:r>
          </w:p>
        </w:tc>
      </w:tr>
      <w:tr>
        <w:trPr/>
        <w:tc>
          <w:tcPr>
            <w:tcW w:w="1865" w:type="dxa"/>
            <w:tcBorders>
              <w:bottom w:val="single" w:sz="8" w:space="0" w:color="000000"/>
            </w:tcBorders>
            <w:shd w:fill="FFFFFF" w:val="clear"/>
            <w:tcMar>
              <w:bottom w:w="28"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Alexis Borisy</w:t>
            </w:r>
          </w:p>
        </w:tc>
        <w:tc>
          <w:tcPr>
            <w:tcW w:w="60" w:type="dxa"/>
            <w:tcBorders/>
            <w:shd w:fill="FFFFFF" w:val="clear"/>
            <w:vAlign w:val="center"/>
          </w:tcPr>
          <w:p>
            <w:pPr>
              <w:pStyle w:val="TableContents"/>
              <w:bidi w:val="0"/>
              <w:spacing w:before="0" w:after="283"/>
              <w:jc w:val="left"/>
              <w:rPr/>
            </w:pPr>
            <w:r>
              <w:rPr/>
              <w:t> </w:t>
            </w:r>
          </w:p>
        </w:tc>
        <w:tc>
          <w:tcPr>
            <w:tcW w:w="312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shd w:fill="FFFFFF" w:val="clear"/>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16, 2024</w:t>
            </w:r>
          </w:p>
        </w:tc>
      </w:tr>
      <w:tr>
        <w:trPr/>
        <w:tc>
          <w:tcPr>
            <w:tcW w:w="18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Alexis Borisy</w:t>
            </w:r>
          </w:p>
        </w:tc>
        <w:tc>
          <w:tcPr>
            <w:tcW w:w="60" w:type="dxa"/>
            <w:tcBorders/>
            <w:shd w:fill="FFFFFF" w:val="clear"/>
            <w:vAlign w:val="center"/>
          </w:tcPr>
          <w:p>
            <w:pPr>
              <w:pStyle w:val="TableContents"/>
              <w:bidi w:val="0"/>
              <w:spacing w:before="0" w:after="283"/>
              <w:jc w:val="left"/>
              <w:rPr/>
            </w:pPr>
            <w:r>
              <w:rPr/>
              <w:t> </w:t>
            </w:r>
          </w:p>
        </w:tc>
        <w:tc>
          <w:tcPr>
            <w:tcW w:w="3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left"/>
              <w:rPr/>
            </w:pPr>
            <w:r>
              <w:rPr/>
              <w:t> </w:t>
            </w:r>
          </w:p>
        </w:tc>
      </w:tr>
      <w:tr>
        <w:trPr/>
        <w:tc>
          <w:tcPr>
            <w:tcW w:w="1865" w:type="dxa"/>
            <w:tcBorders>
              <w:bottom w:val="single" w:sz="8" w:space="0" w:color="000000"/>
            </w:tcBorders>
            <w:shd w:fill="FFFFFF" w:val="clear"/>
            <w:tcMar>
              <w:bottom w:w="28"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Lonnel Coats</w:t>
            </w:r>
          </w:p>
        </w:tc>
        <w:tc>
          <w:tcPr>
            <w:tcW w:w="60" w:type="dxa"/>
            <w:tcBorders/>
            <w:shd w:fill="FFFFFF" w:val="clear"/>
            <w:vAlign w:val="center"/>
          </w:tcPr>
          <w:p>
            <w:pPr>
              <w:pStyle w:val="TableContents"/>
              <w:bidi w:val="0"/>
              <w:spacing w:before="0" w:after="283"/>
              <w:jc w:val="left"/>
              <w:rPr/>
            </w:pPr>
            <w:r>
              <w:rPr/>
              <w:t> </w:t>
            </w:r>
          </w:p>
        </w:tc>
        <w:tc>
          <w:tcPr>
            <w:tcW w:w="312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shd w:fill="FFFFFF" w:val="clear"/>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16, 2024</w:t>
            </w:r>
          </w:p>
        </w:tc>
      </w:tr>
      <w:tr>
        <w:trPr/>
        <w:tc>
          <w:tcPr>
            <w:tcW w:w="18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Lonnel Coats </w:t>
            </w:r>
          </w:p>
        </w:tc>
        <w:tc>
          <w:tcPr>
            <w:tcW w:w="60" w:type="dxa"/>
            <w:tcBorders/>
            <w:shd w:fill="FFFFFF" w:val="clear"/>
            <w:vAlign w:val="center"/>
          </w:tcPr>
          <w:p>
            <w:pPr>
              <w:pStyle w:val="TableContents"/>
              <w:bidi w:val="0"/>
              <w:spacing w:before="0" w:after="283"/>
              <w:jc w:val="left"/>
              <w:rPr/>
            </w:pPr>
            <w:r>
              <w:rPr/>
              <w:t> </w:t>
            </w:r>
          </w:p>
        </w:tc>
        <w:tc>
          <w:tcPr>
            <w:tcW w:w="3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left"/>
              <w:rPr/>
            </w:pPr>
            <w:r>
              <w:rPr/>
              <w:t> </w:t>
            </w:r>
          </w:p>
        </w:tc>
      </w:tr>
      <w:tr>
        <w:trPr/>
        <w:tc>
          <w:tcPr>
            <w:tcW w:w="1865" w:type="dxa"/>
            <w:tcBorders>
              <w:bottom w:val="single" w:sz="8" w:space="0" w:color="000000"/>
            </w:tcBorders>
            <w:shd w:fill="FFFFFF" w:val="clear"/>
            <w:tcMar>
              <w:bottom w:w="28"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Habib Dable</w:t>
            </w:r>
          </w:p>
        </w:tc>
        <w:tc>
          <w:tcPr>
            <w:tcW w:w="60" w:type="dxa"/>
            <w:tcBorders/>
            <w:shd w:fill="FFFFFF" w:val="clear"/>
            <w:vAlign w:val="center"/>
          </w:tcPr>
          <w:p>
            <w:pPr>
              <w:pStyle w:val="TableContents"/>
              <w:bidi w:val="0"/>
              <w:spacing w:before="0" w:after="283"/>
              <w:jc w:val="left"/>
              <w:rPr/>
            </w:pPr>
            <w:r>
              <w:rPr/>
              <w:t> </w:t>
            </w:r>
          </w:p>
        </w:tc>
        <w:tc>
          <w:tcPr>
            <w:tcW w:w="312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shd w:fill="FFFFFF" w:val="clear"/>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16, 2024</w:t>
            </w:r>
          </w:p>
        </w:tc>
      </w:tr>
      <w:tr>
        <w:trPr/>
        <w:tc>
          <w:tcPr>
            <w:tcW w:w="18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Habib Dable</w:t>
            </w:r>
          </w:p>
        </w:tc>
        <w:tc>
          <w:tcPr>
            <w:tcW w:w="60" w:type="dxa"/>
            <w:tcBorders/>
            <w:shd w:fill="FFFFFF" w:val="clear"/>
            <w:vAlign w:val="center"/>
          </w:tcPr>
          <w:p>
            <w:pPr>
              <w:pStyle w:val="TableContents"/>
              <w:bidi w:val="0"/>
              <w:spacing w:before="0" w:after="283"/>
              <w:jc w:val="left"/>
              <w:rPr/>
            </w:pPr>
            <w:r>
              <w:rPr/>
              <w:t> </w:t>
            </w:r>
          </w:p>
        </w:tc>
        <w:tc>
          <w:tcPr>
            <w:tcW w:w="3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left"/>
              <w:rPr/>
            </w:pPr>
            <w:r>
              <w:rPr/>
              <w:t> </w:t>
            </w:r>
          </w:p>
        </w:tc>
      </w:tr>
      <w:tr>
        <w:trPr/>
        <w:tc>
          <w:tcPr>
            <w:tcW w:w="1865" w:type="dxa"/>
            <w:tcBorders>
              <w:bottom w:val="single" w:sz="8" w:space="0" w:color="000000"/>
            </w:tcBorders>
            <w:shd w:fill="FFFFFF" w:val="clear"/>
            <w:tcMar>
              <w:bottom w:w="28"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Mark Goldberg</w:t>
            </w:r>
          </w:p>
        </w:tc>
        <w:tc>
          <w:tcPr>
            <w:tcW w:w="60" w:type="dxa"/>
            <w:tcBorders/>
            <w:shd w:fill="FFFFFF" w:val="clear"/>
            <w:vAlign w:val="center"/>
          </w:tcPr>
          <w:p>
            <w:pPr>
              <w:pStyle w:val="TableContents"/>
              <w:bidi w:val="0"/>
              <w:spacing w:before="0" w:after="283"/>
              <w:jc w:val="left"/>
              <w:rPr/>
            </w:pPr>
            <w:r>
              <w:rPr/>
              <w:t> </w:t>
            </w:r>
          </w:p>
        </w:tc>
        <w:tc>
          <w:tcPr>
            <w:tcW w:w="312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shd w:fill="FFFFFF" w:val="clear"/>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16, 2024</w:t>
            </w:r>
          </w:p>
        </w:tc>
      </w:tr>
      <w:tr>
        <w:trPr/>
        <w:tc>
          <w:tcPr>
            <w:tcW w:w="18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Mark Goldberg, M.D.</w:t>
            </w:r>
          </w:p>
        </w:tc>
        <w:tc>
          <w:tcPr>
            <w:tcW w:w="60" w:type="dxa"/>
            <w:tcBorders/>
            <w:shd w:fill="FFFFFF" w:val="clear"/>
            <w:vAlign w:val="center"/>
          </w:tcPr>
          <w:p>
            <w:pPr>
              <w:pStyle w:val="TableContents"/>
              <w:bidi w:val="0"/>
              <w:spacing w:before="0" w:after="283"/>
              <w:jc w:val="left"/>
              <w:rPr/>
            </w:pPr>
            <w:r>
              <w:rPr/>
              <w:t> </w:t>
            </w:r>
          </w:p>
        </w:tc>
        <w:tc>
          <w:tcPr>
            <w:tcW w:w="3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left"/>
              <w:rPr/>
            </w:pPr>
            <w:r>
              <w:rPr/>
              <w:t> </w:t>
            </w:r>
          </w:p>
        </w:tc>
      </w:tr>
      <w:tr>
        <w:trPr/>
        <w:tc>
          <w:tcPr>
            <w:tcW w:w="1865" w:type="dxa"/>
            <w:tcBorders>
              <w:bottom w:val="single" w:sz="8" w:space="0" w:color="000000"/>
            </w:tcBorders>
            <w:shd w:fill="FFFFFF" w:val="clear"/>
            <w:tcMar>
              <w:bottom w:w="28"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Nicholas Lydon</w:t>
            </w:r>
          </w:p>
        </w:tc>
        <w:tc>
          <w:tcPr>
            <w:tcW w:w="60" w:type="dxa"/>
            <w:tcBorders/>
            <w:shd w:fill="FFFFFF" w:val="clear"/>
            <w:vAlign w:val="center"/>
          </w:tcPr>
          <w:p>
            <w:pPr>
              <w:pStyle w:val="TableContents"/>
              <w:bidi w:val="0"/>
              <w:spacing w:before="0" w:after="283"/>
              <w:jc w:val="left"/>
              <w:rPr/>
            </w:pPr>
            <w:r>
              <w:rPr/>
              <w:t> </w:t>
            </w:r>
          </w:p>
        </w:tc>
        <w:tc>
          <w:tcPr>
            <w:tcW w:w="312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shd w:fill="FFFFFF" w:val="clear"/>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16, 2024</w:t>
            </w:r>
          </w:p>
        </w:tc>
      </w:tr>
      <w:tr>
        <w:trPr/>
        <w:tc>
          <w:tcPr>
            <w:tcW w:w="18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Nicholas Lydon, Ph.D.</w:t>
            </w:r>
          </w:p>
        </w:tc>
        <w:tc>
          <w:tcPr>
            <w:tcW w:w="60" w:type="dxa"/>
            <w:tcBorders/>
            <w:shd w:fill="FFFFFF" w:val="clear"/>
            <w:vAlign w:val="center"/>
          </w:tcPr>
          <w:p>
            <w:pPr>
              <w:pStyle w:val="TableContents"/>
              <w:bidi w:val="0"/>
              <w:spacing w:before="0" w:after="283"/>
              <w:jc w:val="left"/>
              <w:rPr/>
            </w:pPr>
            <w:r>
              <w:rPr/>
              <w:t> </w:t>
            </w:r>
          </w:p>
        </w:tc>
        <w:tc>
          <w:tcPr>
            <w:tcW w:w="3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left"/>
              <w:rPr/>
            </w:pPr>
            <w:r>
              <w:rPr/>
              <w:t> </w:t>
            </w:r>
          </w:p>
        </w:tc>
      </w:tr>
      <w:tr>
        <w:trPr/>
        <w:tc>
          <w:tcPr>
            <w:tcW w:w="1865" w:type="dxa"/>
            <w:tcBorders>
              <w:bottom w:val="single" w:sz="8" w:space="0" w:color="000000"/>
            </w:tcBorders>
            <w:shd w:fill="FFFFFF" w:val="clear"/>
            <w:tcMar>
              <w:bottom w:w="28"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Lynn Seely</w:t>
            </w:r>
          </w:p>
        </w:tc>
        <w:tc>
          <w:tcPr>
            <w:tcW w:w="60" w:type="dxa"/>
            <w:tcBorders/>
            <w:shd w:fill="FFFFFF" w:val="clear"/>
            <w:vAlign w:val="center"/>
          </w:tcPr>
          <w:p>
            <w:pPr>
              <w:pStyle w:val="TableContents"/>
              <w:bidi w:val="0"/>
              <w:spacing w:before="0" w:after="283"/>
              <w:jc w:val="left"/>
              <w:rPr/>
            </w:pPr>
            <w:r>
              <w:rPr/>
              <w:t> </w:t>
            </w:r>
          </w:p>
        </w:tc>
        <w:tc>
          <w:tcPr>
            <w:tcW w:w="312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shd w:fill="FFFFFF" w:val="clear"/>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16, 2024</w:t>
            </w:r>
          </w:p>
        </w:tc>
      </w:tr>
      <w:tr>
        <w:trPr/>
        <w:tc>
          <w:tcPr>
            <w:tcW w:w="18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Lynn Seely, M.D.</w:t>
            </w:r>
          </w:p>
        </w:tc>
        <w:tc>
          <w:tcPr>
            <w:tcW w:w="60" w:type="dxa"/>
            <w:tcBorders/>
            <w:shd w:fill="FFFFFF" w:val="clear"/>
            <w:vAlign w:val="center"/>
          </w:tcPr>
          <w:p>
            <w:pPr>
              <w:pStyle w:val="TableContents"/>
              <w:bidi w:val="0"/>
              <w:spacing w:before="0" w:after="283"/>
              <w:jc w:val="left"/>
              <w:rPr/>
            </w:pPr>
            <w:r>
              <w:rPr/>
              <w:t> </w:t>
            </w:r>
          </w:p>
        </w:tc>
        <w:tc>
          <w:tcPr>
            <w:tcW w:w="3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left"/>
              <w:rPr/>
            </w:pPr>
            <w:r>
              <w:rPr/>
              <w:t> </w:t>
            </w:r>
          </w:p>
        </w:tc>
      </w:tr>
      <w:tr>
        <w:trPr/>
        <w:tc>
          <w:tcPr>
            <w:tcW w:w="1865" w:type="dxa"/>
            <w:tcBorders>
              <w:bottom w:val="single" w:sz="8" w:space="0" w:color="000000"/>
            </w:tcBorders>
            <w:shd w:fill="FFFFFF" w:val="clear"/>
            <w:tcMar>
              <w:bottom w:w="28"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John Tsai</w:t>
            </w:r>
          </w:p>
        </w:tc>
        <w:tc>
          <w:tcPr>
            <w:tcW w:w="60" w:type="dxa"/>
            <w:tcBorders/>
            <w:shd w:fill="FFFFFF" w:val="clear"/>
            <w:vAlign w:val="center"/>
          </w:tcPr>
          <w:p>
            <w:pPr>
              <w:pStyle w:val="TableContents"/>
              <w:bidi w:val="0"/>
              <w:spacing w:before="0" w:after="283"/>
              <w:jc w:val="left"/>
              <w:rPr/>
            </w:pPr>
            <w:r>
              <w:rPr/>
              <w:t> </w:t>
            </w:r>
          </w:p>
        </w:tc>
        <w:tc>
          <w:tcPr>
            <w:tcW w:w="312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shd w:fill="FFFFFF" w:val="clear"/>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16, 2024</w:t>
            </w:r>
          </w:p>
        </w:tc>
      </w:tr>
      <w:tr>
        <w:trPr/>
        <w:tc>
          <w:tcPr>
            <w:tcW w:w="18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John Tsai, M.D.</w:t>
            </w:r>
          </w:p>
        </w:tc>
        <w:tc>
          <w:tcPr>
            <w:tcW w:w="60" w:type="dxa"/>
            <w:tcBorders/>
            <w:shd w:fill="FFFFFF" w:val="clear"/>
            <w:vAlign w:val="center"/>
          </w:tcPr>
          <w:p>
            <w:pPr>
              <w:pStyle w:val="TableContents"/>
              <w:bidi w:val="0"/>
              <w:spacing w:before="0" w:after="283"/>
              <w:jc w:val="left"/>
              <w:rPr/>
            </w:pPr>
            <w:r>
              <w:rPr/>
              <w:t> </w:t>
            </w:r>
          </w:p>
        </w:tc>
        <w:tc>
          <w:tcPr>
            <w:tcW w:w="3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3" w:name="tm246267d1_ex5-1.htm"/>
      <w:bookmarkStart w:id="4" w:name="kstm246267d1_ex51"/>
      <w:bookmarkEnd w:id="3"/>
      <w:bookmarkEnd w:id="4"/>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5.1</w:t>
      </w:r>
    </w:p>
    <w:p>
      <w:pPr>
        <w:pStyle w:val="TextBody"/>
        <w:bidi w:val="0"/>
        <w:spacing w:before="0" w:after="0"/>
        <w:ind w:left="0" w:right="0" w:hanging="0"/>
        <w:jc w:val="right"/>
        <w:rPr>
          <w:caps w:val="false"/>
          <w:smallCaps w:val="false"/>
        </w:rPr>
      </w:pPr>
      <w:r>
        <w:rPr>
          <w:caps w:val="false"/>
          <w:smallCaps w:val="false"/>
        </w:rPr>
        <w:t>  </w:t>
      </w:r>
    </w:p>
    <w:tbl>
      <w:tblPr>
        <w:tblW w:w="3617" w:type="dxa"/>
        <w:jc w:val="left"/>
        <w:tblInd w:w="0" w:type="dxa"/>
        <w:tblLayout w:type="fixed"/>
        <w:tblCellMar>
          <w:top w:w="0" w:type="dxa"/>
          <w:left w:w="0" w:type="dxa"/>
          <w:bottom w:w="0" w:type="dxa"/>
          <w:right w:w="0" w:type="dxa"/>
        </w:tblCellMar>
      </w:tblPr>
      <w:tblGrid>
        <w:gridCol w:w="1767"/>
        <w:gridCol w:w="60"/>
        <w:gridCol w:w="1790"/>
      </w:tblGrid>
      <w:tr>
        <w:trPr/>
        <w:tc>
          <w:tcPr>
            <w:tcW w:w="1767" w:type="dxa"/>
            <w:vMerge w:val="restart"/>
            <w:tcBorders/>
            <w:vAlign w:val="center"/>
          </w:tcPr>
          <w:p>
            <w:pPr>
              <w:pStyle w:val="TableContents"/>
              <w:bidi w:val="0"/>
              <w:spacing w:before="0" w:after="0"/>
              <w:ind w:left="0" w:right="0" w:hanging="0"/>
              <w:jc w:val="left"/>
              <w:rPr>
                <w:caps w:val="false"/>
                <w:smallCaps w:val="false"/>
              </w:rPr>
            </w:pPr>
            <w:r>
              <w:rPr>
                <w:caps w:val="false"/>
                <w:smallCaps w:val="false"/>
              </w:rPr>
              <w:drawing>
                <wp:inline distT="0" distB="0" distL="0" distR="0">
                  <wp:extent cx="1074420" cy="2603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41"/>
                          <a:stretch>
                            <a:fillRect/>
                          </a:stretch>
                        </pic:blipFill>
                        <pic:spPr bwMode="auto">
                          <a:xfrm>
                            <a:off x="0" y="0"/>
                            <a:ext cx="1074420" cy="260350"/>
                          </a:xfrm>
                          <a:prstGeom prst="rect">
                            <a:avLst/>
                          </a:prstGeom>
                        </pic:spPr>
                      </pic:pic>
                    </a:graphicData>
                  </a:graphic>
                </wp:inline>
              </w:drawing>
            </w:r>
            <w:r>
              <w:rPr>
                <w:caps w:val="false"/>
                <w:smallCaps w:val="false"/>
              </w:rPr>
              <w:t> </w:t>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Goodwin Procter LLP</w:t>
            </w:r>
          </w:p>
        </w:tc>
      </w:tr>
      <w:tr>
        <w:trPr/>
        <w:tc>
          <w:tcPr>
            <w:tcW w:w="1767"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100 Northern Avenue</w:t>
            </w:r>
          </w:p>
        </w:tc>
      </w:tr>
      <w:tr>
        <w:trPr/>
        <w:tc>
          <w:tcPr>
            <w:tcW w:w="1767"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Boston, MA 02210</w:t>
            </w:r>
          </w:p>
        </w:tc>
      </w:tr>
      <w:tr>
        <w:trPr/>
        <w:tc>
          <w:tcPr>
            <w:tcW w:w="1767"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goodwinlaw.com</w:t>
            </w:r>
          </w:p>
        </w:tc>
      </w:tr>
      <w:tr>
        <w:trPr/>
        <w:tc>
          <w:tcPr>
            <w:tcW w:w="1767"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+1 617 570 1000</w:t>
            </w:r>
          </w:p>
        </w:tc>
      </w:tr>
      <w:tr>
        <w:trPr/>
        <w:tc>
          <w:tcPr>
            <w:tcW w:w="1767"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16,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Blueprint Medicines Corporation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 Sidney Street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Cambridge, MA 02139</w:t>
      </w:r>
    </w:p>
    <w:p>
      <w:pPr>
        <w:pStyle w:val="TextBody"/>
        <w:bidi w:val="0"/>
        <w:spacing w:before="0" w:after="0"/>
        <w:ind w:left="0" w:right="0" w:hanging="0"/>
        <w:jc w:val="left"/>
        <w:rPr>
          <w:caps w:val="false"/>
          <w:smallCaps w:val="false"/>
        </w:rPr>
      </w:pPr>
      <w:r>
        <w:rPr>
          <w:caps w:val="false"/>
          <w:smallCaps w:val="false"/>
        </w:rPr>
        <w:t> </w:t>
      </w:r>
    </w:p>
    <w:tbl>
      <w:tblPr>
        <w:tblW w:w="7083" w:type="dxa"/>
        <w:jc w:val="left"/>
        <w:tblInd w:w="0" w:type="dxa"/>
        <w:tblLayout w:type="fixed"/>
        <w:tblCellMar>
          <w:top w:w="0" w:type="dxa"/>
          <w:left w:w="0" w:type="dxa"/>
          <w:bottom w:w="0" w:type="dxa"/>
          <w:right w:w="0" w:type="dxa"/>
        </w:tblCellMar>
      </w:tblPr>
      <w:tblGrid>
        <w:gridCol w:w="38"/>
        <w:gridCol w:w="350"/>
        <w:gridCol w:w="6695"/>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Re:</w:t>
            </w:r>
          </w:p>
        </w:tc>
        <w:tc>
          <w:tcPr>
            <w:tcW w:w="6695" w:type="dxa"/>
            <w:tcBorders/>
            <w:vAlign w:val="center"/>
          </w:tcPr>
          <w:p>
            <w:pPr>
              <w:pStyle w:val="TableContents"/>
              <w:bidi w:val="0"/>
              <w:spacing w:before="0" w:after="283"/>
              <w:jc w:val="both"/>
              <w:rPr>
                <w:u w:val="single"/>
              </w:rPr>
            </w:pPr>
            <w:r>
              <w:rPr>
                <w:u w:val="single"/>
              </w:rPr>
              <w:t>Securities Being Registered under Registration Statement on Form S-8</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counsel to you in connection with your filing of a Registration Statement on Form S-8 (the “Registration Statement”) pursuant to the Securities Act of 1933, as amended (the “Securities Act”), on or about the date hereof relating to an aggregate of 3,057,361 shares (the “Shares”) of Common Stock, $0.001 par value per share (“Common Stock”), of Blueprint Medicines Corporation, a Delaware corporation (the “Company”), that may be issued pursuant to the Company’s 2015 Stock Option and Incentive Plan and 2015 Employee Stock Purchase Plan (collectively, the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reviewed such documents and made such examination of law as we have deemed appropriate to give the opinions set forth below. We have relied, without independent verification, on certificates of public officials and, as to matters of fact material to the opinion set forth below, on certificates of officers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 set forth below is limited to the Delaware General Corporation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opinion set forth below, we have assumed that no event occurs that causes the number of authorized shares of Common Stock available for issuance by the Company to be less than the number of then unissued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foregoing, we are of the opinion that the Shares have been duly authorized and, upon issuance and delivery against payment therefor in accordance with the terms of the Plans, will be validly issued, fully paid and nonassessable.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opinion letter and the opinion it contains shall be interpreted in accordance with the Core Opinion Principles as published in 74 </w:t>
      </w:r>
      <w:r>
        <w:rPr>
          <w:rFonts w:ascii="Times New Roman;Times;Serif" w:hAnsi="Times New Roman;Times;Serif"/>
          <w:b w:val="false"/>
          <w:i/>
          <w:caps w:val="false"/>
          <w:smallCaps w:val="false"/>
          <w:sz w:val="20"/>
        </w:rPr>
        <w:t>Business Lawyer</w:t>
      </w:r>
      <w:r>
        <w:rPr>
          <w:rFonts w:ascii="Times New Roman;Times;Serif" w:hAnsi="Times New Roman;Times;Serif"/>
          <w:b w:val="false"/>
          <w:i w:val="false"/>
          <w:caps w:val="false"/>
          <w:smallCaps w:val="false"/>
          <w:sz w:val="20"/>
        </w:rPr>
        <w:t xml:space="preserve"> 815 (Summer 2019).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inclusion of this opinion as Exhibit 5.1 to the Registration Statement. In giving our consent, we do not admit that we are in the category of persons whose consent is required under Section 7 of the Securities Act or the rules and regulations thereunder.</w:t>
      </w:r>
    </w:p>
    <w:p>
      <w:pPr>
        <w:pStyle w:val="TextBody"/>
        <w:bidi w:val="0"/>
        <w:spacing w:before="0" w:after="0"/>
        <w:ind w:left="0" w:right="0" w:firstLine="5040"/>
        <w:jc w:val="left"/>
        <w:rPr>
          <w:caps w:val="false"/>
          <w:smallCaps w:val="false"/>
        </w:rPr>
      </w:pPr>
      <w:r>
        <w:rPr>
          <w:caps w:val="false"/>
          <w:smallCaps w:val="false"/>
        </w:rPr>
        <w:t> </w:t>
      </w:r>
    </w:p>
    <w:tbl>
      <w:tblPr>
        <w:tblW w:w="2345" w:type="dxa"/>
        <w:jc w:val="left"/>
        <w:tblInd w:w="0" w:type="dxa"/>
        <w:tblLayout w:type="fixed"/>
        <w:tblCellMar>
          <w:top w:w="0" w:type="dxa"/>
          <w:left w:w="0" w:type="dxa"/>
          <w:bottom w:w="0" w:type="dxa"/>
          <w:right w:w="0" w:type="dxa"/>
        </w:tblCellMar>
      </w:tblPr>
      <w:tblGrid>
        <w:gridCol w:w="75"/>
        <w:gridCol w:w="2270"/>
      </w:tblGrid>
      <w:tr>
        <w:trPr/>
        <w:tc>
          <w:tcPr>
            <w:tcW w:w="75" w:type="dxa"/>
            <w:tcBorders/>
            <w:vAlign w:val="center"/>
          </w:tcPr>
          <w:p>
            <w:pPr>
              <w:pStyle w:val="TableContents"/>
              <w:bidi w:val="0"/>
              <w:spacing w:before="0" w:after="283"/>
              <w:jc w:val="left"/>
              <w:rPr/>
            </w:pPr>
            <w:r>
              <w:rPr/>
              <w:t> </w:t>
            </w:r>
          </w:p>
        </w:tc>
        <w:tc>
          <w:tcPr>
            <w:tcW w:w="22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tc>
      </w:tr>
      <w:tr>
        <w:trPr/>
        <w:tc>
          <w:tcPr>
            <w:tcW w:w="75" w:type="dxa"/>
            <w:tcBorders/>
            <w:vAlign w:val="center"/>
          </w:tcPr>
          <w:p>
            <w:pPr>
              <w:pStyle w:val="TableContents"/>
              <w:bidi w:val="0"/>
              <w:spacing w:before="0" w:after="283"/>
              <w:jc w:val="left"/>
              <w:rPr/>
            </w:pPr>
            <w:r>
              <w:rPr/>
              <w:t> </w:t>
            </w:r>
          </w:p>
        </w:tc>
        <w:tc>
          <w:tcPr>
            <w:tcW w:w="227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2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val="false"/>
                <w:smallCaps/>
                <w:sz w:val="20"/>
              </w:rPr>
              <w:t>Goodwin Procter llp</w:t>
            </w:r>
          </w:p>
        </w:tc>
      </w:tr>
      <w:tr>
        <w:trPr/>
        <w:tc>
          <w:tcPr>
            <w:tcW w:w="75" w:type="dxa"/>
            <w:tcBorders/>
            <w:vAlign w:val="center"/>
          </w:tcPr>
          <w:p>
            <w:pPr>
              <w:pStyle w:val="TableContents"/>
              <w:bidi w:val="0"/>
              <w:spacing w:before="0" w:after="283"/>
              <w:jc w:val="left"/>
              <w:rPr/>
            </w:pPr>
            <w:r>
              <w:rPr/>
              <w:t> </w:t>
            </w:r>
          </w:p>
        </w:tc>
        <w:tc>
          <w:tcPr>
            <w:tcW w:w="2270" w:type="dxa"/>
            <w:tcBorders/>
            <w:vAlign w:val="center"/>
          </w:tcPr>
          <w:p>
            <w:pPr>
              <w:pStyle w:val="TableContents"/>
              <w:bidi w:val="0"/>
              <w:spacing w:before="0" w:after="283"/>
              <w:jc w:val="left"/>
              <w:rPr>
                <w:smallCaps/>
              </w:rPr>
            </w:pPr>
            <w:r>
              <w:rPr>
                <w:smallCaps/>
              </w:rPr>
              <w:t> </w:t>
            </w:r>
          </w:p>
        </w:tc>
      </w:tr>
      <w:tr>
        <w:trPr/>
        <w:tc>
          <w:tcPr>
            <w:tcW w:w="75" w:type="dxa"/>
            <w:tcBorders/>
            <w:vAlign w:val="center"/>
          </w:tcPr>
          <w:p>
            <w:pPr>
              <w:pStyle w:val="TableContents"/>
              <w:bidi w:val="0"/>
              <w:spacing w:before="0" w:after="283"/>
              <w:jc w:val="left"/>
              <w:rPr/>
            </w:pPr>
            <w:r>
              <w:rPr/>
              <w:t> </w:t>
            </w:r>
          </w:p>
        </w:tc>
        <w:tc>
          <w:tcPr>
            <w:tcW w:w="22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GOODWIN PROCTER LLP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5" w:name="tm246267d1_ex23-1.htm"/>
      <w:bookmarkStart w:id="6" w:name="kstm246267d1_ex231"/>
      <w:bookmarkEnd w:id="5"/>
      <w:bookmarkEnd w:id="6"/>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the Registration Statement (Form S-8) pertaining to the 2015 Stock Option and Incentive Plan and 2015 Employee Stock Purchase Plan of Blueprint Medicines Corporation of our reports dated February 15, 2024, with respect to the consolidated financial statements of Blueprint Medicines Corporation and the effectiveness of internal control over financial reporting of Blueprint Medicines Corporation included in its Annual Report (Form 10-K) for the year ended December 31, 2023, filed with the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Ernst &amp; Young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Boston, Massachusetts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16,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7" w:name="tm246267d1_ex-filingfees.htm"/>
      <w:bookmarkStart w:id="8" w:name="kstm246267d1_exfilingfees"/>
      <w:bookmarkEnd w:id="7"/>
      <w:bookmarkEnd w:id="8"/>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Calculation of Filing Fee Tables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S-8</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Type)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Blueprint Medicines Corporation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Table 1: Newly Registered Securities</w:t>
      </w:r>
    </w:p>
    <w:tbl>
      <w:tblPr>
        <w:tblW w:w="10205" w:type="dxa"/>
        <w:jc w:val="left"/>
        <w:tblInd w:w="0" w:type="dxa"/>
        <w:tblLayout w:type="fixed"/>
        <w:tblCellMar>
          <w:top w:w="0" w:type="dxa"/>
          <w:left w:w="0" w:type="dxa"/>
          <w:bottom w:w="0" w:type="dxa"/>
          <w:right w:w="0" w:type="dxa"/>
        </w:tblCellMar>
      </w:tblPr>
      <w:tblGrid>
        <w:gridCol w:w="815"/>
        <w:gridCol w:w="60"/>
        <w:gridCol w:w="1951"/>
        <w:gridCol w:w="60"/>
        <w:gridCol w:w="1100"/>
        <w:gridCol w:w="60"/>
        <w:gridCol w:w="1105"/>
        <w:gridCol w:w="60"/>
        <w:gridCol w:w="1005"/>
        <w:gridCol w:w="60"/>
        <w:gridCol w:w="1755"/>
        <w:gridCol w:w="60"/>
        <w:gridCol w:w="876"/>
        <w:gridCol w:w="60"/>
        <w:gridCol w:w="1178"/>
      </w:tblGrid>
      <w:tr>
        <w:trPr/>
        <w:tc>
          <w:tcPr>
            <w:tcW w:w="8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95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7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7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78" w:type="dxa"/>
            <w:tcBorders/>
            <w:vAlign w:val="center"/>
          </w:tcPr>
          <w:p>
            <w:pPr>
              <w:pStyle w:val="TableContents"/>
              <w:bidi w:val="0"/>
              <w:spacing w:before="0" w:after="283"/>
              <w:jc w:val="center"/>
              <w:rPr/>
            </w:pPr>
            <w:r>
              <w:rPr/>
              <w:t> </w:t>
            </w:r>
          </w:p>
        </w:tc>
      </w:tr>
      <w:tr>
        <w:trPr/>
        <w:tc>
          <w:tcPr>
            <w:tcW w:w="815" w:type="dxa"/>
            <w:tcBorders>
              <w:top w:val="single" w:sz="8" w:space="0" w:color="000000"/>
              <w:left w:val="single" w:sz="8" w:space="0" w:color="000000"/>
            </w:tcBorders>
            <w:tcMar>
              <w:top w:w="28" w:type="dxa"/>
              <w:left w:w="160" w:type="dxa"/>
            </w:tcMar>
            <w:vAlign w:val="center"/>
          </w:tcPr>
          <w:p>
            <w:pPr>
              <w:pStyle w:val="TableContents"/>
              <w:bidi w:val="0"/>
              <w:spacing w:before="0" w:after="283"/>
              <w:jc w:val="center"/>
              <w:rPr/>
            </w:pPr>
            <w:r>
              <w:rPr/>
              <w:t>Security</w:t>
              <w:br/>
              <w:t xml:space="preserve">Type </w:t>
            </w:r>
          </w:p>
        </w:tc>
        <w:tc>
          <w:tcPr>
            <w:tcW w:w="60" w:type="dxa"/>
            <w:tcBorders>
              <w:top w:val="single" w:sz="8" w:space="0" w:color="000000"/>
              <w:left w:val="single" w:sz="8" w:space="0" w:color="000000"/>
            </w:tcBorders>
            <w:tcMar>
              <w:top w:w="28" w:type="dxa"/>
              <w:left w:w="28" w:type="dxa"/>
            </w:tcMar>
            <w:vAlign w:val="center"/>
          </w:tcPr>
          <w:p>
            <w:pPr>
              <w:pStyle w:val="TableContents"/>
              <w:bidi w:val="0"/>
              <w:spacing w:before="0" w:after="283"/>
              <w:jc w:val="center"/>
              <w:rPr/>
            </w:pPr>
            <w:r>
              <w:rPr/>
              <w:t> </w:t>
            </w:r>
          </w:p>
        </w:tc>
        <w:tc>
          <w:tcPr>
            <w:tcW w:w="1951" w:type="dxa"/>
            <w:tcBorders>
              <w:top w:val="single" w:sz="8" w:space="0" w:color="000000"/>
            </w:tcBorders>
            <w:tcMar>
              <w:top w:w="28" w:type="dxa"/>
            </w:tcMar>
            <w:vAlign w:val="center"/>
          </w:tcPr>
          <w:p>
            <w:pPr>
              <w:pStyle w:val="TableContents"/>
              <w:bidi w:val="0"/>
              <w:spacing w:before="0" w:after="283"/>
              <w:jc w:val="center"/>
              <w:rPr/>
            </w:pPr>
            <w:r>
              <w:rPr/>
              <w:t>Security Class Title    </w:t>
            </w:r>
          </w:p>
        </w:tc>
        <w:tc>
          <w:tcPr>
            <w:tcW w:w="60" w:type="dxa"/>
            <w:tcBorders>
              <w:top w:val="single" w:sz="8" w:space="0" w:color="000000"/>
              <w:left w:val="single" w:sz="8" w:space="0" w:color="000000"/>
            </w:tcBorders>
            <w:tcMar>
              <w:top w:w="28" w:type="dxa"/>
              <w:left w:w="28" w:type="dxa"/>
            </w:tcMar>
            <w:vAlign w:val="center"/>
          </w:tcPr>
          <w:p>
            <w:pPr>
              <w:pStyle w:val="TableContents"/>
              <w:bidi w:val="0"/>
              <w:spacing w:before="0" w:after="283"/>
              <w:jc w:val="center"/>
              <w:rPr/>
            </w:pPr>
            <w:r>
              <w:rPr/>
              <w:t> </w:t>
            </w:r>
          </w:p>
        </w:tc>
        <w:tc>
          <w:tcPr>
            <w:tcW w:w="1100" w:type="dxa"/>
            <w:tcBorders>
              <w:top w:val="single" w:sz="8" w:space="0" w:color="000000"/>
            </w:tcBorders>
            <w:tcMar>
              <w:top w:w="28" w:type="dxa"/>
            </w:tcMar>
            <w:vAlign w:val="center"/>
          </w:tcPr>
          <w:p>
            <w:pPr>
              <w:pStyle w:val="TableContents"/>
              <w:bidi w:val="0"/>
              <w:spacing w:before="0" w:after="283"/>
              <w:jc w:val="center"/>
              <w:rPr/>
            </w:pPr>
            <w:r>
              <w:rPr/>
              <w:t>Fee</w:t>
              <w:br/>
              <w:t>Calculation</w:t>
              <w:br/>
              <w:t xml:space="preserve">Rule </w:t>
            </w:r>
          </w:p>
        </w:tc>
        <w:tc>
          <w:tcPr>
            <w:tcW w:w="60" w:type="dxa"/>
            <w:tcBorders>
              <w:top w:val="single" w:sz="8" w:space="0" w:color="000000"/>
              <w:left w:val="single" w:sz="8" w:space="0" w:color="000000"/>
            </w:tcBorders>
            <w:tcMar>
              <w:top w:w="28" w:type="dxa"/>
              <w:left w:w="28" w:type="dxa"/>
            </w:tcMar>
            <w:vAlign w:val="center"/>
          </w:tcPr>
          <w:p>
            <w:pPr>
              <w:pStyle w:val="TableContents"/>
              <w:bidi w:val="0"/>
              <w:spacing w:before="0" w:after="283"/>
              <w:jc w:val="center"/>
              <w:rPr/>
            </w:pPr>
            <w:r>
              <w:rPr/>
              <w:t> </w:t>
            </w:r>
          </w:p>
        </w:tc>
        <w:tc>
          <w:tcPr>
            <w:tcW w:w="1105" w:type="dxa"/>
            <w:tcBorders>
              <w:top w:val="single" w:sz="8" w:space="0" w:color="000000"/>
            </w:tcBorders>
            <w:tcMar>
              <w:top w:w="28" w:type="dxa"/>
            </w:tcMar>
            <w:vAlign w:val="center"/>
          </w:tcPr>
          <w:p>
            <w:pPr>
              <w:pStyle w:val="TableContents"/>
              <w:bidi w:val="0"/>
              <w:spacing w:before="0" w:after="283"/>
              <w:jc w:val="center"/>
              <w:rPr/>
            </w:pPr>
            <w:r>
              <w:rPr/>
              <w:t xml:space="preserve">Amount </w:t>
              <w:br/>
              <w:t>Registered (1)    </w:t>
            </w:r>
          </w:p>
        </w:tc>
        <w:tc>
          <w:tcPr>
            <w:tcW w:w="60" w:type="dxa"/>
            <w:tcBorders>
              <w:top w:val="single" w:sz="8" w:space="0" w:color="000000"/>
              <w:left w:val="single" w:sz="8" w:space="0" w:color="000000"/>
            </w:tcBorders>
            <w:tcMar>
              <w:top w:w="28" w:type="dxa"/>
              <w:left w:w="28" w:type="dxa"/>
            </w:tcMar>
            <w:vAlign w:val="center"/>
          </w:tcPr>
          <w:p>
            <w:pPr>
              <w:pStyle w:val="TableContents"/>
              <w:bidi w:val="0"/>
              <w:spacing w:before="0" w:after="283"/>
              <w:jc w:val="center"/>
              <w:rPr/>
            </w:pPr>
            <w:r>
              <w:rPr/>
              <w:t> </w:t>
            </w:r>
          </w:p>
        </w:tc>
        <w:tc>
          <w:tcPr>
            <w:tcW w:w="1005" w:type="dxa"/>
            <w:tcBorders>
              <w:top w:val="single" w:sz="8" w:space="0" w:color="000000"/>
            </w:tcBorders>
            <w:tcMar>
              <w:top w:w="28" w:type="dxa"/>
            </w:tcMar>
            <w:vAlign w:val="center"/>
          </w:tcPr>
          <w:p>
            <w:pPr>
              <w:pStyle w:val="TableContents"/>
              <w:bidi w:val="0"/>
              <w:spacing w:before="0" w:after="283"/>
              <w:jc w:val="center"/>
              <w:rPr/>
            </w:pPr>
            <w:r>
              <w:rPr/>
              <w:t>Proposed</w:t>
              <w:br/>
              <w:t>Maximum</w:t>
              <w:br/>
              <w:t>Offering</w:t>
              <w:br/>
              <w:t>Price Per</w:t>
              <w:br/>
              <w:t xml:space="preserve">Share </w:t>
            </w:r>
          </w:p>
        </w:tc>
        <w:tc>
          <w:tcPr>
            <w:tcW w:w="60" w:type="dxa"/>
            <w:tcBorders>
              <w:top w:val="single" w:sz="8" w:space="0" w:color="000000"/>
              <w:left w:val="single" w:sz="8" w:space="0" w:color="000000"/>
            </w:tcBorders>
            <w:tcMar>
              <w:top w:w="28" w:type="dxa"/>
              <w:left w:w="28" w:type="dxa"/>
            </w:tcMar>
            <w:vAlign w:val="center"/>
          </w:tcPr>
          <w:p>
            <w:pPr>
              <w:pStyle w:val="TableContents"/>
              <w:bidi w:val="0"/>
              <w:spacing w:before="0" w:after="283"/>
              <w:jc w:val="center"/>
              <w:rPr/>
            </w:pPr>
            <w:r>
              <w:rPr/>
              <w:t> </w:t>
            </w:r>
          </w:p>
        </w:tc>
        <w:tc>
          <w:tcPr>
            <w:tcW w:w="1755" w:type="dxa"/>
            <w:tcBorders>
              <w:top w:val="single" w:sz="8" w:space="0" w:color="000000"/>
            </w:tcBorders>
            <w:tcMar>
              <w:top w:w="28" w:type="dxa"/>
            </w:tcMar>
            <w:vAlign w:val="center"/>
          </w:tcPr>
          <w:p>
            <w:pPr>
              <w:pStyle w:val="TableContents"/>
              <w:bidi w:val="0"/>
              <w:spacing w:before="0" w:after="283"/>
              <w:jc w:val="center"/>
              <w:rPr/>
            </w:pPr>
            <w:r>
              <w:rPr/>
              <w:t>Maximum</w:t>
              <w:br/>
              <w:t>Aggregate</w:t>
              <w:br/>
              <w:t>Offering</w:t>
              <w:br/>
              <w:t xml:space="preserve">Price </w:t>
            </w:r>
          </w:p>
        </w:tc>
        <w:tc>
          <w:tcPr>
            <w:tcW w:w="60" w:type="dxa"/>
            <w:tcBorders>
              <w:top w:val="single" w:sz="8" w:space="0" w:color="000000"/>
              <w:left w:val="single" w:sz="8" w:space="0" w:color="000000"/>
            </w:tcBorders>
            <w:tcMar>
              <w:top w:w="28" w:type="dxa"/>
              <w:left w:w="28" w:type="dxa"/>
            </w:tcMar>
            <w:vAlign w:val="center"/>
          </w:tcPr>
          <w:p>
            <w:pPr>
              <w:pStyle w:val="TableContents"/>
              <w:bidi w:val="0"/>
              <w:spacing w:before="0" w:after="283"/>
              <w:jc w:val="center"/>
              <w:rPr/>
            </w:pPr>
            <w:r>
              <w:rPr/>
              <w:t> </w:t>
            </w:r>
          </w:p>
        </w:tc>
        <w:tc>
          <w:tcPr>
            <w:tcW w:w="876" w:type="dxa"/>
            <w:tcBorders>
              <w:top w:val="single" w:sz="8" w:space="0" w:color="000000"/>
            </w:tcBorders>
            <w:tcMar>
              <w:top w:w="28" w:type="dxa"/>
            </w:tcMar>
            <w:vAlign w:val="center"/>
          </w:tcPr>
          <w:p>
            <w:pPr>
              <w:pStyle w:val="TableContents"/>
              <w:bidi w:val="0"/>
              <w:spacing w:before="0" w:after="283"/>
              <w:jc w:val="center"/>
              <w:rPr/>
            </w:pPr>
            <w:r>
              <w:rPr/>
              <w:t xml:space="preserve">Fee </w:t>
              <w:br/>
              <w:t xml:space="preserve">Rate </w:t>
            </w:r>
          </w:p>
        </w:tc>
        <w:tc>
          <w:tcPr>
            <w:tcW w:w="60" w:type="dxa"/>
            <w:tcBorders>
              <w:top w:val="single" w:sz="8" w:space="0" w:color="000000"/>
              <w:left w:val="single" w:sz="8" w:space="0" w:color="000000"/>
            </w:tcBorders>
            <w:tcMar>
              <w:top w:w="28" w:type="dxa"/>
              <w:left w:w="28" w:type="dxa"/>
            </w:tcMar>
            <w:vAlign w:val="center"/>
          </w:tcPr>
          <w:p>
            <w:pPr>
              <w:pStyle w:val="TableContents"/>
              <w:bidi w:val="0"/>
              <w:spacing w:before="0" w:after="283"/>
              <w:jc w:val="center"/>
              <w:rPr/>
            </w:pPr>
            <w:r>
              <w:rPr/>
              <w:t> </w:t>
            </w:r>
          </w:p>
        </w:tc>
        <w:tc>
          <w:tcPr>
            <w:tcW w:w="1178" w:type="dxa"/>
            <w:tcBorders>
              <w:top w:val="single" w:sz="8" w:space="0" w:color="000000"/>
              <w:right w:val="single" w:sz="8" w:space="0" w:color="000000"/>
            </w:tcBorders>
            <w:tcMar>
              <w:top w:w="28" w:type="dxa"/>
              <w:right w:w="40" w:type="dxa"/>
            </w:tcMar>
            <w:vAlign w:val="center"/>
          </w:tcPr>
          <w:p>
            <w:pPr>
              <w:pStyle w:val="TableContents"/>
              <w:bidi w:val="0"/>
              <w:spacing w:before="0" w:after="283"/>
              <w:jc w:val="center"/>
              <w:rPr/>
            </w:pPr>
            <w:r>
              <w:rPr/>
              <w:t>Amount of</w:t>
              <w:br/>
              <w:t>Registration</w:t>
              <w:br/>
              <w:t xml:space="preserve">Fee </w:t>
            </w:r>
          </w:p>
        </w:tc>
      </w:tr>
      <w:tr>
        <w:trPr/>
        <w:tc>
          <w:tcPr>
            <w:tcW w:w="815" w:type="dxa"/>
            <w:tcBorders>
              <w:top w:val="single" w:sz="8" w:space="0" w:color="000000"/>
              <w:left w:val="single" w:sz="8" w:space="0" w:color="000000"/>
            </w:tcBorders>
            <w:tcMar>
              <w:top w:w="28" w:type="dxa"/>
              <w:left w:w="160" w:type="dxa"/>
            </w:tcMar>
            <w:vAlign w:val="center"/>
          </w:tcPr>
          <w:p>
            <w:pPr>
              <w:pStyle w:val="TableContents"/>
              <w:bidi w:val="0"/>
              <w:spacing w:before="0" w:after="283"/>
              <w:jc w:val="center"/>
              <w:rPr/>
            </w:pPr>
            <w:r>
              <w:rPr/>
              <w:t xml:space="preserve">Equity </w:t>
            </w:r>
          </w:p>
        </w:tc>
        <w:tc>
          <w:tcPr>
            <w:tcW w:w="60" w:type="dxa"/>
            <w:tcBorders>
              <w:top w:val="single" w:sz="8" w:space="0" w:color="000000"/>
              <w:left w:val="single" w:sz="8" w:space="0" w:color="000000"/>
            </w:tcBorders>
            <w:tcMar>
              <w:top w:w="28" w:type="dxa"/>
              <w:left w:w="28" w:type="dxa"/>
            </w:tcMar>
            <w:vAlign w:val="center"/>
          </w:tcPr>
          <w:p>
            <w:pPr>
              <w:pStyle w:val="TableContents"/>
              <w:bidi w:val="0"/>
              <w:spacing w:before="0" w:after="283"/>
              <w:jc w:val="center"/>
              <w:rPr/>
            </w:pPr>
            <w:r>
              <w:rPr/>
              <w:t> </w:t>
            </w:r>
          </w:p>
        </w:tc>
        <w:tc>
          <w:tcPr>
            <w:tcW w:w="1951" w:type="dxa"/>
            <w:tcBorders>
              <w:top w:val="single" w:sz="8" w:space="0" w:color="000000"/>
            </w:tcBorders>
            <w:tcMar>
              <w:top w:w="28" w:type="dxa"/>
            </w:tcMar>
            <w:vAlign w:val="center"/>
          </w:tcPr>
          <w:p>
            <w:pPr>
              <w:pStyle w:val="TableContents"/>
              <w:bidi w:val="0"/>
              <w:spacing w:before="0" w:after="283"/>
              <w:jc w:val="center"/>
              <w:rPr/>
            </w:pPr>
            <w:r>
              <w:rPr/>
              <w:t xml:space="preserve">2015 Stock Option and Incentive Plan Common Stock, $0.001 par value per share </w:t>
            </w:r>
          </w:p>
        </w:tc>
        <w:tc>
          <w:tcPr>
            <w:tcW w:w="60" w:type="dxa"/>
            <w:tcBorders>
              <w:top w:val="single" w:sz="8" w:space="0" w:color="000000"/>
              <w:left w:val="single" w:sz="8" w:space="0" w:color="000000"/>
            </w:tcBorders>
            <w:tcMar>
              <w:top w:w="28" w:type="dxa"/>
              <w:left w:w="28" w:type="dxa"/>
            </w:tcMar>
            <w:vAlign w:val="center"/>
          </w:tcPr>
          <w:p>
            <w:pPr>
              <w:pStyle w:val="TableContents"/>
              <w:bidi w:val="0"/>
              <w:spacing w:before="0" w:after="283"/>
              <w:jc w:val="center"/>
              <w:rPr/>
            </w:pPr>
            <w:r>
              <w:rPr/>
              <w:t> </w:t>
            </w:r>
          </w:p>
        </w:tc>
        <w:tc>
          <w:tcPr>
            <w:tcW w:w="1100" w:type="dxa"/>
            <w:tcBorders>
              <w:top w:val="single" w:sz="8" w:space="0" w:color="000000"/>
            </w:tcBorders>
            <w:tcMar>
              <w:top w:w="28" w:type="dxa"/>
            </w:tcMar>
            <w:vAlign w:val="center"/>
          </w:tcPr>
          <w:p>
            <w:pPr>
              <w:pStyle w:val="TableContents"/>
              <w:bidi w:val="0"/>
              <w:spacing w:before="0" w:after="283"/>
              <w:jc w:val="center"/>
              <w:rPr/>
            </w:pPr>
            <w:r>
              <w:rPr/>
              <w:t xml:space="preserve">457(h) </w:t>
            </w:r>
          </w:p>
        </w:tc>
        <w:tc>
          <w:tcPr>
            <w:tcW w:w="60" w:type="dxa"/>
            <w:tcBorders>
              <w:top w:val="single" w:sz="8" w:space="0" w:color="000000"/>
              <w:left w:val="single" w:sz="8" w:space="0" w:color="000000"/>
            </w:tcBorders>
            <w:tcMar>
              <w:top w:w="28" w:type="dxa"/>
              <w:left w:w="28" w:type="dxa"/>
            </w:tcMar>
            <w:vAlign w:val="center"/>
          </w:tcPr>
          <w:p>
            <w:pPr>
              <w:pStyle w:val="TableContents"/>
              <w:bidi w:val="0"/>
              <w:spacing w:before="0" w:after="283"/>
              <w:jc w:val="center"/>
              <w:rPr/>
            </w:pPr>
            <w:r>
              <w:rPr/>
              <w:t> </w:t>
            </w:r>
          </w:p>
        </w:tc>
        <w:tc>
          <w:tcPr>
            <w:tcW w:w="1105" w:type="dxa"/>
            <w:tcBorders>
              <w:top w:val="single" w:sz="8" w:space="0" w:color="000000"/>
            </w:tcBorders>
            <w:tcMar>
              <w:top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2,445,889</w:t>
            </w:r>
          </w:p>
        </w:tc>
        <w:tc>
          <w:tcPr>
            <w:tcW w:w="60" w:type="dxa"/>
            <w:tcBorders>
              <w:top w:val="single" w:sz="8" w:space="0" w:color="000000"/>
              <w:left w:val="single" w:sz="8" w:space="0" w:color="000000"/>
            </w:tcBorders>
            <w:tcMar>
              <w:top w:w="28" w:type="dxa"/>
              <w:left w:w="28" w:type="dxa"/>
            </w:tcMar>
            <w:vAlign w:val="center"/>
          </w:tcPr>
          <w:p>
            <w:pPr>
              <w:pStyle w:val="TableContents"/>
              <w:bidi w:val="0"/>
              <w:spacing w:before="0" w:after="283"/>
              <w:jc w:val="center"/>
              <w:rPr/>
            </w:pPr>
            <w:r>
              <w:rPr/>
              <w:t> </w:t>
            </w:r>
          </w:p>
        </w:tc>
        <w:tc>
          <w:tcPr>
            <w:tcW w:w="1005" w:type="dxa"/>
            <w:tcBorders>
              <w:top w:val="single" w:sz="8" w:space="0" w:color="000000"/>
            </w:tcBorders>
            <w:tcMar>
              <w:top w:w="28" w:type="dxa"/>
            </w:tcMar>
            <w:vAlign w:val="center"/>
          </w:tcPr>
          <w:p>
            <w:pPr>
              <w:pStyle w:val="TableContents"/>
              <w:bidi w:val="0"/>
              <w:spacing w:before="0" w:after="283"/>
              <w:jc w:val="center"/>
              <w:rPr/>
            </w:pPr>
            <w:r>
              <w:rPr/>
              <w:t xml:space="preserve">$74.05 (2) </w:t>
            </w:r>
          </w:p>
        </w:tc>
        <w:tc>
          <w:tcPr>
            <w:tcW w:w="60" w:type="dxa"/>
            <w:tcBorders>
              <w:top w:val="single" w:sz="8" w:space="0" w:color="000000"/>
              <w:left w:val="single" w:sz="8" w:space="0" w:color="000000"/>
            </w:tcBorders>
            <w:tcMar>
              <w:top w:w="28" w:type="dxa"/>
              <w:left w:w="28" w:type="dxa"/>
            </w:tcMar>
            <w:vAlign w:val="center"/>
          </w:tcPr>
          <w:p>
            <w:pPr>
              <w:pStyle w:val="TableContents"/>
              <w:bidi w:val="0"/>
              <w:spacing w:before="0" w:after="283"/>
              <w:jc w:val="center"/>
              <w:rPr/>
            </w:pPr>
            <w:r>
              <w:rPr/>
              <w:t> </w:t>
            </w:r>
          </w:p>
        </w:tc>
        <w:tc>
          <w:tcPr>
            <w:tcW w:w="1755" w:type="dxa"/>
            <w:tcBorders>
              <w:top w:val="single" w:sz="8" w:space="0" w:color="000000"/>
            </w:tcBorders>
            <w:tcMar>
              <w:top w:w="28" w:type="dxa"/>
            </w:tcMar>
            <w:vAlign w:val="center"/>
          </w:tcPr>
          <w:p>
            <w:pPr>
              <w:pStyle w:val="TableContents"/>
              <w:bidi w:val="0"/>
              <w:spacing w:before="0" w:after="283"/>
              <w:jc w:val="center"/>
              <w:rPr/>
            </w:pPr>
            <w:r>
              <w:rPr/>
              <w:t xml:space="preserve">$ 181,118,080.45 (2) </w:t>
            </w:r>
          </w:p>
        </w:tc>
        <w:tc>
          <w:tcPr>
            <w:tcW w:w="60" w:type="dxa"/>
            <w:tcBorders>
              <w:top w:val="single" w:sz="8" w:space="0" w:color="000000"/>
              <w:left w:val="single" w:sz="8" w:space="0" w:color="000000"/>
            </w:tcBorders>
            <w:tcMar>
              <w:top w:w="28" w:type="dxa"/>
              <w:left w:w="28" w:type="dxa"/>
            </w:tcMar>
            <w:vAlign w:val="center"/>
          </w:tcPr>
          <w:p>
            <w:pPr>
              <w:pStyle w:val="TableContents"/>
              <w:bidi w:val="0"/>
              <w:spacing w:before="0" w:after="283"/>
              <w:jc w:val="center"/>
              <w:rPr/>
            </w:pPr>
            <w:r>
              <w:rPr/>
              <w:t> </w:t>
            </w:r>
          </w:p>
        </w:tc>
        <w:tc>
          <w:tcPr>
            <w:tcW w:w="876" w:type="dxa"/>
            <w:tcBorders>
              <w:top w:val="single" w:sz="8" w:space="0" w:color="000000"/>
            </w:tcBorders>
            <w:tcMar>
              <w:top w:w="28" w:type="dxa"/>
            </w:tcMar>
            <w:vAlign w:val="center"/>
          </w:tcPr>
          <w:p>
            <w:pPr>
              <w:pStyle w:val="TableContents"/>
              <w:bidi w:val="0"/>
              <w:spacing w:before="0" w:after="283"/>
              <w:jc w:val="center"/>
              <w:rPr/>
            </w:pPr>
            <w:r>
              <w:rPr/>
              <w:t xml:space="preserve">.0001476 </w:t>
            </w:r>
          </w:p>
        </w:tc>
        <w:tc>
          <w:tcPr>
            <w:tcW w:w="60" w:type="dxa"/>
            <w:tcBorders>
              <w:top w:val="single" w:sz="8" w:space="0" w:color="000000"/>
              <w:left w:val="single" w:sz="8" w:space="0" w:color="000000"/>
            </w:tcBorders>
            <w:tcMar>
              <w:top w:w="28" w:type="dxa"/>
              <w:left w:w="28" w:type="dxa"/>
            </w:tcMar>
            <w:vAlign w:val="center"/>
          </w:tcPr>
          <w:p>
            <w:pPr>
              <w:pStyle w:val="TableContents"/>
              <w:bidi w:val="0"/>
              <w:spacing w:before="0" w:after="283"/>
              <w:jc w:val="center"/>
              <w:rPr/>
            </w:pPr>
            <w:r>
              <w:rPr/>
              <w:t> </w:t>
            </w:r>
          </w:p>
        </w:tc>
        <w:tc>
          <w:tcPr>
            <w:tcW w:w="1178" w:type="dxa"/>
            <w:tcBorders>
              <w:top w:val="single" w:sz="8" w:space="0" w:color="000000"/>
              <w:right w:val="single" w:sz="8" w:space="0" w:color="000000"/>
            </w:tcBorders>
            <w:tcMar>
              <w:top w:w="28" w:type="dxa"/>
              <w:right w:w="40" w:type="dxa"/>
            </w:tcMar>
            <w:vAlign w:val="center"/>
          </w:tcPr>
          <w:p>
            <w:pPr>
              <w:pStyle w:val="TableContents"/>
              <w:bidi w:val="0"/>
              <w:spacing w:before="0" w:after="283"/>
              <w:jc w:val="center"/>
              <w:rPr/>
            </w:pPr>
            <w:r>
              <w:rPr/>
              <w:t xml:space="preserve">$26,733.03 </w:t>
            </w:r>
          </w:p>
        </w:tc>
      </w:tr>
      <w:tr>
        <w:trPr/>
        <w:tc>
          <w:tcPr>
            <w:tcW w:w="815" w:type="dxa"/>
            <w:tcBorders>
              <w:top w:val="single" w:sz="8" w:space="0" w:color="000000"/>
              <w:left w:val="single" w:sz="8" w:space="0" w:color="000000"/>
            </w:tcBorders>
            <w:tcMar>
              <w:top w:w="28" w:type="dxa"/>
              <w:left w:w="160" w:type="dxa"/>
            </w:tcMar>
            <w:vAlign w:val="center"/>
          </w:tcPr>
          <w:p>
            <w:pPr>
              <w:pStyle w:val="TableContents"/>
              <w:bidi w:val="0"/>
              <w:spacing w:before="0" w:after="283"/>
              <w:jc w:val="center"/>
              <w:rPr/>
            </w:pPr>
            <w:r>
              <w:rPr/>
              <w:t xml:space="preserve">Equity </w:t>
            </w:r>
          </w:p>
        </w:tc>
        <w:tc>
          <w:tcPr>
            <w:tcW w:w="60" w:type="dxa"/>
            <w:tcBorders>
              <w:top w:val="single" w:sz="8" w:space="0" w:color="000000"/>
              <w:left w:val="single" w:sz="8" w:space="0" w:color="000000"/>
            </w:tcBorders>
            <w:tcMar>
              <w:top w:w="28" w:type="dxa"/>
              <w:left w:w="28" w:type="dxa"/>
            </w:tcMar>
            <w:vAlign w:val="center"/>
          </w:tcPr>
          <w:p>
            <w:pPr>
              <w:pStyle w:val="TableContents"/>
              <w:bidi w:val="0"/>
              <w:spacing w:before="0" w:after="283"/>
              <w:jc w:val="center"/>
              <w:rPr/>
            </w:pPr>
            <w:r>
              <w:rPr/>
              <w:t> </w:t>
            </w:r>
          </w:p>
        </w:tc>
        <w:tc>
          <w:tcPr>
            <w:tcW w:w="1951" w:type="dxa"/>
            <w:tcBorders>
              <w:top w:val="single" w:sz="8" w:space="0" w:color="000000"/>
            </w:tcBorders>
            <w:tcMar>
              <w:top w:w="28" w:type="dxa"/>
            </w:tcMar>
            <w:vAlign w:val="center"/>
          </w:tcPr>
          <w:p>
            <w:pPr>
              <w:pStyle w:val="TableContents"/>
              <w:bidi w:val="0"/>
              <w:spacing w:before="0" w:after="283"/>
              <w:jc w:val="center"/>
              <w:rPr/>
            </w:pPr>
            <w:r>
              <w:rPr/>
              <w:t xml:space="preserve">2015 Employee Stock Purchase Plan Common Stock, $0.001 par value per share </w:t>
            </w:r>
          </w:p>
        </w:tc>
        <w:tc>
          <w:tcPr>
            <w:tcW w:w="60" w:type="dxa"/>
            <w:tcBorders>
              <w:top w:val="single" w:sz="8" w:space="0" w:color="000000"/>
              <w:left w:val="single" w:sz="8" w:space="0" w:color="000000"/>
            </w:tcBorders>
            <w:tcMar>
              <w:top w:w="28" w:type="dxa"/>
              <w:left w:w="28" w:type="dxa"/>
            </w:tcMar>
            <w:vAlign w:val="center"/>
          </w:tcPr>
          <w:p>
            <w:pPr>
              <w:pStyle w:val="TableContents"/>
              <w:bidi w:val="0"/>
              <w:spacing w:before="0" w:after="283"/>
              <w:jc w:val="center"/>
              <w:rPr/>
            </w:pPr>
            <w:r>
              <w:rPr/>
              <w:t> </w:t>
            </w:r>
          </w:p>
        </w:tc>
        <w:tc>
          <w:tcPr>
            <w:tcW w:w="1100" w:type="dxa"/>
            <w:tcBorders>
              <w:top w:val="single" w:sz="8" w:space="0" w:color="000000"/>
            </w:tcBorders>
            <w:tcMar>
              <w:top w:w="28" w:type="dxa"/>
            </w:tcMar>
            <w:vAlign w:val="center"/>
          </w:tcPr>
          <w:p>
            <w:pPr>
              <w:pStyle w:val="TableContents"/>
              <w:bidi w:val="0"/>
              <w:spacing w:before="0" w:after="283"/>
              <w:jc w:val="center"/>
              <w:rPr/>
            </w:pPr>
            <w:r>
              <w:rPr/>
              <w:t xml:space="preserve">457(h) </w:t>
            </w:r>
          </w:p>
        </w:tc>
        <w:tc>
          <w:tcPr>
            <w:tcW w:w="60" w:type="dxa"/>
            <w:tcBorders>
              <w:top w:val="single" w:sz="8" w:space="0" w:color="000000"/>
              <w:left w:val="single" w:sz="8" w:space="0" w:color="000000"/>
            </w:tcBorders>
            <w:tcMar>
              <w:top w:w="28" w:type="dxa"/>
              <w:left w:w="28" w:type="dxa"/>
            </w:tcMar>
            <w:vAlign w:val="center"/>
          </w:tcPr>
          <w:p>
            <w:pPr>
              <w:pStyle w:val="TableContents"/>
              <w:bidi w:val="0"/>
              <w:spacing w:before="0" w:after="283"/>
              <w:jc w:val="center"/>
              <w:rPr/>
            </w:pPr>
            <w:r>
              <w:rPr/>
              <w:t> </w:t>
            </w:r>
          </w:p>
        </w:tc>
        <w:tc>
          <w:tcPr>
            <w:tcW w:w="1105" w:type="dxa"/>
            <w:tcBorders>
              <w:top w:val="single" w:sz="8" w:space="0" w:color="000000"/>
            </w:tcBorders>
            <w:tcMar>
              <w:top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611,472</w:t>
            </w:r>
          </w:p>
        </w:tc>
        <w:tc>
          <w:tcPr>
            <w:tcW w:w="60" w:type="dxa"/>
            <w:tcBorders>
              <w:top w:val="single" w:sz="8" w:space="0" w:color="000000"/>
              <w:left w:val="single" w:sz="8" w:space="0" w:color="000000"/>
            </w:tcBorders>
            <w:tcMar>
              <w:top w:w="28" w:type="dxa"/>
              <w:left w:w="28" w:type="dxa"/>
            </w:tcMar>
            <w:vAlign w:val="center"/>
          </w:tcPr>
          <w:p>
            <w:pPr>
              <w:pStyle w:val="TableContents"/>
              <w:bidi w:val="0"/>
              <w:spacing w:before="0" w:after="283"/>
              <w:jc w:val="center"/>
              <w:rPr/>
            </w:pPr>
            <w:r>
              <w:rPr/>
              <w:t> </w:t>
            </w:r>
          </w:p>
        </w:tc>
        <w:tc>
          <w:tcPr>
            <w:tcW w:w="1005" w:type="dxa"/>
            <w:tcBorders>
              <w:top w:val="single" w:sz="8" w:space="0" w:color="000000"/>
            </w:tcBorders>
            <w:tcMar>
              <w:top w:w="28" w:type="dxa"/>
            </w:tcMar>
            <w:vAlign w:val="center"/>
          </w:tcPr>
          <w:p>
            <w:pPr>
              <w:pStyle w:val="TableContents"/>
              <w:bidi w:val="0"/>
              <w:spacing w:before="0" w:after="283"/>
              <w:jc w:val="center"/>
              <w:rPr/>
            </w:pPr>
            <w:r>
              <w:rPr/>
              <w:t xml:space="preserve">$62.95 (3) </w:t>
            </w:r>
          </w:p>
        </w:tc>
        <w:tc>
          <w:tcPr>
            <w:tcW w:w="60" w:type="dxa"/>
            <w:tcBorders>
              <w:top w:val="single" w:sz="8" w:space="0" w:color="000000"/>
              <w:left w:val="single" w:sz="8" w:space="0" w:color="000000"/>
            </w:tcBorders>
            <w:tcMar>
              <w:top w:w="28" w:type="dxa"/>
              <w:left w:w="28" w:type="dxa"/>
            </w:tcMar>
            <w:vAlign w:val="center"/>
          </w:tcPr>
          <w:p>
            <w:pPr>
              <w:pStyle w:val="TableContents"/>
              <w:bidi w:val="0"/>
              <w:spacing w:before="0" w:after="283"/>
              <w:jc w:val="center"/>
              <w:rPr/>
            </w:pPr>
            <w:r>
              <w:rPr/>
              <w:t> </w:t>
            </w:r>
          </w:p>
        </w:tc>
        <w:tc>
          <w:tcPr>
            <w:tcW w:w="1755" w:type="dxa"/>
            <w:tcBorders>
              <w:top w:val="single" w:sz="8" w:space="0" w:color="000000"/>
            </w:tcBorders>
            <w:tcMar>
              <w:top w:w="28" w:type="dxa"/>
            </w:tcMar>
            <w:vAlign w:val="center"/>
          </w:tcPr>
          <w:p>
            <w:pPr>
              <w:pStyle w:val="TableContents"/>
              <w:bidi w:val="0"/>
              <w:spacing w:before="0" w:after="283"/>
              <w:jc w:val="center"/>
              <w:rPr/>
            </w:pPr>
            <w:r>
              <w:rPr/>
              <w:t xml:space="preserve">$38,492,162.40 (3) </w:t>
            </w:r>
          </w:p>
        </w:tc>
        <w:tc>
          <w:tcPr>
            <w:tcW w:w="60" w:type="dxa"/>
            <w:tcBorders>
              <w:top w:val="single" w:sz="8" w:space="0" w:color="000000"/>
              <w:left w:val="single" w:sz="8" w:space="0" w:color="000000"/>
            </w:tcBorders>
            <w:tcMar>
              <w:top w:w="28" w:type="dxa"/>
              <w:left w:w="28" w:type="dxa"/>
            </w:tcMar>
            <w:vAlign w:val="center"/>
          </w:tcPr>
          <w:p>
            <w:pPr>
              <w:pStyle w:val="TableContents"/>
              <w:bidi w:val="0"/>
              <w:spacing w:before="0" w:after="283"/>
              <w:jc w:val="center"/>
              <w:rPr/>
            </w:pPr>
            <w:r>
              <w:rPr/>
              <w:t> </w:t>
            </w:r>
          </w:p>
        </w:tc>
        <w:tc>
          <w:tcPr>
            <w:tcW w:w="876" w:type="dxa"/>
            <w:tcBorders>
              <w:top w:val="single" w:sz="8" w:space="0" w:color="000000"/>
            </w:tcBorders>
            <w:tcMar>
              <w:top w:w="28" w:type="dxa"/>
            </w:tcMar>
            <w:vAlign w:val="center"/>
          </w:tcPr>
          <w:p>
            <w:pPr>
              <w:pStyle w:val="TableContents"/>
              <w:bidi w:val="0"/>
              <w:spacing w:before="0" w:after="283"/>
              <w:jc w:val="center"/>
              <w:rPr/>
            </w:pPr>
            <w:r>
              <w:rPr/>
              <w:t xml:space="preserve">.0001476 </w:t>
            </w:r>
          </w:p>
        </w:tc>
        <w:tc>
          <w:tcPr>
            <w:tcW w:w="60" w:type="dxa"/>
            <w:tcBorders>
              <w:top w:val="single" w:sz="8" w:space="0" w:color="000000"/>
              <w:left w:val="single" w:sz="8" w:space="0" w:color="000000"/>
            </w:tcBorders>
            <w:tcMar>
              <w:top w:w="28" w:type="dxa"/>
              <w:left w:w="28" w:type="dxa"/>
            </w:tcMar>
            <w:vAlign w:val="center"/>
          </w:tcPr>
          <w:p>
            <w:pPr>
              <w:pStyle w:val="TableContents"/>
              <w:bidi w:val="0"/>
              <w:spacing w:before="0" w:after="283"/>
              <w:jc w:val="center"/>
              <w:rPr/>
            </w:pPr>
            <w:r>
              <w:rPr/>
              <w:t> </w:t>
            </w:r>
          </w:p>
        </w:tc>
        <w:tc>
          <w:tcPr>
            <w:tcW w:w="1178" w:type="dxa"/>
            <w:tcBorders>
              <w:top w:val="single" w:sz="8" w:space="0" w:color="000000"/>
              <w:right w:val="single" w:sz="8" w:space="0" w:color="000000"/>
            </w:tcBorders>
            <w:tcMar>
              <w:top w:w="28" w:type="dxa"/>
              <w:right w:w="40" w:type="dxa"/>
            </w:tcMar>
            <w:vAlign w:val="center"/>
          </w:tcPr>
          <w:p>
            <w:pPr>
              <w:pStyle w:val="TableContents"/>
              <w:bidi w:val="0"/>
              <w:spacing w:before="0" w:after="283"/>
              <w:jc w:val="center"/>
              <w:rPr/>
            </w:pPr>
            <w:r>
              <w:rPr/>
              <w:t>$5,681.45</w:t>
            </w:r>
          </w:p>
        </w:tc>
      </w:tr>
      <w:tr>
        <w:trPr/>
        <w:tc>
          <w:tcPr>
            <w:tcW w:w="5151" w:type="dxa"/>
            <w:gridSpan w:val="7"/>
            <w:tcBorders>
              <w:top w:val="single" w:sz="8" w:space="0" w:color="000000"/>
              <w:left w:val="single" w:sz="8" w:space="0" w:color="000000"/>
            </w:tcBorders>
            <w:tcMar>
              <w:top w:w="28" w:type="dxa"/>
              <w:left w:w="160" w:type="dxa"/>
            </w:tcMar>
            <w:vAlign w:val="center"/>
          </w:tcPr>
          <w:p>
            <w:pPr>
              <w:pStyle w:val="TableContents"/>
              <w:bidi w:val="0"/>
              <w:spacing w:before="0" w:after="283"/>
              <w:jc w:val="center"/>
              <w:rPr/>
            </w:pPr>
            <w:r>
              <w:rPr/>
              <w:t xml:space="preserve">Total Offering Amounts </w:t>
            </w:r>
          </w:p>
        </w:tc>
        <w:tc>
          <w:tcPr>
            <w:tcW w:w="60" w:type="dxa"/>
            <w:tcBorders>
              <w:top w:val="single" w:sz="8" w:space="0" w:color="000000"/>
              <w:left w:val="single" w:sz="8" w:space="0" w:color="000000"/>
            </w:tcBorders>
            <w:tcMar>
              <w:top w:w="28" w:type="dxa"/>
              <w:left w:w="28" w:type="dxa"/>
            </w:tcMar>
            <w:vAlign w:val="center"/>
          </w:tcPr>
          <w:p>
            <w:pPr>
              <w:pStyle w:val="TableContents"/>
              <w:bidi w:val="0"/>
              <w:spacing w:before="0" w:after="283"/>
              <w:jc w:val="center"/>
              <w:rPr/>
            </w:pPr>
            <w:r>
              <w:rPr/>
              <w:t> </w:t>
            </w:r>
          </w:p>
        </w:tc>
        <w:tc>
          <w:tcPr>
            <w:tcW w:w="1005" w:type="dxa"/>
            <w:tcBorders>
              <w:top w:val="single" w:sz="8" w:space="0" w:color="000000"/>
            </w:tcBorders>
            <w:tcMar>
              <w:top w:w="28" w:type="dxa"/>
            </w:tcMar>
            <w:vAlign w:val="center"/>
          </w:tcPr>
          <w:p>
            <w:pPr>
              <w:pStyle w:val="TableContents"/>
              <w:bidi w:val="0"/>
              <w:spacing w:before="0" w:after="283"/>
              <w:jc w:val="center"/>
              <w:rPr/>
            </w:pPr>
            <w:r>
              <w:rPr/>
              <w:t> </w:t>
            </w:r>
          </w:p>
        </w:tc>
        <w:tc>
          <w:tcPr>
            <w:tcW w:w="60" w:type="dxa"/>
            <w:tcBorders>
              <w:top w:val="single" w:sz="8" w:space="0" w:color="000000"/>
              <w:left w:val="single" w:sz="8" w:space="0" w:color="000000"/>
            </w:tcBorders>
            <w:tcMar>
              <w:top w:w="28" w:type="dxa"/>
              <w:left w:w="28" w:type="dxa"/>
            </w:tcMar>
            <w:vAlign w:val="center"/>
          </w:tcPr>
          <w:p>
            <w:pPr>
              <w:pStyle w:val="TableContents"/>
              <w:bidi w:val="0"/>
              <w:spacing w:before="0" w:after="283"/>
              <w:jc w:val="center"/>
              <w:rPr/>
            </w:pPr>
            <w:r>
              <w:rPr/>
              <w:t> </w:t>
            </w:r>
          </w:p>
        </w:tc>
        <w:tc>
          <w:tcPr>
            <w:tcW w:w="1755" w:type="dxa"/>
            <w:tcBorders>
              <w:top w:val="single" w:sz="8" w:space="0" w:color="000000"/>
            </w:tcBorders>
            <w:tcMar>
              <w:top w:w="28" w:type="dxa"/>
            </w:tcMar>
            <w:vAlign w:val="center"/>
          </w:tcPr>
          <w:p>
            <w:pPr>
              <w:pStyle w:val="TableContents"/>
              <w:bidi w:val="0"/>
              <w:spacing w:before="0" w:after="283"/>
              <w:jc w:val="center"/>
              <w:rPr/>
            </w:pPr>
            <w:r>
              <w:rPr/>
              <w:t>$219,610,242.85    </w:t>
            </w:r>
          </w:p>
        </w:tc>
        <w:tc>
          <w:tcPr>
            <w:tcW w:w="60" w:type="dxa"/>
            <w:tcBorders>
              <w:top w:val="single" w:sz="8" w:space="0" w:color="000000"/>
              <w:left w:val="single" w:sz="8" w:space="0" w:color="000000"/>
            </w:tcBorders>
            <w:tcMar>
              <w:top w:w="28" w:type="dxa"/>
              <w:left w:w="28" w:type="dxa"/>
            </w:tcMar>
            <w:vAlign w:val="center"/>
          </w:tcPr>
          <w:p>
            <w:pPr>
              <w:pStyle w:val="TableContents"/>
              <w:bidi w:val="0"/>
              <w:spacing w:before="0" w:after="283"/>
              <w:jc w:val="center"/>
              <w:rPr/>
            </w:pPr>
            <w:r>
              <w:rPr/>
              <w:t> </w:t>
            </w:r>
          </w:p>
        </w:tc>
        <w:tc>
          <w:tcPr>
            <w:tcW w:w="876" w:type="dxa"/>
            <w:tcBorders>
              <w:top w:val="single" w:sz="8" w:space="0" w:color="000000"/>
            </w:tcBorders>
            <w:tcMar>
              <w:top w:w="28" w:type="dxa"/>
            </w:tcMar>
            <w:vAlign w:val="center"/>
          </w:tcPr>
          <w:p>
            <w:pPr>
              <w:pStyle w:val="TableContents"/>
              <w:bidi w:val="0"/>
              <w:spacing w:before="0" w:after="283"/>
              <w:jc w:val="center"/>
              <w:rPr/>
            </w:pPr>
            <w:r>
              <w:rPr/>
              <w:t> </w:t>
            </w:r>
          </w:p>
        </w:tc>
        <w:tc>
          <w:tcPr>
            <w:tcW w:w="60" w:type="dxa"/>
            <w:tcBorders>
              <w:top w:val="single" w:sz="8" w:space="0" w:color="000000"/>
              <w:left w:val="single" w:sz="8" w:space="0" w:color="000000"/>
            </w:tcBorders>
            <w:tcMar>
              <w:top w:w="28" w:type="dxa"/>
              <w:left w:w="28" w:type="dxa"/>
            </w:tcMar>
            <w:vAlign w:val="center"/>
          </w:tcPr>
          <w:p>
            <w:pPr>
              <w:pStyle w:val="TableContents"/>
              <w:bidi w:val="0"/>
              <w:spacing w:before="0" w:after="283"/>
              <w:jc w:val="center"/>
              <w:rPr/>
            </w:pPr>
            <w:r>
              <w:rPr/>
              <w:t> </w:t>
            </w:r>
          </w:p>
        </w:tc>
        <w:tc>
          <w:tcPr>
            <w:tcW w:w="1178" w:type="dxa"/>
            <w:tcBorders>
              <w:top w:val="single" w:sz="8" w:space="0" w:color="000000"/>
              <w:right w:val="single" w:sz="8" w:space="0" w:color="000000"/>
            </w:tcBorders>
            <w:tcMar>
              <w:top w:w="28" w:type="dxa"/>
              <w:right w:w="40" w:type="dxa"/>
            </w:tcMar>
            <w:vAlign w:val="center"/>
          </w:tcPr>
          <w:p>
            <w:pPr>
              <w:pStyle w:val="TableContents"/>
              <w:bidi w:val="0"/>
              <w:spacing w:before="0" w:after="283"/>
              <w:jc w:val="center"/>
              <w:rPr/>
            </w:pPr>
            <w:r>
              <w:rPr/>
              <w:t xml:space="preserve">$32,414.47 </w:t>
            </w:r>
          </w:p>
        </w:tc>
      </w:tr>
      <w:tr>
        <w:trPr/>
        <w:tc>
          <w:tcPr>
            <w:tcW w:w="5151" w:type="dxa"/>
            <w:gridSpan w:val="7"/>
            <w:tcBorders>
              <w:top w:val="single" w:sz="8" w:space="0" w:color="000000"/>
              <w:left w:val="single" w:sz="8" w:space="0" w:color="000000"/>
            </w:tcBorders>
            <w:tcMar>
              <w:top w:w="28" w:type="dxa"/>
              <w:left w:w="160" w:type="dxa"/>
            </w:tcMar>
            <w:vAlign w:val="center"/>
          </w:tcPr>
          <w:p>
            <w:pPr>
              <w:pStyle w:val="TableContents"/>
              <w:bidi w:val="0"/>
              <w:spacing w:before="0" w:after="283"/>
              <w:jc w:val="center"/>
              <w:rPr/>
            </w:pPr>
            <w:r>
              <w:rPr/>
              <w:t xml:space="preserve">Total Fee Offsets </w:t>
            </w:r>
          </w:p>
        </w:tc>
        <w:tc>
          <w:tcPr>
            <w:tcW w:w="60" w:type="dxa"/>
            <w:tcBorders>
              <w:top w:val="single" w:sz="8" w:space="0" w:color="000000"/>
              <w:left w:val="single" w:sz="8" w:space="0" w:color="000000"/>
            </w:tcBorders>
            <w:tcMar>
              <w:top w:w="28" w:type="dxa"/>
              <w:left w:w="28" w:type="dxa"/>
            </w:tcMar>
            <w:vAlign w:val="center"/>
          </w:tcPr>
          <w:p>
            <w:pPr>
              <w:pStyle w:val="TableContents"/>
              <w:bidi w:val="0"/>
              <w:spacing w:before="0" w:after="283"/>
              <w:jc w:val="center"/>
              <w:rPr/>
            </w:pPr>
            <w:r>
              <w:rPr/>
              <w:t> </w:t>
            </w:r>
          </w:p>
        </w:tc>
        <w:tc>
          <w:tcPr>
            <w:tcW w:w="1005" w:type="dxa"/>
            <w:tcBorders>
              <w:top w:val="single" w:sz="8" w:space="0" w:color="000000"/>
            </w:tcBorders>
            <w:tcMar>
              <w:top w:w="28" w:type="dxa"/>
            </w:tcMar>
            <w:vAlign w:val="center"/>
          </w:tcPr>
          <w:p>
            <w:pPr>
              <w:pStyle w:val="TableContents"/>
              <w:bidi w:val="0"/>
              <w:spacing w:before="0" w:after="283"/>
              <w:jc w:val="center"/>
              <w:rPr/>
            </w:pPr>
            <w:r>
              <w:rPr/>
              <w:t> </w:t>
            </w:r>
          </w:p>
        </w:tc>
        <w:tc>
          <w:tcPr>
            <w:tcW w:w="60" w:type="dxa"/>
            <w:tcBorders>
              <w:top w:val="single" w:sz="8" w:space="0" w:color="000000"/>
              <w:left w:val="single" w:sz="8" w:space="0" w:color="000000"/>
            </w:tcBorders>
            <w:tcMar>
              <w:top w:w="28" w:type="dxa"/>
              <w:left w:w="28" w:type="dxa"/>
            </w:tcMar>
            <w:vAlign w:val="center"/>
          </w:tcPr>
          <w:p>
            <w:pPr>
              <w:pStyle w:val="TableContents"/>
              <w:bidi w:val="0"/>
              <w:spacing w:before="0" w:after="283"/>
              <w:jc w:val="center"/>
              <w:rPr/>
            </w:pPr>
            <w:r>
              <w:rPr/>
              <w:t> </w:t>
            </w:r>
          </w:p>
        </w:tc>
        <w:tc>
          <w:tcPr>
            <w:tcW w:w="1755" w:type="dxa"/>
            <w:tcBorders>
              <w:top w:val="single" w:sz="8" w:space="0" w:color="000000"/>
            </w:tcBorders>
            <w:tcMar>
              <w:top w:w="28" w:type="dxa"/>
            </w:tcMar>
            <w:vAlign w:val="center"/>
          </w:tcPr>
          <w:p>
            <w:pPr>
              <w:pStyle w:val="TableContents"/>
              <w:bidi w:val="0"/>
              <w:spacing w:before="0" w:after="283"/>
              <w:jc w:val="center"/>
              <w:rPr/>
            </w:pPr>
            <w:r>
              <w:rPr/>
              <w:t> </w:t>
            </w:r>
          </w:p>
        </w:tc>
        <w:tc>
          <w:tcPr>
            <w:tcW w:w="60" w:type="dxa"/>
            <w:tcBorders>
              <w:top w:val="single" w:sz="8" w:space="0" w:color="000000"/>
              <w:left w:val="single" w:sz="8" w:space="0" w:color="000000"/>
            </w:tcBorders>
            <w:tcMar>
              <w:top w:w="28" w:type="dxa"/>
              <w:left w:w="28" w:type="dxa"/>
            </w:tcMar>
            <w:vAlign w:val="center"/>
          </w:tcPr>
          <w:p>
            <w:pPr>
              <w:pStyle w:val="TableContents"/>
              <w:bidi w:val="0"/>
              <w:spacing w:before="0" w:after="283"/>
              <w:jc w:val="center"/>
              <w:rPr/>
            </w:pPr>
            <w:r>
              <w:rPr/>
              <w:t> </w:t>
            </w:r>
          </w:p>
        </w:tc>
        <w:tc>
          <w:tcPr>
            <w:tcW w:w="876" w:type="dxa"/>
            <w:tcBorders>
              <w:top w:val="single" w:sz="8" w:space="0" w:color="000000"/>
            </w:tcBorders>
            <w:tcMar>
              <w:top w:w="28" w:type="dxa"/>
            </w:tcMar>
            <w:vAlign w:val="center"/>
          </w:tcPr>
          <w:p>
            <w:pPr>
              <w:pStyle w:val="TableContents"/>
              <w:bidi w:val="0"/>
              <w:spacing w:before="0" w:after="283"/>
              <w:jc w:val="center"/>
              <w:rPr/>
            </w:pPr>
            <w:r>
              <w:rPr/>
              <w:t> </w:t>
            </w:r>
          </w:p>
        </w:tc>
        <w:tc>
          <w:tcPr>
            <w:tcW w:w="60" w:type="dxa"/>
            <w:tcBorders>
              <w:top w:val="single" w:sz="8" w:space="0" w:color="000000"/>
              <w:left w:val="single" w:sz="8" w:space="0" w:color="000000"/>
            </w:tcBorders>
            <w:tcMar>
              <w:top w:w="28" w:type="dxa"/>
              <w:left w:w="28" w:type="dxa"/>
            </w:tcMar>
            <w:vAlign w:val="center"/>
          </w:tcPr>
          <w:p>
            <w:pPr>
              <w:pStyle w:val="TableContents"/>
              <w:bidi w:val="0"/>
              <w:spacing w:before="0" w:after="283"/>
              <w:jc w:val="center"/>
              <w:rPr/>
            </w:pPr>
            <w:r>
              <w:rPr/>
              <w:t> </w:t>
            </w:r>
          </w:p>
        </w:tc>
        <w:tc>
          <w:tcPr>
            <w:tcW w:w="1178" w:type="dxa"/>
            <w:tcBorders>
              <w:top w:val="single" w:sz="8" w:space="0" w:color="000000"/>
              <w:right w:val="single" w:sz="8" w:space="0" w:color="000000"/>
            </w:tcBorders>
            <w:tcMar>
              <w:top w:w="28" w:type="dxa"/>
              <w:right w:w="40" w:type="dxa"/>
            </w:tcMar>
            <w:vAlign w:val="center"/>
          </w:tcPr>
          <w:p>
            <w:pPr>
              <w:pStyle w:val="TableContents"/>
              <w:bidi w:val="0"/>
              <w:spacing w:before="0" w:after="283"/>
              <w:jc w:val="center"/>
              <w:rPr/>
            </w:pPr>
            <w:r>
              <w:rPr/>
              <w:t xml:space="preserve">$0 </w:t>
            </w:r>
          </w:p>
        </w:tc>
      </w:tr>
      <w:tr>
        <w:trPr/>
        <w:tc>
          <w:tcPr>
            <w:tcW w:w="5151" w:type="dxa"/>
            <w:gridSpan w:val="7"/>
            <w:tcBorders>
              <w:top w:val="single" w:sz="8" w:space="0" w:color="000000"/>
              <w:left w:val="single" w:sz="8" w:space="0" w:color="000000"/>
              <w:bottom w:val="single" w:sz="8" w:space="0" w:color="000000"/>
            </w:tcBorders>
            <w:tcMar>
              <w:top w:w="28" w:type="dxa"/>
              <w:left w:w="160" w:type="dxa"/>
              <w:bottom w:w="28" w:type="dxa"/>
            </w:tcMar>
            <w:vAlign w:val="center"/>
          </w:tcPr>
          <w:p>
            <w:pPr>
              <w:pStyle w:val="TableContents"/>
              <w:bidi w:val="0"/>
              <w:spacing w:before="0" w:after="283"/>
              <w:jc w:val="center"/>
              <w:rPr/>
            </w:pPr>
            <w:r>
              <w:rPr/>
              <w:t xml:space="preserve">Net Fee Due </w:t>
            </w:r>
          </w:p>
        </w:tc>
        <w:tc>
          <w:tcPr>
            <w:tcW w:w="60" w:type="dxa"/>
            <w:tcBorders>
              <w:top w:val="single" w:sz="8" w:space="0" w:color="000000"/>
              <w:left w:val="single" w:sz="8" w:space="0" w:color="000000"/>
              <w:bottom w:val="single" w:sz="8" w:space="0" w:color="000000"/>
            </w:tcBorders>
            <w:tcMar>
              <w:top w:w="28" w:type="dxa"/>
              <w:left w:w="28" w:type="dxa"/>
              <w:bottom w:w="28" w:type="dxa"/>
            </w:tcMar>
            <w:vAlign w:val="center"/>
          </w:tcPr>
          <w:p>
            <w:pPr>
              <w:pStyle w:val="TableContents"/>
              <w:bidi w:val="0"/>
              <w:spacing w:before="0" w:after="283"/>
              <w:jc w:val="center"/>
              <w:rPr/>
            </w:pPr>
            <w:r>
              <w:rPr/>
              <w:t> </w:t>
            </w:r>
          </w:p>
        </w:tc>
        <w:tc>
          <w:tcPr>
            <w:tcW w:w="1005"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center"/>
              <w:rPr/>
            </w:pPr>
            <w:r>
              <w:rPr/>
              <w:t> </w:t>
            </w:r>
          </w:p>
        </w:tc>
        <w:tc>
          <w:tcPr>
            <w:tcW w:w="60" w:type="dxa"/>
            <w:tcBorders>
              <w:top w:val="single" w:sz="8" w:space="0" w:color="000000"/>
              <w:left w:val="single" w:sz="8" w:space="0" w:color="000000"/>
              <w:bottom w:val="single" w:sz="8" w:space="0" w:color="000000"/>
            </w:tcBorders>
            <w:tcMar>
              <w:top w:w="28" w:type="dxa"/>
              <w:left w:w="28" w:type="dxa"/>
              <w:bottom w:w="28" w:type="dxa"/>
            </w:tcMar>
            <w:vAlign w:val="center"/>
          </w:tcPr>
          <w:p>
            <w:pPr>
              <w:pStyle w:val="TableContents"/>
              <w:bidi w:val="0"/>
              <w:spacing w:before="0" w:after="283"/>
              <w:jc w:val="center"/>
              <w:rPr/>
            </w:pPr>
            <w:r>
              <w:rPr/>
              <w:t> </w:t>
            </w:r>
          </w:p>
        </w:tc>
        <w:tc>
          <w:tcPr>
            <w:tcW w:w="1755"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center"/>
              <w:rPr/>
            </w:pPr>
            <w:r>
              <w:rPr/>
              <w:t> </w:t>
            </w:r>
          </w:p>
        </w:tc>
        <w:tc>
          <w:tcPr>
            <w:tcW w:w="60" w:type="dxa"/>
            <w:tcBorders>
              <w:top w:val="single" w:sz="8" w:space="0" w:color="000000"/>
              <w:left w:val="single" w:sz="8" w:space="0" w:color="000000"/>
              <w:bottom w:val="single" w:sz="8" w:space="0" w:color="000000"/>
            </w:tcBorders>
            <w:tcMar>
              <w:top w:w="28" w:type="dxa"/>
              <w:left w:w="28" w:type="dxa"/>
              <w:bottom w:w="28" w:type="dxa"/>
            </w:tcMar>
            <w:vAlign w:val="center"/>
          </w:tcPr>
          <w:p>
            <w:pPr>
              <w:pStyle w:val="TableContents"/>
              <w:bidi w:val="0"/>
              <w:spacing w:before="0" w:after="283"/>
              <w:jc w:val="center"/>
              <w:rPr/>
            </w:pPr>
            <w:r>
              <w:rPr/>
              <w:t> </w:t>
            </w:r>
          </w:p>
        </w:tc>
        <w:tc>
          <w:tcPr>
            <w:tcW w:w="876"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center"/>
              <w:rPr/>
            </w:pPr>
            <w:r>
              <w:rPr/>
              <w:t> </w:t>
            </w:r>
          </w:p>
        </w:tc>
        <w:tc>
          <w:tcPr>
            <w:tcW w:w="60" w:type="dxa"/>
            <w:tcBorders>
              <w:top w:val="single" w:sz="8" w:space="0" w:color="000000"/>
              <w:left w:val="single" w:sz="8" w:space="0" w:color="000000"/>
              <w:bottom w:val="single" w:sz="8" w:space="0" w:color="000000"/>
            </w:tcBorders>
            <w:tcMar>
              <w:top w:w="28" w:type="dxa"/>
              <w:left w:w="28" w:type="dxa"/>
              <w:bottom w:w="28" w:type="dxa"/>
            </w:tcMar>
            <w:vAlign w:val="center"/>
          </w:tcPr>
          <w:p>
            <w:pPr>
              <w:pStyle w:val="TableContents"/>
              <w:bidi w:val="0"/>
              <w:spacing w:before="0" w:after="283"/>
              <w:jc w:val="center"/>
              <w:rPr/>
            </w:pPr>
            <w:r>
              <w:rPr/>
              <w:t> </w:t>
            </w:r>
          </w:p>
        </w:tc>
        <w:tc>
          <w:tcPr>
            <w:tcW w:w="1178" w:type="dxa"/>
            <w:tcBorders>
              <w:top w:val="single" w:sz="8" w:space="0" w:color="000000"/>
              <w:bottom w:val="single" w:sz="8" w:space="0" w:color="000000"/>
              <w:right w:val="single" w:sz="8" w:space="0" w:color="000000"/>
            </w:tcBorders>
            <w:tcMar>
              <w:top w:w="28" w:type="dxa"/>
              <w:bottom w:w="28" w:type="dxa"/>
              <w:right w:w="4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$32,414.47</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 accordance with Rule 416 under the Securities Act of 1933, as amended (the “Securities Act”), this registration statement shall be deemed to cover any additional shares of common stock that may from time to time be offered or issued under the above-named plans to prevent dilution resulting from stock splits, stock dividends, recapitalizations or similar transactions effected without the receipt of consideration which results in an increase in the number of the Registrant’s outstanding shares of Common Stock. Pursuant to Rule 416(c) under the Securities Act, this Registration Statement shall also cover an indeterminate amount of interests to be offered or sold pursuant to the employee benefit plans described herein.</w:t>
            </w:r>
          </w:p>
        </w:tc>
      </w:tr>
    </w:tbl>
    <w:tbl>
      <w:tblPr>
        <w:tblW w:w="10205" w:type="dxa"/>
        <w:jc w:val="left"/>
        <w:tblInd w:w="0" w:type="dxa"/>
        <w:tblLayout w:type="fixed"/>
        <w:tblCellMar>
          <w:top w:w="0" w:type="dxa"/>
          <w:left w:w="0" w:type="dxa"/>
          <w:bottom w:w="0" w:type="dxa"/>
          <w:right w:w="0" w:type="dxa"/>
        </w:tblCellMar>
      </w:tblPr>
      <w:tblGrid>
        <w:gridCol w:w="216"/>
        <w:gridCol w:w="9989"/>
      </w:tblGrid>
      <w:tr>
        <w:trPr/>
        <w:tc>
          <w:tcPr>
            <w:tcW w:w="2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Estimated solely for the purpose of calculating the registration fee pursuant to Rules 457(c) and 457(h) of the Securities Act and based upon the average of the high and low prices of the Registrant’s Common Stock as reported on The Nasdaq Global Select Market on February 13, 2024.</w:t>
            </w:r>
          </w:p>
        </w:tc>
      </w:tr>
      <w:tr>
        <w:trPr/>
        <w:tc>
          <w:tcPr>
            <w:tcW w:w="2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Estimated solely for the purpose of calculating the registration fee pursuant to Rules 457(c) and 457(h) of the Securities Act and based upon the average of the high and low prices of the Registrant’s Common Stock as reported on The Nasdaq Global Select Market on February 13, 2024, multiplied by 85%, which is the percentage of the price per share applicable to purchasers under the 2015 Employee Stock Purchase Plan.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97264/000110465915032381/a15-10041_1s8.htm" TargetMode="External"/><Relationship Id="rId3" Type="http://schemas.openxmlformats.org/officeDocument/2006/relationships/hyperlink" Target="https://www.sec.gov/Archives/edgar/data/1597264/000155837016004067/bpmc-20160311xs8.htm" TargetMode="External"/><Relationship Id="rId4" Type="http://schemas.openxmlformats.org/officeDocument/2006/relationships/hyperlink" Target="https://www.sec.gov/Archives/edgar/data/1597264/000155837017001552/bpmc_currentfolios8.htm" TargetMode="External"/><Relationship Id="rId5" Type="http://schemas.openxmlformats.org/officeDocument/2006/relationships/hyperlink" Target="https://www.sec.gov/Archives/edgar/data/1597264/000155837018000868/s-8.htm" TargetMode="External"/><Relationship Id="rId6" Type="http://schemas.openxmlformats.org/officeDocument/2006/relationships/hyperlink" Target="https://www.sec.gov/Archives/edgar/data/1597264/000155837019001099/s-8.htm" TargetMode="External"/><Relationship Id="rId7" Type="http://schemas.openxmlformats.org/officeDocument/2006/relationships/hyperlink" Target="https://www.sec.gov/Archives/edgar/data/1597264/000155837020000787/s-8.htm" TargetMode="External"/><Relationship Id="rId8" Type="http://schemas.openxmlformats.org/officeDocument/2006/relationships/hyperlink" Target="https://www.sec.gov/Archives/edgar/data/1597264/000155837021001147/tmb-20210217xs8.htm" TargetMode="External"/><Relationship Id="rId9" Type="http://schemas.openxmlformats.org/officeDocument/2006/relationships/hyperlink" Target="https://www.sec.gov/Archives/edgar/data/1597264/000110465922024503/tm226665d1_s8.htm" TargetMode="External"/><Relationship Id="rId10" Type="http://schemas.openxmlformats.org/officeDocument/2006/relationships/hyperlink" Target="https://www.sec.gov/Archives/edgar/data/1597264/000110465923023067/tm236850d1_s8.htm" TargetMode="External"/><Relationship Id="rId11" Type="http://schemas.openxmlformats.org/officeDocument/2006/relationships/hyperlink" Target="https://www.sec.gov/Archives/edgar/data/1597264/000155837015002529/bpmc-20150930ex3100367a3.htm" TargetMode="External"/><Relationship Id="rId12" Type="http://schemas.openxmlformats.org/officeDocument/2006/relationships/hyperlink" Target="https://www.sec.gov/Archives/edgar/data/1597264/000155837015002529/bpmc-20150930ex3100367a3.htm" TargetMode="External"/><Relationship Id="rId13" Type="http://schemas.openxmlformats.org/officeDocument/2006/relationships/hyperlink" Target="https://www.sec.gov/Archives/edgar/data/1597264/000155837015002529/bpmc-20150930ex3100367a3.htm" TargetMode="External"/><Relationship Id="rId14" Type="http://schemas.openxmlformats.org/officeDocument/2006/relationships/hyperlink" Target="https://www.sec.gov/Archives/edgar/data/1597264/000155837015002529/bpmc-20150930ex3100367a3.htm" TargetMode="External"/><Relationship Id="rId15" Type="http://schemas.openxmlformats.org/officeDocument/2006/relationships/hyperlink" Target="https://www.sec.gov/Archives/edgar/data/1597264/000155837015002529/bpmc-20150930ex3100367a3.htm" TargetMode="External"/><Relationship Id="rId16" Type="http://schemas.openxmlformats.org/officeDocument/2006/relationships/hyperlink" Target="https://www.sec.gov/Archives/edgar/data/1597264/000155837015002529/bpmc-20150930ex3100367a3.htm" TargetMode="External"/><Relationship Id="rId17" Type="http://schemas.openxmlformats.org/officeDocument/2006/relationships/hyperlink" Target="https://www.sec.gov/Archives/edgar/data/1597264/000110465922124884/tm2231954d1_ex3-1.htm" TargetMode="External"/><Relationship Id="rId18" Type="http://schemas.openxmlformats.org/officeDocument/2006/relationships/hyperlink" Target="https://www.sec.gov/Archives/edgar/data/1597264/000110465922124884/tm2231954d1_ex3-1.htm" TargetMode="External"/><Relationship Id="rId19" Type="http://schemas.openxmlformats.org/officeDocument/2006/relationships/hyperlink" Target="https://www.sec.gov/Archives/edgar/data/1597264/000110465922124884/tm2231954d1_ex3-1.htm" TargetMode="External"/><Relationship Id="rId20" Type="http://schemas.openxmlformats.org/officeDocument/2006/relationships/hyperlink" Target="https://www.sec.gov/Archives/edgar/data/1597264/000110465922124884/tm2231954d1_ex3-1.htm" TargetMode="External"/><Relationship Id="rId21" Type="http://schemas.openxmlformats.org/officeDocument/2006/relationships/hyperlink" Target="https://www.sec.gov/Archives/edgar/data/1597264/000110465922124884/tm2231954d1_ex3-1.htm" TargetMode="External"/><Relationship Id="rId22" Type="http://schemas.openxmlformats.org/officeDocument/2006/relationships/hyperlink" Target="https://www.sec.gov/Archives/edgar/data/1597264/000110465922124884/tm2231954d1_ex3-1.htm" TargetMode="External"/><Relationship Id="rId23" Type="http://schemas.openxmlformats.org/officeDocument/2006/relationships/hyperlink" Target="https://www.sec.gov/Archives/edgar/data/1597264/000104746915003668/a2224211zex-4_1.htm" TargetMode="External"/><Relationship Id="rId24" Type="http://schemas.openxmlformats.org/officeDocument/2006/relationships/hyperlink" Target="https://www.sec.gov/Archives/edgar/data/1597264/000104746915003668/a2224211zex-4_1.htm" TargetMode="External"/><Relationship Id="rId25" Type="http://schemas.openxmlformats.org/officeDocument/2006/relationships/hyperlink" Target="https://www.sec.gov/Archives/edgar/data/1597264/000104746915003668/a2224211zex-4_1.htm" TargetMode="External"/><Relationship Id="rId26" Type="http://schemas.openxmlformats.org/officeDocument/2006/relationships/hyperlink" Target="https://www.sec.gov/Archives/edgar/data/1597264/000104746915003668/a2224211zex-4_1.htm" TargetMode="External"/><Relationship Id="rId27" Type="http://schemas.openxmlformats.org/officeDocument/2006/relationships/hyperlink" Target="https://www.sec.gov/Archives/edgar/data/1597264/000104746915003668/a2224211zex-4_1.htm" TargetMode="External"/><Relationship Id="rId28" Type="http://schemas.openxmlformats.org/officeDocument/2006/relationships/hyperlink" Target="https://www.sec.gov/Archives/edgar/data/1597264/000104746915003668/a2224211zex-4_1.htm" TargetMode="External"/><Relationship Id="rId29" Type="http://schemas.openxmlformats.org/officeDocument/2006/relationships/hyperlink" Target="https://www.sec.gov/Archives/edgar/data/1597264/000155837020000784/ex-10d2.htm" TargetMode="External"/><Relationship Id="rId30" Type="http://schemas.openxmlformats.org/officeDocument/2006/relationships/hyperlink" Target="https://www.sec.gov/Archives/edgar/data/1597264/000155837020000784/ex-10d2.htm" TargetMode="External"/><Relationship Id="rId31" Type="http://schemas.openxmlformats.org/officeDocument/2006/relationships/hyperlink" Target="https://www.sec.gov/Archives/edgar/data/1597264/000155837020000784/ex-10d2.htm" TargetMode="External"/><Relationship Id="rId32" Type="http://schemas.openxmlformats.org/officeDocument/2006/relationships/hyperlink" Target="https://www.sec.gov/Archives/edgar/data/1597264/000155837020000784/ex-10d2.htm" TargetMode="External"/><Relationship Id="rId33" Type="http://schemas.openxmlformats.org/officeDocument/2006/relationships/hyperlink" Target="https://www.sec.gov/Archives/edgar/data/1597264/000155837020000784/ex-10d2.htm" TargetMode="External"/><Relationship Id="rId34" Type="http://schemas.openxmlformats.org/officeDocument/2006/relationships/hyperlink" Target="https://www.sec.gov/Archives/edgar/data/1597264/000155837020000784/ex-10d2.htm" TargetMode="External"/><Relationship Id="rId35" Type="http://schemas.openxmlformats.org/officeDocument/2006/relationships/hyperlink" Target="https://www.sec.gov/Archives/edgar/data/1597264/000155837020000784/ex-10d3.htm" TargetMode="External"/><Relationship Id="rId36" Type="http://schemas.openxmlformats.org/officeDocument/2006/relationships/hyperlink" Target="https://www.sec.gov/Archives/edgar/data/1597264/000155837020000784/ex-10d3.htm" TargetMode="External"/><Relationship Id="rId37" Type="http://schemas.openxmlformats.org/officeDocument/2006/relationships/hyperlink" Target="https://www.sec.gov/Archives/edgar/data/1597264/000155837020000784/ex-10d3.htm" TargetMode="External"/><Relationship Id="rId38" Type="http://schemas.openxmlformats.org/officeDocument/2006/relationships/hyperlink" Target="https://www.sec.gov/Archives/edgar/data/1597264/000155837020000784/ex-10d3.htm" TargetMode="External"/><Relationship Id="rId39" Type="http://schemas.openxmlformats.org/officeDocument/2006/relationships/hyperlink" Target="https://www.sec.gov/Archives/edgar/data/1597264/000155837020000784/ex-10d3.htm" TargetMode="External"/><Relationship Id="rId40" Type="http://schemas.openxmlformats.org/officeDocument/2006/relationships/hyperlink" Target="https://www.sec.gov/Archives/edgar/data/1597264/000155837020000784/ex-10d3.htm" TargetMode="External"/><Relationship Id="rId41" Type="http://schemas.openxmlformats.org/officeDocument/2006/relationships/image" Target="media/image1.jpeg"/><Relationship Id="rId42" Type="http://schemas.openxmlformats.org/officeDocument/2006/relationships/fontTable" Target="fontTable.xml"/><Relationship Id="rId4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2015</Words>
  <Characters>10844</Characters>
  <CharactersWithSpaces>13156</CharactersWithSpaces>
  <Paragraphs>722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