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190"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5"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EF505F"/>
        </w:rPr>
        <w:t>SUBJECT TO COMPLETION, DATED MARCH 27, 2019</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 to Prospectus dated March 9, 2017.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4"/>
          <w:szCs w:val="24"/>
          <w:color w:val="auto"/>
        </w:rPr>
      </w:pPr>
    </w:p>
    <w:p>
      <w:pPr>
        <w:ind w:left="4880"/>
        <w:spacing w:after="0"/>
        <w:rPr>
          <w:sz w:val="20"/>
          <w:szCs w:val="20"/>
          <w:color w:val="auto"/>
        </w:rPr>
      </w:pPr>
      <w:r>
        <w:rPr>
          <w:rFonts w:ascii="Arial" w:cs="Arial" w:eastAsia="Arial" w:hAnsi="Arial"/>
          <w:sz w:val="24"/>
          <w:szCs w:val="24"/>
          <w:color w:val="auto"/>
        </w:rPr>
        <w:t>Common Stock</w:t>
      </w:r>
    </w:p>
    <w:p>
      <w:pPr>
        <w:spacing w:after="0" w:line="23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We are offering up to $300,000,000 of shares of our common stock.</w:t>
      </w:r>
    </w:p>
    <w:p>
      <w:pPr>
        <w:spacing w:after="0" w:line="212" w:lineRule="exact"/>
        <w:rPr>
          <w:sz w:val="24"/>
          <w:szCs w:val="24"/>
          <w:color w:val="auto"/>
        </w:rPr>
      </w:pPr>
    </w:p>
    <w:p>
      <w:pPr>
        <w:ind w:right="42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March 26, 2019 was $81.04 per share.</w:t>
      </w:r>
    </w:p>
    <w:p>
      <w:pPr>
        <w:spacing w:after="0" w:line="191" w:lineRule="exact"/>
        <w:rPr>
          <w:sz w:val="24"/>
          <w:szCs w:val="24"/>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S-13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4"/>
          <w:szCs w:val="24"/>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r>
      <w:tr>
        <w:trPr>
          <w:trHeight w:val="205"/>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1940" w:type="dxa"/>
            <w:vAlign w:val="bottom"/>
            <w:gridSpan w:val="2"/>
          </w:tcPr>
          <w:p>
            <w:pPr>
              <w:jc w:val="right"/>
              <w:ind w:right="1052"/>
              <w:spacing w:after="0" w:line="20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52"/>
              <w:spacing w:after="0" w:line="206" w:lineRule="exact"/>
              <w:rPr>
                <w:sz w:val="20"/>
                <w:szCs w:val="20"/>
                <w:color w:val="auto"/>
              </w:rPr>
            </w:pPr>
            <w:r>
              <w:rPr>
                <w:rFonts w:ascii="Arial" w:cs="Arial" w:eastAsia="Arial" w:hAnsi="Arial"/>
                <w:sz w:val="18"/>
                <w:szCs w:val="18"/>
                <w:color w:val="auto"/>
              </w:rPr>
              <w:t>$</w:t>
            </w:r>
          </w:p>
        </w:tc>
      </w:tr>
      <w:tr>
        <w:trPr>
          <w:trHeight w:val="244"/>
        </w:trPr>
        <w:tc>
          <w:tcPr>
            <w:tcW w:w="564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194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r>
      <w:tr>
        <w:trPr>
          <w:trHeight w:val="211"/>
        </w:trPr>
        <w:tc>
          <w:tcPr>
            <w:tcW w:w="564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194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r>
      <w:tr>
        <w:trPr>
          <w:trHeight w:val="97"/>
        </w:trPr>
        <w:tc>
          <w:tcPr>
            <w:tcW w:w="9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140"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S-21 of this prospectus supplement for additional information regarding underwriter compensation.</w:t>
      </w:r>
    </w:p>
    <w:p>
      <w:pPr>
        <w:spacing w:after="0" w:line="204" w:lineRule="exact"/>
        <w:rPr>
          <w:sz w:val="24"/>
          <w:szCs w:val="24"/>
          <w:color w:val="auto"/>
        </w:rPr>
      </w:pPr>
    </w:p>
    <w:p>
      <w:pPr>
        <w:ind w:right="600" w:firstLine="488"/>
        <w:spacing w:after="0" w:line="299"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supplement to purchase up to an additional $45,000,000 of shares of our common stock at the public offering price less the underwriting discounts and commissions.</w:t>
      </w:r>
    </w:p>
    <w:p>
      <w:pPr>
        <w:spacing w:after="0" w:line="163" w:lineRule="exact"/>
        <w:rPr>
          <w:sz w:val="24"/>
          <w:szCs w:val="24"/>
          <w:color w:val="auto"/>
        </w:rPr>
      </w:pPr>
    </w:p>
    <w:p>
      <w:pPr>
        <w:ind w:left="500"/>
        <w:spacing w:after="0"/>
        <w:tabs>
          <w:tab w:leader="none" w:pos="8720" w:val="left"/>
        </w:tabs>
        <w:rPr>
          <w:sz w:val="20"/>
          <w:szCs w:val="20"/>
          <w:color w:val="auto"/>
        </w:rPr>
      </w:pPr>
      <w:r>
        <w:rPr>
          <w:rFonts w:ascii="Arial" w:cs="Arial" w:eastAsia="Arial" w:hAnsi="Arial"/>
          <w:sz w:val="18"/>
          <w:szCs w:val="18"/>
          <w:color w:val="auto"/>
        </w:rPr>
        <w:t>The underwriters expect to deliver the shares against payment in New York, New York on or about April</w:t>
      </w:r>
      <w:r>
        <w:rPr>
          <w:sz w:val="20"/>
          <w:szCs w:val="20"/>
          <w:color w:val="auto"/>
        </w:rPr>
        <w:tab/>
      </w:r>
      <w:r>
        <w:rPr>
          <w:rFonts w:ascii="Arial" w:cs="Arial" w:eastAsia="Arial" w:hAnsi="Arial"/>
          <w:sz w:val="16"/>
          <w:szCs w:val="16"/>
          <w:color w:val="auto"/>
        </w:rPr>
        <w:t>, 2019.</w:t>
      </w:r>
    </w:p>
    <w:p>
      <w:pPr>
        <w:spacing w:after="0" w:line="190" w:lineRule="exact"/>
        <w:rPr>
          <w:sz w:val="24"/>
          <w:szCs w:val="24"/>
          <w:color w:val="auto"/>
        </w:rPr>
      </w:pPr>
    </w:p>
    <w:p>
      <w:pPr>
        <w:ind w:left="2220"/>
        <w:spacing w:after="0"/>
        <w:tabs>
          <w:tab w:leader="none" w:pos="778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6"/>
          <w:szCs w:val="16"/>
          <w:b w:val="1"/>
          <w:bCs w:val="1"/>
          <w:color w:val="auto"/>
        </w:rPr>
        <w:t>Cowen</w:t>
      </w:r>
    </w:p>
    <w:p>
      <w:pPr>
        <w:spacing w:after="0" w:line="18" w:lineRule="exact"/>
        <w:rPr>
          <w:sz w:val="24"/>
          <w:szCs w:val="24"/>
          <w:color w:val="auto"/>
        </w:rPr>
      </w:pPr>
    </w:p>
    <w:p>
      <w:pPr>
        <w:ind w:left="2360"/>
        <w:spacing w:after="0"/>
        <w:tabs>
          <w:tab w:leader="none" w:pos="7280" w:val="left"/>
        </w:tabs>
        <w:rPr>
          <w:sz w:val="20"/>
          <w:szCs w:val="20"/>
          <w:color w:val="auto"/>
        </w:rPr>
      </w:pPr>
      <w:r>
        <w:rPr>
          <w:rFonts w:ascii="Arial" w:cs="Arial" w:eastAsia="Arial" w:hAnsi="Arial"/>
          <w:sz w:val="18"/>
          <w:szCs w:val="18"/>
          <w:b w:val="1"/>
          <w:bCs w:val="1"/>
          <w:color w:val="auto"/>
        </w:rPr>
        <w:t>Guggenheim Securities</w:t>
      </w:r>
      <w:r>
        <w:rPr>
          <w:sz w:val="20"/>
          <w:szCs w:val="20"/>
          <w:color w:val="auto"/>
        </w:rPr>
        <w:tab/>
      </w:r>
      <w:r>
        <w:rPr>
          <w:rFonts w:ascii="Arial" w:cs="Arial" w:eastAsia="Arial" w:hAnsi="Arial"/>
          <w:sz w:val="16"/>
          <w:szCs w:val="16"/>
          <w:b w:val="1"/>
          <w:bCs w:val="1"/>
          <w:color w:val="auto"/>
        </w:rPr>
        <w:t>Wedbush PacGrow</w:t>
      </w:r>
    </w:p>
    <w:p>
      <w:pPr>
        <w:sectPr>
          <w:pgSz w:w="11900" w:h="16838" w:orient="portrait"/>
          <w:cols w:equalWidth="0" w:num="1">
            <w:col w:w="11420"/>
          </w:cols>
          <w:pgMar w:left="240" w:top="685" w:right="2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color w:val="auto"/>
        </w:rPr>
        <w:t>Prospectus Supplement dated March</w:t>
      </w:r>
      <w:r>
        <w:rPr>
          <w:sz w:val="20"/>
          <w:szCs w:val="20"/>
          <w:color w:val="auto"/>
        </w:rPr>
        <w:tab/>
      </w:r>
      <w:r>
        <w:rPr>
          <w:rFonts w:ascii="Arial" w:cs="Arial" w:eastAsia="Arial" w:hAnsi="Arial"/>
          <w:sz w:val="16"/>
          <w:szCs w:val="16"/>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95"/>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9"/>
              </w:rPr>
              <w:t>Page</w:t>
            </w:r>
          </w:p>
        </w:tc>
        <w:tc>
          <w:tcPr>
            <w:tcW w:w="1280" w:type="dxa"/>
            <w:vAlign w:val="bottom"/>
          </w:tcPr>
          <w:p>
            <w:pPr>
              <w:spacing w:after="0"/>
              <w:rPr>
                <w:sz w:val="24"/>
                <w:szCs w:val="24"/>
                <w:color w:val="auto"/>
              </w:rPr>
            </w:pP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1"/>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S-4</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THE OFFERING</w:t>
              </w:r>
            </w:hyperlink>
          </w:p>
        </w:tc>
        <w:tc>
          <w:tcPr>
            <w:tcW w:w="2040" w:type="dxa"/>
            <w:vAlign w:val="bottom"/>
            <w:gridSpan w:val="11"/>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S-11</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RISK FACTORS</w:t>
              </w:r>
            </w:hyperlink>
          </w:p>
        </w:tc>
        <w:tc>
          <w:tcPr>
            <w:tcW w:w="716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S-13</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USE OF PROCEEDS</w:t>
              </w:r>
            </w:hyperlink>
          </w:p>
        </w:tc>
        <w:tc>
          <w:tcPr>
            <w:tcW w:w="6760" w:type="dxa"/>
            <w:vAlign w:val="bottom"/>
            <w:gridSpan w:val="15"/>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S-17</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S-18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DIVIDEND POLICY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S-20</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S-21</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S-28</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c>
          <w:tcPr>
            <w:tcW w:w="1300" w:type="dxa"/>
            <w:vAlign w:val="bottom"/>
            <w:gridSpan w:val="2"/>
          </w:tcPr>
          <w:p>
            <w:pPr>
              <w:spacing w:after="0"/>
              <w:rPr>
                <w:sz w:val="15"/>
                <w:szCs w:val="15"/>
                <w:color w:val="auto"/>
              </w:rPr>
            </w:pPr>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540" w:type="dxa"/>
            <w:vAlign w:val="bottom"/>
            <w:tcBorders>
              <w:top w:val="single" w:sz="8" w:color="auto"/>
            </w:tcBorders>
            <w:gridSpan w:val="6"/>
          </w:tcPr>
          <w:p>
            <w:pPr>
              <w:jc w:val="right"/>
              <w:ind w:righ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3"/>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2</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INCORPORATION BY REFERENCE</w:t>
              </w:r>
            </w:hyperlink>
          </w:p>
        </w:tc>
        <w:tc>
          <w:tcPr>
            <w:tcW w:w="900" w:type="dxa"/>
            <w:vAlign w:val="bottom"/>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FORWARD-LOOKING STATEMENTS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4</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BLUEPRINT MEDICINES CORPORATION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5</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RATIOS OF EARNINGS TO FIXED CHARGES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6</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USE OF PROCEEDS</w:t>
              </w:r>
            </w:hyperlink>
          </w:p>
        </w:tc>
        <w:tc>
          <w:tcPr>
            <w:tcW w:w="3400" w:type="dxa"/>
            <w:vAlign w:val="bottom"/>
            <w:gridSpan w:val="11"/>
          </w:tcPr>
          <w:p>
            <w:pPr>
              <w:spacing w:after="0"/>
              <w:rPr>
                <w:sz w:val="15"/>
                <w:szCs w:val="15"/>
                <w:color w:val="auto"/>
              </w:rPr>
            </w:pPr>
          </w:p>
        </w:tc>
        <w:tc>
          <w:tcPr>
            <w:tcW w:w="3360" w:type="dxa"/>
            <w:vAlign w:val="bottom"/>
            <w:gridSpan w:val="4"/>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DILUTION</w:t>
              </w:r>
            </w:hyperlink>
          </w:p>
        </w:tc>
        <w:tc>
          <w:tcPr>
            <w:tcW w:w="6760" w:type="dxa"/>
            <w:vAlign w:val="bottom"/>
            <w:gridSpan w:val="1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DESCRIPTION OF CAPITAL STOCK</w:t>
              </w:r>
            </w:hyperlink>
          </w:p>
        </w:tc>
        <w:tc>
          <w:tcPr>
            <w:tcW w:w="5540" w:type="dxa"/>
            <w:vAlign w:val="bottom"/>
            <w:gridSpan w:val="10"/>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9</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DEBT SECURITIES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17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31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PURCHASE CONTRACTS AND PURCHASE UNITS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34</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35</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2"/>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PLAN OF DISTRIBUTION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38</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6420" w:type="dxa"/>
            <w:vAlign w:val="bottom"/>
            <w:gridSpan w:val="14"/>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5"/>
        </w:trPr>
        <w:tc>
          <w:tcPr>
            <w:tcW w:w="1140" w:type="dxa"/>
            <w:vAlign w:val="bottom"/>
            <w:tcBorders>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580" w:type="dxa"/>
            <w:vAlign w:val="bottom"/>
            <w:tcBorders>
              <w:top w:val="single" w:sz="8" w:color="0000EE"/>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40" w:firstLine="485"/>
        <w:spacing w:after="0" w:line="271" w:lineRule="auto"/>
        <w:rPr>
          <w:sz w:val="20"/>
          <w:szCs w:val="20"/>
          <w:color w:val="auto"/>
        </w:rPr>
      </w:pPr>
      <w:r>
        <w:rPr>
          <w:rFonts w:ascii="Arial" w:cs="Arial" w:eastAsia="Arial" w:hAnsi="Arial"/>
          <w:sz w:val="16"/>
          <w:szCs w:val="16"/>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herein or therein,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85"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We are not making offers to sell shares of our common stock or soliciting offers to purchase shares of our common stock in any jurisdiction in which such an offer or solicitation is not authorized or in which the person making such offer or solicitation is not qualified to do so or to anyone to whom it is unlawful to make an offer or solicitation.</w:t>
      </w:r>
    </w:p>
    <w:p>
      <w:pPr>
        <w:spacing w:after="0" w:line="190"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20" w:firstLine="488"/>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jc w:val="both"/>
        <w:ind w:right="460" w:firstLine="488"/>
        <w:spacing w:after="0" w:line="23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w:t>
      </w:r>
    </w:p>
    <w:p>
      <w:pPr>
        <w:spacing w:after="0" w:line="209"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2018, filed with the SEC on February 26, 2019;</w:t>
      </w:r>
    </w:p>
    <w:p>
      <w:pPr>
        <w:spacing w:after="0" w:line="211"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April 27, 2018, incorporated by reference into our Annual Report on Form 10-K for the fiscal year ended December 31, 2017;</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on February 5, 2019, March 8, 2019 and March 27, 2019; and</w:t>
      </w:r>
    </w:p>
    <w:p>
      <w:pPr>
        <w:spacing w:after="0" w:line="211"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Blueprint Medicines Corporation</w:t>
      </w:r>
    </w:p>
    <w:p>
      <w:pPr>
        <w:jc w:val="center"/>
        <w:ind w:right="-439"/>
        <w:spacing w:after="0" w:line="234" w:lineRule="auto"/>
        <w:rPr>
          <w:sz w:val="20"/>
          <w:szCs w:val="20"/>
          <w:color w:val="auto"/>
        </w:rPr>
      </w:pPr>
      <w:r>
        <w:rPr>
          <w:rFonts w:ascii="Arial" w:cs="Arial" w:eastAsia="Arial" w:hAnsi="Arial"/>
          <w:sz w:val="18"/>
          <w:szCs w:val="18"/>
          <w:color w:val="auto"/>
        </w:rPr>
        <w:t>45 Sidney Street</w:t>
      </w:r>
    </w:p>
    <w:p>
      <w:pPr>
        <w:jc w:val="center"/>
        <w:ind w:right="-43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439"/>
        <w:spacing w:after="0" w:line="235" w:lineRule="auto"/>
        <w:rPr>
          <w:sz w:val="20"/>
          <w:szCs w:val="20"/>
          <w:color w:val="auto"/>
        </w:rPr>
      </w:pPr>
      <w:r>
        <w:rPr>
          <w:rFonts w:ascii="Arial" w:cs="Arial" w:eastAsia="Arial" w:hAnsi="Arial"/>
          <w:sz w:val="18"/>
          <w:szCs w:val="18"/>
          <w:color w:val="auto"/>
        </w:rPr>
        <w:t>Attn: Investor Relations</w:t>
      </w:r>
    </w:p>
    <w:p>
      <w:pPr>
        <w:jc w:val="center"/>
        <w:ind w:right="-439"/>
        <w:spacing w:after="0" w:line="235" w:lineRule="auto"/>
        <w:rPr>
          <w:sz w:val="20"/>
          <w:szCs w:val="20"/>
          <w:color w:val="auto"/>
        </w:rPr>
      </w:pPr>
      <w:r>
        <w:rPr>
          <w:rFonts w:ascii="Arial" w:cs="Arial" w:eastAsia="Arial" w:hAnsi="Arial"/>
          <w:sz w:val="18"/>
          <w:szCs w:val="18"/>
          <w:color w:val="auto"/>
        </w:rPr>
        <w:t>Phone: (617) 714-6674</w:t>
      </w:r>
    </w:p>
    <w:p>
      <w:pPr>
        <w:jc w:val="center"/>
        <w:ind w:right="-439"/>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43" w:right="6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BLU-667, BLU-554 and BLU-782,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right="60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planned new drug applications to the U.S. Food and Drug Administration or marketing authorization applications to the European Medicines Agency;</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93"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w:t>
      </w:r>
    </w:p>
    <w:p>
      <w:pPr>
        <w:ind w:left="1080" w:right="200"/>
        <w:spacing w:after="0" w:line="239" w:lineRule="auto"/>
        <w:rPr>
          <w:rFonts w:ascii="Arial" w:cs="Arial" w:eastAsia="Arial" w:hAnsi="Arial"/>
          <w:sz w:val="18"/>
          <w:szCs w:val="18"/>
          <w:color w:val="auto"/>
        </w:rPr>
      </w:pPr>
      <w:r>
        <w:rPr>
          <w:rFonts w:ascii="Arial" w:cs="Arial" w:eastAsia="Arial" w:hAnsi="Arial"/>
          <w:sz w:val="18"/>
          <w:szCs w:val="18"/>
          <w:color w:val="auto"/>
        </w:rPr>
        <w:t>Roche Inc. and our collaboration with CStone Pharmaceuticals, as well as our ability to maintain these collaborations and establish other strategic collaborations;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beginning on page S-10 of this prospectus supplement and on page 45 of our Annual Report on Form 10-K for the fiscal year ended December 31, 2018, as filed with the SEC on February 26, 2019, that could cause actual results or events to differ materially from the forward-looking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statements that we make. Our forward-looking statements do not reflect the potential impact of any future acquisitions, mergers, dispositions, joint ventures or investments we may make or enter into.</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33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6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S-13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Our most advanced drug candidates are avapritinib, BLU-667, BLU-554 and BLU-782.</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Clinical Programs</w:t>
      </w:r>
    </w:p>
    <w:p>
      <w:pPr>
        <w:spacing w:after="0" w:line="234" w:lineRule="exact"/>
        <w:rPr>
          <w:sz w:val="20"/>
          <w:szCs w:val="20"/>
          <w:color w:val="auto"/>
        </w:rPr>
      </w:pPr>
    </w:p>
    <w:p>
      <w:pPr>
        <w:ind w:left="240" w:right="260" w:firstLine="488"/>
        <w:spacing w:after="0" w:line="236" w:lineRule="auto"/>
        <w:rPr>
          <w:sz w:val="20"/>
          <w:szCs w:val="20"/>
          <w:color w:val="auto"/>
        </w:rPr>
      </w:pPr>
      <w:r>
        <w:rPr>
          <w:rFonts w:ascii="Arial" w:cs="Arial" w:eastAsia="Arial" w:hAnsi="Arial"/>
          <w:sz w:val="18"/>
          <w:szCs w:val="18"/>
          <w:color w:val="auto"/>
        </w:rPr>
        <w:t>Our lead drug candidate, 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w:t>
      </w:r>
    </w:p>
    <w:p>
      <w:pPr>
        <w:spacing w:after="0" w:line="210"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are currently evaluating avapritinib for the treatment of GIST in an ongoing Phase 1 clinical trial in advanced GIST, which we refer to as our NAVIGATOR trial, and an ongoing global, randomized Phase 3 clinical trial comparing avapritinib to regorafenib in third-line GIST, which we refer to as our VOYAGER trial. We have completed enrollment of the NAVIGATOR trial, and we expect to complete enrollment of the VOYAGER trial in the second half of 2019. In November 2018, we reported updated data from the NAVIGATOR trial at the Connective Tissue Oncology Society Annual Meeting, and in January 2019, we reported top-line data from the NAVIGATOR trial. We plan to present additional data from the NAVIGATOR trial in the second quarter of 2019. We plan to initiate a Phase 3 precision medicine trial in second-line GIST in the second half of 2019, which we refer to as our COMPASS-2L trial. In addition, we plan to submit a new drug application, or NDA, to the U.S. Food and Drug Administration, or FDA, for avapritinib for the treatment of PDGFRA Exon 18 mutant GIST and fourth-line GIST in the second quarter of 2019, and if approved, we plan to submit a supplemental NDA to the FDA for the treatment of third-line GIST in 2020. Please see "— Recent Developments" below for plans to submit a marketing authorization application to the European Medicines Agency for avapritinib in GIST.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535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firstLine="488"/>
        <w:spacing w:after="0" w:line="264" w:lineRule="auto"/>
        <w:rPr>
          <w:sz w:val="20"/>
          <w:szCs w:val="20"/>
          <w:color w:val="auto"/>
        </w:rPr>
      </w:pPr>
      <w:r>
        <w:rPr>
          <w:rFonts w:ascii="Arial" w:cs="Arial" w:eastAsia="Arial" w:hAnsi="Arial"/>
          <w:sz w:val="16"/>
          <w:szCs w:val="16"/>
          <w:color w:val="auto"/>
        </w:rPr>
        <w:t>In addition, we are currently evaluating avapritinib for the treatment of SM in an ongoing Phase 1 clinical trial in advanced SM, which we refer to as our EXPLORER trial, an ongoing registration enabling Phase 2 clinical trial in advanced SM, which we refer to as our PATHFINDER trial, and an ongoing registration enabling Phase 2 clinical trial in indolent and smoldering SM, which we refer to as our</w:t>
      </w:r>
    </w:p>
    <w:p>
      <w:pPr>
        <w:ind w:left="240" w:right="100"/>
        <w:spacing w:after="0"/>
        <w:rPr>
          <w:sz w:val="20"/>
          <w:szCs w:val="20"/>
          <w:color w:val="auto"/>
        </w:rPr>
      </w:pPr>
      <w:r>
        <w:rPr>
          <w:rFonts w:ascii="Arial" w:cs="Arial" w:eastAsia="Arial" w:hAnsi="Arial"/>
          <w:sz w:val="17"/>
          <w:szCs w:val="17"/>
          <w:color w:val="auto"/>
        </w:rPr>
        <w:t>PIONEER trial. In December 2018, we reported updated data from the EXPLORER trial at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American Society of Hematology Annual Meeting and Exposition, and we plan to present updated data from the EXPLORER trial in advanced SM in the second quarter of 2019. We expect to complete the dose-finding portion of the PIONEER trial and plan to present initial data from the PIONEER trial in indolent and smoldering SM in the second half of 2019. We expect to complete enrollment of the PATHFINDER trial in the second half of 2019. Please see "— Recent Developments" below for updated plans to submit an NDA to the FDA for avapritinib for the treatment of advanced SM. The FDA has granted orphan drug designation to avapritinib for the treatment of GIST and the treatment of mastocytosis, and the European Commission has granted orphan medicinal product designation to avapritinib for the treatment of GIST and the treatment of mastocytosis. 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 and to avapritinib for the treatment of advanced SM, including the subtypes of aggressive SM, SM with an associated hematologic neoplasm and mast cell leukemia.</w:t>
      </w:r>
    </w:p>
    <w:p>
      <w:pPr>
        <w:spacing w:after="0" w:line="216" w:lineRule="exact"/>
        <w:rPr>
          <w:sz w:val="20"/>
          <w:szCs w:val="20"/>
          <w:color w:val="auto"/>
        </w:rPr>
      </w:pPr>
    </w:p>
    <w:p>
      <w:pPr>
        <w:ind w:left="240" w:firstLine="488"/>
        <w:spacing w:after="0" w:line="264" w:lineRule="auto"/>
        <w:rPr>
          <w:sz w:val="20"/>
          <w:szCs w:val="20"/>
          <w:color w:val="auto"/>
        </w:rPr>
      </w:pPr>
      <w:r>
        <w:rPr>
          <w:rFonts w:ascii="Arial" w:cs="Arial" w:eastAsia="Arial" w:hAnsi="Arial"/>
          <w:sz w:val="16"/>
          <w:szCs w:val="16"/>
          <w:color w:val="auto"/>
        </w:rPr>
        <w:t>BLU-667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 We are currently evaluating BLU-667 in an ongoing Phase 1 clinical trial in patients with RET-altered NSCLC, MTC and other advanced solid tumors, which we refer to as our ARROW trial. In April 2018, we presented initial data from the ongoing ARROW trial at the American Association for Cancer Research, and in October 2018, we presented updated data from the</w:t>
      </w:r>
    </w:p>
    <w:p>
      <w:pPr>
        <w:spacing w:after="0" w:line="1" w:lineRule="exact"/>
        <w:rPr>
          <w:sz w:val="20"/>
          <w:szCs w:val="20"/>
          <w:color w:val="auto"/>
        </w:rPr>
      </w:pPr>
    </w:p>
    <w:p>
      <w:pPr>
        <w:ind w:left="240"/>
        <w:spacing w:after="0" w:line="229" w:lineRule="auto"/>
        <w:rPr>
          <w:sz w:val="20"/>
          <w:szCs w:val="20"/>
          <w:color w:val="auto"/>
        </w:rPr>
      </w:pPr>
      <w:r>
        <w:rPr>
          <w:rFonts w:ascii="Arial" w:cs="Arial" w:eastAsia="Arial" w:hAnsi="Arial"/>
          <w:sz w:val="17"/>
          <w:szCs w:val="17"/>
          <w:color w:val="auto"/>
        </w:rPr>
        <w:t>ongoing ARROW trial in RET-altered MTC and PTC at the 88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Annual Meeting of the American Thyroid Association. Please see "— Recent Developments" below for updated top-line data for BLU-667 in RET-fusion NSCLC, plans to present updated RET-fusion NSCLC and RET-mutant MTC data in the second quarter of 2019 and updated plans to submit an NDA to the FDA for BLU-667 for the treatment of RET-fusion NSCLC. In addition, in September 2018, we presented two clinical cases demonstrating proof-of-concept for BLU-667 in combination with osimertinib (Tagrisso®) in treatment-resistant, EGFR-mutant NSCLC at the International Association for the Study of Lung Cancer</w:t>
      </w:r>
    </w:p>
    <w:p>
      <w:pPr>
        <w:spacing w:after="0" w:line="1" w:lineRule="exact"/>
        <w:rPr>
          <w:sz w:val="20"/>
          <w:szCs w:val="20"/>
          <w:color w:val="auto"/>
        </w:rPr>
      </w:pPr>
    </w:p>
    <w:p>
      <w:pPr>
        <w:ind w:left="240" w:right="80"/>
        <w:spacing w:after="0" w:line="236" w:lineRule="auto"/>
        <w:rPr>
          <w:sz w:val="20"/>
          <w:szCs w:val="20"/>
          <w:color w:val="auto"/>
        </w:rPr>
      </w:pPr>
      <w:r>
        <w:rPr>
          <w:rFonts w:ascii="Arial" w:cs="Arial" w:eastAsia="Arial" w:hAnsi="Arial"/>
          <w:sz w:val="18"/>
          <w:szCs w:val="18"/>
          <w:color w:val="auto"/>
        </w:rPr>
        <w:t xml:space="preserve">19th World Conference on Lung Cancer and published online in </w:t>
      </w:r>
      <w:r>
        <w:rPr>
          <w:rFonts w:ascii="Arial" w:cs="Arial" w:eastAsia="Arial" w:hAnsi="Arial"/>
          <w:sz w:val="18"/>
          <w:szCs w:val="18"/>
          <w:i w:val="1"/>
          <w:iCs w:val="1"/>
          <w:color w:val="auto"/>
        </w:rPr>
        <w:t>Cancer Discovery</w:t>
      </w:r>
      <w:r>
        <w:rPr>
          <w:rFonts w:ascii="Arial" w:cs="Arial" w:eastAsia="Arial" w:hAnsi="Arial"/>
          <w:sz w:val="18"/>
          <w:szCs w:val="18"/>
          <w:color w:val="auto"/>
        </w:rPr>
        <w:t xml:space="preserve"> . In the second half of 2019, we plan to initiate a Phase 3 clinical trial evaluating BLU-667 in first-line RET-fusion NSCLC and plan to initiate a Phase 2 clinical trial evaluating BLU-667 in combination with osimertinib in treatment-resistant, EGFR-mutant NSCLC harboring an acquired RET alteration. The FDA has granted orphan drug designation to BLU-667 for the treatment of RET-rearranged NSCLC, JAK1/2-positive NSCLC or TRKC-positive NSCLC, and the FDA has granted breakthrough therapy designation to BLU-667 for the treatment of patients with RET mutation-positive MTC that requires systemic treatment and for which there are no acceptable alternative treatments.</w:t>
      </w:r>
    </w:p>
    <w:p>
      <w:pPr>
        <w:spacing w:after="0" w:line="210" w:lineRule="exact"/>
        <w:rPr>
          <w:sz w:val="20"/>
          <w:szCs w:val="20"/>
          <w:color w:val="auto"/>
        </w:rPr>
      </w:pPr>
    </w:p>
    <w:p>
      <w:pPr>
        <w:ind w:left="240" w:right="200" w:firstLine="488"/>
        <w:spacing w:after="0" w:line="238" w:lineRule="auto"/>
        <w:rPr>
          <w:sz w:val="20"/>
          <w:szCs w:val="20"/>
          <w:color w:val="auto"/>
        </w:rPr>
      </w:pPr>
      <w:r>
        <w:rPr>
          <w:rFonts w:ascii="Arial" w:cs="Arial" w:eastAsia="Arial" w:hAnsi="Arial"/>
          <w:sz w:val="18"/>
          <w:szCs w:val="18"/>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50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05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40"/>
        <w:spacing w:after="0" w:line="236" w:lineRule="auto"/>
        <w:rPr>
          <w:sz w:val="20"/>
          <w:szCs w:val="20"/>
          <w:color w:val="auto"/>
        </w:rPr>
      </w:pPr>
      <w:r>
        <w:rPr>
          <w:rFonts w:ascii="Arial" w:cs="Arial" w:eastAsia="Arial" w:hAnsi="Arial"/>
          <w:sz w:val="18"/>
          <w:szCs w:val="18"/>
          <w:color w:val="auto"/>
        </w:rPr>
        <w:t>Phase 1 clinical trial in patients with advanced HCC. We and CStone Pharmaceuticals, or CStone, plan to expand our ongoing Phase 1 clinical trial of BLU-554 to include clinical sites in Mainland China by the middle of 2019. In addition, we and CStone plan to initiate a proof-of-concept clinical trial in the second half of 2019 in the CStone territory evaluating BLU-554 in combination with CS1001, a clinical stage anti-programmed death ligand-1 immunotherapy being developed by CStone, as a first-line therapy for the treatment of patients with HCC. The FDA has granted orphan drug designation to BLU-554 for the treatment of HCC.</w:t>
      </w:r>
    </w:p>
    <w:p>
      <w:pPr>
        <w:spacing w:after="0" w:line="211" w:lineRule="exact"/>
        <w:rPr>
          <w:sz w:val="20"/>
          <w:szCs w:val="20"/>
          <w:color w:val="auto"/>
        </w:rPr>
      </w:pPr>
    </w:p>
    <w:p>
      <w:pPr>
        <w:ind w:left="240" w:firstLine="488"/>
        <w:spacing w:after="0" w:line="268" w:lineRule="auto"/>
        <w:rPr>
          <w:sz w:val="20"/>
          <w:szCs w:val="20"/>
          <w:color w:val="auto"/>
        </w:rPr>
      </w:pPr>
      <w:r>
        <w:rPr>
          <w:rFonts w:ascii="Arial" w:cs="Arial" w:eastAsia="Arial" w:hAnsi="Arial"/>
          <w:sz w:val="16"/>
          <w:szCs w:val="16"/>
          <w:color w:val="auto"/>
        </w:rPr>
        <w:t>BLU-782 is an orally available, potent and highly selective inhibitor that targets mutant activin-like kinase 2, or ALK2. We are developing BLU-782 for the treatment of fibrodysplasia ossificans progressiva, or FOP, a rare, severely disabling genetic disease caused by mutations in the ALK2 gene, ACVR1. FOP is characterized by progressive heterotopic ossification, which is the abnormal transformation of muscle, ligaments and tendons into bone. Heterotopic ossification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Currently, there are no approved therapies for FOP. In October 2018, we presented foundational pre-clinical data for our FOP program at the 2018 American Society for Bone and Mineral Research Annual Meeting, and we initiated a Phase 1 clinical trial in healthy volunteers in the first quarter of 2019. Please see "— Recent Developments" below for updated plans to initiate a Phase 2a clinical trial of BLU-782 in patients with FOP. The FDA has granted fast track designation to BLU-782 for the prevention of heterotopic ossification in patients with FOP.</w:t>
      </w:r>
    </w:p>
    <w:p>
      <w:pPr>
        <w:spacing w:after="0" w:line="3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Preclinical Development Programs</w:t>
      </w:r>
    </w:p>
    <w:p>
      <w:pPr>
        <w:spacing w:after="0" w:line="234" w:lineRule="exact"/>
        <w:rPr>
          <w:sz w:val="20"/>
          <w:szCs w:val="20"/>
          <w:color w:val="auto"/>
        </w:rPr>
      </w:pPr>
    </w:p>
    <w:p>
      <w:pPr>
        <w:ind w:left="240" w:right="80" w:firstLine="488"/>
        <w:spacing w:after="0" w:line="237"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for undisclosed kinase targets, and we anticipate nominating at least one additional wholly-owned discovery program in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Development and Commercialization Rights</w:t>
      </w:r>
    </w:p>
    <w:p>
      <w:pPr>
        <w:spacing w:after="0" w:line="234" w:lineRule="exact"/>
        <w:rPr>
          <w:sz w:val="20"/>
          <w:szCs w:val="20"/>
          <w:color w:val="auto"/>
        </w:rPr>
      </w:pPr>
    </w:p>
    <w:p>
      <w:pPr>
        <w:ind w:left="240" w:right="20" w:firstLine="488"/>
        <w:spacing w:after="0" w:line="237" w:lineRule="auto"/>
        <w:rPr>
          <w:sz w:val="20"/>
          <w:szCs w:val="20"/>
          <w:color w:val="auto"/>
        </w:rPr>
      </w:pPr>
      <w:r>
        <w:rPr>
          <w:rFonts w:ascii="Arial" w:cs="Arial" w:eastAsia="Arial" w:hAnsi="Arial"/>
          <w:sz w:val="18"/>
          <w:szCs w:val="18"/>
          <w:color w:val="auto"/>
        </w:rPr>
        <w:t>We currently have worldwide development and commercialization rights to avapritinib, BLU-667 and BLU-554 other than the rights licensed to CStone in the CStone territory. We currently have worldwide development and commercialization rights to BLU-782 and all of our discovery programs other than the discovery-stage programs under collaboration with F. Hoffmann La Roche Ltd and Hoffmann La Roche Inc., which we collectively refer to as Roche.</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Collaborations</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entered into collaborations with Roche and CStone in March 2016 and June 2018, respectively.</w:t>
      </w:r>
    </w:p>
    <w:p>
      <w:pPr>
        <w:spacing w:after="0" w:line="225" w:lineRule="exact"/>
        <w:rPr>
          <w:sz w:val="20"/>
          <w:szCs w:val="20"/>
          <w:color w:val="auto"/>
        </w:rPr>
      </w:pPr>
    </w:p>
    <w:p>
      <w:pPr>
        <w:ind w:left="1320" w:right="220" w:hanging="538"/>
        <w:spacing w:after="0" w:line="23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our collaboration agreement with Roche, we are seeking to discover, develop and commercialize up to five small molecule therapeutics targeting kinases believed to be important in cancer immunotherapy, as single products or possibly in combination with other therapeutics.</w:t>
      </w:r>
    </w:p>
    <w:p>
      <w:pPr>
        <w:spacing w:after="0" w:line="194" w:lineRule="exact"/>
        <w:rPr>
          <w:rFonts w:ascii="Arial" w:cs="Arial" w:eastAsia="Arial" w:hAnsi="Arial"/>
          <w:sz w:val="18"/>
          <w:szCs w:val="18"/>
          <w:color w:val="auto"/>
        </w:rPr>
      </w:pPr>
    </w:p>
    <w:p>
      <w:pPr>
        <w:ind w:left="1320" w:right="40" w:hanging="538"/>
        <w:spacing w:after="0" w:line="23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our collaboration agreement with CStone, we are seeking to develop and commercialize BLU-554, avapritinib and BLU-667, including back-up forms and certain other forms, in Mainland China, Hong Kong, Macau and Taiwan, or the CStone territory, either as a monotherapy or as part of a combination therapy.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10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81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20" w:firstLine="488"/>
        <w:spacing w:after="0" w:line="238" w:lineRule="auto"/>
        <w:rPr>
          <w:sz w:val="20"/>
          <w:szCs w:val="20"/>
          <w:color w:val="auto"/>
        </w:rPr>
      </w:pPr>
      <w:r>
        <w:rPr>
          <w:rFonts w:ascii="Arial" w:cs="Arial" w:eastAsia="Arial" w:hAnsi="Arial"/>
          <w:sz w:val="18"/>
          <w:szCs w:val="18"/>
          <w:color w:val="auto"/>
        </w:rPr>
        <w:t>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 the Treatment of GIST</w:t>
      </w:r>
    </w:p>
    <w:p>
      <w:pPr>
        <w:spacing w:after="0" w:line="230" w:lineRule="exact"/>
        <w:rPr>
          <w:sz w:val="20"/>
          <w:szCs w:val="20"/>
          <w:color w:val="auto"/>
        </w:rPr>
      </w:pPr>
    </w:p>
    <w:p>
      <w:pPr>
        <w:ind w:left="240" w:right="740" w:firstLine="488"/>
        <w:spacing w:after="0" w:line="239" w:lineRule="auto"/>
        <w:rPr>
          <w:sz w:val="20"/>
          <w:szCs w:val="20"/>
          <w:color w:val="auto"/>
        </w:rPr>
      </w:pPr>
      <w:r>
        <w:rPr>
          <w:rFonts w:ascii="Arial" w:cs="Arial" w:eastAsia="Arial" w:hAnsi="Arial"/>
          <w:sz w:val="18"/>
          <w:szCs w:val="18"/>
          <w:color w:val="auto"/>
        </w:rPr>
        <w:t>We plan to submit a marketing authorization application to the European Medicines Agency for avapritinib for the treatment of PDGFRa D842V mutant GIST and fourth-line GIST in the third quarter of 2019.</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 the Treatment of Advanced SM</w:t>
      </w:r>
    </w:p>
    <w:p>
      <w:pPr>
        <w:spacing w:after="0" w:line="230"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color w:val="auto"/>
        </w:rPr>
        <w:t>We now plan to submit an NDA to the FDA for avapritinib for the treatment of advanced SM in the first quarter of 2020, subject to continued discussions with the FDA under its breakthrough therapy program to determine whether the clinical data from the ongoing Phase 1 EXPLORER trial and the initial clinical data from the ongoing Phase 2 PATHFINDER trial will support an NDA submission.</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BLU-667 for the Treatment of RET-altered Cancers</w:t>
      </w:r>
    </w:p>
    <w:p>
      <w:pPr>
        <w:spacing w:after="0" w:line="230" w:lineRule="exact"/>
        <w:rPr>
          <w:sz w:val="20"/>
          <w:szCs w:val="20"/>
          <w:color w:val="auto"/>
        </w:rPr>
      </w:pPr>
    </w:p>
    <w:p>
      <w:pPr>
        <w:ind w:left="240" w:right="160" w:firstLine="488"/>
        <w:spacing w:after="0" w:line="234" w:lineRule="auto"/>
        <w:rPr>
          <w:sz w:val="20"/>
          <w:szCs w:val="20"/>
          <w:color w:val="auto"/>
        </w:rPr>
      </w:pPr>
      <w:r>
        <w:rPr>
          <w:rFonts w:ascii="Arial" w:cs="Arial" w:eastAsia="Arial" w:hAnsi="Arial"/>
          <w:sz w:val="18"/>
          <w:szCs w:val="18"/>
          <w:color w:val="auto"/>
        </w:rPr>
        <w:t>In the ongoing Phase 1 ARROW trial, 34 patients with RET-fusion NSCLC previously treated with platinum-based chemotherapy and 16 patients with RET-mutant MTC previously treated with the multi-kinase inhibitors cabozantinib and/or vandetanib were response evaluable at the recommended Phase 2 dose of 400 mg once daily as of November 14, 2018 with follow-up through a data cutoff date of March 1, 2019. In these RET-fusion NSCLC patients, the overall response rate was 62 percent (95 percent confidence interval: 44-</w:t>
      </w:r>
    </w:p>
    <w:p>
      <w:pPr>
        <w:spacing w:after="0" w:line="3" w:lineRule="exact"/>
        <w:rPr>
          <w:sz w:val="20"/>
          <w:szCs w:val="20"/>
          <w:color w:val="auto"/>
        </w:rPr>
      </w:pPr>
    </w:p>
    <w:p>
      <w:pPr>
        <w:ind w:left="240" w:right="40"/>
        <w:spacing w:after="0" w:line="270" w:lineRule="auto"/>
        <w:rPr>
          <w:sz w:val="20"/>
          <w:szCs w:val="20"/>
          <w:color w:val="auto"/>
        </w:rPr>
      </w:pPr>
      <w:r>
        <w:rPr>
          <w:rFonts w:ascii="Arial" w:cs="Arial" w:eastAsia="Arial" w:hAnsi="Arial"/>
          <w:sz w:val="16"/>
          <w:szCs w:val="16"/>
          <w:color w:val="auto"/>
        </w:rPr>
        <w:t>78 percent; 21 patients with partial responses, 5 pending confirmation), and in these RET-mutant MTC patients, the overall response rate was 63 percent (95% confidence interval: 35-85 percent; 10 patients with partial responses, 3 pending confirmation). As of the data cutoff date, BLU-667 was generally well-tolerated, and most adverse events, or AEs, reported by investigators were mild to moderate (Grade 1 or Grade 2). Across all doses and treatment cohorts (n=217), only eight patients (3.7 percent) discontinued treatment with BLU-667 due to treatment-related AEs. One patient with metastatic NSCLC passed away (Grade 5) due to pneumonia/lung infection that was determined by the investigator to be possibly related to BLU-667. Detailed safety and clinical data from the ARROW trial in RET-fusion NSCLC patients and RET-mutant MTC patients have been submitted for presentation at the American Society of Clinical Oncology Annual Meeting in June 2019.</w:t>
      </w:r>
    </w:p>
    <w:p>
      <w:pPr>
        <w:spacing w:after="0" w:line="185" w:lineRule="exact"/>
        <w:rPr>
          <w:sz w:val="20"/>
          <w:szCs w:val="20"/>
          <w:color w:val="auto"/>
        </w:rPr>
      </w:pPr>
    </w:p>
    <w:p>
      <w:pPr>
        <w:ind w:left="240" w:right="260" w:firstLine="488"/>
        <w:spacing w:after="0" w:line="237" w:lineRule="auto"/>
        <w:rPr>
          <w:sz w:val="20"/>
          <w:szCs w:val="20"/>
          <w:color w:val="auto"/>
        </w:rPr>
      </w:pPr>
      <w:r>
        <w:rPr>
          <w:rFonts w:ascii="Arial" w:cs="Arial" w:eastAsia="Arial" w:hAnsi="Arial"/>
          <w:sz w:val="18"/>
          <w:szCs w:val="18"/>
          <w:color w:val="auto"/>
        </w:rPr>
        <w:t>In addition, the enrollment target has been reached and patient screening is now closed for the registration-enabling ARROW trial cohort for patients with RET-fusion NSCLC previously treated with platinum-based chemotherapy. We anticipate reaching the enrollment target and closing patient screening for the registration-enabling ARROW trial cohort for patients with RET-mutant MTC previously treated with an approved multi-kinase inhibitor before the end of the second quarter of 2019.</w:t>
      </w:r>
    </w:p>
    <w:p>
      <w:pPr>
        <w:spacing w:after="0" w:line="209" w:lineRule="exact"/>
        <w:rPr>
          <w:sz w:val="20"/>
          <w:szCs w:val="20"/>
          <w:color w:val="auto"/>
        </w:rPr>
      </w:pPr>
    </w:p>
    <w:p>
      <w:pPr>
        <w:jc w:val="both"/>
        <w:ind w:left="240" w:firstLine="488"/>
        <w:spacing w:after="0" w:line="237" w:lineRule="auto"/>
        <w:rPr>
          <w:sz w:val="20"/>
          <w:szCs w:val="20"/>
          <w:color w:val="auto"/>
        </w:rPr>
      </w:pPr>
      <w:r>
        <w:rPr>
          <w:rFonts w:ascii="Arial" w:cs="Arial" w:eastAsia="Arial" w:hAnsi="Arial"/>
          <w:sz w:val="18"/>
          <w:szCs w:val="18"/>
          <w:color w:val="auto"/>
        </w:rPr>
        <w:t>Based on the early achievement of the enrollment target for the RET-fusion NSCLC cohort, we now plan to submit an NDA to the FDA for BLU-667 for the treatment of patients with RET-fusion NSCLC previously treated with platinum-based chemotherapy in the first quarter of 2020. We continue to expect to submit an NDA to the FDA for BLU-667 for the treatment of patients with RET-mutant MTC previously treated with an approved multi-kinase inhibitor in the first half of 2020.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57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BLU-782 for the Treatment of Fibrodysplasia Ossificans Progressiva</w:t>
      </w:r>
    </w:p>
    <w:p>
      <w:pPr>
        <w:spacing w:after="0" w:line="230" w:lineRule="exact"/>
        <w:rPr>
          <w:sz w:val="20"/>
          <w:szCs w:val="20"/>
          <w:color w:val="auto"/>
        </w:rPr>
      </w:pPr>
    </w:p>
    <w:p>
      <w:pPr>
        <w:ind w:left="240" w:right="220" w:firstLine="488"/>
        <w:spacing w:after="0" w:line="239" w:lineRule="auto"/>
        <w:rPr>
          <w:sz w:val="20"/>
          <w:szCs w:val="20"/>
          <w:color w:val="auto"/>
        </w:rPr>
      </w:pPr>
      <w:r>
        <w:rPr>
          <w:rFonts w:ascii="Arial" w:cs="Arial" w:eastAsia="Arial" w:hAnsi="Arial"/>
          <w:sz w:val="18"/>
          <w:szCs w:val="18"/>
          <w:color w:val="auto"/>
        </w:rPr>
        <w:t>Based on the progress of the ongoing Phase 1 clinical trial of BLU-782 in healthy volunteers and input from clinical experts, we now plan to initiate a Phase 2a clinical trial of BLU-782 in patients with FOP in the fourth quarter of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firstLine="488"/>
        <w:spacing w:after="0" w:line="273" w:lineRule="auto"/>
        <w:rPr>
          <w:sz w:val="20"/>
          <w:szCs w:val="20"/>
          <w:color w:val="auto"/>
        </w:rPr>
      </w:pPr>
      <w:r>
        <w:rPr>
          <w:rFonts w:ascii="Arial" w:cs="Arial" w:eastAsia="Arial" w:hAnsi="Arial"/>
          <w:sz w:val="16"/>
          <w:szCs w:val="16"/>
          <w:color w:val="auto"/>
        </w:rPr>
        <w:t>In January 2019, we announced our "2020 Blueprint" strategy, which outlined our strategy to transform Blueprint Medicines into a fully-integrated, global, commercial-stage enterprise focused on delivering a portfolio of precision therapies to patients with cancer and rare diseases. Under this strategy, we anticipate achieving the following by the end of 2020: 2 marketed products in the United States and 1 marketed product in Europe; 4 additional marketing applications pending in the United States and Europe; 6 therapeutic candidates in global clinical development; and 8 research programs that leverage strategic areas of focus. The key tenets of our strategy include the following:</w:t>
      </w:r>
    </w:p>
    <w:p>
      <w:pPr>
        <w:spacing w:after="0" w:line="196" w:lineRule="exact"/>
        <w:rPr>
          <w:sz w:val="20"/>
          <w:szCs w:val="20"/>
          <w:color w:val="auto"/>
        </w:rPr>
      </w:pPr>
    </w:p>
    <w:p>
      <w:pPr>
        <w:ind w:left="1320" w:right="14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the clinical development of avapritinib as a potential treatment for broad populations of GIST and SM, and if successful, seek global regulatory approval.</w:t>
      </w:r>
    </w:p>
    <w:p>
      <w:pPr>
        <w:spacing w:after="0" w:line="195" w:lineRule="exact"/>
        <w:rPr>
          <w:rFonts w:ascii="Arial" w:cs="Arial" w:eastAsia="Arial" w:hAnsi="Arial"/>
          <w:sz w:val="18"/>
          <w:szCs w:val="18"/>
          <w:color w:val="auto"/>
        </w:rPr>
      </w:pPr>
    </w:p>
    <w:p>
      <w:pPr>
        <w:ind w:left="1320" w:right="16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the clinical development of BLU-667 as a potential treatment for RET-altered cancers, including RET-fusion NSCLC and RET-mutant MTC, and if successful, seek global regulatory approval.</w:t>
      </w:r>
    </w:p>
    <w:p>
      <w:pPr>
        <w:spacing w:after="0" w:line="195" w:lineRule="exact"/>
        <w:rPr>
          <w:rFonts w:ascii="Arial" w:cs="Arial" w:eastAsia="Arial" w:hAnsi="Arial"/>
          <w:sz w:val="18"/>
          <w:szCs w:val="18"/>
          <w:color w:val="auto"/>
        </w:rPr>
      </w:pPr>
    </w:p>
    <w:p>
      <w:pPr>
        <w:ind w:left="1320" w:right="6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for a potential commercial launch of avapritinib and build commercial capability to bring avapritinib and our other drug candidates, if and when approved, to healthcare providers and patients for the approved indications.</w:t>
      </w:r>
    </w:p>
    <w:p>
      <w:pPr>
        <w:spacing w:after="0" w:line="208" w:lineRule="exact"/>
        <w:rPr>
          <w:rFonts w:ascii="Arial" w:cs="Arial" w:eastAsia="Arial" w:hAnsi="Arial"/>
          <w:sz w:val="18"/>
          <w:szCs w:val="18"/>
          <w:color w:val="auto"/>
        </w:rPr>
      </w:pPr>
    </w:p>
    <w:p>
      <w:pPr>
        <w:ind w:left="1320" w:right="20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BLU-554 and BLU-782 through clinical development and define the potential regulatory path for these drug candidates.</w:t>
      </w:r>
    </w:p>
    <w:p>
      <w:pPr>
        <w:spacing w:after="0" w:line="195" w:lineRule="exact"/>
        <w:rPr>
          <w:rFonts w:ascii="Arial" w:cs="Arial" w:eastAsia="Arial" w:hAnsi="Arial"/>
          <w:sz w:val="18"/>
          <w:szCs w:val="18"/>
          <w:color w:val="auto"/>
        </w:rPr>
      </w:pPr>
    </w:p>
    <w:p>
      <w:pPr>
        <w:ind w:left="1320" w:right="20" w:hanging="538"/>
        <w:spacing w:after="0" w:line="23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expand our broad, differentiated pipeline of kinase drug candidates for genomically defined cancers, rare diseases and cancer immunotherapy, with a focus on strategic therapeutic areas where we have scientific and clinical expertise, including GIST, SM and lung cancer.</w:t>
      </w:r>
    </w:p>
    <w:p>
      <w:pPr>
        <w:spacing w:after="0" w:line="194"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 potential strategic collaborations to maximize the value of our programs and platform.</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commitment to Blueprint Medicines' patient-focused and science-driven culture as we grow our business.</w:t>
      </w: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00" w:firstLine="488"/>
        <w:spacing w:after="0" w:line="236"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211" w:lineRule="exact"/>
        <w:rPr>
          <w:sz w:val="20"/>
          <w:szCs w:val="20"/>
          <w:color w:val="auto"/>
        </w:rPr>
      </w:pPr>
    </w:p>
    <w:p>
      <w:pPr>
        <w:ind w:left="240" w:right="2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298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29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143" w:right="47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400"/>
        <w:spacing w:after="0"/>
        <w:rPr>
          <w:sz w:val="20"/>
          <w:szCs w:val="20"/>
          <w:color w:val="auto"/>
        </w:rPr>
      </w:pPr>
      <w:r>
        <w:rPr>
          <w:rFonts w:ascii="Arial" w:cs="Arial" w:eastAsia="Arial" w:hAnsi="Arial"/>
          <w:sz w:val="16"/>
          <w:szCs w:val="16"/>
          <w:color w:val="auto"/>
        </w:rPr>
        <w:t>$300,000,000 of shares</w:t>
      </w:r>
    </w:p>
    <w:p>
      <w:pPr>
        <w:spacing w:after="0" w:line="200" w:lineRule="exact"/>
        <w:rPr>
          <w:sz w:val="20"/>
          <w:szCs w:val="20"/>
          <w:color w:val="auto"/>
        </w:rPr>
      </w:pPr>
    </w:p>
    <w:p>
      <w:pPr>
        <w:sectPr>
          <w:pgSz w:w="11900" w:h="16838" w:orient="portrait"/>
          <w:cols w:equalWidth="0" w:num="2">
            <w:col w:w="5220" w:space="720"/>
            <w:col w:w="5240"/>
          </w:cols>
          <w:pgMar w:left="240" w:top="143" w:right="47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47,738,901 shares, which is based on an offering of $300 million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at an assumed offering price of</w:t>
      </w:r>
    </w:p>
    <w:p>
      <w:pPr>
        <w:spacing w:after="0"/>
        <w:rPr>
          <w:sz w:val="20"/>
          <w:szCs w:val="20"/>
          <w:color w:val="auto"/>
        </w:rPr>
      </w:pPr>
      <w:r>
        <w:rPr>
          <w:rFonts w:ascii="Arial" w:cs="Arial" w:eastAsia="Arial" w:hAnsi="Arial"/>
          <w:sz w:val="16"/>
          <w:szCs w:val="16"/>
          <w:color w:val="auto"/>
        </w:rPr>
        <w:t>$81.04 per share, the last reported sale price of our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 the Nasdaq Global Select Market on March 26, 2019</w:t>
      </w:r>
    </w:p>
    <w:p>
      <w:pPr>
        <w:spacing w:after="0" w:line="200" w:lineRule="exact"/>
        <w:rPr>
          <w:sz w:val="20"/>
          <w:szCs w:val="20"/>
          <w:color w:val="auto"/>
        </w:rPr>
      </w:pPr>
    </w:p>
    <w:p>
      <w:pPr>
        <w:sectPr>
          <w:pgSz w:w="11900" w:h="16838" w:orient="portrait"/>
          <w:cols w:equalWidth="0" w:num="2">
            <w:col w:w="5220" w:space="720"/>
            <w:col w:w="5240"/>
          </w:cols>
          <w:pgMar w:left="240" w:top="143" w:right="479" w:bottom="1440" w:gutter="0" w:footer="0" w:header="0"/>
          <w:type w:val="continuous"/>
        </w:sectPr>
      </w:pP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180"/>
        <w:spacing w:after="0" w:line="237" w:lineRule="auto"/>
        <w:rPr>
          <w:sz w:val="20"/>
          <w:szCs w:val="20"/>
          <w:color w:val="auto"/>
        </w:rPr>
      </w:pPr>
      <w:r>
        <w:rPr>
          <w:rFonts w:ascii="Arial" w:cs="Arial" w:eastAsia="Arial" w:hAnsi="Arial"/>
          <w:sz w:val="18"/>
          <w:szCs w:val="18"/>
          <w:color w:val="auto"/>
        </w:rPr>
        <w:t>We have granted the underwriters an option to purchase up to an additional $45,000,000 of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5220" w:space="720"/>
            <w:col w:w="5240"/>
          </w:cols>
          <w:pgMar w:left="240" w:top="143" w:right="479" w:bottom="1440" w:gutter="0" w:footer="0" w:header="0"/>
          <w:type w:val="continuous"/>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We estimate the net proceeds from this offering will be approximately $284.5 million (or approximately $327.2 million if the underwriters exercise their option to purchase additional shares in full), after deducting estimated underwriting discounts and commissions and estimated offering expenses payable by us. We intend to use the net proceeds from this offering to further build our commercial infrastructure and operations in support of one or more anticipated commercial launches of our drug candidates; to fund clinical trials for avapritinib in GIST and SM; to fund clinical trials for BLU-667 in RET-driven cancers; to fund a planned Phase 2a clinical trial for BLU-782 in patients with FOP; to fund manufacturing costs for ongoing and anticipated drug development efforts for our most advanced drug candidates; and the balance, if any, to fund additional research, other clinical trials, working capital requirements and other general corporate purposes. See "Use of Proceeds" for additional information.</w:t>
      </w:r>
    </w:p>
    <w:p>
      <w:pPr>
        <w:spacing w:after="0" w:line="200" w:lineRule="exact"/>
        <w:rPr>
          <w:sz w:val="20"/>
          <w:szCs w:val="20"/>
          <w:color w:val="auto"/>
        </w:rPr>
      </w:pPr>
    </w:p>
    <w:p>
      <w:pPr>
        <w:sectPr>
          <w:pgSz w:w="11900" w:h="16838" w:orient="portrait"/>
          <w:cols w:equalWidth="0" w:num="2">
            <w:col w:w="5220" w:space="720"/>
            <w:col w:w="5240"/>
          </w:cols>
          <w:pgMar w:left="240" w:top="143" w:right="479" w:bottom="1440" w:gutter="0" w:footer="0" w:header="0"/>
          <w:type w:val="continuous"/>
        </w:sectPr>
      </w:pPr>
    </w:p>
    <w:p>
      <w:pPr>
        <w:spacing w:after="0" w:line="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271" w:lineRule="auto"/>
        <w:rPr>
          <w:sz w:val="20"/>
          <w:szCs w:val="20"/>
          <w:color w:val="auto"/>
        </w:rPr>
      </w:pPr>
      <w:r>
        <w:rPr>
          <w:rFonts w:ascii="Arial" w:cs="Arial" w:eastAsia="Arial" w:hAnsi="Arial"/>
          <w:sz w:val="16"/>
          <w:szCs w:val="16"/>
          <w:color w:val="auto"/>
        </w:rPr>
        <w:t>Investing in our common stock involves risks. See "Risk Factors" beginning on page S-13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185" w:lineRule="exact"/>
        <w:rPr>
          <w:sz w:val="20"/>
          <w:szCs w:val="20"/>
          <w:color w:val="auto"/>
        </w:rPr>
      </w:pPr>
    </w:p>
    <w:p>
      <w:pPr>
        <w:sectPr>
          <w:pgSz w:w="11900" w:h="16838" w:orient="portrait"/>
          <w:cols w:equalWidth="0" w:num="2">
            <w:col w:w="5220" w:space="720"/>
            <w:col w:w="5240"/>
          </w:cols>
          <w:pgMar w:left="240" w:top="143" w:right="47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5220" w:space="720"/>
            <w:col w:w="5240"/>
          </w:cols>
          <w:pgMar w:left="240" w:top="143" w:right="479" w:bottom="1440" w:gutter="0" w:footer="0" w:header="0"/>
          <w:type w:val="continuous"/>
        </w:sectPr>
      </w:pPr>
    </w:p>
    <w:p>
      <w:pPr>
        <w:spacing w:after="0" w:line="35" w:lineRule="exact"/>
        <w:rPr>
          <w:sz w:val="20"/>
          <w:szCs w:val="20"/>
          <w:color w:val="auto"/>
        </w:rPr>
      </w:pPr>
    </w:p>
    <w:p>
      <w:pPr>
        <w:ind w:left="240" w:right="280" w:firstLine="485"/>
        <w:spacing w:after="0" w:line="238" w:lineRule="auto"/>
        <w:rPr>
          <w:sz w:val="20"/>
          <w:szCs w:val="20"/>
          <w:color w:val="auto"/>
        </w:rPr>
      </w:pPr>
      <w:r>
        <w:rPr>
          <w:rFonts w:ascii="Arial" w:cs="Arial" w:eastAsia="Arial" w:hAnsi="Arial"/>
          <w:sz w:val="18"/>
          <w:szCs w:val="18"/>
          <w:color w:val="auto"/>
        </w:rPr>
        <w:t>The number of shares of our common stock to be outstanding after the offering is based on 44,037,026 shares of common stock outstanding as of December 31, 2018, and assumes the sale of $300,000,000 of shares of common stock at an assumed offering price of $81.04 per share,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451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45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last reported sale price of our common stock on the Nasdaq Global Select Market on March 26, 2019, and excludes:</w:t>
      </w:r>
    </w:p>
    <w:p>
      <w:pPr>
        <w:spacing w:after="0" w:line="225" w:lineRule="exact"/>
        <w:rPr>
          <w:sz w:val="20"/>
          <w:szCs w:val="20"/>
          <w:color w:val="auto"/>
        </w:rPr>
      </w:pPr>
    </w:p>
    <w:p>
      <w:pPr>
        <w:ind w:left="1320" w:right="2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4,557,800 shares of common stock issuable upon the exercise of stock options outstanding as of December 31, 2018, at a weighted average exercise price of $44.64 per share;</w:t>
      </w:r>
    </w:p>
    <w:p>
      <w:pPr>
        <w:spacing w:after="0" w:line="195" w:lineRule="exact"/>
        <w:rPr>
          <w:rFonts w:ascii="Arial" w:cs="Arial" w:eastAsia="Arial" w:hAnsi="Arial"/>
          <w:sz w:val="18"/>
          <w:szCs w:val="18"/>
          <w:color w:val="auto"/>
        </w:rPr>
      </w:pPr>
    </w:p>
    <w:p>
      <w:pPr>
        <w:ind w:left="1320" w:right="78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36,868 shares of common stock issuable upon the vesting and settlement of restricted stock units outstanding as of December 31, 2018;</w:t>
      </w:r>
    </w:p>
    <w:p>
      <w:pPr>
        <w:spacing w:after="0" w:line="195" w:lineRule="exact"/>
        <w:rPr>
          <w:rFonts w:ascii="Arial" w:cs="Arial" w:eastAsia="Arial" w:hAnsi="Arial"/>
          <w:sz w:val="18"/>
          <w:szCs w:val="18"/>
          <w:color w:val="auto"/>
        </w:rPr>
      </w:pPr>
    </w:p>
    <w:p>
      <w:pPr>
        <w:ind w:left="132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1,776,005 shares of common stock reserved for future issuance under our 2015 Stock Option and Incentive Plan, or the 2015 Plan, as of December 31, 2018, plus any future increases in the number of shares of common stock reserved for issuance under the 2015 Plan pursuant to the evergreen provision of the 2015 Plan; and</w:t>
      </w:r>
    </w:p>
    <w:p>
      <w:pPr>
        <w:spacing w:after="0" w:line="208" w:lineRule="exact"/>
        <w:rPr>
          <w:rFonts w:ascii="Arial" w:cs="Arial" w:eastAsia="Arial" w:hAnsi="Arial"/>
          <w:sz w:val="18"/>
          <w:szCs w:val="18"/>
          <w:color w:val="auto"/>
        </w:rPr>
      </w:pPr>
    </w:p>
    <w:p>
      <w:pPr>
        <w:ind w:left="1320" w:right="60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1,228,430 shares of common stock reserved for future issuance under our 2015 Employee Stock Purchase Plan as of December 31, 2018.</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in this offering;</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stock options after December 31, 2018; and</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vesting of restricted stock units after December 31,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43" w:right="5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488"/>
        <w:spacing w:after="0" w:line="274"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2018, filed with the SEC on February 26, 2019,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March 26, 2019.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47% of our common stock, based on the number of shares of our common stock outstanding as of December 31, 2018.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43% of our common stock (or approximately 43% if the underwriters exercise in full their option to purchase additional shares), based on the number of shares of our common stock outstanding as of December 31, 2018.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2020" w:hanging="4972"/>
        <w:spacing w:after="0" w:line="48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December 31, 2018 after subtracting our liabilities. As a result, investors purchasing shares of common stock in this offering will incur immediate dilution of $66.30 per share, based on the difference between the assumed public offering price of $81.04 per share, which was the last reported sale price of our common stock on the Nasdaq Global Select Market on March 26, 2019, and the as adjusted net tangible book value per share of our outstanding common stock as of December 31, 2018.</w:t>
      </w:r>
    </w:p>
    <w:p>
      <w:pPr>
        <w:spacing w:after="0" w:line="211" w:lineRule="exact"/>
        <w:rPr>
          <w:sz w:val="20"/>
          <w:szCs w:val="20"/>
          <w:color w:val="auto"/>
        </w:rPr>
      </w:pPr>
    </w:p>
    <w:p>
      <w:pPr>
        <w:ind w:right="80" w:firstLine="485"/>
        <w:spacing w:after="0" w:line="269" w:lineRule="auto"/>
        <w:rPr>
          <w:sz w:val="20"/>
          <w:szCs w:val="20"/>
          <w:color w:val="auto"/>
        </w:rPr>
      </w:pPr>
      <w:r>
        <w:rPr>
          <w:rFonts w:ascii="Arial" w:cs="Arial" w:eastAsia="Arial" w:hAnsi="Arial"/>
          <w:sz w:val="16"/>
          <w:szCs w:val="16"/>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December 31, 2018, options to purchase 4,557,800 shares of our common stock at a weighted average exercise price of $44.64 per share were outstanding, and 36,868 restricted stock units were outstanding.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187" w:lineRule="exact"/>
        <w:rPr>
          <w:sz w:val="20"/>
          <w:szCs w:val="20"/>
          <w:color w:val="auto"/>
        </w:rPr>
      </w:pPr>
    </w:p>
    <w:p>
      <w:pPr>
        <w:jc w:val="both"/>
        <w:ind w:right="8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vesting and exercise of outstanding options, the vesting and settlement of outstanding restricted stock units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December 31, 2018, 44,037,026 shares of our common stock were outstanding, excluding options to purchase 4,557,800 shares of our common stock, of which 2,103,540 were exercisable as of that date, and 36,868 shares of unvested restricted stock units. The sale or the availability for sale of a large number of shares of our common stock in the public market could cause the price of our common stock to decline.</w:t>
      </w:r>
    </w:p>
    <w:p>
      <w:pPr>
        <w:spacing w:after="0" w:line="209"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75 days after the date of this prospectus supplement, in each case,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These lock-up periods affect approximately 446,592 shares of our common stock outstanding as of December 31, 2018. In addition, the representatives of the underwriters may, in their sole discretion, release all or some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portion of the shares subject to such lock-up restrictions at any time and for any reason. Sales of stock by any of our directors, executive officers or principal stockholders could have a material adverse effect on the trading price of our common stock.</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in the accompanying prospectus.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380" w:firstLine="488"/>
        <w:spacing w:after="0" w:line="238" w:lineRule="auto"/>
        <w:rPr>
          <w:sz w:val="20"/>
          <w:szCs w:val="20"/>
          <w:color w:val="auto"/>
        </w:rPr>
      </w:pPr>
      <w:r>
        <w:rPr>
          <w:rFonts w:ascii="Arial" w:cs="Arial" w:eastAsia="Arial" w:hAnsi="Arial"/>
          <w:sz w:val="18"/>
          <w:szCs w:val="18"/>
          <w:color w:val="auto"/>
        </w:rPr>
        <w:t>We expect to receive net proceeds of approximately $284.5 million from this offering, after deducting underwriting discounts and commissions and estimated offering expenses payable by us, or approximately $327.2 million if the underwriters exercise in full their option to purchase up to an additional $45,000,000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2018, we had cash, cash equivalents and investments of $494.0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120" w:hanging="532"/>
        <w:spacing w:after="0" w:line="299"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further build our commercial infrastructure and operations in support of one or more anticipated commercial launches of our drug candidates, including potential commercial launches of avapritinib in the United States and Europe, subject to regulatory approval;</w:t>
      </w:r>
    </w:p>
    <w:p>
      <w:pPr>
        <w:spacing w:after="0" w:line="162" w:lineRule="exact"/>
        <w:rPr>
          <w:rFonts w:ascii="Arial" w:cs="Arial" w:eastAsia="Arial" w:hAnsi="Arial"/>
          <w:sz w:val="16"/>
          <w:szCs w:val="16"/>
          <w:color w:val="auto"/>
        </w:rPr>
      </w:pPr>
    </w:p>
    <w:p>
      <w:pPr>
        <w:jc w:val="both"/>
        <w:ind w:left="1080" w:right="16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fund clinical trials for avapritinib in GIST and SM, including our planned registration-enabling Phase 3 COMPASS-2L clinical trial for second-line GIST and our ongoing registration-enabling Phase 2 PIONEER clinical trial for indolent and smoldering SM, as well as future indication expansion clinical trials;</w:t>
      </w:r>
    </w:p>
    <w:p>
      <w:pPr>
        <w:spacing w:after="0" w:line="194" w:lineRule="exact"/>
        <w:rPr>
          <w:rFonts w:ascii="Arial" w:cs="Arial" w:eastAsia="Arial" w:hAnsi="Arial"/>
          <w:sz w:val="18"/>
          <w:szCs w:val="18"/>
          <w:color w:val="auto"/>
        </w:rPr>
      </w:pPr>
    </w:p>
    <w:p>
      <w:pPr>
        <w:ind w:left="1080" w:right="30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fund clinical trials for BLU-667 in RET-driven cancers, including our planned Phase 3 clinical trial for BLU-667 in first-line RET-altered NSCLC and our planned Phase 2 clinical trial for BLU-667 in combination with osimertinib in treatment-resistant, EGFR-mutant NSCLC harboring an acquired RET alteration;</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fund a planned Phase 2a clinical trial for BLU-782 in patients with FOP;</w:t>
      </w:r>
    </w:p>
    <w:p>
      <w:pPr>
        <w:spacing w:after="0" w:line="211"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fund manufacturing costs for ongoing and anticipated drug development efforts for our most advanced drug candidates, including a potential commercial launch of avapritinib; and</w:t>
      </w:r>
    </w:p>
    <w:p>
      <w:pPr>
        <w:spacing w:after="0" w:line="195"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balance, if any, to fund additional discovery research efforts, our other ongoing and planned clinical trials, working capital requirements and other general corporate purposes.</w:t>
      </w:r>
    </w:p>
    <w:p>
      <w:pPr>
        <w:spacing w:after="0" w:line="209"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collaborations with Roche and CStone, will be sufficient to enable us to fund our operating expenses and capital expenditure requirements into the middle of 2021.</w:t>
      </w:r>
    </w:p>
    <w:p>
      <w:pPr>
        <w:spacing w:after="0" w:line="208" w:lineRule="exact"/>
        <w:rPr>
          <w:sz w:val="20"/>
          <w:szCs w:val="20"/>
          <w:color w:val="auto"/>
        </w:rPr>
      </w:pPr>
    </w:p>
    <w:p>
      <w:pPr>
        <w:ind w:firstLine="485"/>
        <w:spacing w:after="0" w:line="268"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commercial launch preparation activities, as well as any collaborations that we may enter into with third parties for our drug candidates and any unforeseen cash needs. In addition, 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 As a result, our management will retain broad discretion over the allocation of the net proceeds from this offering.</w:t>
      </w:r>
    </w:p>
    <w:p>
      <w:pPr>
        <w:spacing w:after="0" w:line="187"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40" w:firstLine="478"/>
        <w:spacing w:after="0" w:line="236" w:lineRule="auto"/>
        <w:rPr>
          <w:sz w:val="20"/>
          <w:szCs w:val="20"/>
          <w:color w:val="auto"/>
        </w:rPr>
      </w:pPr>
      <w:r>
        <w:rPr>
          <w:rFonts w:ascii="Arial" w:cs="Arial" w:eastAsia="Arial" w:hAnsi="Arial"/>
          <w:sz w:val="18"/>
          <w:szCs w:val="18"/>
          <w:color w:val="auto"/>
        </w:rPr>
        <w:t>As of December 31, 2018, we had net tangible book value of approximately $419.0 million, or $9.51 per share of our common stock, based upon 44,037,026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1" w:lineRule="exact"/>
        <w:rPr>
          <w:sz w:val="20"/>
          <w:szCs w:val="20"/>
          <w:color w:val="auto"/>
        </w:rPr>
      </w:pPr>
    </w:p>
    <w:p>
      <w:pPr>
        <w:ind w:right="100" w:firstLine="478"/>
        <w:spacing w:after="0" w:line="236" w:lineRule="auto"/>
        <w:rPr>
          <w:sz w:val="20"/>
          <w:szCs w:val="20"/>
          <w:color w:val="auto"/>
        </w:rPr>
      </w:pPr>
      <w:r>
        <w:rPr>
          <w:rFonts w:ascii="Arial" w:cs="Arial" w:eastAsia="Arial" w:hAnsi="Arial"/>
          <w:sz w:val="18"/>
          <w:szCs w:val="18"/>
          <w:color w:val="auto"/>
        </w:rPr>
        <w:t>After giving effect to the sale of $300 million of shares of common stock in this offering at the assumed public offering price of $81.04 per share, which was the last reported sale price of our common stock on the Nasdaq Global Select Market on March 26, 2019, and after deducting estimated underwriting discounts and commissions and estimated offering expenses payable by us, our as adjusted net tangible book value as of December 31, 2018 would have been approximately $703.5 million, or approximately $14.74 per share of common stock. This represents an immediate increase in as adjusted net tangible book value of $5.23 per share to our existing stockholders and an immediate dilution of $66.30 per share to investors participating in this offering at the assumed public offering price of $81.04 per share, which was the last reported sale price of our common stock on the Nasdaq Global Select Market on March 26, 2019.</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December 31, 2018</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14.74</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66.30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80" w:firstLine="488"/>
        <w:spacing w:after="0" w:line="264" w:lineRule="auto"/>
        <w:rPr>
          <w:sz w:val="20"/>
          <w:szCs w:val="20"/>
          <w:color w:val="auto"/>
        </w:rPr>
      </w:pPr>
      <w:r>
        <w:rPr>
          <w:rFonts w:ascii="Arial" w:cs="Arial" w:eastAsia="Arial" w:hAnsi="Arial"/>
          <w:sz w:val="16"/>
          <w:szCs w:val="16"/>
          <w:color w:val="auto"/>
        </w:rPr>
        <w:t>Each $1.00 increase (decrease) in the assumed public offering price of $81.04 per share, the last reported sale price of our common stock on the Nasdaq Global Select Market on March 26, 2019, would (decrease) increase the number of shares of common stock to be issued by us in this offering by (45,123) and 46,250, respectively, assuming the aggregate dollar amount of shares offered by us, as set forth on the cover page of this prospectus supplement, remains the same. We may also increase or decrease the aggregate dollar amount of shares we are offering. Each increase (decrease) of $1 million of shares offered by us would increase (decrease) the net proceeds of this offering by approximately</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$0.95 million, assuming that the assumed public offering price remains the same, and after deducting estimated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table and discussion is based on 44,037,026 shares of common stock outstanding as of December 31, 2018, and excludes:</w:t>
      </w:r>
    </w:p>
    <w:p>
      <w:pPr>
        <w:spacing w:after="0" w:line="235" w:lineRule="exact"/>
        <w:rPr>
          <w:sz w:val="20"/>
          <w:szCs w:val="20"/>
          <w:color w:val="auto"/>
        </w:rPr>
      </w:pPr>
    </w:p>
    <w:p>
      <w:pPr>
        <w:ind w:left="1080" w:right="6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4,557,800 shares of common stock issuable upon the exercise of stock options outstanding as of December 31, 2018, at a weighted average exercise price of $44.64 per share;</w:t>
      </w:r>
    </w:p>
    <w:p>
      <w:pPr>
        <w:spacing w:after="0" w:line="208"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36,868 shares of common stock issuable upon the vesting and settlement of restricted stock units outstanding as of December 31, 2018;</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1,776,005 shares of common stock reserved for future issuance under the 2015 Plan as of December 31, 2018; and</w:t>
      </w:r>
    </w:p>
    <w:p>
      <w:pPr>
        <w:spacing w:after="0" w:line="19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1,228,430 shares of common stock reserved for future issuance under our 2015 Employee Stock Purchase Plan as of December 31, 2018.</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If the underwriters exercise in full their option to purchase an assumed $45,000,000 of additional shares of our common stock at the assumed public offering price of $81.04 per share, which was the last reported sale price of our common stock on the Nasdaq Global Select Market on March 26, 2019, the as adjusted net tangible book value after this offering would be $15.45 per share, representing an increase in net tangible book value of $5.94 per share to existing stockholders and immediate dilution in net tangible book value of $65.59 per share to investors purchasing our common stock in this offering at the assumed public offering price of $81.04, which was the last reported sale price of our common stock on the Nasdaq Global Select Market on March 26, 2019.</w:t>
      </w:r>
    </w:p>
    <w:p>
      <w:pPr>
        <w:spacing w:after="0" w:line="210" w:lineRule="exact"/>
        <w:rPr>
          <w:sz w:val="20"/>
          <w:szCs w:val="20"/>
          <w:color w:val="auto"/>
        </w:rPr>
      </w:pPr>
    </w:p>
    <w:p>
      <w:pPr>
        <w:ind w:firstLine="485"/>
        <w:spacing w:after="0" w:line="238" w:lineRule="auto"/>
        <w:rPr>
          <w:sz w:val="20"/>
          <w:szCs w:val="20"/>
          <w:color w:val="auto"/>
        </w:rPr>
      </w:pPr>
      <w:r>
        <w:rPr>
          <w:rFonts w:ascii="Arial" w:cs="Arial" w:eastAsia="Arial" w:hAnsi="Arial"/>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208"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jc w:val="both"/>
        <w:ind w:right="80" w:firstLine="488"/>
        <w:spacing w:after="0" w:line="238" w:lineRule="auto"/>
        <w:rPr>
          <w:sz w:val="20"/>
          <w:szCs w:val="20"/>
          <w:color w:val="auto"/>
        </w:rPr>
      </w:pPr>
      <w:r>
        <w:rPr>
          <w:rFonts w:ascii="Arial" w:cs="Arial" w:eastAsia="Arial" w:hAnsi="Arial"/>
          <w:sz w:val="18"/>
          <w:szCs w:val="18"/>
          <w:color w:val="auto"/>
        </w:rPr>
        <w:t>We will enter into an underwriting agreement with the underwriters named below with respect to the shares being offered. Subject to certain conditions, each underwriter will severally agree to purchase the number of shares indicated in the following table. Goldman Sachs &amp; Co. LLC and Cowen and Company, LLC are acting as representatives of the underwriters.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Number of</w:t>
            </w:r>
          </w:p>
        </w:tc>
      </w:tr>
      <w:tr>
        <w:trPr>
          <w:trHeight w:val="206"/>
        </w:trPr>
        <w:tc>
          <w:tcPr>
            <w:tcW w:w="7840" w:type="dxa"/>
            <w:vAlign w:val="bottom"/>
            <w:gridSpan w:val="2"/>
          </w:tcPr>
          <w:p>
            <w:pPr>
              <w:spacing w:after="0" w:line="200" w:lineRule="exact"/>
              <w:rPr>
                <w:sz w:val="20"/>
                <w:szCs w:val="20"/>
                <w:color w:val="auto"/>
              </w:rPr>
            </w:pPr>
            <w:r>
              <w:rPr>
                <w:rFonts w:ascii="Arial" w:cs="Arial" w:eastAsia="Arial" w:hAnsi="Arial"/>
                <w:sz w:val="18"/>
                <w:szCs w:val="18"/>
                <w:color w:val="auto"/>
              </w:rPr>
              <w:t>Underwriters</w:t>
            </w:r>
          </w:p>
        </w:tc>
        <w:tc>
          <w:tcPr>
            <w:tcW w:w="180" w:type="dxa"/>
            <w:vAlign w:val="bottom"/>
          </w:tcPr>
          <w:p>
            <w:pPr>
              <w:spacing w:after="0"/>
              <w:rPr>
                <w:sz w:val="17"/>
                <w:szCs w:val="17"/>
                <w:color w:val="auto"/>
              </w:rPr>
            </w:pPr>
          </w:p>
        </w:tc>
        <w:tc>
          <w:tcPr>
            <w:tcW w:w="112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8"/>
              </w:rPr>
              <w:t>Shares</w:t>
            </w:r>
          </w:p>
        </w:tc>
      </w:tr>
      <w:tr>
        <w:trPr>
          <w:trHeight w:val="203"/>
        </w:trPr>
        <w:tc>
          <w:tcPr>
            <w:tcW w:w="2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Cowen and Company, LLC</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Guggenheim Securities, LLC.</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Wedbush Securities Inc.</w:t>
            </w:r>
          </w:p>
        </w:tc>
        <w:tc>
          <w:tcPr>
            <w:tcW w:w="1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34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ind w:right="120" w:firstLine="485"/>
        <w:spacing w:after="0" w:line="238" w:lineRule="auto"/>
        <w:rPr>
          <w:sz w:val="20"/>
          <w:szCs w:val="20"/>
          <w:color w:val="auto"/>
        </w:rPr>
      </w:pPr>
      <w:r>
        <w:rPr>
          <w:rFonts w:ascii="Arial" w:cs="Arial" w:eastAsia="Arial" w:hAnsi="Arial"/>
          <w:sz w:val="18"/>
          <w:szCs w:val="18"/>
          <w:color w:val="auto"/>
        </w:rPr>
        <w:t>The underwriters have an option to buy up to $45,000,000 of additional shares of our common stock from us. They may exercise this option for 30 days. If any shares are purchased pursuant to this option, the underwriters will severally purchase shares in approximately the same proportion as set forth in the table above.</w:t>
      </w:r>
    </w:p>
    <w:p>
      <w:pPr>
        <w:spacing w:after="0" w:line="208" w:lineRule="exact"/>
        <w:rPr>
          <w:sz w:val="20"/>
          <w:szCs w:val="20"/>
          <w:color w:val="auto"/>
        </w:rPr>
      </w:pPr>
    </w:p>
    <w:p>
      <w:pPr>
        <w:ind w:right="6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$45,000,000 additional shares of our common stock.</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800" w:type="dxa"/>
            <w:vAlign w:val="bottom"/>
            <w:gridSpan w:val="2"/>
          </w:tcPr>
          <w:p>
            <w:pPr>
              <w:jc w:val="right"/>
              <w:ind w:right="1492"/>
              <w:spacing w:after="0"/>
              <w:rPr>
                <w:sz w:val="20"/>
                <w:szCs w:val="20"/>
                <w:color w:val="auto"/>
              </w:rPr>
            </w:pPr>
            <w:r>
              <w:rPr>
                <w:rFonts w:ascii="Arial" w:cs="Arial" w:eastAsia="Arial" w:hAnsi="Arial"/>
                <w:sz w:val="18"/>
                <w:szCs w:val="18"/>
                <w:b w:val="1"/>
                <w:bCs w:val="1"/>
                <w:color w:val="auto"/>
              </w:rPr>
              <w:t>Paid by the Company</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4800" w:type="dxa"/>
            <w:vAlign w:val="bottom"/>
            <w:gridSpan w:val="2"/>
            <w:shd w:val="clear" w:color="auto" w:fill="CCEEFF"/>
          </w:tcPr>
          <w:p>
            <w:pPr>
              <w:jc w:val="right"/>
              <w:ind w:right="1552"/>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6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0" w:type="dxa"/>
            <w:vAlign w:val="bottom"/>
            <w:gridSpan w:val="2"/>
          </w:tcPr>
          <w:p>
            <w:pPr>
              <w:jc w:val="right"/>
              <w:ind w:right="1552"/>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w:t>
      </w:r>
    </w:p>
    <w:p>
      <w:pPr>
        <w:ind w:right="360"/>
        <w:spacing w:after="0" w:line="281" w:lineRule="auto"/>
        <w:rPr>
          <w:sz w:val="20"/>
          <w:szCs w:val="20"/>
          <w:color w:val="auto"/>
        </w:rPr>
      </w:pPr>
      <w:r>
        <w:rPr>
          <w:rFonts w:ascii="Arial" w:cs="Arial" w:eastAsia="Arial" w:hAnsi="Arial"/>
          <w:sz w:val="16"/>
          <w:szCs w:val="16"/>
          <w:color w:val="auto"/>
        </w:rPr>
        <w:t>supplement. Any shares 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75 days after the date of this prospectus supplement, in each case, subject to specified exceptions, that neither we nor they will offer, sell, contract to sell, pledge, grant any option to purchase, make any short sale or otherwise dispose of any shares of our common stock or securities convertible into or exchangeable or exercisable for any shares of our common stock, except with the prior written consent of the representatives. These lock-up periods affect approximately 446,592 shares of our common stock outstanding as of December 31, 2018. The lock-up restrictions are subject to certain exceptions, including transfers of shares of our common stock (i) acquired in the open market following the completion of this offering; (ii) as a bona fide gift, to a trust for the benefit of the holder or his or her immediate family, by will or other testamentary document or intestate succession, or by operation of law; (iii) to an affiliate of the holder or as part of a distribution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without consideration to a holder's stockholders, partners, members or other equity holders; (iv) in connection with an exercise for cash of options to purchase our common stock, the "net exercise" or "cashless" exercise of such options within 90 days of the expiration of such options, and any transfer for the payment of taxes due as result of the exercise of such options or the vesting and settlement of restricted stock units; and (v) in connection with establishing a trading plan pursuant to Rule 10b5-1, or 10b5-1 plan, under the Securities Exchange Act of 1934, as amended. The representatives, in their sole discretion, may release the common stock and other securities subject to the lock-up agreements described above in whole or in part at any time.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$500,000. This includes reimbursement to the underwriters for certain of their expenses in an amount up to $25,000.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right="160" w:firstLine="488"/>
        <w:spacing w:after="0" w:line="28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7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20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firstLine="488"/>
        <w:spacing w:after="0" w:line="273"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0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12" w:lineRule="exact"/>
        <w:rPr>
          <w:sz w:val="20"/>
          <w:szCs w:val="20"/>
          <w:color w:val="auto"/>
        </w:rPr>
      </w:pPr>
    </w:p>
    <w:p>
      <w:pPr>
        <w:ind w:left="1080" w:right="10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0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160" w:firstLine="488"/>
        <w:spacing w:after="0" w:line="281" w:lineRule="auto"/>
        <w:rPr>
          <w:sz w:val="20"/>
          <w:szCs w:val="20"/>
          <w:color w:val="auto"/>
        </w:rPr>
      </w:pPr>
      <w:r>
        <w:rPr>
          <w:rFonts w:ascii="Arial" w:cs="Arial" w:eastAsia="Arial" w:hAnsi="Arial"/>
          <w:sz w:val="16"/>
          <w:szCs w:val="16"/>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17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520" w:right="3500" w:hanging="4432"/>
        <w:spacing w:after="0" w:line="489"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 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20" w:right="220" w:hanging="532"/>
        <w:spacing w:after="0" w:line="23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20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98"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220" w:firstLine="485"/>
        <w:spacing w:after="0" w:line="264"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w:t>
      </w:r>
    </w:p>
    <w:p>
      <w:pPr>
        <w:ind w:right="20"/>
        <w:spacing w:after="0" w:line="235" w:lineRule="auto"/>
        <w:rPr>
          <w:sz w:val="20"/>
          <w:szCs w:val="20"/>
          <w:color w:val="auto"/>
        </w:rPr>
      </w:pPr>
      <w:r>
        <w:rPr>
          <w:rFonts w:ascii="Arial" w:cs="Arial" w:eastAsia="Arial" w:hAnsi="Arial"/>
          <w:sz w:val="18"/>
          <w:szCs w:val="18"/>
          <w:color w:val="auto"/>
        </w:rPr>
        <w:t>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right="220" w:firstLine="8"/>
        <w:spacing w:after="0" w:line="239" w:lineRule="auto"/>
        <w:tabs>
          <w:tab w:leader="none" w:pos="2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209"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9"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condition to be offered common stock, that Qualified Investors will each represent, warrant and certify to us and/or to anyone acting on our behalf:</w:t>
      </w:r>
    </w:p>
    <w:p>
      <w:pPr>
        <w:spacing w:after="0" w:line="19" w:lineRule="exact"/>
        <w:rPr>
          <w:sz w:val="20"/>
          <w:szCs w:val="20"/>
          <w:color w:val="auto"/>
        </w:rPr>
      </w:pPr>
    </w:p>
    <w:p>
      <w:pPr>
        <w:ind w:firstLine="8"/>
        <w:spacing w:after="0" w:line="236" w:lineRule="auto"/>
        <w:tabs>
          <w:tab w:leader="none" w:pos="2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60" w:firstLine="488"/>
        <w:spacing w:after="0" w:line="275"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3"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9"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qualified foreign pension funds;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tax treatment of a partner in such</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partnership generally will depend on the status of the partner and upon the activities of the partnership. Accordingly, partnerships that hold our common stock, and partners in such partnerships, should consult their tax advisors.</w:t>
      </w:r>
    </w:p>
    <w:p>
      <w:pPr>
        <w:spacing w:after="0" w:line="187"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w:t>
      </w:r>
    </w:p>
    <w:p>
      <w:pPr>
        <w:spacing w:after="0" w:line="1"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IRS Form W-8BEN, IRS Form W-8-BEN-E or another appropriate version of IRS Form W-8 (or a successor form), in each case, certifying qualification for the reduced rate.</w:t>
      </w:r>
    </w:p>
    <w:p>
      <w:pPr>
        <w:spacing w:after="0" w:line="209"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34"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Subject to the discussion below regarding backup withholding , a non-U.S. Holder generally will not be required to pay U.S. federal income tax on any gain realized upon the sale or other taxable disposition of our common stock unless:</w:t>
      </w:r>
    </w:p>
    <w:p>
      <w:pPr>
        <w:spacing w:after="0" w:line="209" w:lineRule="exact"/>
        <w:rPr>
          <w:sz w:val="20"/>
          <w:szCs w:val="20"/>
          <w:color w:val="auto"/>
        </w:rPr>
      </w:pPr>
    </w:p>
    <w:p>
      <w:pPr>
        <w:jc w:val="both"/>
        <w:ind w:left="1080" w:hanging="532"/>
        <w:spacing w:after="0" w:line="23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w:t>
      </w:r>
    </w:p>
    <w:p>
      <w:pPr>
        <w:jc w:val="both"/>
        <w:ind w:right="160"/>
        <w:spacing w:after="0" w:line="238" w:lineRule="auto"/>
        <w:rPr>
          <w:sz w:val="20"/>
          <w:szCs w:val="20"/>
          <w:color w:val="auto"/>
        </w:rPr>
      </w:pPr>
      <w:r>
        <w:rPr>
          <w:rFonts w:ascii="Arial" w:cs="Arial" w:eastAsia="Arial" w:hAnsi="Arial"/>
          <w:sz w:val="18"/>
          <w:szCs w:val="18"/>
          <w:color w:val="auto"/>
        </w:rPr>
        <w:t>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Notwithstanding the foregoing, under current proposed Treasury regulations (which taxpayers may rely upon prior to finalization) no withholding will be imposed on gross proceeds from the sale or disposition of our common stock. However, no assurance can be provided that such proposed regulations will not be repealed, or that the final regulations (if and when promulgated) will treat gross proceeds consistently with the proposed regulations. Prospective investors should consult their tax advisors regarding FATCA.</w:t>
      </w:r>
    </w:p>
    <w:p>
      <w:pPr>
        <w:spacing w:after="0" w:line="193"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7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(Form 10 K) for the year ended December 31, 2018 and the effectiveness of Blueprint Medicines Corporation's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said firm as experts in auditing and accounting.</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83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19"/>
                <w:szCs w:val="19"/>
                <w:color w:val="auto"/>
              </w:rPr>
            </w:pP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9</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120"/>
        </w:trPr>
        <w:tc>
          <w:tcPr>
            <w:tcW w:w="8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9" w:name="page50"/>
    <w:bookmarkEnd w:id="49"/>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ind w:left="540" w:right="280" w:hanging="532"/>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5" w:name="page56"/>
    <w:bookmarkEnd w:id="55"/>
    <w:p>
      <w:pPr>
        <w:ind w:left="1080" w:right="6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9" w:name="page60"/>
    <w:bookmarkEnd w:id="59"/>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2" w:name="page63"/>
    <w:bookmarkEnd w:id="62"/>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4" w:name="page75"/>
    <w:bookmarkEnd w:id="74"/>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$300,000,000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 SUPPLEMENT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jc w:val="center"/>
              <w:ind w:left="852"/>
              <w:spacing w:after="0"/>
              <w:rPr>
                <w:sz w:val="20"/>
                <w:szCs w:val="20"/>
                <w:color w:val="auto"/>
              </w:rPr>
            </w:pPr>
            <w:r>
              <w:rPr>
                <w:rFonts w:ascii="Arial" w:cs="Arial" w:eastAsia="Arial" w:hAnsi="Arial"/>
                <w:sz w:val="18"/>
                <w:szCs w:val="18"/>
                <w:b w:val="1"/>
                <w:bCs w:val="1"/>
                <w:color w:val="auto"/>
                <w:w w:val="97"/>
              </w:rPr>
              <w:t>Goldman Sachs &amp; Co. LLC</w:t>
            </w:r>
          </w:p>
        </w:tc>
        <w:tc>
          <w:tcPr>
            <w:tcW w:w="5700" w:type="dxa"/>
            <w:vAlign w:val="bottom"/>
          </w:tcPr>
          <w:p>
            <w:pPr>
              <w:jc w:val="center"/>
              <w:ind w:right="872"/>
              <w:spacing w:after="0"/>
              <w:rPr>
                <w:sz w:val="20"/>
                <w:szCs w:val="20"/>
                <w:color w:val="auto"/>
              </w:rPr>
            </w:pPr>
            <w:r>
              <w:rPr>
                <w:rFonts w:ascii="Arial" w:cs="Arial" w:eastAsia="Arial" w:hAnsi="Arial"/>
                <w:sz w:val="18"/>
                <w:szCs w:val="18"/>
                <w:b w:val="1"/>
                <w:bCs w:val="1"/>
                <w:color w:val="auto"/>
                <w:w w:val="98"/>
              </w:rPr>
              <w:t>Cowen</w:t>
            </w:r>
          </w:p>
        </w:tc>
      </w:tr>
      <w:tr>
        <w:trPr>
          <w:trHeight w:val="233"/>
        </w:trPr>
        <w:tc>
          <w:tcPr>
            <w:tcW w:w="5720" w:type="dxa"/>
            <w:vAlign w:val="bottom"/>
          </w:tcPr>
          <w:p>
            <w:pPr>
              <w:jc w:val="center"/>
              <w:ind w:left="872"/>
              <w:spacing w:after="0"/>
              <w:rPr>
                <w:sz w:val="20"/>
                <w:szCs w:val="20"/>
                <w:color w:val="auto"/>
              </w:rPr>
            </w:pPr>
            <w:r>
              <w:rPr>
                <w:rFonts w:ascii="Arial" w:cs="Arial" w:eastAsia="Arial" w:hAnsi="Arial"/>
                <w:sz w:val="18"/>
                <w:szCs w:val="18"/>
                <w:b w:val="1"/>
                <w:bCs w:val="1"/>
                <w:color w:val="auto"/>
                <w:w w:val="97"/>
              </w:rPr>
              <w:t>Guggenheim Securities</w:t>
            </w:r>
          </w:p>
        </w:tc>
        <w:tc>
          <w:tcPr>
            <w:tcW w:w="5700" w:type="dxa"/>
            <w:vAlign w:val="bottom"/>
          </w:tcPr>
          <w:p>
            <w:pPr>
              <w:jc w:val="center"/>
              <w:ind w:right="872"/>
              <w:spacing w:after="0"/>
              <w:rPr>
                <w:sz w:val="20"/>
                <w:szCs w:val="20"/>
                <w:color w:val="auto"/>
              </w:rPr>
            </w:pPr>
            <w:r>
              <w:rPr>
                <w:rFonts w:ascii="Arial" w:cs="Arial" w:eastAsia="Arial" w:hAnsi="Arial"/>
                <w:sz w:val="18"/>
                <w:szCs w:val="18"/>
                <w:b w:val="1"/>
                <w:bCs w:val="1"/>
                <w:color w:val="auto"/>
                <w:w w:val="96"/>
              </w:rPr>
              <w:t>Wedbush PacGrow</w:t>
            </w:r>
          </w:p>
        </w:tc>
      </w:tr>
      <w:tr>
        <w:trPr>
          <w:trHeight w:val="419"/>
        </w:trPr>
        <w:tc>
          <w:tcPr>
            <w:tcW w:w="5720" w:type="dxa"/>
            <w:vAlign w:val="bottom"/>
          </w:tcPr>
          <w:p>
            <w:pPr>
              <w:ind w:left="5100"/>
              <w:spacing w:after="0"/>
              <w:rPr>
                <w:sz w:val="20"/>
                <w:szCs w:val="20"/>
                <w:color w:val="auto"/>
              </w:rPr>
            </w:pPr>
            <w:r>
              <w:rPr>
                <w:rFonts w:ascii="Arial" w:cs="Arial" w:eastAsia="Arial" w:hAnsi="Arial"/>
                <w:sz w:val="18"/>
                <w:szCs w:val="18"/>
                <w:color w:val="auto"/>
              </w:rPr>
              <w:t>March</w:t>
            </w:r>
          </w:p>
        </w:tc>
        <w:tc>
          <w:tcPr>
            <w:tcW w:w="5700" w:type="dxa"/>
            <w:vAlign w:val="bottom"/>
          </w:tcPr>
          <w:p>
            <w:pPr>
              <w:jc w:val="right"/>
              <w:ind w:right="5012"/>
              <w:spacing w:after="0"/>
              <w:rPr>
                <w:sz w:val="20"/>
                <w:szCs w:val="20"/>
                <w:color w:val="auto"/>
              </w:rPr>
            </w:pPr>
            <w:r>
              <w:rPr>
                <w:rFonts w:ascii="Arial" w:cs="Arial" w:eastAsia="Arial" w:hAnsi="Arial"/>
                <w:sz w:val="18"/>
                <w:szCs w:val="18"/>
                <w:color w:val="auto"/>
              </w:rPr>
              <w:t>, 2019</w:t>
            </w:r>
          </w:p>
        </w:tc>
      </w:tr>
      <w:tr>
        <w:trPr>
          <w:trHeight w:val="48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41"/>
        </w:trPr>
        <w:tc>
          <w:tcPr>
            <w:tcW w:w="5720" w:type="dxa"/>
            <w:vAlign w:val="bottom"/>
            <w:tcBorders>
              <w:bottom w:val="single" w:sz="8" w:color="auto"/>
            </w:tcBorders>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r>
      <w:tr>
        <w:trPr>
          <w:trHeight w:val="226"/>
        </w:trPr>
        <w:tc>
          <w:tcPr>
            <w:tcW w:w="572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
      <w:numFmt w:val="bullet"/>
      <w:start w:val="1"/>
    </w:lvl>
  </w:abstractNum>
  <w:abstractNum w:abstractNumId="17">
    <w:nsid w:val="5C482A97"/>
    <w:multiLevelType w:val="hybridMultilevel"/>
    <w:lvl w:ilvl="0">
      <w:lvlJc w:val="left"/>
      <w:lvlText w:val="(%1)"/>
      <w:numFmt w:val="lowerRoman"/>
      <w:start w:val="3"/>
    </w:lvl>
  </w:abstractNum>
  <w:abstractNum w:abstractNumId="18">
    <w:nsid w:val="2463B9EA"/>
    <w:multiLevelType w:val="hybridMultilevel"/>
    <w:lvl w:ilvl="0">
      <w:lvlJc w:val="left"/>
      <w:lvlText w:val="(%1)"/>
      <w:numFmt w:val="lowerRoman"/>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lvl w:ilvl="1">
      <w:lvlJc w:val="left"/>
      <w:lvlText w:val="(%2)"/>
      <w:numFmt w:val="lowerRoman"/>
      <w:start w:val="2"/>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2019-12-03T19:09:56Z</dcterms:created>
  <dcterms:modified xsi:type="dcterms:W3CDTF">2019-12-03T19:09:56Z</dcterms:modified>
</cp:coreProperties>
</file>