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03/09/2020</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CEO and President</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03/09/2020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2,277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51.97</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121,434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0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units.The sale occurred automatically to satisfy the tax withholding obligations to be funded by a "sell to cover" transaction and does not represent a discretionary trade by the Reporting Person.</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03/11/2020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2020-03-11T15:33:09Z</dcterms:created>
  <dcterms:modified xsi:type="dcterms:W3CDTF">2020-03-11T15:33:09Z</dcterms:modified>
</cp:coreProperties>
</file>