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27"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55880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75565</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55" w:lineRule="exact"/>
        <w:rPr>
          <w:sz w:val="24"/>
          <w:szCs w:val="24"/>
          <w:color w:val="auto"/>
        </w:rPr>
      </w:pPr>
    </w:p>
    <w:p>
      <w:pPr>
        <w:ind w:left="1380" w:hanging="950"/>
        <w:spacing w:after="0"/>
        <w:tabs>
          <w:tab w:leader="none" w:pos="13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For the fiscal year ended December 31, 2016</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380" w:hanging="950"/>
        <w:spacing w:after="0"/>
        <w:tabs>
          <w:tab w:leader="none" w:pos="13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7" w:lineRule="exact"/>
        <w:rPr>
          <w:sz w:val="24"/>
          <w:szCs w:val="24"/>
          <w:color w:val="auto"/>
        </w:rPr>
      </w:pPr>
    </w:p>
    <w:p>
      <w:pPr>
        <w:ind w:left="3280"/>
        <w:spacing w:after="0"/>
        <w:tabs>
          <w:tab w:leader="none" w:pos="60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3329305</wp:posOffset>
            </wp:positionH>
            <wp:positionV relativeFrom="paragraph">
              <wp:posOffset>-6985</wp:posOffset>
            </wp:positionV>
            <wp:extent cx="1083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331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60325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BLUEPRINT MEDICINES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60325</wp:posOffset>
            </wp:positionV>
            <wp:extent cx="1655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83" w:lineRule="exact"/>
        <w:rPr>
          <w:sz w:val="24"/>
          <w:szCs w:val="24"/>
          <w:color w:val="auto"/>
        </w:rPr>
      </w:pPr>
    </w:p>
    <w:tbl>
      <w:tblPr>
        <w:tblLayout w:type="fixed"/>
        <w:tblInd w:w="1380" w:type="dxa"/>
        <w:tblCellMar>
          <w:top w:w="0" w:type="dxa"/>
          <w:left w:w="0" w:type="dxa"/>
          <w:bottom w:w="0" w:type="dxa"/>
          <w:right w:w="0" w:type="dxa"/>
        </w:tblCellMar>
      </w:tblPr>
      <w:tr>
        <w:trPr>
          <w:trHeight w:val="193"/>
        </w:trPr>
        <w:tc>
          <w:tcPr>
            <w:tcW w:w="4220" w:type="dxa"/>
            <w:vAlign w:val="bottom"/>
          </w:tcPr>
          <w:p>
            <w:pPr>
              <w:jc w:val="center"/>
              <w:ind w:right="1599"/>
              <w:spacing w:after="0"/>
              <w:rPr>
                <w:sz w:val="20"/>
                <w:szCs w:val="20"/>
                <w:color w:val="auto"/>
              </w:rPr>
            </w:pPr>
            <w:r>
              <w:rPr>
                <w:rFonts w:ascii="Arial" w:cs="Arial" w:eastAsia="Arial" w:hAnsi="Arial"/>
                <w:sz w:val="16"/>
                <w:szCs w:val="16"/>
                <w:b w:val="1"/>
                <w:bCs w:val="1"/>
                <w:color w:val="auto"/>
                <w:w w:val="93"/>
              </w:rPr>
              <w:t>Delaware</w:t>
            </w:r>
          </w:p>
        </w:tc>
        <w:tc>
          <w:tcPr>
            <w:tcW w:w="2900" w:type="dxa"/>
            <w:vAlign w:val="bottom"/>
          </w:tcPr>
          <w:p>
            <w:pPr>
              <w:jc w:val="right"/>
              <w:ind w:right="139"/>
              <w:spacing w:after="0"/>
              <w:rPr>
                <w:sz w:val="20"/>
                <w:szCs w:val="20"/>
                <w:color w:val="auto"/>
              </w:rPr>
            </w:pPr>
            <w:r>
              <w:rPr>
                <w:rFonts w:ascii="Arial" w:cs="Arial" w:eastAsia="Arial" w:hAnsi="Arial"/>
                <w:sz w:val="16"/>
                <w:szCs w:val="16"/>
                <w:b w:val="1"/>
                <w:bCs w:val="1"/>
                <w:color w:val="auto"/>
              </w:rPr>
              <w:t>26-3632015</w:t>
            </w:r>
          </w:p>
        </w:tc>
        <w:tc>
          <w:tcPr>
            <w:tcW w:w="0" w:type="dxa"/>
            <w:vAlign w:val="bottom"/>
          </w:tcPr>
          <w:p>
            <w:pPr>
              <w:spacing w:after="0"/>
              <w:rPr>
                <w:sz w:val="1"/>
                <w:szCs w:val="1"/>
                <w:color w:val="auto"/>
              </w:rPr>
            </w:pPr>
          </w:p>
        </w:tc>
      </w:tr>
      <w:tr>
        <w:trPr>
          <w:trHeight w:val="162"/>
        </w:trPr>
        <w:tc>
          <w:tcPr>
            <w:tcW w:w="4220" w:type="dxa"/>
            <w:vAlign w:val="bottom"/>
          </w:tcPr>
          <w:p>
            <w:pPr>
              <w:jc w:val="center"/>
              <w:ind w:right="1639"/>
              <w:spacing w:after="0" w:line="162" w:lineRule="exact"/>
              <w:rPr>
                <w:sz w:val="20"/>
                <w:szCs w:val="20"/>
                <w:color w:val="auto"/>
              </w:rPr>
            </w:pPr>
            <w:r>
              <w:rPr>
                <w:rFonts w:ascii="Arial" w:cs="Arial" w:eastAsia="Arial" w:hAnsi="Arial"/>
                <w:sz w:val="16"/>
                <w:szCs w:val="16"/>
                <w:i w:val="1"/>
                <w:iCs w:val="1"/>
                <w:color w:val="auto"/>
                <w:w w:val="94"/>
              </w:rPr>
              <w:t>(State or other jurisdiction of</w:t>
            </w:r>
          </w:p>
        </w:tc>
        <w:tc>
          <w:tcPr>
            <w:tcW w:w="2900" w:type="dxa"/>
            <w:vAlign w:val="bottom"/>
          </w:tcPr>
          <w:p>
            <w:pPr>
              <w:jc w:val="center"/>
              <w:ind w:left="1619"/>
              <w:spacing w:after="0" w:line="162" w:lineRule="exact"/>
              <w:rPr>
                <w:sz w:val="20"/>
                <w:szCs w:val="20"/>
                <w:color w:val="auto"/>
              </w:rPr>
            </w:pPr>
            <w:r>
              <w:rPr>
                <w:rFonts w:ascii="Arial" w:cs="Arial" w:eastAsia="Arial" w:hAnsi="Arial"/>
                <w:sz w:val="16"/>
                <w:szCs w:val="16"/>
                <w:i w:val="1"/>
                <w:iCs w:val="1"/>
                <w:color w:val="auto"/>
                <w:w w:val="92"/>
              </w:rPr>
              <w:t>(IRS Employer</w:t>
            </w:r>
          </w:p>
        </w:tc>
        <w:tc>
          <w:tcPr>
            <w:tcW w:w="0" w:type="dxa"/>
            <w:vAlign w:val="bottom"/>
          </w:tcPr>
          <w:p>
            <w:pPr>
              <w:spacing w:after="0"/>
              <w:rPr>
                <w:sz w:val="1"/>
                <w:szCs w:val="1"/>
                <w:color w:val="auto"/>
              </w:rPr>
            </w:pPr>
          </w:p>
        </w:tc>
      </w:tr>
      <w:tr>
        <w:trPr>
          <w:trHeight w:val="185"/>
        </w:trPr>
        <w:tc>
          <w:tcPr>
            <w:tcW w:w="4220" w:type="dxa"/>
            <w:vAlign w:val="bottom"/>
          </w:tcPr>
          <w:p>
            <w:pPr>
              <w:jc w:val="center"/>
              <w:ind w:right="1419"/>
              <w:spacing w:after="0"/>
              <w:rPr>
                <w:sz w:val="20"/>
                <w:szCs w:val="20"/>
                <w:color w:val="auto"/>
              </w:rPr>
            </w:pPr>
            <w:r>
              <w:rPr>
                <w:rFonts w:ascii="Arial" w:cs="Arial" w:eastAsia="Arial" w:hAnsi="Arial"/>
                <w:sz w:val="16"/>
                <w:szCs w:val="16"/>
                <w:i w:val="1"/>
                <w:iCs w:val="1"/>
                <w:color w:val="auto"/>
                <w:w w:val="96"/>
              </w:rPr>
              <w:t>incorporation or organization)</w:t>
            </w:r>
          </w:p>
        </w:tc>
        <w:tc>
          <w:tcPr>
            <w:tcW w:w="2900" w:type="dxa"/>
            <w:vAlign w:val="bottom"/>
          </w:tcPr>
          <w:p>
            <w:pPr>
              <w:jc w:val="center"/>
              <w:ind w:left="1619"/>
              <w:spacing w:after="0"/>
              <w:rPr>
                <w:sz w:val="20"/>
                <w:szCs w:val="20"/>
                <w:color w:val="auto"/>
              </w:rPr>
            </w:pPr>
            <w:r>
              <w:rPr>
                <w:rFonts w:ascii="Arial" w:cs="Arial" w:eastAsia="Arial" w:hAnsi="Arial"/>
                <w:sz w:val="16"/>
                <w:szCs w:val="16"/>
                <w:i w:val="1"/>
                <w:iCs w:val="1"/>
                <w:color w:val="auto"/>
                <w:w w:val="96"/>
              </w:rPr>
              <w:t>Identification No.)</w:t>
            </w:r>
          </w:p>
        </w:tc>
        <w:tc>
          <w:tcPr>
            <w:tcW w:w="0" w:type="dxa"/>
            <w:vAlign w:val="bottom"/>
          </w:tcPr>
          <w:p>
            <w:pPr>
              <w:spacing w:after="0"/>
              <w:rPr>
                <w:sz w:val="1"/>
                <w:szCs w:val="1"/>
                <w:color w:val="auto"/>
              </w:rPr>
            </w:pPr>
          </w:p>
        </w:tc>
      </w:tr>
      <w:tr>
        <w:trPr>
          <w:trHeight w:val="162"/>
        </w:trPr>
        <w:tc>
          <w:tcPr>
            <w:tcW w:w="4220" w:type="dxa"/>
            <w:vAlign w:val="bottom"/>
          </w:tcPr>
          <w:p>
            <w:pPr>
              <w:jc w:val="center"/>
              <w:ind w:right="1619"/>
              <w:spacing w:after="0" w:line="162" w:lineRule="exact"/>
              <w:rPr>
                <w:sz w:val="20"/>
                <w:szCs w:val="20"/>
                <w:color w:val="auto"/>
              </w:rPr>
            </w:pPr>
            <w:r>
              <w:rPr>
                <w:rFonts w:ascii="Arial" w:cs="Arial" w:eastAsia="Arial" w:hAnsi="Arial"/>
                <w:sz w:val="16"/>
                <w:szCs w:val="16"/>
                <w:b w:val="1"/>
                <w:bCs w:val="1"/>
                <w:color w:val="auto"/>
                <w:w w:val="90"/>
              </w:rPr>
              <w:t>38 Sidney Street, Suite 200</w:t>
            </w:r>
          </w:p>
        </w:tc>
        <w:tc>
          <w:tcPr>
            <w:tcW w:w="2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66"/>
        </w:trPr>
        <w:tc>
          <w:tcPr>
            <w:tcW w:w="4220" w:type="dxa"/>
            <w:vAlign w:val="bottom"/>
          </w:tcPr>
          <w:p>
            <w:pPr>
              <w:jc w:val="center"/>
              <w:ind w:right="1399"/>
              <w:spacing w:after="0" w:line="166" w:lineRule="exact"/>
              <w:rPr>
                <w:sz w:val="20"/>
                <w:szCs w:val="20"/>
                <w:color w:val="auto"/>
              </w:rPr>
            </w:pPr>
            <w:r>
              <w:rPr>
                <w:rFonts w:ascii="Arial" w:cs="Arial" w:eastAsia="Arial" w:hAnsi="Arial"/>
                <w:sz w:val="16"/>
                <w:szCs w:val="16"/>
                <w:b w:val="1"/>
                <w:bCs w:val="1"/>
                <w:color w:val="auto"/>
                <w:w w:val="97"/>
              </w:rPr>
              <w:t>Cambridge, MA</w:t>
            </w:r>
          </w:p>
        </w:tc>
        <w:tc>
          <w:tcPr>
            <w:tcW w:w="2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20" w:type="dxa"/>
            <w:vAlign w:val="bottom"/>
          </w:tcPr>
          <w:p>
            <w:pPr>
              <w:jc w:val="center"/>
              <w:ind w:right="161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2900" w:type="dxa"/>
            <w:vAlign w:val="bottom"/>
          </w:tcPr>
          <w:p>
            <w:pPr>
              <w:jc w:val="center"/>
              <w:ind w:left="1599"/>
              <w:spacing w:after="0"/>
              <w:rPr>
                <w:sz w:val="20"/>
                <w:szCs w:val="20"/>
                <w:color w:val="auto"/>
              </w:rPr>
            </w:pPr>
            <w:r>
              <w:rPr>
                <w:rFonts w:ascii="Arial" w:cs="Arial" w:eastAsia="Arial" w:hAnsi="Arial"/>
                <w:sz w:val="16"/>
                <w:szCs w:val="16"/>
                <w:i w:val="1"/>
                <w:iCs w:val="1"/>
                <w:color w:val="auto"/>
                <w:w w:val="92"/>
              </w:rPr>
              <w:t>(Zip Code)</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 xml:space="preserve">Registrant’s telephone number, including area code: </w:t>
      </w:r>
      <w:r>
        <w:rPr>
          <w:rFonts w:ascii="Arial" w:cs="Arial" w:eastAsia="Arial" w:hAnsi="Arial"/>
          <w:sz w:val="16"/>
          <w:szCs w:val="16"/>
          <w:b w:val="1"/>
          <w:bCs w:val="1"/>
          <w:color w:val="auto"/>
        </w:rPr>
        <w:t>(617) 374-7580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Securities registered pursuant to Section 12(b)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4460" w:type="dxa"/>
            <w:vAlign w:val="bottom"/>
            <w:gridSpan w:val="2"/>
          </w:tcPr>
          <w:p>
            <w:pPr>
              <w:jc w:val="center"/>
              <w:ind w:right="780"/>
              <w:spacing w:after="0"/>
              <w:rPr>
                <w:sz w:val="20"/>
                <w:szCs w:val="20"/>
                <w:color w:val="auto"/>
              </w:rPr>
            </w:pPr>
            <w:r>
              <w:rPr>
                <w:rFonts w:ascii="Arial" w:cs="Arial" w:eastAsia="Arial" w:hAnsi="Arial"/>
                <w:sz w:val="16"/>
                <w:szCs w:val="16"/>
                <w:i w:val="1"/>
                <w:iCs w:val="1"/>
                <w:color w:val="auto"/>
                <w:w w:val="90"/>
              </w:rPr>
              <w:t>Title of Class</w:t>
            </w:r>
          </w:p>
        </w:tc>
        <w:tc>
          <w:tcPr>
            <w:tcW w:w="3260" w:type="dxa"/>
            <w:vAlign w:val="bottom"/>
          </w:tcPr>
          <w:p>
            <w:pPr>
              <w:jc w:val="center"/>
              <w:spacing w:after="0"/>
              <w:rPr>
                <w:sz w:val="20"/>
                <w:szCs w:val="20"/>
                <w:color w:val="auto"/>
              </w:rPr>
            </w:pPr>
            <w:r>
              <w:rPr>
                <w:rFonts w:ascii="Arial" w:cs="Arial" w:eastAsia="Arial" w:hAnsi="Arial"/>
                <w:sz w:val="16"/>
                <w:szCs w:val="16"/>
                <w:i w:val="1"/>
                <w:iCs w:val="1"/>
                <w:color w:val="auto"/>
                <w:w w:val="89"/>
              </w:rPr>
              <w:t>Name of Exchange on Which Registered</w:t>
            </w:r>
          </w:p>
        </w:tc>
      </w:tr>
      <w:tr>
        <w:trPr>
          <w:trHeight w:val="20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Common Stock, par value $0.001 per share</w:t>
            </w:r>
          </w:p>
        </w:tc>
        <w:tc>
          <w:tcPr>
            <w:tcW w:w="80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bl>
    <w:p>
      <w:pPr>
        <w:jc w:val="center"/>
        <w:ind w:right="-39"/>
        <w:spacing w:after="0"/>
        <w:rPr>
          <w:sz w:val="20"/>
          <w:szCs w:val="20"/>
          <w:color w:val="auto"/>
        </w:rPr>
      </w:pPr>
      <w:r>
        <w:rPr>
          <w:rFonts w:ascii="Arial" w:cs="Arial" w:eastAsia="Arial" w:hAnsi="Arial"/>
          <w:sz w:val="16"/>
          <w:szCs w:val="16"/>
          <w:i w:val="1"/>
          <w:iCs w:val="1"/>
          <w:color w:val="auto"/>
        </w:rPr>
        <w:t xml:space="preserve">Securities registered pursuant to Section 12(g) of the Act: </w:t>
      </w: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66675</wp:posOffset>
            </wp:positionV>
            <wp:extent cx="1655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54" w:lineRule="exact"/>
        <w:rPr>
          <w:sz w:val="24"/>
          <w:szCs w:val="24"/>
          <w:color w:val="auto"/>
        </w:rPr>
      </w:pPr>
    </w:p>
    <w:p>
      <w:pPr>
        <w:ind w:left="340" w:right="1200"/>
        <w:spacing w:after="0" w:line="236"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ind w:left="20" w:right="200" w:firstLine="324"/>
        <w:spacing w:after="0" w:line="17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left="20" w:firstLine="324"/>
        <w:spacing w:after="0" w:line="17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jc w:val="both"/>
        <w:ind w:left="20" w:right="120" w:firstLine="324"/>
        <w:spacing w:after="0" w:line="176"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ind w:left="20" w:right="160" w:firstLine="324"/>
        <w:spacing w:after="0" w:line="24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tbl>
      <w:tblPr>
        <w:tblLayout w:type="fixed"/>
        <w:tblInd w:w="340" w:type="dxa"/>
        <w:tblCellMar>
          <w:top w:w="0" w:type="dxa"/>
          <w:left w:w="0" w:type="dxa"/>
          <w:bottom w:w="0" w:type="dxa"/>
          <w:right w:w="0" w:type="dxa"/>
        </w:tblCellMar>
      </w:tblPr>
      <w:tr>
        <w:trPr>
          <w:trHeight w:val="159"/>
        </w:trPr>
        <w:tc>
          <w:tcPr>
            <w:tcW w:w="2140" w:type="dxa"/>
            <w:vAlign w:val="bottom"/>
          </w:tcPr>
          <w:p>
            <w:pPr>
              <w:ind w:left="80"/>
              <w:spacing w:after="0" w:line="159"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2240" w:type="dxa"/>
            <w:vAlign w:val="bottom"/>
          </w:tcPr>
          <w:p>
            <w:pPr>
              <w:ind w:left="380"/>
              <w:spacing w:after="0" w:line="159"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640" w:type="dxa"/>
            <w:vAlign w:val="bottom"/>
          </w:tcPr>
          <w:p>
            <w:pPr>
              <w:jc w:val="center"/>
              <w:ind w:left="199"/>
              <w:spacing w:after="0" w:line="159" w:lineRule="exact"/>
              <w:rPr>
                <w:sz w:val="20"/>
                <w:szCs w:val="20"/>
                <w:color w:val="auto"/>
              </w:rPr>
            </w:pPr>
            <w:r>
              <w:rPr>
                <w:rFonts w:ascii="Arial" w:cs="Arial" w:eastAsia="Arial" w:hAnsi="Arial"/>
                <w:sz w:val="16"/>
                <w:szCs w:val="16"/>
                <w:color w:val="auto"/>
                <w:w w:val="95"/>
              </w:rPr>
              <w:t xml:space="preserve">Non-accelerated filer </w:t>
            </w:r>
            <w:r>
              <w:rPr>
                <w:rFonts w:ascii="MS PGothic" w:cs="MS PGothic" w:eastAsia="MS PGothic" w:hAnsi="MS PGothic"/>
                <w:sz w:val="16"/>
                <w:szCs w:val="16"/>
                <w:color w:val="auto"/>
                <w:w w:val="95"/>
              </w:rPr>
              <w:t>☐</w:t>
            </w:r>
          </w:p>
        </w:tc>
        <w:tc>
          <w:tcPr>
            <w:tcW w:w="2660" w:type="dxa"/>
            <w:vAlign w:val="bottom"/>
          </w:tcPr>
          <w:p>
            <w:pPr>
              <w:ind w:left="660"/>
              <w:spacing w:after="0" w:line="159" w:lineRule="exact"/>
              <w:rPr>
                <w:sz w:val="20"/>
                <w:szCs w:val="20"/>
                <w:color w:val="auto"/>
              </w:rPr>
            </w:pPr>
            <w:r>
              <w:rPr>
                <w:rFonts w:ascii="Arial" w:cs="Arial" w:eastAsia="Arial" w:hAnsi="Arial"/>
                <w:sz w:val="16"/>
                <w:szCs w:val="16"/>
                <w:color w:val="auto"/>
                <w:w w:val="93"/>
              </w:rPr>
              <w:t xml:space="preserve">Smaller reporting company </w:t>
            </w:r>
            <w:r>
              <w:rPr>
                <w:rFonts w:ascii="MS PGothic" w:cs="MS PGothic" w:eastAsia="MS PGothic" w:hAnsi="MS PGothic"/>
                <w:sz w:val="16"/>
                <w:szCs w:val="16"/>
                <w:color w:val="auto"/>
                <w:w w:val="93"/>
              </w:rPr>
              <w:t>☐</w:t>
            </w: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640" w:type="dxa"/>
            <w:vAlign w:val="bottom"/>
          </w:tcPr>
          <w:p>
            <w:pPr>
              <w:jc w:val="center"/>
              <w:ind w:left="199"/>
              <w:spacing w:after="0" w:line="162" w:lineRule="exact"/>
              <w:rPr>
                <w:sz w:val="20"/>
                <w:szCs w:val="20"/>
                <w:color w:val="auto"/>
              </w:rPr>
            </w:pPr>
            <w:r>
              <w:rPr>
                <w:rFonts w:ascii="Arial" w:cs="Arial" w:eastAsia="Arial" w:hAnsi="Arial"/>
                <w:sz w:val="16"/>
                <w:szCs w:val="16"/>
                <w:color w:val="auto"/>
                <w:w w:val="93"/>
              </w:rPr>
              <w:t>(Do not check if a</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640" w:type="dxa"/>
            <w:vAlign w:val="bottom"/>
          </w:tcPr>
          <w:p>
            <w:pPr>
              <w:jc w:val="center"/>
              <w:ind w:left="199"/>
              <w:spacing w:after="0"/>
              <w:rPr>
                <w:sz w:val="20"/>
                <w:szCs w:val="20"/>
                <w:color w:val="auto"/>
              </w:rPr>
            </w:pPr>
            <w:r>
              <w:rPr>
                <w:rFonts w:ascii="Arial" w:cs="Arial" w:eastAsia="Arial" w:hAnsi="Arial"/>
                <w:sz w:val="16"/>
                <w:szCs w:val="16"/>
                <w:color w:val="auto"/>
                <w:w w:val="92"/>
              </w:rPr>
              <w:t>smaller reporting company)</w:t>
            </w:r>
          </w:p>
        </w:tc>
        <w:tc>
          <w:tcPr>
            <w:tcW w:w="2660" w:type="dxa"/>
            <w:vAlign w:val="bottom"/>
            <w:vMerge w:val="restart"/>
          </w:tcPr>
          <w:p>
            <w:pPr>
              <w:ind w:left="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17"/>
        </w:trPr>
        <w:tc>
          <w:tcPr>
            <w:tcW w:w="7020" w:type="dxa"/>
            <w:vAlign w:val="bottom"/>
            <w:gridSpan w:val="3"/>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Act). Yes</w:t>
            </w:r>
          </w:p>
        </w:tc>
        <w:tc>
          <w:tcPr>
            <w:tcW w:w="2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20" w:right="320" w:firstLine="324"/>
        <w:spacing w:after="0" w:line="224" w:lineRule="auto"/>
        <w:rPr>
          <w:sz w:val="20"/>
          <w:szCs w:val="20"/>
          <w:color w:val="auto"/>
        </w:rPr>
      </w:pPr>
      <w:r>
        <w:rPr>
          <w:rFonts w:ascii="Arial" w:cs="Arial" w:eastAsia="Arial" w:hAnsi="Arial"/>
          <w:sz w:val="16"/>
          <w:szCs w:val="16"/>
          <w:color w:val="auto"/>
        </w:rPr>
        <w:t>As of June 30, 2016, the aggregate market value of the voting and non-voting common equity held by non-affiliates of the registrant, based on the last reported sales price for the registrant’s common stock, par value $0.001 per share, on the NASDAQ Global Select Market on such date, was approximately $428,041,604.</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Number of shares of the registrant’s common stock, par value $0.001 per share, outstanding on February 28, 2017: 33,203,902</w:t>
      </w:r>
    </w:p>
    <w:p>
      <w:pPr>
        <w:spacing w:after="0" w:line="15" w:lineRule="exact"/>
        <w:rPr>
          <w:sz w:val="24"/>
          <w:szCs w:val="24"/>
          <w:color w:val="auto"/>
        </w:rPr>
      </w:pPr>
    </w:p>
    <w:p>
      <w:pPr>
        <w:ind w:left="33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8" w:lineRule="exact"/>
        <w:rPr>
          <w:sz w:val="24"/>
          <w:szCs w:val="24"/>
          <w:color w:val="auto"/>
        </w:rPr>
      </w:pPr>
    </w:p>
    <w:p>
      <w:pPr>
        <w:jc w:val="both"/>
        <w:ind w:left="20" w:right="60" w:firstLine="324"/>
        <w:spacing w:after="0" w:line="229" w:lineRule="auto"/>
        <w:rPr>
          <w:sz w:val="20"/>
          <w:szCs w:val="20"/>
          <w:color w:val="auto"/>
        </w:rPr>
      </w:pPr>
      <w:r>
        <w:rPr>
          <w:rFonts w:ascii="Arial" w:cs="Arial" w:eastAsia="Arial" w:hAnsi="Arial"/>
          <w:sz w:val="16"/>
          <w:szCs w:val="16"/>
          <w:color w:val="auto"/>
        </w:rPr>
        <w:t>Portions of the registrant’s definitive proxy statement for its 2017 Annual Meeting of Stockholders, which the registrant intends to file with the Securities and Exchange Commission pursuant to Regulation 14A within 120 days after the end of the registrant’s fiscal year ended December 31, 2016,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552450</wp:posOffset>
            </wp:positionV>
            <wp:extent cx="66122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40" w:top="220" w:right="7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588"/>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gridSpan w:val="3"/>
          </w:tcPr>
          <w:p>
            <w:pPr>
              <w:ind w:left="2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4"/>
                <w:szCs w:val="24"/>
                <w:color w:val="auto"/>
              </w:rPr>
            </w:pPr>
          </w:p>
        </w:tc>
      </w:tr>
      <w:tr>
        <w:trPr>
          <w:trHeight w:val="371"/>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04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325"/>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40" w:type="dxa"/>
            <w:vAlign w:val="bottom"/>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672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Item1A.</w:t>
            </w:r>
          </w:p>
        </w:tc>
        <w:tc>
          <w:tcPr>
            <w:tcW w:w="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82"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Risk Factors</w:t>
              </w:r>
            </w:hyperlink>
          </w:p>
        </w:tc>
        <w:tc>
          <w:tcPr>
            <w:tcW w:w="6460" w:type="dxa"/>
            <w:vAlign w:val="bottom"/>
            <w:gridSpan w:val="6"/>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4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8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Unresolved Staff Comments</w:t>
              </w:r>
            </w:hyperlink>
          </w:p>
        </w:tc>
        <w:tc>
          <w:tcPr>
            <w:tcW w:w="5320" w:type="dxa"/>
            <w:vAlign w:val="bottom"/>
            <w:gridSpan w:val="3"/>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Properties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Legal Proceedings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8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7"/>
                <w:szCs w:val="17"/>
                <w:color w:val="auto"/>
              </w:rPr>
            </w:pPr>
          </w:p>
        </w:tc>
        <w:tc>
          <w:tcPr>
            <w:tcW w:w="7360" w:type="dxa"/>
            <w:vAlign w:val="bottom"/>
            <w:gridSpan w:val="9"/>
          </w:tcPr>
          <w:p>
            <w:pPr>
              <w:spacing w:after="0" w:line="182" w:lineRule="exact"/>
              <w:rPr>
                <w:rFonts w:ascii="Arial" w:cs="Arial" w:eastAsia="Arial" w:hAnsi="Arial"/>
                <w:sz w:val="18"/>
                <w:szCs w:val="18"/>
                <w:color w:val="0000EE"/>
              </w:rPr>
            </w:pPr>
            <w:hyperlink w:anchor="page84">
              <w:r>
                <w:rPr>
                  <w:rFonts w:ascii="Arial" w:cs="Arial" w:eastAsia="Arial" w:hAnsi="Arial"/>
                  <w:sz w:val="18"/>
                  <w:szCs w:val="18"/>
                  <w:color w:val="0000EE"/>
                </w:rPr>
                <w:t>Mine Safety Disclosures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420"/>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PART II</w:t>
        </w:r>
      </w:hyperlink>
    </w:p>
    <w:p>
      <w:pPr>
        <w:sectPr>
          <w:pgSz w:w="11900" w:h="16838" w:orient="portrait"/>
          <w:cols w:equalWidth="0" w:num="1">
            <w:col w:w="9060"/>
          </w:cols>
          <w:pgMar w:left="1420" w:top="95" w:right="1419" w:bottom="1440" w:gutter="0" w:footer="0" w:header="0"/>
        </w:sectPr>
      </w:pPr>
    </w:p>
    <w:p>
      <w:pPr>
        <w:spacing w:after="0" w:line="148" w:lineRule="exact"/>
        <w:rPr>
          <w:sz w:val="20"/>
          <w:szCs w:val="20"/>
          <w:color w:val="auto"/>
        </w:rPr>
      </w:pPr>
    </w:p>
    <w:p>
      <w:pPr>
        <w:ind w:left="1300" w:hanging="1309"/>
        <w:spacing w:after="0" w:line="212"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85">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Securities</w:t>
        </w:r>
      </w:hyperlink>
    </w:p>
    <w:p>
      <w:pPr>
        <w:spacing w:after="0" w:line="1"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6.</w:t>
      </w:r>
      <w:r>
        <w:rPr>
          <w:sz w:val="20"/>
          <w:szCs w:val="20"/>
          <w:color w:val="auto"/>
        </w:rPr>
        <w:tab/>
      </w:r>
      <w:hyperlink w:anchor="page87">
        <w:r>
          <w:rPr>
            <w:rFonts w:ascii="Arial" w:cs="Arial" w:eastAsia="Arial" w:hAnsi="Arial"/>
            <w:sz w:val="16"/>
            <w:szCs w:val="16"/>
            <w:u w:val="single" w:color="auto"/>
            <w:color w:val="0000EE"/>
          </w:rPr>
          <w:t>Selected Financial Data</w:t>
        </w:r>
      </w:hyperlink>
    </w:p>
    <w:p>
      <w:pPr>
        <w:spacing w:after="0" w:line="7"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7.</w:t>
      </w:r>
      <w:r>
        <w:rPr>
          <w:sz w:val="20"/>
          <w:szCs w:val="20"/>
          <w:color w:val="auto"/>
        </w:rPr>
        <w:tab/>
      </w:r>
      <w:hyperlink w:anchor="page88">
        <w:r>
          <w:rPr>
            <w:rFonts w:ascii="Arial" w:cs="Arial" w:eastAsia="Arial" w:hAnsi="Arial"/>
            <w:sz w:val="16"/>
            <w:szCs w:val="16"/>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7A.</w:t>
      </w:r>
      <w:r>
        <w:rPr>
          <w:sz w:val="20"/>
          <w:szCs w:val="20"/>
          <w:color w:val="auto"/>
        </w:rPr>
        <w:tab/>
      </w:r>
      <w:hyperlink w:anchor="page105">
        <w:r>
          <w:rPr>
            <w:rFonts w:ascii="Arial" w:cs="Arial" w:eastAsia="Arial" w:hAnsi="Arial"/>
            <w:sz w:val="16"/>
            <w:szCs w:val="16"/>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8.</w:t>
      </w:r>
      <w:r>
        <w:rPr>
          <w:sz w:val="20"/>
          <w:szCs w:val="20"/>
          <w:color w:val="auto"/>
        </w:rPr>
        <w:tab/>
      </w:r>
      <w:hyperlink w:anchor="page105">
        <w:r>
          <w:rPr>
            <w:rFonts w:ascii="Arial" w:cs="Arial" w:eastAsia="Arial" w:hAnsi="Arial"/>
            <w:sz w:val="16"/>
            <w:szCs w:val="16"/>
            <w:u w:val="single" w:color="auto"/>
            <w:color w:val="0000EE"/>
          </w:rPr>
          <w:t>Financial Statements and Supplementary Data</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w:t>
      </w:r>
      <w:r>
        <w:rPr>
          <w:sz w:val="20"/>
          <w:szCs w:val="20"/>
          <w:color w:val="auto"/>
        </w:rPr>
        <w:tab/>
      </w:r>
      <w:hyperlink w:anchor="page105">
        <w:r>
          <w:rPr>
            <w:rFonts w:ascii="Arial" w:cs="Arial" w:eastAsia="Arial" w:hAnsi="Arial"/>
            <w:sz w:val="16"/>
            <w:szCs w:val="16"/>
            <w:u w:val="single" w:color="auto"/>
            <w:color w:val="0000EE"/>
          </w:rPr>
          <w:t>Change in and Disagreements with Accountants on Accounting and Financial Disclosure.</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9A.</w:t>
      </w:r>
      <w:r>
        <w:rPr>
          <w:sz w:val="20"/>
          <w:szCs w:val="20"/>
          <w:color w:val="auto"/>
        </w:rPr>
        <w:tab/>
      </w:r>
      <w:hyperlink w:anchor="page106">
        <w:r>
          <w:rPr>
            <w:rFonts w:ascii="Arial" w:cs="Arial" w:eastAsia="Arial" w:hAnsi="Arial"/>
            <w:sz w:val="16"/>
            <w:szCs w:val="16"/>
            <w:u w:val="single" w:color="auto"/>
            <w:color w:val="0000EE"/>
          </w:rPr>
          <w:t>Controls and Procedures</w:t>
        </w:r>
      </w:hyperlink>
    </w:p>
    <w:p>
      <w:pPr>
        <w:spacing w:after="0" w:line="9" w:lineRule="exact"/>
        <w:rPr>
          <w:sz w:val="20"/>
          <w:szCs w:val="20"/>
          <w:color w:val="auto"/>
        </w:rPr>
      </w:pPr>
    </w:p>
    <w:p>
      <w:pPr>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Item 9B.</w:t>
      </w:r>
      <w:r>
        <w:rPr>
          <w:sz w:val="20"/>
          <w:szCs w:val="20"/>
          <w:color w:val="auto"/>
        </w:rPr>
        <w:tab/>
      </w:r>
      <w:hyperlink w:anchor="page107">
        <w:r>
          <w:rPr>
            <w:rFonts w:ascii="Arial" w:cs="Arial" w:eastAsia="Arial" w:hAnsi="Arial"/>
            <w:sz w:val="16"/>
            <w:szCs w:val="16"/>
            <w:u w:val="single" w:color="auto"/>
            <w:color w:val="0000EE"/>
          </w:rPr>
          <w:t>Other Information</w:t>
        </w:r>
      </w:hyperlink>
    </w:p>
    <w:p>
      <w:pPr>
        <w:spacing w:after="0" w:line="166"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107">
        <w:r>
          <w:rPr>
            <w:rFonts w:ascii="Arial" w:cs="Arial" w:eastAsia="Arial" w:hAnsi="Arial"/>
            <w:sz w:val="18"/>
            <w:szCs w:val="18"/>
            <w:b w:val="1"/>
            <w:bCs w:val="1"/>
            <w:u w:val="single" w:color="auto"/>
            <w:color w:val="0000EE"/>
          </w:rPr>
          <w:t>PART III</w:t>
        </w:r>
      </w:hyperlink>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6"/>
          <w:szCs w:val="16"/>
          <w:color w:val="auto"/>
        </w:rPr>
        <w:t>83</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6"/>
          <w:szCs w:val="16"/>
          <w:color w:val="auto"/>
        </w:rPr>
        <w:t>85</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6"/>
          <w:szCs w:val="16"/>
          <w:color w:val="auto"/>
        </w:rPr>
        <w:t>86</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104</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105</w:t>
      </w:r>
    </w:p>
    <w:p>
      <w:pPr>
        <w:spacing w:after="0" w:line="505" w:lineRule="exact"/>
        <w:rPr>
          <w:sz w:val="20"/>
          <w:szCs w:val="20"/>
          <w:color w:val="auto"/>
        </w:rPr>
      </w:pPr>
    </w:p>
    <w:p>
      <w:pPr>
        <w:sectPr>
          <w:pgSz w:w="11900" w:h="16838" w:orient="portrait"/>
          <w:cols w:equalWidth="0" w:num="2">
            <w:col w:w="8620" w:space="140"/>
            <w:col w:w="300"/>
          </w:cols>
          <w:pgMar w:left="1420" w:top="95" w:right="14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320" w:type="dxa"/>
            <w:vAlign w:val="bottom"/>
          </w:tcPr>
          <w:p>
            <w:pPr>
              <w:spacing w:after="0"/>
              <w:rPr>
                <w:sz w:val="20"/>
                <w:szCs w:val="20"/>
                <w:color w:val="auto"/>
              </w:rPr>
            </w:pPr>
            <w:r>
              <w:rPr>
                <w:rFonts w:ascii="Arial" w:cs="Arial" w:eastAsia="Arial" w:hAnsi="Arial"/>
                <w:sz w:val="18"/>
                <w:szCs w:val="18"/>
                <w:color w:val="auto"/>
              </w:rPr>
              <w:t>Item 10.</w:t>
            </w:r>
          </w:p>
        </w:tc>
        <w:tc>
          <w:tcPr>
            <w:tcW w:w="7360" w:type="dxa"/>
            <w:vAlign w:val="bottom"/>
            <w:gridSpan w:val="10"/>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Directors, Executive Officers and Corporate Governance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3280" w:type="dxa"/>
            <w:vAlign w:val="bottom"/>
            <w:gridSpan w:val="3"/>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7360" w:type="dxa"/>
            <w:vAlign w:val="bottom"/>
            <w:gridSpan w:val="10"/>
          </w:tcPr>
          <w:p>
            <w:pPr>
              <w:spacing w:after="0" w:line="182"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Security Ownership of Certain Beneficial Owners and Management and Related Stockholder Matters</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Certain Relationships and Related Transactions, and Director Independence</w:t>
              </w:r>
            </w:hyperlink>
          </w:p>
        </w:tc>
        <w:tc>
          <w:tcPr>
            <w:tcW w:w="80" w:type="dxa"/>
            <w:vAlign w:val="bottom"/>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7">
              <w:r>
                <w:rPr>
                  <w:rFonts w:ascii="Arial" w:cs="Arial" w:eastAsia="Arial" w:hAnsi="Arial"/>
                  <w:sz w:val="18"/>
                  <w:szCs w:val="18"/>
                  <w:color w:val="0000EE"/>
                </w:rPr>
                <w:t>Principal Accounting Fees and Services</w:t>
              </w:r>
            </w:hyperlink>
          </w:p>
        </w:tc>
        <w:tc>
          <w:tcPr>
            <w:tcW w:w="1920" w:type="dxa"/>
            <w:vAlign w:val="bottom"/>
            <w:gridSpan w:val="2"/>
          </w:tcPr>
          <w:p>
            <w:pPr>
              <w:spacing w:after="0"/>
              <w:rPr>
                <w:sz w:val="17"/>
                <w:szCs w:val="17"/>
                <w:color w:val="auto"/>
              </w:rPr>
            </w:pP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72"/>
        </w:trPr>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08">
              <w:r>
                <w:rPr>
                  <w:rFonts w:ascii="Arial" w:cs="Arial" w:eastAsia="Arial" w:hAnsi="Arial"/>
                  <w:sz w:val="18"/>
                  <w:szCs w:val="18"/>
                  <w:b w:val="1"/>
                  <w:bCs w:val="1"/>
                  <w:color w:val="0000EE"/>
                  <w:w w:val="98"/>
                </w:rPr>
                <w:t>PART IV</w:t>
              </w:r>
            </w:hyperlink>
          </w:p>
        </w:tc>
        <w:tc>
          <w:tcPr>
            <w:tcW w:w="400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r>
      <w:tr>
        <w:trPr>
          <w:trHeight w:val="331"/>
        </w:trPr>
        <w:tc>
          <w:tcPr>
            <w:tcW w:w="132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Exhibits and Financial Statement Schedules</w:t>
              </w:r>
            </w:hyperlink>
          </w:p>
        </w:tc>
        <w:tc>
          <w:tcPr>
            <w:tcW w:w="42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196"/>
        </w:trPr>
        <w:tc>
          <w:tcPr>
            <w:tcW w:w="132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7360" w:type="dxa"/>
            <w:vAlign w:val="bottom"/>
            <w:gridSpan w:val="10"/>
          </w:tcPr>
          <w:p>
            <w:pPr>
              <w:spacing w:after="0" w:line="182" w:lineRule="exact"/>
              <w:rPr>
                <w:rFonts w:ascii="Arial" w:cs="Arial" w:eastAsia="Arial" w:hAnsi="Arial"/>
                <w:sz w:val="18"/>
                <w:szCs w:val="18"/>
                <w:color w:val="0000EE"/>
              </w:rPr>
            </w:pPr>
            <w:hyperlink w:anchor="page108">
              <w:r>
                <w:rPr>
                  <w:rFonts w:ascii="Arial" w:cs="Arial" w:eastAsia="Arial" w:hAnsi="Arial"/>
                  <w:sz w:val="18"/>
                  <w:szCs w:val="18"/>
                  <w:color w:val="0000EE"/>
                </w:rPr>
                <w:t>Form 10-K Summary</w:t>
              </w:r>
            </w:hyperlink>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106</w:t>
            </w:r>
          </w:p>
        </w:tc>
      </w:tr>
      <w:tr>
        <w:trPr>
          <w:trHeight w:val="811"/>
        </w:trPr>
        <w:tc>
          <w:tcPr>
            <w:tcW w:w="1320" w:type="dxa"/>
            <w:vAlign w:val="bottom"/>
            <w:tcBorders>
              <w:bottom w:val="single" w:sz="8" w:color="auto"/>
            </w:tcBorders>
          </w:tcPr>
          <w:p>
            <w:pPr>
              <w:spacing w:after="0"/>
              <w:rPr>
                <w:sz w:val="24"/>
                <w:szCs w:val="24"/>
                <w:color w:val="auto"/>
              </w:rPr>
            </w:pPr>
          </w:p>
        </w:tc>
        <w:tc>
          <w:tcPr>
            <w:tcW w:w="154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95" w:right="1419" w:bottom="1440" w:gutter="0" w:footer="0" w:header="0"/>
          <w:type w:val="continuous"/>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subsidiary, Blueprint Medicines Security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360" w:firstLine="648"/>
        <w:spacing w:after="0" w:line="214"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forward-looking statements in this Annual Report on Form 10-K include, but are not limited to, statements</w:t>
      </w:r>
    </w:p>
    <w:p>
      <w:pPr>
        <w:spacing w:after="0"/>
        <w:rPr>
          <w:sz w:val="20"/>
          <w:szCs w:val="20"/>
          <w:color w:val="auto"/>
        </w:rPr>
      </w:pPr>
      <w:r>
        <w:rPr>
          <w:rFonts w:ascii="Arial" w:cs="Arial" w:eastAsia="Arial" w:hAnsi="Arial"/>
          <w:sz w:val="18"/>
          <w:szCs w:val="18"/>
          <w:color w:val="auto"/>
        </w:rPr>
        <w:t>about:</w:t>
      </w:r>
    </w:p>
    <w:p>
      <w:pPr>
        <w:spacing w:after="0" w:line="142" w:lineRule="exact"/>
        <w:rPr>
          <w:sz w:val="20"/>
          <w:szCs w:val="20"/>
          <w:color w:val="auto"/>
        </w:rPr>
      </w:pPr>
    </w:p>
    <w:p>
      <w:pPr>
        <w:ind w:left="1060" w:right="180" w:hanging="85"/>
        <w:spacing w:after="0" w:line="289"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and results of our pre-clinical studies and clinical trials, including our Phase 1 clinical trials for BLU-285, BLU-554 and BLU-667, and our research and development programs;</w:t>
      </w:r>
    </w:p>
    <w:p>
      <w:pPr>
        <w:spacing w:after="0" w:line="56" w:lineRule="exact"/>
        <w:rPr>
          <w:rFonts w:ascii="Arial" w:cs="Arial" w:eastAsia="Arial" w:hAnsi="Arial"/>
          <w:sz w:val="16"/>
          <w:szCs w:val="16"/>
          <w:color w:val="auto"/>
        </w:rPr>
      </w:pPr>
    </w:p>
    <w:p>
      <w:pPr>
        <w:ind w:left="1060" w:hanging="8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080" w:hanging="105"/>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implementation of our business model, strategic plans for our business, drug candidates and technology;</w:t>
      </w:r>
    </w:p>
    <w:p>
      <w:pPr>
        <w:spacing w:after="0" w:line="140" w:lineRule="exact"/>
        <w:rPr>
          <w:rFonts w:ascii="Arial" w:cs="Arial" w:eastAsia="Arial" w:hAnsi="Arial"/>
          <w:sz w:val="16"/>
          <w:szCs w:val="16"/>
          <w:color w:val="auto"/>
        </w:rPr>
      </w:pPr>
    </w:p>
    <w:p>
      <w:pPr>
        <w:ind w:left="1060" w:right="120" w:hanging="85"/>
        <w:spacing w:after="0" w:line="23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060" w:hanging="85"/>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128" w:lineRule="exact"/>
        <w:rPr>
          <w:rFonts w:ascii="Arial" w:cs="Arial" w:eastAsia="Arial" w:hAnsi="Arial"/>
          <w:sz w:val="17"/>
          <w:szCs w:val="17"/>
          <w:color w:val="auto"/>
        </w:rPr>
      </w:pPr>
    </w:p>
    <w:p>
      <w:pPr>
        <w:jc w:val="both"/>
        <w:ind w:left="1060" w:right="140" w:hanging="85"/>
        <w:spacing w:after="0" w:line="22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95" w:lineRule="exact"/>
        <w:rPr>
          <w:rFonts w:ascii="Arial" w:cs="Arial" w:eastAsia="Arial" w:hAnsi="Arial"/>
          <w:sz w:val="18"/>
          <w:szCs w:val="18"/>
          <w:color w:val="auto"/>
        </w:rPr>
      </w:pPr>
    </w:p>
    <w:p>
      <w:pPr>
        <w:ind w:left="1060" w:right="220" w:hanging="85"/>
        <w:spacing w:after="0" w:line="22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 including our companion diagnostic test with Ventana Medical Systems, Inc. for BLU-554 and our companion diagnostic test with QIAGEN Manchester Limited for BLU-285;</w:t>
      </w:r>
    </w:p>
    <w:p>
      <w:pPr>
        <w:spacing w:after="0" w:line="95" w:lineRule="exact"/>
        <w:rPr>
          <w:rFonts w:ascii="Arial" w:cs="Arial" w:eastAsia="Arial" w:hAnsi="Arial"/>
          <w:sz w:val="18"/>
          <w:szCs w:val="18"/>
          <w:color w:val="auto"/>
        </w:rPr>
      </w:pPr>
    </w:p>
    <w:p>
      <w:pPr>
        <w:ind w:left="1120" w:hanging="14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200" w:hanging="225"/>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100" w:hanging="125"/>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14"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68" w:lineRule="exact"/>
        <w:rPr>
          <w:sz w:val="20"/>
          <w:szCs w:val="20"/>
          <w:color w:val="auto"/>
        </w:rPr>
      </w:pPr>
    </w:p>
    <w:p>
      <w:pPr>
        <w:ind w:right="20" w:firstLine="648"/>
        <w:spacing w:after="0"/>
        <w:rPr>
          <w:sz w:val="20"/>
          <w:szCs w:val="20"/>
          <w:color w:val="auto"/>
        </w:rPr>
      </w:pPr>
      <w:r>
        <w:rPr>
          <w:rFonts w:ascii="Arial" w:cs="Arial" w:eastAsia="Arial" w:hAnsi="Arial"/>
          <w:sz w:val="16"/>
          <w:szCs w:val="16"/>
          <w:color w:val="auto"/>
        </w:rPr>
        <w:t>Our most advanced drug candidates are BLU-285, BLU-554 and BLU-667. BLU-285 is an orally available, potent and highly selective inhibitor that targets KIT, including Exon 17 mutations, and targets PDGFRα, including the D842V mutation. These mutations abnormally activate receptor tyrosine kinases that are drivers of cancer and proliferative disorders, including gastrointestinal stromal tumors, or GIST, and systemic mastocytosis, or SM. We are currently evaluating BLU-285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BLU-667 targets RET, a receptor tyrosine kinase that is abnormally activated by mutations or translocations, and RET resistant mutants that we predict will arise from treatment with first generation therapies. RET is a driver of disease in non-small cell lung cancer, or NSCLC, and cancers of the thyroid, including medullary thyroid carcinoma, or MTC, and our research suggests that RET may be a driver of disease in subsets of colon cancer, breast cancer and other cancers. In December 2016, the U.S. Food and Drug Administration, or FDA, approved our Investigational New Drug, or IND, application for BLU-667 for the treatment of NSCLC, thyroid cancer and other advanced solid tumors, and we expect to initiate a Phase 1 clinical trial for BLU-667 for the treatment of NSCLC, MTC and other advanced solid tumors in the first half of 2017. In September 2015, the FDA granted orphan drug designation to BLU-554 for the treatment of HCC, and in January 2016, the FDA granted orphan drug designation to BLU-285 for the treatment of GIST and SM. In addition,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have worldwide development and commercialization rights to BLU-285, BLU-554 and BLU-667.</w:t>
      </w:r>
    </w:p>
    <w:p>
      <w:pPr>
        <w:spacing w:after="0" w:line="198"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also have initiated a discovery program targeting protein kinase cAMP-activated catalytic subunit alpha, or PRKACA, fusions for the treatment of fibrolamellar carcinoma, or FLC, a rare and distinct subtype of liver cancer that typically arises in young adults. PRKACA fusions are the only known recurrent genomic events in FLC and are considered to be the driver gene of the disease. Currently, there are no approved therapies for FLC, and surgery is the only available treatment option for some patients, but most patients inevitably progress. We will continue to leverage our discovery platform to systematically and reproducibly identify kinases that are drivers of diseases in genomically defined patient populations and craft drug candidates that potently and selectively target these kinases. We anticipate nominating at least one additional discovery program in 2017.</w:t>
      </w:r>
    </w:p>
    <w:p>
      <w:pPr>
        <w:spacing w:after="0" w:line="165"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In addition to our wholly-owned clinical and pre-clinical programs, we have leveraged our discovery platform to enter into collaboration programs with Alexion Pharma Holding, or Alexion, and F. Hoffmann-La Roche Ltd and Hoffmann-La Roche Inc., which we refer to collectively as Roche. In March 2015, we entered into an agreement with Alexion to discover, develop and commercialize one or more drug candidates targeting an undisclosed rare genetic disease. In March 2016, we entered into an agreement with Roche to discover, develop and commercialize up to five small molecule therapeutics targeting kinases believed to be important in cancer immunotherapy, as single products or possibly in combination with other therapeutics. We will continue to evaluate additional collaborations that could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9"/>
        <w:spacing w:after="0" w:line="289" w:lineRule="auto"/>
        <w:rPr>
          <w:sz w:val="20"/>
          <w:szCs w:val="20"/>
          <w:color w:val="auto"/>
        </w:rPr>
      </w:pPr>
      <w:r>
        <w:rPr>
          <w:rFonts w:ascii="Arial" w:cs="Arial" w:eastAsia="Arial" w:hAnsi="Arial"/>
          <w:sz w:val="16"/>
          <w:szCs w:val="16"/>
          <w:color w:val="auto"/>
        </w:rPr>
        <w:t>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24" w:lineRule="exact"/>
        <w:rPr>
          <w:sz w:val="20"/>
          <w:szCs w:val="20"/>
          <w:color w:val="auto"/>
        </w:rPr>
      </w:pPr>
    </w:p>
    <w:p>
      <w:pPr>
        <w:ind w:right="39" w:firstLine="648"/>
        <w:spacing w:after="0" w:line="181" w:lineRule="exact"/>
        <w:rPr>
          <w:sz w:val="20"/>
          <w:szCs w:val="20"/>
          <w:color w:val="auto"/>
        </w:rPr>
      </w:pPr>
      <w:r>
        <w:rPr>
          <w:rFonts w:ascii="Arial" w:cs="Arial" w:eastAsia="Arial" w:hAnsi="Arial"/>
          <w:sz w:val="16"/>
          <w:szCs w:val="16"/>
          <w:color w:val="auto"/>
        </w:rPr>
        <w:t>Approved kinase drugs, such as imatinib, have demonstrated significant benefit to patients, and small molecule kinase drugs achieved over $22 billion in 2016 sales. Despite this success, there is room for further improvement in kinase drug discovery and development. Many of the approved drugs are multi</w:t>
      </w:r>
      <w:r>
        <w:rPr>
          <w:rFonts w:ascii="MS PGothic" w:cs="MS PGothic" w:eastAsia="MS PGothic" w:hAnsi="MS PGothic"/>
          <w:sz w:val="16"/>
          <w:szCs w:val="16"/>
          <w:color w:val="auto"/>
        </w:rPr>
        <w:t>‑</w:t>
      </w:r>
      <w:r>
        <w:rPr>
          <w:rFonts w:ascii="Arial" w:cs="Arial" w:eastAsia="Arial" w:hAnsi="Arial"/>
          <w:sz w:val="16"/>
          <w:szCs w:val="16"/>
          <w:color w:val="auto"/>
        </w:rPr>
        <w:t>kinase inhibitors that are not selective for disease drivers. This results in off</w:t>
      </w:r>
      <w:r>
        <w:rPr>
          <w:rFonts w:ascii="MS PGothic" w:cs="MS PGothic" w:eastAsia="MS PGothic" w:hAnsi="MS PGothic"/>
          <w:sz w:val="16"/>
          <w:szCs w:val="16"/>
          <w:color w:val="auto"/>
        </w:rPr>
        <w:t>‑</w:t>
      </w:r>
      <w:r>
        <w:rPr>
          <w:rFonts w:ascii="Arial" w:cs="Arial" w:eastAsia="Arial" w:hAnsi="Arial"/>
          <w:sz w:val="16"/>
          <w:szCs w:val="16"/>
          <w:color w:val="auto"/>
        </w:rPr>
        <w:t>target toxicities that limit dose levels and target inhibition, thereby reducing efficacy. Further, patients who initially respond to a targeted kinase treatment often relapse due to the development of resistance mutations. As of December 31, 2016, kinase drugs approved by the FDA are only directed at less than five percent of the 518 kinases that constitute the kinome. For many of the known kinases, there is a strong link between genomic alterations in a kinase and disease, including specific forms of cancer and rare genetic diseases. However, the function of the majority of the kinome is still unknown. Taken together, this represents a substantial opportunity for developing novel and transformative drugs for cancer, rare genetic diseases and other disease areas, including cancer immunotherapy.</w:t>
      </w:r>
    </w:p>
    <w:p>
      <w:pPr>
        <w:spacing w:after="0" w:line="163" w:lineRule="exact"/>
        <w:rPr>
          <w:sz w:val="20"/>
          <w:szCs w:val="20"/>
          <w:color w:val="auto"/>
        </w:rPr>
      </w:pPr>
    </w:p>
    <w:p>
      <w:pPr>
        <w:ind w:right="19" w:firstLine="648"/>
        <w:spacing w:after="0" w:line="181" w:lineRule="exact"/>
        <w:rPr>
          <w:sz w:val="20"/>
          <w:szCs w:val="20"/>
          <w:color w:val="auto"/>
        </w:rPr>
      </w:pPr>
      <w:r>
        <w:rPr>
          <w:rFonts w:ascii="Arial" w:cs="Arial" w:eastAsia="Arial" w:hAnsi="Arial"/>
          <w:sz w:val="16"/>
          <w:szCs w:val="16"/>
          <w:color w:val="auto"/>
        </w:rPr>
        <w:t>To capitalize on the kinase opportunity, we built a discovery platform that integrates a novel target discovery engine and a proprietary compound library. Our novel target discovery engine combines our expertise in genomics, bioinformatics, and cell and structural biology to provide new insights into the biology of kinases as drivers of disease. To develop kinase drugs, we start by interrogating our proprietary compound library. Our library is a unique collection of novel small molecules rationally designed and developed entirely in</w:t>
      </w:r>
      <w:r>
        <w:rPr>
          <w:rFonts w:ascii="MS PGothic" w:cs="MS PGothic" w:eastAsia="MS PGothic" w:hAnsi="MS PGothic"/>
          <w:sz w:val="16"/>
          <w:szCs w:val="16"/>
          <w:color w:val="auto"/>
        </w:rPr>
        <w:t>‑</w:t>
      </w:r>
      <w:r>
        <w:rPr>
          <w:rFonts w:ascii="Arial" w:cs="Arial" w:eastAsia="Arial" w:hAnsi="Arial"/>
          <w:sz w:val="16"/>
          <w:szCs w:val="16"/>
          <w:color w:val="auto"/>
        </w:rPr>
        <w:t>house by Blueprint Medicines’ scientists as kinase inhibitors and enriched for drug</w:t>
      </w:r>
      <w:r>
        <w:rPr>
          <w:rFonts w:ascii="MS PGothic" w:cs="MS PGothic" w:eastAsia="MS PGothic" w:hAnsi="MS PGothic"/>
          <w:sz w:val="16"/>
          <w:szCs w:val="16"/>
          <w:color w:val="auto"/>
        </w:rPr>
        <w:t>‑</w:t>
      </w:r>
      <w:r>
        <w:rPr>
          <w:rFonts w:ascii="Arial" w:cs="Arial" w:eastAsia="Arial" w:hAnsi="Arial"/>
          <w:sz w:val="16"/>
          <w:szCs w:val="16"/>
          <w:color w:val="auto"/>
        </w:rPr>
        <w:t>like properties. We do not owe any royalties or other fees to any parties associated with our novel target discovery engine and our proprietary compound library, other than any royalties or other fees that may become payable to Roche under our cancer immunotherapy collaboration. Using this discovery platform, we have produced a drug pipeline of several promising drug candidates that target genomically defined patient subsets. We believe that our strategy will allow us to deliver transformative drugs to patients while building a fully-integrated biopharmaceutical company.</w:t>
      </w:r>
    </w:p>
    <w:p>
      <w:pPr>
        <w:spacing w:after="0" w:line="163" w:lineRule="exact"/>
        <w:rPr>
          <w:sz w:val="20"/>
          <w:szCs w:val="20"/>
          <w:color w:val="auto"/>
        </w:rPr>
      </w:pPr>
    </w:p>
    <w:p>
      <w:pPr>
        <w:ind w:right="159" w:firstLine="648"/>
        <w:spacing w:after="0" w:line="225" w:lineRule="auto"/>
        <w:rPr>
          <w:sz w:val="20"/>
          <w:szCs w:val="20"/>
          <w:color w:val="auto"/>
        </w:rPr>
      </w:pPr>
      <w:r>
        <w:rPr>
          <w:rFonts w:ascii="Arial" w:cs="Arial" w:eastAsia="Arial" w:hAnsi="Arial"/>
          <w:sz w:val="17"/>
          <w:szCs w:val="17"/>
          <w:color w:val="auto"/>
        </w:rPr>
        <w:t>Our lead programs targeting KIT, including Exon 17 mutations, PDGFRα, including the D842V mutation, FGFR4 and RET provide strong evidence of the power of our proprietary compound library. These targets have been well characterized in the scientific literature as disease drivers, but they have been challenging to inhibit selectively with small molecules. In addition, our RET program provides evidence of the strength of our novel target discovery engine and proprietary compound library. Leveraging our expertise in structural and cell biology, we predicted future resistance mutations resulting from treatment with drugs with RET inhibitory activity and have crafted drug candidates that will be effective against RET and predicted RET resistant mutants.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Our goal is to become a fully-integrated biopharmaceutical company capable of delivering transformative drugs to patients. The key tenets of our strategy include the following:</w:t>
      </w:r>
    </w:p>
    <w:p>
      <w:pPr>
        <w:spacing w:after="0" w:line="162" w:lineRule="exact"/>
        <w:rPr>
          <w:sz w:val="20"/>
          <w:szCs w:val="20"/>
          <w:color w:val="auto"/>
        </w:rPr>
      </w:pPr>
    </w:p>
    <w:p>
      <w:pPr>
        <w:ind w:left="1060" w:right="39" w:hanging="85"/>
        <w:spacing w:after="0" w:line="179" w:lineRule="exact"/>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Rapidly advance our lead drug candidates, BLU</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285, BLU</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554 and BLU-667, through clinical development. </w:t>
      </w:r>
      <w:r>
        <w:rPr>
          <w:rFonts w:ascii="Arial" w:cs="Arial" w:eastAsia="Arial" w:hAnsi="Arial"/>
          <w:sz w:val="17"/>
          <w:szCs w:val="17"/>
          <w:color w:val="auto"/>
        </w:rPr>
        <w:t>We are currently enrolling patients in our ongoing Phase 1 clinical trials for BLU-285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treatment of PDGFRα-driven GIST and patients with relapsed or refractory KIT-driven GIST, which we collectively refer to as advanced GIST, BLU-285 for the treatment of advanced SM and BLU-554 for the treatment of advanced HCC. In the fourth quarter of 2016, we presented preliminary data for each of these clinical trials showing that BLU-285 achieved proof-of-concept in advanced GIST and advanced SM and that BLU-554 achieved proof-of-concept in advanced HCC. We also expect to initiate a Phase 1 clinical trial for BLU-667 for the treatment of NSCLC, MTC and other advanced solid tumors in the first half of 2017. For some of our drug candidates, in order to select patients most likely to respond to our therapies and rapidly confirm mechanistic and clinical proof of concept, we may seek to develop companion diagnostic tests. We may also seek to develop assays to measure target engagement and pathway modulation, which are confirmation that a drug binds to its intended protein target </w:t>
      </w:r>
      <w:r>
        <w:rPr>
          <w:rFonts w:ascii="Arial" w:cs="Arial" w:eastAsia="Arial" w:hAnsi="Arial"/>
          <w:sz w:val="17"/>
          <w:szCs w:val="17"/>
          <w:i w:val="1"/>
          <w:iCs w:val="1"/>
          <w:color w:val="auto"/>
        </w:rPr>
        <w:t>in vivo</w:t>
      </w:r>
      <w:r>
        <w:rPr>
          <w:rFonts w:ascii="Arial" w:cs="Arial" w:eastAsia="Arial" w:hAnsi="Arial"/>
          <w:sz w:val="17"/>
          <w:szCs w:val="17"/>
          <w:color w:val="auto"/>
        </w:rPr>
        <w:t>, and we may develop measures of early response. We expect these approaches may enable earlier determination of clinical activity, allow for clear decision points for the clinical and regulatory development of our drug candidates and, for any of our drug candidates that receive marketing approval, improve patient care by identifying patients who will benefit from the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180"/>
        <w:spacing w:after="0" w:line="223" w:lineRule="auto"/>
        <w:rPr>
          <w:sz w:val="20"/>
          <w:szCs w:val="20"/>
          <w:color w:val="auto"/>
        </w:rPr>
      </w:pPr>
      <w:r>
        <w:rPr>
          <w:rFonts w:ascii="Arial" w:cs="Arial" w:eastAsia="Arial" w:hAnsi="Arial"/>
          <w:sz w:val="17"/>
          <w:szCs w:val="17"/>
          <w:color w:val="auto"/>
        </w:rPr>
        <w:t>therapy. In addition, we plan to evaluate opportunities for accelerated clinical development and expedited regulatory review and approval for each of our drug candidates, including fast track designation, accelerated approval, priority review and breakthrough therapy designation. The FDA has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In addition, the FDA has granted orphan drug designation to BLU-285 for the treatment of GIST and SM and BLU-554 for the treatment of HCC.</w:t>
      </w:r>
    </w:p>
    <w:p>
      <w:pPr>
        <w:spacing w:after="0" w:line="168" w:lineRule="exact"/>
        <w:rPr>
          <w:sz w:val="20"/>
          <w:szCs w:val="20"/>
          <w:color w:val="auto"/>
        </w:rPr>
      </w:pPr>
    </w:p>
    <w:p>
      <w:pPr>
        <w:ind w:left="1060" w:right="20" w:hanging="85"/>
        <w:spacing w:after="0" w:line="249"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a pipeline of kinase drugs for patients with genomically defined drivers of disease. </w:t>
      </w:r>
      <w:r>
        <w:rPr>
          <w:rFonts w:ascii="Arial" w:cs="Arial" w:eastAsia="Arial" w:hAnsi="Arial"/>
          <w:sz w:val="16"/>
          <w:szCs w:val="16"/>
          <w:color w:val="auto"/>
        </w:rPr>
        <w:t>We will continue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our discovery platform to systematically and reproducibly identify kinases that are drivers of diseases in genomically defined patient populations and craft drug candidates that potently and selectively target these kinases. We anticipate nominating at least one additional discovery program in 2017.</w:t>
      </w:r>
    </w:p>
    <w:p>
      <w:pPr>
        <w:spacing w:after="0" w:line="154" w:lineRule="exact"/>
        <w:rPr>
          <w:rFonts w:ascii="Arial" w:cs="Arial" w:eastAsia="Arial" w:hAnsi="Arial"/>
          <w:sz w:val="16"/>
          <w:szCs w:val="16"/>
          <w:color w:val="auto"/>
        </w:rPr>
      </w:pPr>
    </w:p>
    <w:p>
      <w:pPr>
        <w:ind w:left="1060" w:right="40" w:hanging="85"/>
        <w:spacing w:after="0" w:line="226"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Continuously invest in our proprietary discovery platform to ensure future growth. </w:t>
      </w:r>
      <w:r>
        <w:rPr>
          <w:rFonts w:ascii="Arial" w:cs="Arial" w:eastAsia="Arial" w:hAnsi="Arial"/>
          <w:sz w:val="17"/>
          <w:szCs w:val="17"/>
          <w:color w:val="auto"/>
        </w:rPr>
        <w:t>We plan to enhance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 discovery engine to enable new insights into known kinase biology and to identify new kinase drug targets. We are focused on uncovering the potential role of the “kinases of unknown biology,” or KUBs, which constitute the majority of the kinome. We have continued to expand our proprietary compound library to cover a significant portion of the kinome and anticipate that as part of our discovery efforts we will continue to increase the number of compound families that inhibit each kinase target.</w:t>
      </w:r>
    </w:p>
    <w:p>
      <w:pPr>
        <w:spacing w:after="0" w:line="165" w:lineRule="exact"/>
        <w:rPr>
          <w:rFonts w:ascii="Arial" w:cs="Arial" w:eastAsia="Arial" w:hAnsi="Arial"/>
          <w:sz w:val="17"/>
          <w:szCs w:val="17"/>
          <w:color w:val="auto"/>
        </w:rPr>
      </w:pPr>
    </w:p>
    <w:p>
      <w:pPr>
        <w:ind w:left="1060" w:right="240" w:hanging="85"/>
        <w:spacing w:after="0" w:line="236"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Evaluate strategic collaborations to maximize the value of our programs and platform. </w:t>
      </w:r>
      <w:r>
        <w:rPr>
          <w:rFonts w:ascii="Arial" w:cs="Arial" w:eastAsia="Arial" w:hAnsi="Arial"/>
          <w:sz w:val="16"/>
          <w:szCs w:val="16"/>
          <w:color w:val="auto"/>
        </w:rPr>
        <w:t>In addition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wholly-owned clinical and pre-clinical programs, we have leveraged our discovery platform to enter into collaboration programs with Alexion for an undisclosed rare genetic disease and with Roche for up to five small molecule therapeutics targeting kinases believed to be important in cancer immunotherapy, as single products or possibly in combination with other therapeutics. We will continue to evaluate additional collaborations that could maximize the value for our programs and allow us to leverage the expertise of strategic collaborators, including regional or global research, development, marketing or commercialization collaborations. We are also focused on engaging in collaborations to capitalize on our discovery platform outside of our primary strategic focus area of cancer.</w:t>
      </w:r>
    </w:p>
    <w:p>
      <w:pPr>
        <w:spacing w:after="0" w:line="167" w:lineRule="exact"/>
        <w:rPr>
          <w:rFonts w:ascii="Arial" w:cs="Arial" w:eastAsia="Arial" w:hAnsi="Arial"/>
          <w:sz w:val="16"/>
          <w:szCs w:val="16"/>
          <w:color w:val="auto"/>
        </w:rPr>
      </w:pPr>
    </w:p>
    <w:p>
      <w:pPr>
        <w:ind w:left="1060" w:hanging="85"/>
        <w:spacing w:after="0" w:line="180" w:lineRule="exact"/>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 Blueprint Medicines’ patient-focused and science-driven culture as we grow our business. </w:t>
      </w:r>
      <w:r>
        <w:rPr>
          <w:rFonts w:ascii="Arial" w:cs="Arial" w:eastAsia="Arial" w:hAnsi="Arial"/>
          <w:sz w:val="17"/>
          <w:szCs w:val="17"/>
          <w:color w:val="auto"/>
        </w:rPr>
        <w:t>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focused on building an entrepreneurial organization that is patient</w:t>
      </w:r>
      <w:r>
        <w:rPr>
          <w:rFonts w:ascii="MS PGothic" w:cs="MS PGothic" w:eastAsia="MS PGothic" w:hAnsi="MS PGothic"/>
          <w:sz w:val="17"/>
          <w:szCs w:val="17"/>
          <w:color w:val="auto"/>
        </w:rPr>
        <w:t>‑</w:t>
      </w:r>
      <w:r>
        <w:rPr>
          <w:rFonts w:ascii="Arial" w:cs="Arial" w:eastAsia="Arial" w:hAnsi="Arial"/>
          <w:sz w:val="17"/>
          <w:szCs w:val="17"/>
          <w:color w:val="auto"/>
        </w:rPr>
        <w:t>focused and science</w:t>
      </w:r>
      <w:r>
        <w:rPr>
          <w:rFonts w:ascii="MS PGothic" w:cs="MS PGothic" w:eastAsia="MS PGothic" w:hAnsi="MS PGothic"/>
          <w:sz w:val="17"/>
          <w:szCs w:val="17"/>
          <w:color w:val="auto"/>
        </w:rPr>
        <w:t>‑</w:t>
      </w:r>
      <w:r>
        <w:rPr>
          <w:rFonts w:ascii="Arial" w:cs="Arial" w:eastAsia="Arial" w:hAnsi="Arial"/>
          <w:sz w:val="17"/>
          <w:szCs w:val="17"/>
          <w:color w:val="auto"/>
        </w:rPr>
        <w:t>driven and fosters a culture of creativity, innovation, hard work and an urgency for efficiently developing treatments to improve the lives of patients who have few, if any, treatment options. We plan to continue working closely with physicians and patient advocacy groups to better understand the impact that the diseases we are targeting have on patients and their families, as well as to rapidly identify and enroll patients most likely to respond to our drug candidates. As we grow, we intend to continue hiring the most qualified individuals in biology, chemistry, clinical development and business, who fit within our culture and incorporate our entrepreneurial spirit and passion for developing transformative drugs that have the potential to improve patients’ lives. We also intend to continue fostering an environment that encourages tight integration across disciplines to ensure a seamless flow of ideas and information exchange.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Focus — Highly Selective Kinase Drugs for Genomically Defined Diseases</w:t>
      </w:r>
    </w:p>
    <w:p>
      <w:pPr>
        <w:spacing w:after="0" w:line="189" w:lineRule="exact"/>
        <w:rPr>
          <w:sz w:val="20"/>
          <w:szCs w:val="20"/>
          <w:color w:val="auto"/>
        </w:rPr>
      </w:pPr>
    </w:p>
    <w:p>
      <w:pPr>
        <w:ind w:right="20" w:firstLine="648"/>
        <w:spacing w:after="0" w:line="232" w:lineRule="auto"/>
        <w:rPr>
          <w:sz w:val="20"/>
          <w:szCs w:val="20"/>
          <w:color w:val="auto"/>
        </w:rPr>
      </w:pPr>
      <w:r>
        <w:rPr>
          <w:rFonts w:ascii="Arial" w:cs="Arial" w:eastAsia="Arial" w:hAnsi="Arial"/>
          <w:sz w:val="16"/>
          <w:szCs w:val="16"/>
          <w:color w:val="auto"/>
        </w:rPr>
        <w:t>Kinases are enzymes that function in many signaling pathways to regulate critical cellular functions. Kinase-dependent signaling networks are present in multiple different cell types, including muscle cells and cells of the immune system, and deregulation of these networks can lead to disease pathology.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 (2) chromosomes become rearranged creating a translocation or a fusion gene; or</w:t>
      </w:r>
    </w:p>
    <w:p>
      <w:pPr>
        <w:spacing w:after="0" w:line="2" w:lineRule="exact"/>
        <w:rPr>
          <w:sz w:val="20"/>
          <w:szCs w:val="20"/>
          <w:color w:val="auto"/>
        </w:rPr>
      </w:pPr>
    </w:p>
    <w:p>
      <w:pPr>
        <w:ind w:right="240" w:firstLine="3"/>
        <w:spacing w:after="0" w:line="226"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excessive amounts of protein are created due to gene duplication or dysregulation leading to overexpression. There is a strong link between genomic alterations in kinases and disease, including specific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80"/>
        <w:spacing w:after="0" w:line="189" w:lineRule="exact"/>
        <w:rPr>
          <w:sz w:val="20"/>
          <w:szCs w:val="20"/>
          <w:color w:val="auto"/>
        </w:rPr>
      </w:pPr>
      <w:r>
        <w:rPr>
          <w:rFonts w:ascii="Arial" w:cs="Arial" w:eastAsia="Arial" w:hAnsi="Arial"/>
          <w:sz w:val="18"/>
          <w:szCs w:val="18"/>
          <w:color w:val="auto"/>
        </w:rPr>
        <w:t>forms of cancer and rare genetic diseases. Several kinases have been validated as oncogenes, which are genes that when altered can initiate and maintain cancer growth. Examples of oncogenes are ABL, EGFR, B</w:t>
      </w:r>
      <w:r>
        <w:rPr>
          <w:rFonts w:ascii="MS PGothic" w:cs="MS PGothic" w:eastAsia="MS PGothic" w:hAnsi="MS PGothic"/>
          <w:sz w:val="18"/>
          <w:szCs w:val="18"/>
          <w:color w:val="auto"/>
        </w:rPr>
        <w:t>‑</w:t>
      </w:r>
      <w:r>
        <w:rPr>
          <w:rFonts w:ascii="Arial" w:cs="Arial" w:eastAsia="Arial" w:hAnsi="Arial"/>
          <w:sz w:val="18"/>
          <w:szCs w:val="18"/>
          <w:color w:val="auto"/>
        </w:rPr>
        <w:t>RAF, ALK, BTK and JAK, among many others. Ongoing genomic analyses of tumor data sets continue to identify new roles for kinases as drivers of disease.</w:t>
      </w:r>
    </w:p>
    <w:p>
      <w:pPr>
        <w:spacing w:after="0" w:line="163" w:lineRule="exact"/>
        <w:rPr>
          <w:sz w:val="20"/>
          <w:szCs w:val="20"/>
          <w:color w:val="auto"/>
        </w:rPr>
      </w:pPr>
    </w:p>
    <w:p>
      <w:pPr>
        <w:ind w:right="40" w:firstLine="648"/>
        <w:spacing w:after="0" w:line="194" w:lineRule="exact"/>
        <w:rPr>
          <w:sz w:val="20"/>
          <w:szCs w:val="20"/>
          <w:color w:val="auto"/>
        </w:rPr>
      </w:pPr>
      <w:r>
        <w:rPr>
          <w:rFonts w:ascii="Arial" w:cs="Arial" w:eastAsia="Arial" w:hAnsi="Arial"/>
          <w:sz w:val="17"/>
          <w:szCs w:val="17"/>
          <w:color w:val="auto"/>
        </w:rPr>
        <w:t>As of December 31, 2016, there were 34 FDA</w:t>
      </w:r>
      <w:r>
        <w:rPr>
          <w:rFonts w:ascii="MS PGothic" w:cs="MS PGothic" w:eastAsia="MS PGothic" w:hAnsi="MS PGothic"/>
          <w:sz w:val="17"/>
          <w:szCs w:val="17"/>
          <w:color w:val="auto"/>
        </w:rPr>
        <w:t>‑</w:t>
      </w:r>
      <w:r>
        <w:rPr>
          <w:rFonts w:ascii="Arial" w:cs="Arial" w:eastAsia="Arial" w:hAnsi="Arial"/>
          <w:sz w:val="17"/>
          <w:szCs w:val="17"/>
          <w:color w:val="auto"/>
        </w:rPr>
        <w:t>approved small molecule drugs that target less than five percent of the 518 kinases, of which all but two are indicated for cancer. Kinase inhibition continues to be a fruitful approach for cancer drug development. From 2012 to 2016, 16 of 48 FDA</w:t>
      </w:r>
      <w:r>
        <w:rPr>
          <w:rFonts w:ascii="MS PGothic" w:cs="MS PGothic" w:eastAsia="MS PGothic" w:hAnsi="MS PGothic"/>
          <w:sz w:val="17"/>
          <w:szCs w:val="17"/>
          <w:color w:val="auto"/>
        </w:rPr>
        <w:t>‑</w:t>
      </w:r>
      <w:r>
        <w:rPr>
          <w:rFonts w:ascii="Arial" w:cs="Arial" w:eastAsia="Arial" w:hAnsi="Arial"/>
          <w:sz w:val="17"/>
          <w:szCs w:val="17"/>
          <w:color w:val="auto"/>
        </w:rPr>
        <w:t>approved cancer drugs were kinase inhibitors.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Despite these successes, many opportunities remain in kinase drug discovery and development.</w:t>
      </w:r>
    </w:p>
    <w:p>
      <w:pPr>
        <w:spacing w:after="0" w:line="185" w:lineRule="exact"/>
        <w:rPr>
          <w:sz w:val="20"/>
          <w:szCs w:val="20"/>
          <w:color w:val="auto"/>
        </w:rPr>
      </w:pPr>
    </w:p>
    <w:p>
      <w:pPr>
        <w:ind w:left="1060" w:right="300" w:hanging="85"/>
        <w:spacing w:after="0" w:line="189" w:lineRule="exact"/>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Identifying novel kinase drivers of disease. </w:t>
      </w:r>
      <w:r>
        <w:rPr>
          <w:rFonts w:ascii="Arial" w:cs="Arial" w:eastAsia="Arial" w:hAnsi="Arial"/>
          <w:sz w:val="18"/>
          <w:szCs w:val="18"/>
          <w:color w:val="auto"/>
        </w:rPr>
        <w:t>Very few kinases are the focus of approved drugs. Further,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function of the majority of the kinome still remains unexplored. Thus, there is substantial opportunity for developing novel and transformative therapies that target well</w:t>
      </w:r>
      <w:r>
        <w:rPr>
          <w:rFonts w:ascii="MS PGothic" w:cs="MS PGothic" w:eastAsia="MS PGothic" w:hAnsi="MS PGothic"/>
          <w:sz w:val="18"/>
          <w:szCs w:val="18"/>
          <w:color w:val="auto"/>
        </w:rPr>
        <w:t>‑</w:t>
      </w:r>
      <w:r>
        <w:rPr>
          <w:rFonts w:ascii="Arial" w:cs="Arial" w:eastAsia="Arial" w:hAnsi="Arial"/>
          <w:sz w:val="18"/>
          <w:szCs w:val="18"/>
          <w:color w:val="auto"/>
        </w:rPr>
        <w:t>characterized but currently difficult-to-drug kinases as well as KUBs.</w:t>
      </w:r>
    </w:p>
    <w:p>
      <w:pPr>
        <w:spacing w:after="0" w:line="162" w:lineRule="exact"/>
        <w:rPr>
          <w:rFonts w:ascii="Arial" w:cs="Arial" w:eastAsia="Arial" w:hAnsi="Arial"/>
          <w:sz w:val="18"/>
          <w:szCs w:val="18"/>
          <w:color w:val="auto"/>
        </w:rPr>
      </w:pPr>
    </w:p>
    <w:p>
      <w:pPr>
        <w:ind w:left="1060" w:hanging="85"/>
        <w:spacing w:after="0" w:line="184" w:lineRule="exact"/>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Crafting very selective kinase drugs. </w:t>
      </w:r>
      <w:r>
        <w:rPr>
          <w:rFonts w:ascii="Arial" w:cs="Arial" w:eastAsia="Arial" w:hAnsi="Arial"/>
          <w:sz w:val="16"/>
          <w:szCs w:val="16"/>
          <w:color w:val="auto"/>
        </w:rPr>
        <w:t>Due to the high degree of homology between kinases, specific targeting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given kinase can be challenging. Many of the approved kinase drugs inhibit multiple kinases and are referred to as multi</w:t>
      </w:r>
      <w:r>
        <w:rPr>
          <w:rFonts w:ascii="MS PGothic" w:cs="MS PGothic" w:eastAsia="MS PGothic" w:hAnsi="MS PGothic"/>
          <w:sz w:val="16"/>
          <w:szCs w:val="16"/>
          <w:color w:val="auto"/>
        </w:rPr>
        <w:t>‑</w:t>
      </w:r>
      <w:r>
        <w:rPr>
          <w:rFonts w:ascii="Arial" w:cs="Arial" w:eastAsia="Arial" w:hAnsi="Arial"/>
          <w:sz w:val="16"/>
          <w:szCs w:val="16"/>
          <w:color w:val="auto"/>
        </w:rPr>
        <w:t>kinase inhibitors. Due to inhibition of off</w:t>
      </w:r>
      <w:r>
        <w:rPr>
          <w:rFonts w:ascii="MS PGothic" w:cs="MS PGothic" w:eastAsia="MS PGothic" w:hAnsi="MS PGothic"/>
          <w:sz w:val="16"/>
          <w:szCs w:val="16"/>
          <w:color w:val="auto"/>
        </w:rPr>
        <w:t>‑</w:t>
      </w:r>
      <w:r>
        <w:rPr>
          <w:rFonts w:ascii="Arial" w:cs="Arial" w:eastAsia="Arial" w:hAnsi="Arial"/>
          <w:sz w:val="16"/>
          <w:szCs w:val="16"/>
          <w:color w:val="auto"/>
        </w:rPr>
        <w:t>target kinases, these multi</w:t>
      </w:r>
      <w:r>
        <w:rPr>
          <w:rFonts w:ascii="MS PGothic" w:cs="MS PGothic" w:eastAsia="MS PGothic" w:hAnsi="MS PGothic"/>
          <w:sz w:val="16"/>
          <w:szCs w:val="16"/>
          <w:color w:val="auto"/>
        </w:rPr>
        <w:t>‑</w:t>
      </w:r>
      <w:r>
        <w:rPr>
          <w:rFonts w:ascii="Arial" w:cs="Arial" w:eastAsia="Arial" w:hAnsi="Arial"/>
          <w:sz w:val="16"/>
          <w:szCs w:val="16"/>
          <w:color w:val="auto"/>
        </w:rPr>
        <w:t>kinase inhibitors often give rise to severe unwanted effects, which can negatively impact the ability to dose patients at sufficient levels to achieve optimal efficacy. We believe increasing selectivity will minimize off</w:t>
      </w:r>
      <w:r>
        <w:rPr>
          <w:rFonts w:ascii="MS PGothic" w:cs="MS PGothic" w:eastAsia="MS PGothic" w:hAnsi="MS PGothic"/>
          <w:sz w:val="16"/>
          <w:szCs w:val="16"/>
          <w:color w:val="auto"/>
        </w:rPr>
        <w:t>‑</w:t>
      </w:r>
      <w:r>
        <w:rPr>
          <w:rFonts w:ascii="Arial" w:cs="Arial" w:eastAsia="Arial" w:hAnsi="Arial"/>
          <w:sz w:val="16"/>
          <w:szCs w:val="16"/>
          <w:color w:val="auto"/>
        </w:rPr>
        <w:t>target toxicities and will improve efficacy by enabling higher dose levels and greater target inhibition. Further, combination therapies require that the drugs have non</w:t>
      </w:r>
      <w:r>
        <w:rPr>
          <w:rFonts w:ascii="MS PGothic" w:cs="MS PGothic" w:eastAsia="MS PGothic" w:hAnsi="MS PGothic"/>
          <w:sz w:val="16"/>
          <w:szCs w:val="16"/>
          <w:color w:val="auto"/>
        </w:rPr>
        <w:t>‑</w:t>
      </w:r>
      <w:r>
        <w:rPr>
          <w:rFonts w:ascii="Arial" w:cs="Arial" w:eastAsia="Arial" w:hAnsi="Arial"/>
          <w:sz w:val="16"/>
          <w:szCs w:val="16"/>
          <w:color w:val="auto"/>
        </w:rPr>
        <w:t>overlapping toxicities, which could be minimized with more selective agents.</w:t>
      </w:r>
    </w:p>
    <w:p>
      <w:pPr>
        <w:spacing w:after="0" w:line="162" w:lineRule="exact"/>
        <w:rPr>
          <w:rFonts w:ascii="Arial" w:cs="Arial" w:eastAsia="Arial" w:hAnsi="Arial"/>
          <w:sz w:val="16"/>
          <w:szCs w:val="16"/>
          <w:color w:val="auto"/>
        </w:rPr>
      </w:pPr>
    </w:p>
    <w:p>
      <w:pPr>
        <w:ind w:left="1060" w:right="40" w:hanging="85"/>
        <w:spacing w:after="0" w:line="187" w:lineRule="exact"/>
        <w:tabs>
          <w:tab w:leader="none" w:pos="10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Generating novel chemical matter required to target difficult</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to</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drug kinases. </w:t>
      </w:r>
      <w:r>
        <w:rPr>
          <w:rFonts w:ascii="Arial" w:cs="Arial" w:eastAsia="Arial" w:hAnsi="Arial"/>
          <w:sz w:val="16"/>
          <w:szCs w:val="16"/>
          <w:color w:val="auto"/>
        </w:rPr>
        <w:t>Novel chemical matter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needed to address targets that are known but have proven difficult-to-drug.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drug kinases in alternate ways.</w:t>
      </w:r>
    </w:p>
    <w:p>
      <w:pPr>
        <w:spacing w:after="0" w:line="162" w:lineRule="exact"/>
        <w:rPr>
          <w:rFonts w:ascii="Arial" w:cs="Arial" w:eastAsia="Arial" w:hAnsi="Arial"/>
          <w:sz w:val="16"/>
          <w:szCs w:val="16"/>
          <w:color w:val="auto"/>
        </w:rPr>
      </w:pPr>
    </w:p>
    <w:p>
      <w:pPr>
        <w:ind w:left="1060" w:right="40" w:hanging="85"/>
        <w:spacing w:after="0" w:line="219"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Overcoming resistance mediated by the alteration of kinase targets. </w:t>
      </w:r>
      <w:r>
        <w:rPr>
          <w:rFonts w:ascii="Arial" w:cs="Arial" w:eastAsia="Arial" w:hAnsi="Arial"/>
          <w:sz w:val="18"/>
          <w:szCs w:val="18"/>
          <w:color w:val="auto"/>
        </w:rPr>
        <w:t>Most approved kinase inhibitors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temporary disease control. Patients may relapse due to the emergence of on-target resistance mutations. Novel approaches are needed to predict and inhibit resistant mutants thus providing more durable clinical responses.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and Platform</w:t>
      </w:r>
    </w:p>
    <w:p>
      <w:pPr>
        <w:spacing w:after="0" w:line="189" w:lineRule="exact"/>
        <w:rPr>
          <w:sz w:val="20"/>
          <w:szCs w:val="20"/>
          <w:color w:val="auto"/>
        </w:rPr>
      </w:pPr>
    </w:p>
    <w:p>
      <w:pPr>
        <w:ind w:right="140" w:firstLine="648"/>
        <w:spacing w:after="0" w:line="226" w:lineRule="auto"/>
        <w:rPr>
          <w:sz w:val="20"/>
          <w:szCs w:val="20"/>
          <w:color w:val="auto"/>
        </w:rPr>
      </w:pPr>
      <w:r>
        <w:rPr>
          <w:rFonts w:ascii="Arial" w:cs="Arial" w:eastAsia="Arial" w:hAnsi="Arial"/>
          <w:sz w:val="17"/>
          <w:szCs w:val="17"/>
          <w:color w:val="auto"/>
        </w:rPr>
        <w:t>Our approach is to systematically and reproducibly identify kinases that are drivers of diseases in genomically defined patient populations and to craft drug candidates that provide significant and durable clinical responses to patients. This approach enables us to drug known kinase targets that have been difficult to inhibit selectively and also identify, characterize and design drug candidates to inhibit novel kinase targets. By focusing on diseases in genomically defined patient populations, we believe that we can quickly identify the patients most likely to respond, resulting in a more efficient development path with a greater likelihood of success.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approach is enabled by our drug discovery platform consisting of two pillars:</w:t>
      </w:r>
    </w:p>
    <w:p>
      <w:pPr>
        <w:spacing w:after="0" w:line="185" w:lineRule="exact"/>
        <w:rPr>
          <w:sz w:val="20"/>
          <w:szCs w:val="20"/>
          <w:color w:val="auto"/>
        </w:rPr>
      </w:pPr>
    </w:p>
    <w:p>
      <w:pPr>
        <w:ind w:left="1080" w:hanging="105"/>
        <w:spacing w:after="0" w:line="207" w:lineRule="exact"/>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proprietary, highly</w:t>
      </w:r>
      <w:r>
        <w:rPr>
          <w:rFonts w:ascii="MS PGothic" w:cs="MS PGothic" w:eastAsia="MS PGothic" w:hAnsi="MS PGothic"/>
          <w:sz w:val="18"/>
          <w:szCs w:val="18"/>
          <w:color w:val="auto"/>
        </w:rPr>
        <w:t>‑</w:t>
      </w:r>
      <w:r>
        <w:rPr>
          <w:rFonts w:ascii="Arial" w:cs="Arial" w:eastAsia="Arial" w:hAnsi="Arial"/>
          <w:sz w:val="18"/>
          <w:szCs w:val="18"/>
          <w:color w:val="auto"/>
        </w:rPr>
        <w:t>annotated library of novel compounds; and</w:t>
      </w:r>
    </w:p>
    <w:p>
      <w:pPr>
        <w:spacing w:after="0" w:line="184" w:lineRule="exact"/>
        <w:rPr>
          <w:rFonts w:ascii="Arial" w:cs="Arial" w:eastAsia="Arial" w:hAnsi="Arial"/>
          <w:sz w:val="18"/>
          <w:szCs w:val="18"/>
          <w:color w:val="auto"/>
        </w:rPr>
      </w:pPr>
    </w:p>
    <w:p>
      <w:pPr>
        <w:ind w:left="1060" w:right="40" w:hanging="85"/>
        <w:spacing w:after="0" w:line="235"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novel target discovery engine, which is a comprehensive process that interrogates kinase biology from many angles using genomics, structural biology and cell biology.</w:t>
      </w:r>
    </w:p>
    <w:p>
      <w:pPr>
        <w:spacing w:after="0" w:line="162" w:lineRule="exact"/>
        <w:rPr>
          <w:sz w:val="20"/>
          <w:szCs w:val="20"/>
          <w:color w:val="auto"/>
        </w:rPr>
      </w:pPr>
    </w:p>
    <w:p>
      <w:pPr>
        <w:jc w:val="both"/>
        <w:ind w:right="580" w:firstLine="648"/>
        <w:spacing w:after="0" w:line="194" w:lineRule="exact"/>
        <w:rPr>
          <w:sz w:val="20"/>
          <w:szCs w:val="20"/>
          <w:color w:val="auto"/>
        </w:rPr>
      </w:pPr>
      <w:r>
        <w:rPr>
          <w:rFonts w:ascii="Arial" w:cs="Arial" w:eastAsia="Arial" w:hAnsi="Arial"/>
          <w:sz w:val="16"/>
          <w:szCs w:val="16"/>
          <w:color w:val="auto"/>
        </w:rPr>
        <w:t>Our proprietary compound library is a unique collection of small molecules designed and developed entirely in</w:t>
      </w:r>
      <w:r>
        <w:rPr>
          <w:rFonts w:ascii="MS PGothic" w:cs="MS PGothic" w:eastAsia="MS PGothic" w:hAnsi="MS PGothic"/>
          <w:sz w:val="16"/>
          <w:szCs w:val="16"/>
          <w:color w:val="auto"/>
        </w:rPr>
        <w:t>‑</w:t>
      </w:r>
      <w:r>
        <w:rPr>
          <w:rFonts w:ascii="Arial" w:cs="Arial" w:eastAsia="Arial" w:hAnsi="Arial"/>
          <w:sz w:val="16"/>
          <w:szCs w:val="16"/>
          <w:color w:val="auto"/>
        </w:rPr>
        <w:t>house by Blueprint Medicines’ scientists as kinase inhibitors and enriched for drug</w:t>
      </w:r>
      <w:r>
        <w:rPr>
          <w:rFonts w:ascii="MS PGothic" w:cs="MS PGothic" w:eastAsia="MS PGothic" w:hAnsi="MS PGothic"/>
          <w:sz w:val="16"/>
          <w:szCs w:val="16"/>
          <w:color w:val="auto"/>
        </w:rPr>
        <w:t>‑</w:t>
      </w:r>
      <w:r>
        <w:rPr>
          <w:rFonts w:ascii="Arial" w:cs="Arial" w:eastAsia="Arial" w:hAnsi="Arial"/>
          <w:sz w:val="16"/>
          <w:szCs w:val="16"/>
          <w:color w:val="auto"/>
        </w:rPr>
        <w:t>like properties. We do not owe royalties or other fees to any parties associated with our novel target discovery engine and our proprietary compound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181" w:lineRule="exact"/>
        <w:rPr>
          <w:sz w:val="20"/>
          <w:szCs w:val="20"/>
          <w:color w:val="auto"/>
        </w:rPr>
      </w:pPr>
      <w:r>
        <w:rPr>
          <w:rFonts w:ascii="Arial" w:cs="Arial" w:eastAsia="Arial" w:hAnsi="Arial"/>
          <w:sz w:val="17"/>
          <w:szCs w:val="17"/>
          <w:color w:val="auto"/>
        </w:rPr>
        <w:t>library. This provides high</w:t>
      </w:r>
      <w:r>
        <w:rPr>
          <w:rFonts w:ascii="MS PGothic" w:cs="MS PGothic" w:eastAsia="MS PGothic" w:hAnsi="MS PGothic"/>
          <w:sz w:val="17"/>
          <w:szCs w:val="17"/>
          <w:color w:val="auto"/>
        </w:rPr>
        <w:t>‑</w:t>
      </w:r>
      <w:r>
        <w:rPr>
          <w:rFonts w:ascii="Arial" w:cs="Arial" w:eastAsia="Arial" w:hAnsi="Arial"/>
          <w:sz w:val="17"/>
          <w:szCs w:val="17"/>
          <w:color w:val="auto"/>
        </w:rPr>
        <w:t>quality compounds to start kinase drug discovery programs and to use in identifying new 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w:t>
      </w:r>
      <w:r>
        <w:rPr>
          <w:rFonts w:ascii="MS PGothic" w:cs="MS PGothic" w:eastAsia="MS PGothic" w:hAnsi="MS PGothic"/>
          <w:sz w:val="17"/>
          <w:szCs w:val="17"/>
          <w:color w:val="auto"/>
        </w:rPr>
        <w:t>‑</w:t>
      </w:r>
      <w:r>
        <w:rPr>
          <w:rFonts w:ascii="Arial" w:cs="Arial" w:eastAsia="Arial" w:hAnsi="Arial"/>
          <w:sz w:val="17"/>
          <w:szCs w:val="17"/>
          <w:color w:val="auto"/>
        </w:rPr>
        <w:t>relevant kinase mutants, and the majority of known kinases are targeted by at least one compound family. Thus, this “annotated” compound library provides high</w:t>
      </w:r>
      <w:r>
        <w:rPr>
          <w:rFonts w:ascii="MS PGothic" w:cs="MS PGothic" w:eastAsia="MS PGothic" w:hAnsi="MS PGothic"/>
          <w:sz w:val="17"/>
          <w:szCs w:val="17"/>
          <w:color w:val="auto"/>
        </w:rPr>
        <w:t>‑</w:t>
      </w:r>
      <w:r>
        <w:rPr>
          <w:rFonts w:ascii="Arial" w:cs="Arial" w:eastAsia="Arial" w:hAnsi="Arial"/>
          <w:sz w:val="17"/>
          <w:szCs w:val="17"/>
          <w:color w:val="auto"/>
        </w:rPr>
        <w:t>quality medicinal chemistry starting points that enable quick</w:t>
      </w:r>
      <w:r>
        <w:rPr>
          <w:rFonts w:ascii="MS PGothic" w:cs="MS PGothic" w:eastAsia="MS PGothic" w:hAnsi="MS PGothic"/>
          <w:sz w:val="17"/>
          <w:szCs w:val="17"/>
          <w:color w:val="auto"/>
        </w:rPr>
        <w:t>‑</w:t>
      </w:r>
      <w:r>
        <w:rPr>
          <w:rFonts w:ascii="Arial" w:cs="Arial" w:eastAsia="Arial" w:hAnsi="Arial"/>
          <w:sz w:val="17"/>
          <w:szCs w:val="17"/>
          <w:color w:val="auto"/>
        </w:rPr>
        <w:t>starts to drug discovery programs, avoiding the expense and time spent running high throughput screens. Notably, our proprietary compound library has yielded high quality chemical starting points for previously difficult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drug kinases. We have continued to expand our proprietary compound library to cover a significant portion of the kinome and anticipate that as part of our discovery efforts we will continue to increase the number of compound families that inhibit each kinase target.</w:t>
      </w:r>
    </w:p>
    <w:p>
      <w:pPr>
        <w:spacing w:after="0" w:line="164"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8"/>
          <w:szCs w:val="18"/>
          <w:color w:val="auto"/>
        </w:rPr>
        <w:t>We have established a novel target discovery engine, which was developed entirely in</w:t>
      </w:r>
      <w:r>
        <w:rPr>
          <w:rFonts w:ascii="MS PGothic" w:cs="MS PGothic" w:eastAsia="MS PGothic" w:hAnsi="MS PGothic"/>
          <w:sz w:val="18"/>
          <w:szCs w:val="18"/>
          <w:color w:val="auto"/>
        </w:rPr>
        <w:t>‑</w:t>
      </w:r>
      <w:r>
        <w:rPr>
          <w:rFonts w:ascii="Arial" w:cs="Arial" w:eastAsia="Arial" w:hAnsi="Arial"/>
          <w:sz w:val="18"/>
          <w:szCs w:val="18"/>
          <w:color w:val="auto"/>
        </w:rPr>
        <w:t>house, to provide new insights into the biology of kinases as drivers of disease and to identify new kinase drug targets. There are two aspects to the novel target discovery engine:</w:t>
      </w:r>
    </w:p>
    <w:p>
      <w:pPr>
        <w:spacing w:after="0" w:line="163" w:lineRule="exact"/>
        <w:rPr>
          <w:sz w:val="20"/>
          <w:szCs w:val="20"/>
          <w:color w:val="auto"/>
        </w:rPr>
      </w:pPr>
    </w:p>
    <w:p>
      <w:pPr>
        <w:ind w:left="1060" w:right="20" w:hanging="85"/>
        <w:spacing w:after="0" w:line="187" w:lineRule="exact"/>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Genomics Approach to Identify Novel Kinase Targets. </w:t>
      </w:r>
      <w:r>
        <w:rPr>
          <w:rFonts w:ascii="Arial" w:cs="Arial" w:eastAsia="Arial" w:hAnsi="Arial"/>
          <w:sz w:val="16"/>
          <w:szCs w:val="16"/>
          <w:color w:val="auto"/>
        </w:rPr>
        <w:t>Our high</w:t>
      </w:r>
      <w:r>
        <w:rPr>
          <w:rFonts w:ascii="MS PGothic" w:cs="MS PGothic" w:eastAsia="MS PGothic" w:hAnsi="MS PGothic"/>
          <w:sz w:val="16"/>
          <w:szCs w:val="16"/>
          <w:color w:val="auto"/>
        </w:rPr>
        <w:t>‑</w:t>
      </w:r>
      <w:r>
        <w:rPr>
          <w:rFonts w:ascii="Arial" w:cs="Arial" w:eastAsia="Arial" w:hAnsi="Arial"/>
          <w:sz w:val="16"/>
          <w:szCs w:val="16"/>
          <w:color w:val="auto"/>
        </w:rPr>
        <w:t>capacity computing infrastructure allows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only storage of very large 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 These results were published in </w:t>
      </w:r>
      <w:r>
        <w:rPr>
          <w:rFonts w:ascii="Arial" w:cs="Arial" w:eastAsia="Arial" w:hAnsi="Arial"/>
          <w:sz w:val="16"/>
          <w:szCs w:val="16"/>
          <w:i w:val="1"/>
          <w:iCs w:val="1"/>
          <w:color w:val="auto"/>
        </w:rPr>
        <w:t>Nature Communications</w:t>
      </w:r>
      <w:r>
        <w:rPr>
          <w:rFonts w:ascii="Arial" w:cs="Arial" w:eastAsia="Arial" w:hAnsi="Arial"/>
          <w:sz w:val="16"/>
          <w:szCs w:val="16"/>
          <w:color w:val="auto"/>
        </w:rPr>
        <w:t xml:space="preserve"> in 2014.</w:t>
      </w:r>
    </w:p>
    <w:p>
      <w:pPr>
        <w:spacing w:after="0" w:line="162" w:lineRule="exact"/>
        <w:rPr>
          <w:rFonts w:ascii="Arial" w:cs="Arial" w:eastAsia="Arial" w:hAnsi="Arial"/>
          <w:sz w:val="16"/>
          <w:szCs w:val="16"/>
          <w:color w:val="auto"/>
        </w:rPr>
      </w:pPr>
    </w:p>
    <w:p>
      <w:pPr>
        <w:ind w:left="1060" w:right="140" w:hanging="85"/>
        <w:spacing w:after="0" w:line="187" w:lineRule="exact"/>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Cell</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based Screens to Identify Novel Kinase Targets. </w:t>
      </w:r>
      <w:r>
        <w:rPr>
          <w:rFonts w:ascii="Arial" w:cs="Arial" w:eastAsia="Arial" w:hAnsi="Arial"/>
          <w:sz w:val="18"/>
          <w:szCs w:val="18"/>
          <w:color w:val="auto"/>
        </w:rPr>
        <w:t>In this approach, a subset of the compounds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compound library that exhibit remarkable potency and/or selectivity for one or a few kinases — our “tool compounds” — are used as probes in disease</w:t>
      </w:r>
      <w:r>
        <w:rPr>
          <w:rFonts w:ascii="MS PGothic" w:cs="MS PGothic" w:eastAsia="MS PGothic" w:hAnsi="MS PGothic"/>
          <w:sz w:val="18"/>
          <w:szCs w:val="18"/>
          <w:color w:val="auto"/>
        </w:rPr>
        <w:t>‑</w:t>
      </w:r>
      <w:r>
        <w:rPr>
          <w:rFonts w:ascii="Arial" w:cs="Arial" w:eastAsia="Arial" w:hAnsi="Arial"/>
          <w:sz w:val="18"/>
          <w:szCs w:val="18"/>
          <w:color w:val="auto"/>
        </w:rPr>
        <w:t>relevant cell</w:t>
      </w:r>
      <w:r>
        <w:rPr>
          <w:rFonts w:ascii="MS PGothic" w:cs="MS PGothic" w:eastAsia="MS PGothic" w:hAnsi="MS PGothic"/>
          <w:sz w:val="18"/>
          <w:szCs w:val="18"/>
          <w:color w:val="auto"/>
        </w:rPr>
        <w:t>‑</w:t>
      </w:r>
      <w:r>
        <w:rPr>
          <w:rFonts w:ascii="Arial" w:cs="Arial" w:eastAsia="Arial" w:hAnsi="Arial"/>
          <w:sz w:val="18"/>
          <w:szCs w:val="18"/>
          <w:color w:val="auto"/>
        </w:rPr>
        <w:t>based screens. Many of these tool compounds inhibit KUBs and thus allow us to evaluate potential roles for these relatively unexplored kinases in human disease.</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 defined cancers with a targeted therapy typically results in a significant anti</w:t>
      </w:r>
      <w:r>
        <w:rPr>
          <w:rFonts w:ascii="MS PGothic" w:cs="MS PGothic" w:eastAsia="MS PGothic" w:hAnsi="MS PGothic"/>
          <w:sz w:val="16"/>
          <w:szCs w:val="16"/>
          <w:color w:val="auto"/>
        </w:rPr>
        <w:t>‑</w:t>
      </w:r>
      <w:r>
        <w:rPr>
          <w:rFonts w:ascii="Arial" w:cs="Arial" w:eastAsia="Arial" w:hAnsi="Arial"/>
          <w:sz w:val="16"/>
          <w:szCs w:val="16"/>
          <w:color w:val="auto"/>
        </w:rPr>
        <w:t>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 We have and may continue to form collaborations to track emerging patterns of resistance in the clinic to confirm our predictions. We have used this process of predicting resistance to inform the design of several of our next generation drugs, including BLU-667 for RET fusions and predicted RET resistant mutants.</w:t>
      </w:r>
    </w:p>
    <w:p>
      <w:pPr>
        <w:spacing w:after="0" w:line="168"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Our discovery platform has already yielded a robust pipeline. KIT mutations, including Exon 17 mutants, while known drivers of disease, historically, were not selectively drugged successfully. We developed BLU</w:t>
      </w:r>
      <w:r>
        <w:rPr>
          <w:rFonts w:ascii="MS PGothic" w:cs="MS PGothic" w:eastAsia="MS PGothic" w:hAnsi="MS PGothic"/>
          <w:sz w:val="17"/>
          <w:szCs w:val="17"/>
          <w:color w:val="auto"/>
        </w:rPr>
        <w:t>‑</w:t>
      </w:r>
      <w:r>
        <w:rPr>
          <w:rFonts w:ascii="Arial" w:cs="Arial" w:eastAsia="Arial" w:hAnsi="Arial"/>
          <w:sz w:val="17"/>
          <w:szCs w:val="17"/>
          <w:color w:val="auto"/>
        </w:rPr>
        <w:t>285 as a selective inhibitor of KIT, including Exon 17 mutations, an effort that our proprietary compound library facilitated. Aberrant signaling through FGFR4 is a known genomic driver in a subset of HCC patients. This kinase has been difficult to drug selectively due to the close homology of the FGFR family members. We developed BLU</w:t>
      </w:r>
      <w:r>
        <w:rPr>
          <w:rFonts w:ascii="MS PGothic" w:cs="MS PGothic" w:eastAsia="MS PGothic" w:hAnsi="MS PGothic"/>
          <w:sz w:val="17"/>
          <w:szCs w:val="17"/>
          <w:color w:val="auto"/>
        </w:rPr>
        <w:t>‑</w:t>
      </w:r>
      <w:r>
        <w:rPr>
          <w:rFonts w:ascii="Arial" w:cs="Arial" w:eastAsia="Arial" w:hAnsi="Arial"/>
          <w:sz w:val="17"/>
          <w:szCs w:val="17"/>
          <w:color w:val="auto"/>
        </w:rPr>
        <w:t>554 as a selective inhibitor of FGFR4 to address the unmet medical need in this genomically defined HCC patient population. In addition, for our RET program, we applied our resistance mutation prediction algorithm to identify mutant forms of RET that are resistant to multi</w:t>
      </w:r>
      <w:r>
        <w:rPr>
          <w:rFonts w:ascii="MS PGothic" w:cs="MS PGothic" w:eastAsia="MS PGothic" w:hAnsi="MS PGothic"/>
          <w:sz w:val="17"/>
          <w:szCs w:val="17"/>
          <w:color w:val="auto"/>
        </w:rPr>
        <w:t>‑</w:t>
      </w:r>
      <w:r>
        <w:rPr>
          <w:rFonts w:ascii="Arial" w:cs="Arial" w:eastAsia="Arial" w:hAnsi="Arial"/>
          <w:sz w:val="17"/>
          <w:szCs w:val="17"/>
          <w:color w:val="auto"/>
        </w:rPr>
        <w:t>kinase inhibitors with RET activity and utilized our proprietary compound library to develop BLU-667, a potent and selective inhibitor of RET and predicted RET resistant mutants with activity against both the wild</w:t>
      </w:r>
      <w:r>
        <w:rPr>
          <w:rFonts w:ascii="MS PGothic" w:cs="MS PGothic" w:eastAsia="MS PGothic" w:hAnsi="MS PGothic"/>
          <w:sz w:val="17"/>
          <w:szCs w:val="17"/>
          <w:color w:val="auto"/>
        </w:rPr>
        <w:t>‑</w:t>
      </w:r>
      <w:r>
        <w:rPr>
          <w:rFonts w:ascii="Arial" w:cs="Arial" w:eastAsia="Arial" w:hAnsi="Arial"/>
          <w:sz w:val="17"/>
          <w:szCs w:val="17"/>
          <w:color w:val="auto"/>
        </w:rPr>
        <w:t>type and mutant enzymes. Finally, we are currently using and will continue to use our tool compounds to explore the role of KUBs in human disease with the goal of identifying novel kinase targets.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Programs</w:t>
      </w:r>
    </w:p>
    <w:p>
      <w:pPr>
        <w:spacing w:after="0" w:line="18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have leveraged our discovery platform to develop a robust drug pipeline of orally available, potent and selective small molecule kinase inhibitors that target genomic drivers in several cancers and a rare genetic disease. We currently own worldwide development and commercial rights to all of our pre-clinical and clinical programs other than any drug candidates being developed in our rare genetic disease program with Alexion and our cancer immunotherapy program with Roche. The following table summarizes our most advanced drug candidates as of February 28, 2017, each of which is described in further detail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20" w:type="dxa"/>
            <w:vAlign w:val="bottom"/>
            <w:tcBorders>
              <w:top w:val="single" w:sz="8" w:color="auto"/>
              <w:bottom w:val="single" w:sz="8" w:color="BFBFBF"/>
            </w:tcBorders>
            <w:shd w:val="clear" w:color="auto" w:fill="BFBFBF"/>
          </w:tcPr>
          <w:p>
            <w:pPr>
              <w:ind w:left="300"/>
              <w:spacing w:after="0"/>
              <w:rPr>
                <w:sz w:val="20"/>
                <w:szCs w:val="20"/>
                <w:color w:val="auto"/>
              </w:rPr>
            </w:pPr>
            <w:r>
              <w:rPr>
                <w:rFonts w:ascii="Arial" w:cs="Arial" w:eastAsia="Arial" w:hAnsi="Arial"/>
                <w:sz w:val="14"/>
                <w:szCs w:val="14"/>
                <w:b w:val="1"/>
                <w:bCs w:val="1"/>
                <w:color w:val="auto"/>
              </w:rPr>
              <w:t>Drug Candidate</w:t>
            </w:r>
          </w:p>
        </w:tc>
        <w:tc>
          <w:tcPr>
            <w:tcW w:w="1580" w:type="dxa"/>
            <w:vAlign w:val="bottom"/>
            <w:tcBorders>
              <w:top w:val="single" w:sz="8" w:color="auto"/>
              <w:bottom w:val="single" w:sz="8" w:color="BFBFBF"/>
            </w:tcBorders>
            <w:shd w:val="clear" w:color="auto" w:fill="BFBFBF"/>
          </w:tcPr>
          <w:p>
            <w:pPr>
              <w:ind w:left="380"/>
              <w:spacing w:after="0"/>
              <w:rPr>
                <w:sz w:val="20"/>
                <w:szCs w:val="20"/>
                <w:color w:val="auto"/>
              </w:rPr>
            </w:pPr>
            <w:r>
              <w:rPr>
                <w:rFonts w:ascii="Arial" w:cs="Arial" w:eastAsia="Arial" w:hAnsi="Arial"/>
                <w:sz w:val="14"/>
                <w:szCs w:val="14"/>
                <w:b w:val="1"/>
                <w:bCs w:val="1"/>
                <w:color w:val="auto"/>
              </w:rPr>
              <w:t>Initial Diseases</w:t>
            </w:r>
          </w:p>
        </w:tc>
        <w:tc>
          <w:tcPr>
            <w:tcW w:w="1700" w:type="dxa"/>
            <w:vAlign w:val="bottom"/>
            <w:tcBorders>
              <w:top w:val="single" w:sz="8" w:color="auto"/>
              <w:bottom w:val="single" w:sz="8" w:color="BFBFBF"/>
            </w:tcBorders>
            <w:shd w:val="clear" w:color="auto" w:fill="BFBFBF"/>
          </w:tcPr>
          <w:p>
            <w:pPr>
              <w:ind w:left="360"/>
              <w:spacing w:after="0"/>
              <w:rPr>
                <w:sz w:val="20"/>
                <w:szCs w:val="20"/>
                <w:color w:val="auto"/>
              </w:rPr>
            </w:pPr>
            <w:r>
              <w:rPr>
                <w:rFonts w:ascii="Arial" w:cs="Arial" w:eastAsia="Arial" w:hAnsi="Arial"/>
                <w:sz w:val="14"/>
                <w:szCs w:val="14"/>
                <w:b w:val="1"/>
                <w:bCs w:val="1"/>
                <w:color w:val="auto"/>
              </w:rPr>
              <w:t>Genomic Drivers</w:t>
            </w:r>
          </w:p>
        </w:tc>
        <w:tc>
          <w:tcPr>
            <w:tcW w:w="1620" w:type="dxa"/>
            <w:vAlign w:val="bottom"/>
            <w:tcBorders>
              <w:top w:val="single" w:sz="8" w:color="auto"/>
              <w:bottom w:val="single" w:sz="8" w:color="BFBFBF"/>
            </w:tcBorders>
            <w:shd w:val="clear" w:color="auto" w:fill="BFBFBF"/>
          </w:tcPr>
          <w:p>
            <w:pPr>
              <w:ind w:left="120"/>
              <w:spacing w:after="0"/>
              <w:rPr>
                <w:sz w:val="20"/>
                <w:szCs w:val="20"/>
                <w:color w:val="auto"/>
              </w:rPr>
            </w:pPr>
            <w:r>
              <w:rPr>
                <w:rFonts w:ascii="Arial" w:cs="Arial" w:eastAsia="Arial" w:hAnsi="Arial"/>
                <w:sz w:val="14"/>
                <w:szCs w:val="14"/>
                <w:b w:val="1"/>
                <w:bCs w:val="1"/>
                <w:color w:val="auto"/>
                <w:w w:val="92"/>
              </w:rPr>
              <w:t xml:space="preserve">Stage of Development </w:t>
            </w:r>
            <w:r>
              <w:rPr>
                <w:rFonts w:ascii="Arial" w:cs="Arial" w:eastAsia="Arial" w:hAnsi="Arial"/>
                <w:sz w:val="7"/>
                <w:szCs w:val="7"/>
                <w:b w:val="1"/>
                <w:bCs w:val="1"/>
                <w:color w:val="auto"/>
                <w:w w:val="92"/>
              </w:rPr>
              <w:t>(1)</w:t>
            </w:r>
          </w:p>
        </w:tc>
        <w:tc>
          <w:tcPr>
            <w:tcW w:w="1420" w:type="dxa"/>
            <w:vAlign w:val="bottom"/>
            <w:tcBorders>
              <w:top w:val="single" w:sz="8" w:color="auto"/>
              <w:bottom w:val="single" w:sz="8" w:color="BFBFBF"/>
            </w:tcBorders>
            <w:shd w:val="clear" w:color="auto" w:fill="BFBFBF"/>
          </w:tcPr>
          <w:p>
            <w:pPr>
              <w:ind w:left="140"/>
              <w:spacing w:after="0"/>
              <w:rPr>
                <w:sz w:val="20"/>
                <w:szCs w:val="20"/>
                <w:color w:val="auto"/>
              </w:rPr>
            </w:pPr>
            <w:r>
              <w:rPr>
                <w:rFonts w:ascii="Arial" w:cs="Arial" w:eastAsia="Arial" w:hAnsi="Arial"/>
                <w:sz w:val="14"/>
                <w:szCs w:val="14"/>
                <w:b w:val="1"/>
                <w:bCs w:val="1"/>
                <w:color w:val="auto"/>
                <w:w w:val="98"/>
              </w:rPr>
              <w:t>Commercial Rights</w:t>
            </w:r>
          </w:p>
        </w:tc>
        <w:tc>
          <w:tcPr>
            <w:tcW w:w="0" w:type="dxa"/>
            <w:vAlign w:val="bottom"/>
          </w:tcPr>
          <w:p>
            <w:pPr>
              <w:spacing w:after="0"/>
              <w:rPr>
                <w:sz w:val="1"/>
                <w:szCs w:val="1"/>
                <w:color w:val="auto"/>
              </w:rPr>
            </w:pPr>
          </w:p>
        </w:tc>
      </w:tr>
      <w:tr>
        <w:trPr>
          <w:trHeight w:val="198"/>
        </w:trPr>
        <w:tc>
          <w:tcPr>
            <w:tcW w:w="1620" w:type="dxa"/>
            <w:vAlign w:val="bottom"/>
            <w:tcBorders>
              <w:top w:val="single" w:sz="8" w:color="auto"/>
            </w:tcBorders>
          </w:tcPr>
          <w:p>
            <w:pPr>
              <w:spacing w:after="0" w:line="161"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285</w:t>
            </w:r>
          </w:p>
        </w:tc>
        <w:tc>
          <w:tcPr>
            <w:tcW w:w="15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SM</w:t>
            </w:r>
          </w:p>
        </w:tc>
        <w:tc>
          <w:tcPr>
            <w:tcW w:w="17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KIT D816V mutation</w:t>
            </w:r>
          </w:p>
        </w:tc>
        <w:tc>
          <w:tcPr>
            <w:tcW w:w="162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Phase 1 enrolling</w:t>
            </w:r>
          </w:p>
        </w:tc>
        <w:tc>
          <w:tcPr>
            <w:tcW w:w="14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Blueprint Medicines</w:t>
            </w:r>
          </w:p>
        </w:tc>
        <w:tc>
          <w:tcPr>
            <w:tcW w:w="0" w:type="dxa"/>
            <w:vAlign w:val="bottom"/>
          </w:tcPr>
          <w:p>
            <w:pPr>
              <w:spacing w:after="0"/>
              <w:rPr>
                <w:sz w:val="1"/>
                <w:szCs w:val="1"/>
                <w:color w:val="auto"/>
              </w:rPr>
            </w:pPr>
          </w:p>
        </w:tc>
      </w:tr>
      <w:tr>
        <w:trPr>
          <w:trHeight w:val="189"/>
        </w:trPr>
        <w:tc>
          <w:tcPr>
            <w:tcW w:w="1620" w:type="dxa"/>
            <w:vAlign w:val="bottom"/>
          </w:tcPr>
          <w:p>
            <w:pPr>
              <w:ind w:left="200"/>
              <w:spacing w:after="0"/>
              <w:rPr>
                <w:sz w:val="20"/>
                <w:szCs w:val="20"/>
                <w:color w:val="auto"/>
              </w:rPr>
            </w:pPr>
            <w:r>
              <w:rPr>
                <w:rFonts w:ascii="Arial" w:cs="Arial" w:eastAsia="Arial" w:hAnsi="Arial"/>
                <w:sz w:val="14"/>
                <w:szCs w:val="14"/>
                <w:i w:val="1"/>
                <w:iCs w:val="1"/>
                <w:color w:val="auto"/>
              </w:rPr>
              <w:t>(KIT inhibitor)</w:t>
            </w:r>
          </w:p>
        </w:tc>
        <w:tc>
          <w:tcPr>
            <w:tcW w:w="1580" w:type="dxa"/>
            <w:vAlign w:val="bottom"/>
            <w:vMerge w:val="restart"/>
          </w:tcPr>
          <w:p>
            <w:pPr>
              <w:ind w:left="80"/>
              <w:spacing w:after="0"/>
              <w:rPr>
                <w:sz w:val="20"/>
                <w:szCs w:val="20"/>
                <w:color w:val="auto"/>
              </w:rPr>
            </w:pPr>
            <w:r>
              <w:rPr>
                <w:rFonts w:ascii="Arial" w:cs="Arial" w:eastAsia="Arial" w:hAnsi="Arial"/>
                <w:sz w:val="14"/>
                <w:szCs w:val="14"/>
                <w:color w:val="auto"/>
              </w:rPr>
              <w:t>GIST</w:t>
            </w:r>
          </w:p>
        </w:tc>
        <w:tc>
          <w:tcPr>
            <w:tcW w:w="1700" w:type="dxa"/>
            <w:vAlign w:val="bottom"/>
            <w:vMerge w:val="restart"/>
          </w:tcPr>
          <w:p>
            <w:pPr>
              <w:ind w:left="80"/>
              <w:spacing w:after="0"/>
              <w:rPr>
                <w:sz w:val="20"/>
                <w:szCs w:val="20"/>
                <w:color w:val="auto"/>
              </w:rPr>
            </w:pPr>
            <w:r>
              <w:rPr>
                <w:rFonts w:ascii="Arial" w:cs="Arial" w:eastAsia="Arial" w:hAnsi="Arial"/>
                <w:sz w:val="14"/>
                <w:szCs w:val="14"/>
                <w:color w:val="auto"/>
              </w:rPr>
              <w:t>D842V mutant PDGFRα</w:t>
            </w:r>
          </w:p>
        </w:tc>
        <w:tc>
          <w:tcPr>
            <w:tcW w:w="1620" w:type="dxa"/>
            <w:vAlign w:val="bottom"/>
            <w:vMerge w:val="restart"/>
          </w:tcPr>
          <w:p>
            <w:pPr>
              <w:ind w:left="80"/>
              <w:spacing w:after="0"/>
              <w:rPr>
                <w:sz w:val="20"/>
                <w:szCs w:val="20"/>
                <w:color w:val="auto"/>
              </w:rPr>
            </w:pPr>
            <w:r>
              <w:rPr>
                <w:rFonts w:ascii="Arial" w:cs="Arial" w:eastAsia="Arial" w:hAnsi="Arial"/>
                <w:sz w:val="14"/>
                <w:szCs w:val="14"/>
                <w:color w:val="auto"/>
              </w:rPr>
              <w:t>Phase 1 enrolling</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620" w:type="dxa"/>
            <w:vAlign w:val="bottom"/>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4"/>
                <w:szCs w:val="14"/>
                <w:color w:val="auto"/>
              </w:rPr>
              <w:t>GIST</w:t>
            </w:r>
          </w:p>
        </w:tc>
        <w:tc>
          <w:tcPr>
            <w:tcW w:w="1700" w:type="dxa"/>
            <w:vAlign w:val="bottom"/>
          </w:tcPr>
          <w:p>
            <w:pPr>
              <w:ind w:left="80"/>
              <w:spacing w:after="0"/>
              <w:rPr>
                <w:sz w:val="20"/>
                <w:szCs w:val="20"/>
                <w:color w:val="auto"/>
              </w:rPr>
            </w:pPr>
            <w:r>
              <w:rPr>
                <w:rFonts w:ascii="Arial" w:cs="Arial" w:eastAsia="Arial" w:hAnsi="Arial"/>
                <w:sz w:val="14"/>
                <w:szCs w:val="14"/>
                <w:color w:val="auto"/>
              </w:rPr>
              <w:t>KIT mutations, including</w:t>
            </w:r>
          </w:p>
        </w:tc>
        <w:tc>
          <w:tcPr>
            <w:tcW w:w="1620" w:type="dxa"/>
            <w:vAlign w:val="bottom"/>
          </w:tcPr>
          <w:p>
            <w:pPr>
              <w:ind w:left="80"/>
              <w:spacing w:after="0"/>
              <w:rPr>
                <w:sz w:val="20"/>
                <w:szCs w:val="20"/>
                <w:color w:val="auto"/>
              </w:rPr>
            </w:pPr>
            <w:r>
              <w:rPr>
                <w:rFonts w:ascii="Arial" w:cs="Arial" w:eastAsia="Arial" w:hAnsi="Arial"/>
                <w:sz w:val="14"/>
                <w:szCs w:val="14"/>
                <w:color w:val="auto"/>
              </w:rPr>
              <w:t>Phase 1 enrolling</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00" w:type="dxa"/>
            <w:vAlign w:val="bottom"/>
          </w:tcPr>
          <w:p>
            <w:pPr>
              <w:ind w:left="80"/>
              <w:spacing w:after="0"/>
              <w:rPr>
                <w:sz w:val="20"/>
                <w:szCs w:val="20"/>
                <w:color w:val="auto"/>
              </w:rPr>
            </w:pPr>
            <w:r>
              <w:rPr>
                <w:rFonts w:ascii="Arial" w:cs="Arial" w:eastAsia="Arial" w:hAnsi="Arial"/>
                <w:sz w:val="14"/>
                <w:szCs w:val="14"/>
                <w:color w:val="auto"/>
              </w:rPr>
              <w:t>Exon 17 mutants</w:t>
            </w:r>
          </w:p>
        </w:tc>
        <w:tc>
          <w:tcPr>
            <w:tcW w:w="16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line="161"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554</w:t>
            </w:r>
          </w:p>
        </w:tc>
        <w:tc>
          <w:tcPr>
            <w:tcW w:w="1580" w:type="dxa"/>
            <w:vAlign w:val="bottom"/>
          </w:tcPr>
          <w:p>
            <w:pPr>
              <w:ind w:left="80"/>
              <w:spacing w:after="0"/>
              <w:rPr>
                <w:sz w:val="20"/>
                <w:szCs w:val="20"/>
                <w:color w:val="auto"/>
              </w:rPr>
            </w:pPr>
            <w:r>
              <w:rPr>
                <w:rFonts w:ascii="Arial" w:cs="Arial" w:eastAsia="Arial" w:hAnsi="Arial"/>
                <w:sz w:val="14"/>
                <w:szCs w:val="14"/>
                <w:color w:val="auto"/>
              </w:rPr>
              <w:t>HCC</w:t>
            </w:r>
          </w:p>
        </w:tc>
        <w:tc>
          <w:tcPr>
            <w:tcW w:w="1700" w:type="dxa"/>
            <w:vAlign w:val="bottom"/>
          </w:tcPr>
          <w:p>
            <w:pPr>
              <w:ind w:left="80"/>
              <w:spacing w:after="0"/>
              <w:rPr>
                <w:sz w:val="20"/>
                <w:szCs w:val="20"/>
                <w:color w:val="auto"/>
              </w:rPr>
            </w:pPr>
            <w:r>
              <w:rPr>
                <w:rFonts w:ascii="Arial" w:cs="Arial" w:eastAsia="Arial" w:hAnsi="Arial"/>
                <w:sz w:val="14"/>
                <w:szCs w:val="14"/>
                <w:color w:val="auto"/>
                <w:w w:val="98"/>
              </w:rPr>
              <w:t>Aberrant FGFR4 signaling</w:t>
            </w:r>
          </w:p>
        </w:tc>
        <w:tc>
          <w:tcPr>
            <w:tcW w:w="1620" w:type="dxa"/>
            <w:vAlign w:val="bottom"/>
          </w:tcPr>
          <w:p>
            <w:pPr>
              <w:ind w:left="80"/>
              <w:spacing w:after="0"/>
              <w:rPr>
                <w:sz w:val="20"/>
                <w:szCs w:val="20"/>
                <w:color w:val="auto"/>
              </w:rPr>
            </w:pPr>
            <w:r>
              <w:rPr>
                <w:rFonts w:ascii="Arial" w:cs="Arial" w:eastAsia="Arial" w:hAnsi="Arial"/>
                <w:sz w:val="14"/>
                <w:szCs w:val="14"/>
                <w:color w:val="auto"/>
              </w:rPr>
              <w:t>Phase 1 enrolling</w:t>
            </w:r>
          </w:p>
        </w:tc>
        <w:tc>
          <w:tcPr>
            <w:tcW w:w="1420" w:type="dxa"/>
            <w:vAlign w:val="bottom"/>
          </w:tcPr>
          <w:p>
            <w:pPr>
              <w:ind w:left="60"/>
              <w:spacing w:after="0"/>
              <w:rPr>
                <w:sz w:val="20"/>
                <w:szCs w:val="20"/>
                <w:color w:val="auto"/>
              </w:rPr>
            </w:pPr>
            <w:r>
              <w:rPr>
                <w:rFonts w:ascii="Arial" w:cs="Arial" w:eastAsia="Arial" w:hAnsi="Arial"/>
                <w:sz w:val="14"/>
                <w:szCs w:val="14"/>
                <w:color w:val="auto"/>
              </w:rPr>
              <w:t>Blueprint Medicines</w:t>
            </w:r>
          </w:p>
        </w:tc>
        <w:tc>
          <w:tcPr>
            <w:tcW w:w="0" w:type="dxa"/>
            <w:vAlign w:val="bottom"/>
          </w:tcPr>
          <w:p>
            <w:pPr>
              <w:spacing w:after="0"/>
              <w:rPr>
                <w:sz w:val="1"/>
                <w:szCs w:val="1"/>
                <w:color w:val="auto"/>
              </w:rPr>
            </w:pPr>
          </w:p>
        </w:tc>
      </w:tr>
      <w:tr>
        <w:trPr>
          <w:trHeight w:val="189"/>
        </w:trPr>
        <w:tc>
          <w:tcPr>
            <w:tcW w:w="1620" w:type="dxa"/>
            <w:vAlign w:val="bottom"/>
          </w:tcPr>
          <w:p>
            <w:pPr>
              <w:ind w:left="200"/>
              <w:spacing w:after="0"/>
              <w:rPr>
                <w:sz w:val="20"/>
                <w:szCs w:val="20"/>
                <w:color w:val="auto"/>
              </w:rPr>
            </w:pPr>
            <w:r>
              <w:rPr>
                <w:rFonts w:ascii="Arial" w:cs="Arial" w:eastAsia="Arial" w:hAnsi="Arial"/>
                <w:sz w:val="14"/>
                <w:szCs w:val="14"/>
                <w:i w:val="1"/>
                <w:iCs w:val="1"/>
                <w:color w:val="auto"/>
              </w:rPr>
              <w:t>(FGFR4 inhibitor)</w:t>
            </w:r>
          </w:p>
        </w:tc>
        <w:tc>
          <w:tcPr>
            <w:tcW w:w="1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6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line="155" w:lineRule="exact"/>
              <w:rPr>
                <w:sz w:val="20"/>
                <w:szCs w:val="20"/>
                <w:color w:val="auto"/>
              </w:rPr>
            </w:pPr>
            <w:r>
              <w:rPr>
                <w:rFonts w:ascii="Arial" w:cs="Arial" w:eastAsia="Arial" w:hAnsi="Arial"/>
                <w:sz w:val="14"/>
                <w:szCs w:val="14"/>
                <w:color w:val="auto"/>
              </w:rPr>
              <w:t>BLU-667</w:t>
            </w:r>
          </w:p>
        </w:tc>
        <w:tc>
          <w:tcPr>
            <w:tcW w:w="1580" w:type="dxa"/>
            <w:vAlign w:val="bottom"/>
          </w:tcPr>
          <w:p>
            <w:pPr>
              <w:ind w:left="80"/>
              <w:spacing w:after="0" w:line="155" w:lineRule="exact"/>
              <w:rPr>
                <w:sz w:val="20"/>
                <w:szCs w:val="20"/>
                <w:color w:val="auto"/>
              </w:rPr>
            </w:pPr>
            <w:r>
              <w:rPr>
                <w:rFonts w:ascii="Arial" w:cs="Arial" w:eastAsia="Arial" w:hAnsi="Arial"/>
                <w:sz w:val="14"/>
                <w:szCs w:val="14"/>
                <w:color w:val="auto"/>
                <w:w w:val="99"/>
              </w:rPr>
              <w:t>NSCLC, MTC and other</w:t>
            </w:r>
          </w:p>
        </w:tc>
        <w:tc>
          <w:tcPr>
            <w:tcW w:w="1700" w:type="dxa"/>
            <w:vAlign w:val="bottom"/>
          </w:tcPr>
          <w:p>
            <w:pPr>
              <w:ind w:left="80"/>
              <w:spacing w:after="0" w:line="155" w:lineRule="exact"/>
              <w:rPr>
                <w:sz w:val="20"/>
                <w:szCs w:val="20"/>
                <w:color w:val="auto"/>
              </w:rPr>
            </w:pPr>
            <w:r>
              <w:rPr>
                <w:rFonts w:ascii="Arial" w:cs="Arial" w:eastAsia="Arial" w:hAnsi="Arial"/>
                <w:sz w:val="14"/>
                <w:szCs w:val="14"/>
                <w:color w:val="auto"/>
              </w:rPr>
              <w:t>RET activating mutations,</w:t>
            </w:r>
          </w:p>
        </w:tc>
        <w:tc>
          <w:tcPr>
            <w:tcW w:w="1620" w:type="dxa"/>
            <w:vAlign w:val="bottom"/>
          </w:tcPr>
          <w:p>
            <w:pPr>
              <w:ind w:left="80"/>
              <w:spacing w:after="0" w:line="155" w:lineRule="exact"/>
              <w:rPr>
                <w:sz w:val="20"/>
                <w:szCs w:val="20"/>
                <w:color w:val="auto"/>
              </w:rPr>
            </w:pPr>
            <w:r>
              <w:rPr>
                <w:rFonts w:ascii="Arial" w:cs="Arial" w:eastAsia="Arial" w:hAnsi="Arial"/>
                <w:sz w:val="14"/>
                <w:szCs w:val="14"/>
                <w:color w:val="auto"/>
              </w:rPr>
              <w:t>IND accepted</w:t>
            </w:r>
          </w:p>
        </w:tc>
        <w:tc>
          <w:tcPr>
            <w:tcW w:w="1420" w:type="dxa"/>
            <w:vAlign w:val="bottom"/>
          </w:tcPr>
          <w:p>
            <w:pPr>
              <w:ind w:left="60"/>
              <w:spacing w:after="0" w:line="155" w:lineRule="exact"/>
              <w:rPr>
                <w:sz w:val="20"/>
                <w:szCs w:val="20"/>
                <w:color w:val="auto"/>
              </w:rPr>
            </w:pPr>
            <w:r>
              <w:rPr>
                <w:rFonts w:ascii="Arial" w:cs="Arial" w:eastAsia="Arial" w:hAnsi="Arial"/>
                <w:sz w:val="14"/>
                <w:szCs w:val="14"/>
                <w:color w:val="auto"/>
              </w:rPr>
              <w:t>Blueprint Medicines</w:t>
            </w:r>
          </w:p>
        </w:tc>
        <w:tc>
          <w:tcPr>
            <w:tcW w:w="0" w:type="dxa"/>
            <w:vAlign w:val="bottom"/>
          </w:tcPr>
          <w:p>
            <w:pPr>
              <w:spacing w:after="0"/>
              <w:rPr>
                <w:sz w:val="1"/>
                <w:szCs w:val="1"/>
                <w:color w:val="auto"/>
              </w:rPr>
            </w:pPr>
          </w:p>
        </w:tc>
      </w:tr>
      <w:tr>
        <w:trPr>
          <w:trHeight w:val="135"/>
        </w:trPr>
        <w:tc>
          <w:tcPr>
            <w:tcW w:w="1620" w:type="dxa"/>
            <w:vAlign w:val="bottom"/>
            <w:vMerge w:val="restart"/>
          </w:tcPr>
          <w:p>
            <w:pPr>
              <w:ind w:left="200"/>
              <w:spacing w:after="0"/>
              <w:rPr>
                <w:sz w:val="20"/>
                <w:szCs w:val="20"/>
                <w:color w:val="auto"/>
              </w:rPr>
            </w:pPr>
            <w:r>
              <w:rPr>
                <w:rFonts w:ascii="Arial" w:cs="Arial" w:eastAsia="Arial" w:hAnsi="Arial"/>
                <w:sz w:val="14"/>
                <w:szCs w:val="14"/>
                <w:i w:val="1"/>
                <w:iCs w:val="1"/>
                <w:color w:val="auto"/>
              </w:rPr>
              <w:t>(RET inhibitor)</w:t>
            </w:r>
          </w:p>
        </w:tc>
        <w:tc>
          <w:tcPr>
            <w:tcW w:w="1580" w:type="dxa"/>
            <w:vAlign w:val="bottom"/>
          </w:tcPr>
          <w:p>
            <w:pPr>
              <w:ind w:left="80"/>
              <w:spacing w:after="0" w:line="135" w:lineRule="exact"/>
              <w:rPr>
                <w:sz w:val="20"/>
                <w:szCs w:val="20"/>
                <w:color w:val="auto"/>
              </w:rPr>
            </w:pPr>
            <w:r>
              <w:rPr>
                <w:rFonts w:ascii="Arial" w:cs="Arial" w:eastAsia="Arial" w:hAnsi="Arial"/>
                <w:sz w:val="14"/>
                <w:szCs w:val="14"/>
                <w:color w:val="auto"/>
              </w:rPr>
              <w:t>advanced solid tumors</w:t>
            </w:r>
          </w:p>
        </w:tc>
        <w:tc>
          <w:tcPr>
            <w:tcW w:w="1700" w:type="dxa"/>
            <w:vAlign w:val="bottom"/>
          </w:tcPr>
          <w:p>
            <w:pPr>
              <w:ind w:left="80"/>
              <w:spacing w:after="0" w:line="135" w:lineRule="exact"/>
              <w:rPr>
                <w:sz w:val="20"/>
                <w:szCs w:val="20"/>
                <w:color w:val="auto"/>
              </w:rPr>
            </w:pPr>
            <w:r>
              <w:rPr>
                <w:rFonts w:ascii="Arial" w:cs="Arial" w:eastAsia="Arial" w:hAnsi="Arial"/>
                <w:sz w:val="14"/>
                <w:szCs w:val="14"/>
                <w:color w:val="auto"/>
              </w:rPr>
              <w:t>fusions and predicted</w:t>
            </w:r>
          </w:p>
        </w:tc>
        <w:tc>
          <w:tcPr>
            <w:tcW w:w="16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620" w:type="dxa"/>
            <w:vAlign w:val="bottom"/>
            <w:vMerge w:val="continue"/>
          </w:tcPr>
          <w:p>
            <w:pPr>
              <w:spacing w:after="0"/>
              <w:rPr>
                <w:sz w:val="8"/>
                <w:szCs w:val="8"/>
                <w:color w:val="auto"/>
              </w:rPr>
            </w:pPr>
          </w:p>
        </w:tc>
        <w:tc>
          <w:tcPr>
            <w:tcW w:w="1580" w:type="dxa"/>
            <w:vAlign w:val="bottom"/>
          </w:tcPr>
          <w:p>
            <w:pPr>
              <w:spacing w:after="0"/>
              <w:rPr>
                <w:sz w:val="8"/>
                <w:szCs w:val="8"/>
                <w:color w:val="auto"/>
              </w:rPr>
            </w:pPr>
          </w:p>
        </w:tc>
        <w:tc>
          <w:tcPr>
            <w:tcW w:w="1700" w:type="dxa"/>
            <w:vAlign w:val="bottom"/>
            <w:vMerge w:val="restart"/>
          </w:tcPr>
          <w:p>
            <w:pPr>
              <w:ind w:left="80"/>
              <w:spacing w:after="0"/>
              <w:rPr>
                <w:sz w:val="20"/>
                <w:szCs w:val="20"/>
                <w:color w:val="auto"/>
              </w:rPr>
            </w:pPr>
            <w:r>
              <w:rPr>
                <w:rFonts w:ascii="Arial" w:cs="Arial" w:eastAsia="Arial" w:hAnsi="Arial"/>
                <w:sz w:val="14"/>
                <w:szCs w:val="14"/>
                <w:color w:val="auto"/>
              </w:rPr>
              <w:t>resistant mutants</w:t>
            </w:r>
          </w:p>
        </w:tc>
        <w:tc>
          <w:tcPr>
            <w:tcW w:w="16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6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6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20"/>
                <w:szCs w:val="20"/>
                <w:color w:val="auto"/>
              </w:rPr>
            </w:pPr>
            <w:r>
              <w:rPr>
                <w:rFonts w:ascii="Arial" w:cs="Arial" w:eastAsia="Arial" w:hAnsi="Arial"/>
                <w:sz w:val="14"/>
                <w:szCs w:val="14"/>
                <w:color w:val="auto"/>
              </w:rPr>
              <w:t>PRKACA</w:t>
            </w:r>
          </w:p>
        </w:tc>
        <w:tc>
          <w:tcPr>
            <w:tcW w:w="1580" w:type="dxa"/>
            <w:vAlign w:val="bottom"/>
          </w:tcPr>
          <w:p>
            <w:pPr>
              <w:ind w:left="80"/>
              <w:spacing w:after="0"/>
              <w:rPr>
                <w:sz w:val="20"/>
                <w:szCs w:val="20"/>
                <w:color w:val="auto"/>
              </w:rPr>
            </w:pPr>
            <w:r>
              <w:rPr>
                <w:rFonts w:ascii="Arial" w:cs="Arial" w:eastAsia="Arial" w:hAnsi="Arial"/>
                <w:sz w:val="14"/>
                <w:szCs w:val="14"/>
                <w:color w:val="auto"/>
              </w:rPr>
              <w:t>FLC</w:t>
            </w:r>
          </w:p>
        </w:tc>
        <w:tc>
          <w:tcPr>
            <w:tcW w:w="1700" w:type="dxa"/>
            <w:vAlign w:val="bottom"/>
          </w:tcPr>
          <w:p>
            <w:pPr>
              <w:ind w:left="80"/>
              <w:spacing w:after="0"/>
              <w:rPr>
                <w:sz w:val="20"/>
                <w:szCs w:val="20"/>
                <w:color w:val="auto"/>
              </w:rPr>
            </w:pPr>
            <w:r>
              <w:rPr>
                <w:rFonts w:ascii="Arial" w:cs="Arial" w:eastAsia="Arial" w:hAnsi="Arial"/>
                <w:sz w:val="14"/>
                <w:szCs w:val="14"/>
                <w:color w:val="auto"/>
              </w:rPr>
              <w:t>PRKACA fusions</w:t>
            </w:r>
          </w:p>
        </w:tc>
        <w:tc>
          <w:tcPr>
            <w:tcW w:w="1620" w:type="dxa"/>
            <w:vAlign w:val="bottom"/>
          </w:tcPr>
          <w:p>
            <w:pPr>
              <w:ind w:left="80"/>
              <w:spacing w:after="0"/>
              <w:rPr>
                <w:sz w:val="20"/>
                <w:szCs w:val="20"/>
                <w:color w:val="auto"/>
              </w:rPr>
            </w:pPr>
            <w:r>
              <w:rPr>
                <w:rFonts w:ascii="Arial" w:cs="Arial" w:eastAsia="Arial" w:hAnsi="Arial"/>
                <w:sz w:val="14"/>
                <w:szCs w:val="14"/>
                <w:color w:val="auto"/>
              </w:rPr>
              <w:t>Lead optimization</w:t>
            </w:r>
          </w:p>
        </w:tc>
        <w:tc>
          <w:tcPr>
            <w:tcW w:w="1420" w:type="dxa"/>
            <w:vAlign w:val="bottom"/>
          </w:tcPr>
          <w:p>
            <w:pPr>
              <w:ind w:left="60"/>
              <w:spacing w:after="0"/>
              <w:rPr>
                <w:sz w:val="20"/>
                <w:szCs w:val="20"/>
                <w:color w:val="auto"/>
              </w:rPr>
            </w:pPr>
            <w:r>
              <w:rPr>
                <w:rFonts w:ascii="Arial" w:cs="Arial" w:eastAsia="Arial" w:hAnsi="Arial"/>
                <w:sz w:val="14"/>
                <w:szCs w:val="14"/>
                <w:color w:val="auto"/>
              </w:rPr>
              <w:t>Blueprint Medicines</w:t>
            </w:r>
          </w:p>
        </w:tc>
        <w:tc>
          <w:tcPr>
            <w:tcW w:w="0" w:type="dxa"/>
            <w:vAlign w:val="bottom"/>
          </w:tcPr>
          <w:p>
            <w:pPr>
              <w:spacing w:after="0"/>
              <w:rPr>
                <w:sz w:val="1"/>
                <w:szCs w:val="1"/>
                <w:color w:val="auto"/>
              </w:rPr>
            </w:pPr>
          </w:p>
        </w:tc>
      </w:tr>
      <w:tr>
        <w:trPr>
          <w:trHeight w:val="189"/>
        </w:trPr>
        <w:tc>
          <w:tcPr>
            <w:tcW w:w="1620" w:type="dxa"/>
            <w:vAlign w:val="bottom"/>
          </w:tcPr>
          <w:p>
            <w:pPr>
              <w:ind w:left="200"/>
              <w:spacing w:after="0"/>
              <w:rPr>
                <w:sz w:val="20"/>
                <w:szCs w:val="20"/>
                <w:color w:val="auto"/>
              </w:rPr>
            </w:pPr>
            <w:r>
              <w:rPr>
                <w:rFonts w:ascii="Arial" w:cs="Arial" w:eastAsia="Arial" w:hAnsi="Arial"/>
                <w:sz w:val="14"/>
                <w:szCs w:val="14"/>
                <w:i w:val="1"/>
                <w:iCs w:val="1"/>
                <w:color w:val="auto"/>
              </w:rPr>
              <w:t>(discovery program)</w:t>
            </w:r>
          </w:p>
        </w:tc>
        <w:tc>
          <w:tcPr>
            <w:tcW w:w="1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6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20"/>
                <w:szCs w:val="20"/>
                <w:color w:val="auto"/>
              </w:rPr>
            </w:pPr>
            <w:r>
              <w:rPr>
                <w:rFonts w:ascii="Arial" w:cs="Arial" w:eastAsia="Arial" w:hAnsi="Arial"/>
                <w:sz w:val="14"/>
                <w:szCs w:val="14"/>
                <w:color w:val="auto"/>
                <w:w w:val="93"/>
              </w:rPr>
              <w:t>Rare genetic disease target</w:t>
            </w:r>
          </w:p>
        </w:tc>
        <w:tc>
          <w:tcPr>
            <w:tcW w:w="1580" w:type="dxa"/>
            <w:vAlign w:val="bottom"/>
          </w:tcPr>
          <w:p>
            <w:pPr>
              <w:ind w:left="80"/>
              <w:spacing w:after="0"/>
              <w:rPr>
                <w:sz w:val="20"/>
                <w:szCs w:val="20"/>
                <w:color w:val="auto"/>
              </w:rPr>
            </w:pPr>
            <w:r>
              <w:rPr>
                <w:rFonts w:ascii="Arial" w:cs="Arial" w:eastAsia="Arial" w:hAnsi="Arial"/>
                <w:sz w:val="14"/>
                <w:szCs w:val="14"/>
                <w:color w:val="auto"/>
              </w:rPr>
              <w:t>Rare genetic disease</w:t>
            </w:r>
          </w:p>
        </w:tc>
        <w:tc>
          <w:tcPr>
            <w:tcW w:w="1700" w:type="dxa"/>
            <w:vAlign w:val="bottom"/>
          </w:tcPr>
          <w:p>
            <w:pPr>
              <w:ind w:left="80"/>
              <w:spacing w:after="0"/>
              <w:rPr>
                <w:sz w:val="20"/>
                <w:szCs w:val="20"/>
                <w:color w:val="auto"/>
              </w:rPr>
            </w:pPr>
            <w:r>
              <w:rPr>
                <w:rFonts w:ascii="Arial" w:cs="Arial" w:eastAsia="Arial" w:hAnsi="Arial"/>
                <w:sz w:val="14"/>
                <w:szCs w:val="14"/>
                <w:color w:val="auto"/>
              </w:rPr>
              <w:t>Undisclosed</w:t>
            </w:r>
          </w:p>
        </w:tc>
        <w:tc>
          <w:tcPr>
            <w:tcW w:w="1620" w:type="dxa"/>
            <w:vAlign w:val="bottom"/>
          </w:tcPr>
          <w:p>
            <w:pPr>
              <w:ind w:left="80"/>
              <w:spacing w:after="0"/>
              <w:rPr>
                <w:sz w:val="20"/>
                <w:szCs w:val="20"/>
                <w:color w:val="auto"/>
              </w:rPr>
            </w:pPr>
            <w:r>
              <w:rPr>
                <w:rFonts w:ascii="Arial" w:cs="Arial" w:eastAsia="Arial" w:hAnsi="Arial"/>
                <w:sz w:val="14"/>
                <w:szCs w:val="14"/>
                <w:color w:val="auto"/>
              </w:rPr>
              <w:t>Undisclosed</w:t>
            </w:r>
          </w:p>
        </w:tc>
        <w:tc>
          <w:tcPr>
            <w:tcW w:w="1420" w:type="dxa"/>
            <w:vAlign w:val="bottom"/>
          </w:tcPr>
          <w:p>
            <w:pPr>
              <w:ind w:left="60"/>
              <w:spacing w:after="0"/>
              <w:rPr>
                <w:sz w:val="20"/>
                <w:szCs w:val="20"/>
                <w:color w:val="auto"/>
              </w:rPr>
            </w:pPr>
            <w:r>
              <w:rPr>
                <w:rFonts w:ascii="Arial" w:cs="Arial" w:eastAsia="Arial" w:hAnsi="Arial"/>
                <w:sz w:val="14"/>
                <w:szCs w:val="14"/>
                <w:color w:val="auto"/>
              </w:rPr>
              <w:t>Alexion</w:t>
            </w:r>
          </w:p>
        </w:tc>
        <w:tc>
          <w:tcPr>
            <w:tcW w:w="0" w:type="dxa"/>
            <w:vAlign w:val="bottom"/>
          </w:tcPr>
          <w:p>
            <w:pPr>
              <w:spacing w:after="0"/>
              <w:rPr>
                <w:sz w:val="1"/>
                <w:szCs w:val="1"/>
                <w:color w:val="auto"/>
              </w:rPr>
            </w:pPr>
          </w:p>
        </w:tc>
      </w:tr>
      <w:tr>
        <w:trPr>
          <w:trHeight w:val="39"/>
        </w:trPr>
        <w:tc>
          <w:tcPr>
            <w:tcW w:w="16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620" w:type="dxa"/>
            <w:vAlign w:val="bottom"/>
          </w:tcPr>
          <w:p>
            <w:pPr>
              <w:spacing w:after="0"/>
              <w:rPr>
                <w:sz w:val="20"/>
                <w:szCs w:val="20"/>
                <w:color w:val="auto"/>
              </w:rPr>
            </w:pPr>
            <w:r>
              <w:rPr>
                <w:rFonts w:ascii="Arial" w:cs="Arial" w:eastAsia="Arial" w:hAnsi="Arial"/>
                <w:sz w:val="14"/>
                <w:szCs w:val="14"/>
                <w:color w:val="auto"/>
              </w:rPr>
              <w:t>Cancer immunotherapy</w:t>
            </w:r>
          </w:p>
        </w:tc>
        <w:tc>
          <w:tcPr>
            <w:tcW w:w="1580" w:type="dxa"/>
            <w:vAlign w:val="bottom"/>
          </w:tcPr>
          <w:p>
            <w:pPr>
              <w:ind w:left="80"/>
              <w:spacing w:after="0"/>
              <w:rPr>
                <w:sz w:val="20"/>
                <w:szCs w:val="20"/>
                <w:color w:val="auto"/>
              </w:rPr>
            </w:pPr>
            <w:r>
              <w:rPr>
                <w:rFonts w:ascii="Arial" w:cs="Arial" w:eastAsia="Arial" w:hAnsi="Arial"/>
                <w:sz w:val="14"/>
                <w:szCs w:val="14"/>
                <w:color w:val="auto"/>
              </w:rPr>
              <w:t>Oncology</w:t>
            </w:r>
          </w:p>
        </w:tc>
        <w:tc>
          <w:tcPr>
            <w:tcW w:w="1700" w:type="dxa"/>
            <w:vAlign w:val="bottom"/>
          </w:tcPr>
          <w:p>
            <w:pPr>
              <w:ind w:left="80"/>
              <w:spacing w:after="0"/>
              <w:rPr>
                <w:sz w:val="20"/>
                <w:szCs w:val="20"/>
                <w:color w:val="auto"/>
              </w:rPr>
            </w:pPr>
            <w:r>
              <w:rPr>
                <w:rFonts w:ascii="Arial" w:cs="Arial" w:eastAsia="Arial" w:hAnsi="Arial"/>
                <w:sz w:val="14"/>
                <w:szCs w:val="14"/>
                <w:color w:val="auto"/>
              </w:rPr>
              <w:t>Immunokinases</w:t>
            </w:r>
          </w:p>
        </w:tc>
        <w:tc>
          <w:tcPr>
            <w:tcW w:w="1620" w:type="dxa"/>
            <w:vAlign w:val="bottom"/>
          </w:tcPr>
          <w:p>
            <w:pPr>
              <w:ind w:left="80"/>
              <w:spacing w:after="0"/>
              <w:rPr>
                <w:sz w:val="20"/>
                <w:szCs w:val="20"/>
                <w:color w:val="auto"/>
              </w:rPr>
            </w:pPr>
            <w:r>
              <w:rPr>
                <w:rFonts w:ascii="Arial" w:cs="Arial" w:eastAsia="Arial" w:hAnsi="Arial"/>
                <w:sz w:val="14"/>
                <w:szCs w:val="14"/>
                <w:color w:val="auto"/>
              </w:rPr>
              <w:t>Undisclosed</w:t>
            </w:r>
          </w:p>
        </w:tc>
        <w:tc>
          <w:tcPr>
            <w:tcW w:w="1420" w:type="dxa"/>
            <w:vAlign w:val="bottom"/>
          </w:tcPr>
          <w:p>
            <w:pPr>
              <w:ind w:left="60"/>
              <w:spacing w:after="0"/>
              <w:rPr>
                <w:sz w:val="20"/>
                <w:szCs w:val="20"/>
                <w:color w:val="auto"/>
              </w:rPr>
            </w:pPr>
            <w:r>
              <w:rPr>
                <w:rFonts w:ascii="Arial" w:cs="Arial" w:eastAsia="Arial" w:hAnsi="Arial"/>
                <w:sz w:val="14"/>
                <w:szCs w:val="14"/>
                <w:color w:val="auto"/>
                <w:w w:val="99"/>
              </w:rPr>
              <w:t xml:space="preserve">Blueprint Medicines </w:t>
            </w:r>
            <w:r>
              <w:rPr>
                <w:rFonts w:ascii="Arial" w:cs="Arial" w:eastAsia="Arial" w:hAnsi="Arial"/>
                <w:sz w:val="7"/>
                <w:szCs w:val="7"/>
                <w:color w:val="auto"/>
                <w:w w:val="99"/>
              </w:rPr>
              <w:t>(2)</w:t>
            </w:r>
          </w:p>
        </w:tc>
        <w:tc>
          <w:tcPr>
            <w:tcW w:w="0" w:type="dxa"/>
            <w:vAlign w:val="bottom"/>
          </w:tcPr>
          <w:p>
            <w:pPr>
              <w:spacing w:after="0"/>
              <w:rPr>
                <w:sz w:val="1"/>
                <w:szCs w:val="1"/>
                <w:color w:val="auto"/>
              </w:rPr>
            </w:pPr>
          </w:p>
        </w:tc>
      </w:tr>
      <w:tr>
        <w:trPr>
          <w:trHeight w:val="189"/>
        </w:trPr>
        <w:tc>
          <w:tcPr>
            <w:tcW w:w="1620" w:type="dxa"/>
            <w:vAlign w:val="bottom"/>
          </w:tcPr>
          <w:p>
            <w:pPr>
              <w:ind w:left="200"/>
              <w:spacing w:after="0"/>
              <w:rPr>
                <w:sz w:val="20"/>
                <w:szCs w:val="20"/>
                <w:color w:val="auto"/>
              </w:rPr>
            </w:pPr>
            <w:r>
              <w:rPr>
                <w:rFonts w:ascii="Arial" w:cs="Arial" w:eastAsia="Arial" w:hAnsi="Arial"/>
                <w:sz w:val="14"/>
                <w:szCs w:val="14"/>
                <w:i w:val="1"/>
                <w:iCs w:val="1"/>
                <w:color w:val="auto"/>
              </w:rPr>
              <w:t>(up to five programs)</w:t>
            </w:r>
          </w:p>
        </w:tc>
        <w:tc>
          <w:tcPr>
            <w:tcW w:w="1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4"/>
                <w:szCs w:val="14"/>
                <w:color w:val="auto"/>
              </w:rPr>
              <w:t xml:space="preserve">Roche </w:t>
            </w: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39"/>
        </w:trPr>
        <w:tc>
          <w:tcPr>
            <w:tcW w:w="16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000" w:hanging="349"/>
        <w:spacing w:after="0"/>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Phase 1 clinical trials are being conducted in advanced disease.</w:t>
      </w:r>
    </w:p>
    <w:p>
      <w:pPr>
        <w:ind w:left="1000" w:hanging="349"/>
        <w:spacing w:after="0" w:line="201" w:lineRule="auto"/>
        <w:tabs>
          <w:tab w:leader="none" w:pos="1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Blueprint Medicines has U.S. commercialization rights for up to two programs.</w:t>
      </w:r>
    </w:p>
    <w:p>
      <w:pPr>
        <w:ind w:left="1000" w:hanging="349"/>
        <w:spacing w:after="0"/>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Roche has worldwide commercialization rights for up to three programs and ex-U.S. commercialization rights for up to two programs.</w:t>
      </w:r>
    </w:p>
    <w:p>
      <w:pPr>
        <w:spacing w:after="0" w:line="113" w:lineRule="exact"/>
        <w:rPr>
          <w:sz w:val="20"/>
          <w:szCs w:val="20"/>
          <w:color w:val="auto"/>
        </w:rPr>
      </w:pPr>
    </w:p>
    <w:p>
      <w:pPr>
        <w:ind w:right="120" w:firstLine="648"/>
        <w:spacing w:after="0" w:line="236" w:lineRule="auto"/>
        <w:rPr>
          <w:sz w:val="20"/>
          <w:szCs w:val="20"/>
          <w:color w:val="auto"/>
        </w:rPr>
      </w:pPr>
      <w:r>
        <w:rPr>
          <w:rFonts w:ascii="Arial" w:cs="Arial" w:eastAsia="Arial" w:hAnsi="Arial"/>
          <w:sz w:val="16"/>
          <w:szCs w:val="16"/>
          <w:color w:val="auto"/>
        </w:rPr>
        <w:t>All of our current clinical programs target patient populations with genomically defined diseases. As we advance our drug candidates through clinical development, we will enrich our Phase 1 clinical trials by selecting patients most likely to respond to our drug candidates to confirm mechanistic and clinical proof of concept. We are working with a number of clinical advisors, with significant medical experience as oncologists and extensive drug development backgrounds. We have also entered into agreements with Ventana Medical Systems, Inc., or Ventana, to develop and commercialize a companion diagnostic test for BLU-554 that we expect to use to identify HCC patients with abberantly active FGFR4 signaling as indicated by FGF19 overexpression and QIAGEN Manchester Limited, or Qiagen, to develop and commercialize a companion diagnostic test for BLU-285 that we expect to use to identify GIST patients with the PDGFRα D842V mutation. We may collaborate with these or other third parties in the future to develop and commercialize additional companion diagnostic tests or to develop assays to measure target engagement, pathway modulation and early response.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40" w:firstLine="648"/>
        <w:spacing w:after="0" w:line="232" w:lineRule="auto"/>
        <w:rPr>
          <w:sz w:val="20"/>
          <w:szCs w:val="20"/>
          <w:color w:val="auto"/>
        </w:rPr>
      </w:pPr>
      <w:r>
        <w:rPr>
          <w:rFonts w:ascii="Arial" w:cs="Arial" w:eastAsia="Arial" w:hAnsi="Arial"/>
          <w:sz w:val="17"/>
          <w:szCs w:val="17"/>
          <w:color w:val="auto"/>
        </w:rPr>
        <w:t>The table below lists the initial diseases and genomic drivers targeted by BLU-285, BLU-554 and BLU-667, and for each of these diseases, the corresponding estimated number of patients in the United States, France, Germany, Italy, Spain, the United Kingdom and Japan, or the Major Markets, the estimated frequency of the targeted genomic alteration and the estimated number of patients in the Major Markets with that genomic alteration.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60" w:type="dxa"/>
            <w:vAlign w:val="bottom"/>
            <w:tcBorders>
              <w:top w:val="single" w:sz="8" w:color="auto"/>
            </w:tcBorders>
            <w:shd w:val="clear" w:color="auto" w:fill="D9D9D9"/>
          </w:tcPr>
          <w:p>
            <w:pPr>
              <w:spacing w:after="0"/>
              <w:rPr>
                <w:sz w:val="15"/>
                <w:szCs w:val="15"/>
                <w:color w:val="auto"/>
              </w:rPr>
            </w:pPr>
          </w:p>
        </w:tc>
        <w:tc>
          <w:tcPr>
            <w:tcW w:w="120" w:type="dxa"/>
            <w:vAlign w:val="bottom"/>
            <w:tcBorders>
              <w:top w:val="single" w:sz="8" w:color="auto"/>
            </w:tcBorders>
            <w:shd w:val="clear" w:color="auto" w:fill="D9D9D9"/>
          </w:tcPr>
          <w:p>
            <w:pPr>
              <w:spacing w:after="0"/>
              <w:rPr>
                <w:sz w:val="15"/>
                <w:szCs w:val="15"/>
                <w:color w:val="auto"/>
              </w:rPr>
            </w:pPr>
          </w:p>
        </w:tc>
        <w:tc>
          <w:tcPr>
            <w:tcW w:w="800" w:type="dxa"/>
            <w:vAlign w:val="bottom"/>
            <w:tcBorders>
              <w:top w:val="single" w:sz="8" w:color="auto"/>
            </w:tcBorders>
            <w:shd w:val="clear" w:color="auto" w:fill="D9D9D9"/>
          </w:tcPr>
          <w:p>
            <w:pPr>
              <w:spacing w:after="0"/>
              <w:rPr>
                <w:sz w:val="15"/>
                <w:szCs w:val="15"/>
                <w:color w:val="auto"/>
              </w:rPr>
            </w:pPr>
          </w:p>
        </w:tc>
        <w:tc>
          <w:tcPr>
            <w:tcW w:w="120" w:type="dxa"/>
            <w:vAlign w:val="bottom"/>
            <w:tcBorders>
              <w:top w:val="single" w:sz="8" w:color="auto"/>
            </w:tcBorders>
            <w:shd w:val="clear" w:color="auto" w:fill="D9D9D9"/>
          </w:tcPr>
          <w:p>
            <w:pPr>
              <w:spacing w:after="0"/>
              <w:rPr>
                <w:sz w:val="15"/>
                <w:szCs w:val="15"/>
                <w:color w:val="auto"/>
              </w:rPr>
            </w:pPr>
          </w:p>
        </w:tc>
        <w:tc>
          <w:tcPr>
            <w:tcW w:w="2740" w:type="dxa"/>
            <w:vAlign w:val="bottom"/>
            <w:tcBorders>
              <w:top w:val="single" w:sz="8" w:color="auto"/>
            </w:tcBorders>
            <w:gridSpan w:val="2"/>
            <w:shd w:val="clear" w:color="auto" w:fill="D9D9D9"/>
          </w:tcPr>
          <w:p>
            <w:pPr>
              <w:ind w:left="380"/>
              <w:spacing w:after="0"/>
              <w:rPr>
                <w:sz w:val="20"/>
                <w:szCs w:val="20"/>
                <w:color w:val="auto"/>
              </w:rPr>
            </w:pPr>
            <w:r>
              <w:rPr>
                <w:rFonts w:ascii="Arial" w:cs="Arial" w:eastAsia="Arial" w:hAnsi="Arial"/>
                <w:sz w:val="14"/>
                <w:szCs w:val="14"/>
                <w:b w:val="1"/>
                <w:bCs w:val="1"/>
                <w:color w:val="auto"/>
              </w:rPr>
              <w:t xml:space="preserve">Estimated Number of Patients </w:t>
            </w:r>
            <w:r>
              <w:rPr>
                <w:rFonts w:ascii="Arial" w:cs="Arial" w:eastAsia="Arial" w:hAnsi="Arial"/>
                <w:sz w:val="7"/>
                <w:szCs w:val="7"/>
                <w:b w:val="1"/>
                <w:bCs w:val="1"/>
                <w:color w:val="auto"/>
              </w:rPr>
              <w:t>(1)</w:t>
            </w:r>
          </w:p>
        </w:tc>
        <w:tc>
          <w:tcPr>
            <w:tcW w:w="120" w:type="dxa"/>
            <w:vAlign w:val="bottom"/>
            <w:tcBorders>
              <w:top w:val="single" w:sz="8" w:color="auto"/>
            </w:tcBorders>
            <w:shd w:val="clear" w:color="auto" w:fill="D9D9D9"/>
          </w:tcPr>
          <w:p>
            <w:pPr>
              <w:spacing w:after="0"/>
              <w:rPr>
                <w:sz w:val="15"/>
                <w:szCs w:val="15"/>
                <w:color w:val="auto"/>
              </w:rPr>
            </w:pPr>
          </w:p>
        </w:tc>
        <w:tc>
          <w:tcPr>
            <w:tcW w:w="1520" w:type="dxa"/>
            <w:vAlign w:val="bottom"/>
            <w:tcBorders>
              <w:top w:val="single" w:sz="8" w:color="auto"/>
            </w:tcBorders>
            <w:shd w:val="clear" w:color="auto" w:fill="D9D9D9"/>
          </w:tcPr>
          <w:p>
            <w:pPr>
              <w:spacing w:after="0"/>
              <w:rPr>
                <w:sz w:val="15"/>
                <w:szCs w:val="15"/>
                <w:color w:val="auto"/>
              </w:rPr>
            </w:pPr>
          </w:p>
        </w:tc>
        <w:tc>
          <w:tcPr>
            <w:tcW w:w="1700" w:type="dxa"/>
            <w:vAlign w:val="bottom"/>
            <w:tcBorders>
              <w:top w:val="single" w:sz="8" w:color="auto"/>
            </w:tcBorders>
            <w:vMerge w:val="restart"/>
            <w:shd w:val="clear" w:color="auto" w:fill="D9D9D9"/>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500" w:type="dxa"/>
            <w:vAlign w:val="bottom"/>
            <w:tcBorders>
              <w:top w:val="single" w:sz="8" w:color="auto"/>
            </w:tcBorders>
            <w:shd w:val="clear" w:color="auto" w:fill="D9D9D9"/>
          </w:tcPr>
          <w:p>
            <w:pPr>
              <w:jc w:val="center"/>
              <w:ind w:left="29"/>
              <w:spacing w:after="0"/>
              <w:rPr>
                <w:sz w:val="20"/>
                <w:szCs w:val="20"/>
                <w:color w:val="auto"/>
              </w:rPr>
            </w:pPr>
            <w:r>
              <w:rPr>
                <w:rFonts w:ascii="Arial" w:cs="Arial" w:eastAsia="Arial" w:hAnsi="Arial"/>
                <w:sz w:val="14"/>
                <w:szCs w:val="14"/>
                <w:b w:val="1"/>
                <w:bCs w:val="1"/>
                <w:color w:val="auto"/>
                <w:w w:val="93"/>
              </w:rPr>
              <w:t>Estimated Number of</w:t>
            </w:r>
          </w:p>
        </w:tc>
        <w:tc>
          <w:tcPr>
            <w:tcW w:w="0" w:type="dxa"/>
            <w:vAlign w:val="bottom"/>
          </w:tcPr>
          <w:p>
            <w:pPr>
              <w:spacing w:after="0"/>
              <w:rPr>
                <w:sz w:val="1"/>
                <w:szCs w:val="1"/>
                <w:color w:val="auto"/>
              </w:rPr>
            </w:pPr>
          </w:p>
        </w:tc>
      </w:tr>
      <w:tr>
        <w:trPr>
          <w:trHeight w:val="142"/>
        </w:trPr>
        <w:tc>
          <w:tcPr>
            <w:tcW w:w="860" w:type="dxa"/>
            <w:vAlign w:val="bottom"/>
            <w:tcBorders>
              <w:bottom w:val="single" w:sz="8" w:color="D9D9D9"/>
            </w:tcBorders>
            <w:shd w:val="clear" w:color="auto" w:fill="D9D9D9"/>
          </w:tcPr>
          <w:p>
            <w:pPr>
              <w:spacing w:after="0"/>
              <w:rPr>
                <w:sz w:val="12"/>
                <w:szCs w:val="12"/>
                <w:color w:val="auto"/>
              </w:rPr>
            </w:pPr>
          </w:p>
        </w:tc>
        <w:tc>
          <w:tcPr>
            <w:tcW w:w="120" w:type="dxa"/>
            <w:vAlign w:val="bottom"/>
            <w:tcBorders>
              <w:bottom w:val="single" w:sz="8" w:color="D9D9D9"/>
            </w:tcBorders>
            <w:shd w:val="clear" w:color="auto" w:fill="D9D9D9"/>
          </w:tcPr>
          <w:p>
            <w:pPr>
              <w:spacing w:after="0"/>
              <w:rPr>
                <w:sz w:val="12"/>
                <w:szCs w:val="12"/>
                <w:color w:val="auto"/>
              </w:rPr>
            </w:pPr>
          </w:p>
        </w:tc>
        <w:tc>
          <w:tcPr>
            <w:tcW w:w="800" w:type="dxa"/>
            <w:vAlign w:val="bottom"/>
            <w:tcBorders>
              <w:bottom w:val="single" w:sz="8" w:color="D9D9D9"/>
            </w:tcBorders>
            <w:shd w:val="clear" w:color="auto" w:fill="D9D9D9"/>
          </w:tcPr>
          <w:p>
            <w:pPr>
              <w:spacing w:after="0"/>
              <w:rPr>
                <w:sz w:val="12"/>
                <w:szCs w:val="12"/>
                <w:color w:val="auto"/>
              </w:rPr>
            </w:pPr>
          </w:p>
        </w:tc>
        <w:tc>
          <w:tcPr>
            <w:tcW w:w="120" w:type="dxa"/>
            <w:vAlign w:val="bottom"/>
            <w:tcBorders>
              <w:bottom w:val="single" w:sz="8" w:color="D9D9D9"/>
            </w:tcBorders>
            <w:shd w:val="clear" w:color="auto" w:fill="D9D9D9"/>
          </w:tcPr>
          <w:p>
            <w:pPr>
              <w:spacing w:after="0"/>
              <w:rPr>
                <w:sz w:val="12"/>
                <w:szCs w:val="12"/>
                <w:color w:val="auto"/>
              </w:rPr>
            </w:pPr>
          </w:p>
        </w:tc>
        <w:tc>
          <w:tcPr>
            <w:tcW w:w="1320" w:type="dxa"/>
            <w:vAlign w:val="bottom"/>
            <w:tcBorders>
              <w:bottom w:val="single" w:sz="8" w:color="auto"/>
            </w:tcBorders>
            <w:shd w:val="clear" w:color="auto" w:fill="D9D9D9"/>
          </w:tcPr>
          <w:p>
            <w:pPr>
              <w:spacing w:after="0"/>
              <w:rPr>
                <w:sz w:val="12"/>
                <w:szCs w:val="12"/>
                <w:color w:val="auto"/>
              </w:rPr>
            </w:pPr>
          </w:p>
        </w:tc>
        <w:tc>
          <w:tcPr>
            <w:tcW w:w="1420" w:type="dxa"/>
            <w:vAlign w:val="bottom"/>
            <w:tcBorders>
              <w:bottom w:val="single" w:sz="8" w:color="auto"/>
            </w:tcBorders>
            <w:shd w:val="clear" w:color="auto" w:fill="D9D9D9"/>
          </w:tcPr>
          <w:p>
            <w:pPr>
              <w:spacing w:after="0"/>
              <w:rPr>
                <w:sz w:val="12"/>
                <w:szCs w:val="12"/>
                <w:color w:val="auto"/>
              </w:rPr>
            </w:pPr>
          </w:p>
        </w:tc>
        <w:tc>
          <w:tcPr>
            <w:tcW w:w="120" w:type="dxa"/>
            <w:vAlign w:val="bottom"/>
            <w:tcBorders>
              <w:bottom w:val="single" w:sz="8" w:color="D9D9D9"/>
            </w:tcBorders>
            <w:shd w:val="clear" w:color="auto" w:fill="D9D9D9"/>
          </w:tcPr>
          <w:p>
            <w:pPr>
              <w:spacing w:after="0"/>
              <w:rPr>
                <w:sz w:val="12"/>
                <w:szCs w:val="12"/>
                <w:color w:val="auto"/>
              </w:rPr>
            </w:pPr>
          </w:p>
        </w:tc>
        <w:tc>
          <w:tcPr>
            <w:tcW w:w="1520" w:type="dxa"/>
            <w:vAlign w:val="bottom"/>
            <w:tcBorders>
              <w:bottom w:val="single" w:sz="8" w:color="D9D9D9"/>
            </w:tcBorders>
            <w:shd w:val="clear" w:color="auto" w:fill="D9D9D9"/>
          </w:tcPr>
          <w:p>
            <w:pPr>
              <w:spacing w:after="0"/>
              <w:rPr>
                <w:sz w:val="12"/>
                <w:szCs w:val="12"/>
                <w:color w:val="auto"/>
              </w:rPr>
            </w:pPr>
          </w:p>
        </w:tc>
        <w:tc>
          <w:tcPr>
            <w:tcW w:w="1700" w:type="dxa"/>
            <w:vAlign w:val="bottom"/>
            <w:tcBorders>
              <w:bottom w:val="single" w:sz="8" w:color="D9D9D9"/>
            </w:tcBorders>
            <w:vMerge w:val="continue"/>
            <w:shd w:val="clear" w:color="auto" w:fill="D9D9D9"/>
          </w:tcPr>
          <w:p>
            <w:pPr>
              <w:spacing w:after="0"/>
              <w:rPr>
                <w:sz w:val="12"/>
                <w:szCs w:val="12"/>
                <w:color w:val="auto"/>
              </w:rPr>
            </w:pPr>
          </w:p>
        </w:tc>
        <w:tc>
          <w:tcPr>
            <w:tcW w:w="1500" w:type="dxa"/>
            <w:vAlign w:val="bottom"/>
            <w:tcBorders>
              <w:bottom w:val="single" w:sz="8" w:color="D9D9D9"/>
            </w:tcBorders>
            <w:shd w:val="clear" w:color="auto" w:fill="D9D9D9"/>
          </w:tcPr>
          <w:p>
            <w:pPr>
              <w:jc w:val="center"/>
              <w:ind w:left="29"/>
              <w:spacing w:after="0" w:line="135" w:lineRule="exact"/>
              <w:rPr>
                <w:sz w:val="20"/>
                <w:szCs w:val="20"/>
                <w:color w:val="auto"/>
              </w:rPr>
            </w:pPr>
            <w:r>
              <w:rPr>
                <w:rFonts w:ascii="Arial" w:cs="Arial" w:eastAsia="Arial" w:hAnsi="Arial"/>
                <w:sz w:val="14"/>
                <w:szCs w:val="14"/>
                <w:b w:val="1"/>
                <w:bCs w:val="1"/>
                <w:color w:val="auto"/>
                <w:w w:val="92"/>
              </w:rPr>
              <w:t>Patients with</w:t>
            </w:r>
          </w:p>
        </w:tc>
        <w:tc>
          <w:tcPr>
            <w:tcW w:w="0" w:type="dxa"/>
            <w:vAlign w:val="bottom"/>
          </w:tcPr>
          <w:p>
            <w:pPr>
              <w:spacing w:after="0"/>
              <w:rPr>
                <w:sz w:val="1"/>
                <w:szCs w:val="1"/>
                <w:color w:val="auto"/>
              </w:rPr>
            </w:pPr>
          </w:p>
        </w:tc>
      </w:tr>
      <w:tr>
        <w:trPr>
          <w:trHeight w:val="108"/>
        </w:trPr>
        <w:tc>
          <w:tcPr>
            <w:tcW w:w="860" w:type="dxa"/>
            <w:vAlign w:val="bottom"/>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Drug</w:t>
            </w:r>
          </w:p>
        </w:tc>
        <w:tc>
          <w:tcPr>
            <w:tcW w:w="120" w:type="dxa"/>
            <w:vAlign w:val="bottom"/>
            <w:shd w:val="clear" w:color="auto" w:fill="D9D9D9"/>
          </w:tcPr>
          <w:p>
            <w:pPr>
              <w:spacing w:after="0"/>
              <w:rPr>
                <w:sz w:val="9"/>
                <w:szCs w:val="9"/>
                <w:color w:val="auto"/>
              </w:rPr>
            </w:pPr>
          </w:p>
        </w:tc>
        <w:tc>
          <w:tcPr>
            <w:tcW w:w="800" w:type="dxa"/>
            <w:vAlign w:val="bottom"/>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Initial</w:t>
            </w:r>
          </w:p>
        </w:tc>
        <w:tc>
          <w:tcPr>
            <w:tcW w:w="120" w:type="dxa"/>
            <w:vAlign w:val="bottom"/>
            <w:shd w:val="clear" w:color="auto" w:fill="D9D9D9"/>
          </w:tcPr>
          <w:p>
            <w:pPr>
              <w:spacing w:after="0"/>
              <w:rPr>
                <w:sz w:val="9"/>
                <w:szCs w:val="9"/>
                <w:color w:val="auto"/>
              </w:rPr>
            </w:pPr>
          </w:p>
        </w:tc>
        <w:tc>
          <w:tcPr>
            <w:tcW w:w="1320" w:type="dxa"/>
            <w:vAlign w:val="bottom"/>
            <w:vMerge w:val="restart"/>
            <w:shd w:val="clear" w:color="auto" w:fill="D9D9D9"/>
          </w:tcPr>
          <w:p>
            <w:pPr>
              <w:ind w:left="260"/>
              <w:spacing w:after="0"/>
              <w:rPr>
                <w:sz w:val="20"/>
                <w:szCs w:val="20"/>
                <w:color w:val="auto"/>
              </w:rPr>
            </w:pPr>
            <w:r>
              <w:rPr>
                <w:rFonts w:ascii="Arial" w:cs="Arial" w:eastAsia="Arial" w:hAnsi="Arial"/>
                <w:sz w:val="14"/>
                <w:szCs w:val="14"/>
                <w:b w:val="1"/>
                <w:bCs w:val="1"/>
                <w:color w:val="auto"/>
              </w:rPr>
              <w:t>United States</w:t>
            </w:r>
          </w:p>
        </w:tc>
        <w:tc>
          <w:tcPr>
            <w:tcW w:w="1420" w:type="dxa"/>
            <w:vAlign w:val="bottom"/>
            <w:vMerge w:val="restart"/>
            <w:shd w:val="clear" w:color="auto" w:fill="D9D9D9"/>
          </w:tcPr>
          <w:p>
            <w:pPr>
              <w:ind w:left="80"/>
              <w:spacing w:after="0"/>
              <w:rPr>
                <w:sz w:val="20"/>
                <w:szCs w:val="20"/>
                <w:color w:val="auto"/>
              </w:rPr>
            </w:pPr>
            <w:r>
              <w:rPr>
                <w:rFonts w:ascii="Arial" w:cs="Arial" w:eastAsia="Arial" w:hAnsi="Arial"/>
                <w:sz w:val="14"/>
                <w:szCs w:val="14"/>
                <w:b w:val="1"/>
                <w:bCs w:val="1"/>
                <w:color w:val="auto"/>
              </w:rPr>
              <w:t>Total Major Markets</w:t>
            </w:r>
          </w:p>
        </w:tc>
        <w:tc>
          <w:tcPr>
            <w:tcW w:w="120" w:type="dxa"/>
            <w:vAlign w:val="bottom"/>
            <w:shd w:val="clear" w:color="auto" w:fill="D9D9D9"/>
          </w:tcPr>
          <w:p>
            <w:pPr>
              <w:spacing w:after="0"/>
              <w:rPr>
                <w:sz w:val="9"/>
                <w:szCs w:val="9"/>
                <w:color w:val="auto"/>
              </w:rPr>
            </w:pPr>
          </w:p>
        </w:tc>
        <w:tc>
          <w:tcPr>
            <w:tcW w:w="1520" w:type="dxa"/>
            <w:vAlign w:val="bottom"/>
            <w:vMerge w:val="restart"/>
            <w:shd w:val="clear" w:color="auto" w:fill="D9D9D9"/>
          </w:tcPr>
          <w:p>
            <w:pPr>
              <w:ind w:left="200"/>
              <w:spacing w:after="0"/>
              <w:rPr>
                <w:sz w:val="20"/>
                <w:szCs w:val="20"/>
                <w:color w:val="auto"/>
              </w:rPr>
            </w:pPr>
            <w:r>
              <w:rPr>
                <w:rFonts w:ascii="Arial" w:cs="Arial" w:eastAsia="Arial" w:hAnsi="Arial"/>
                <w:sz w:val="14"/>
                <w:szCs w:val="14"/>
                <w:b w:val="1"/>
                <w:bCs w:val="1"/>
                <w:color w:val="auto"/>
              </w:rPr>
              <w:t>Genomic Drivers</w:t>
            </w:r>
          </w:p>
        </w:tc>
        <w:tc>
          <w:tcPr>
            <w:tcW w:w="1700" w:type="dxa"/>
            <w:vAlign w:val="bottom"/>
            <w:shd w:val="clear" w:color="auto" w:fill="D9D9D9"/>
          </w:tcPr>
          <w:p>
            <w:pPr>
              <w:jc w:val="center"/>
              <w:spacing w:after="0" w:line="108" w:lineRule="exact"/>
              <w:rPr>
                <w:sz w:val="20"/>
                <w:szCs w:val="20"/>
                <w:color w:val="auto"/>
              </w:rPr>
            </w:pPr>
            <w:r>
              <w:rPr>
                <w:rFonts w:ascii="Arial" w:cs="Arial" w:eastAsia="Arial" w:hAnsi="Arial"/>
                <w:sz w:val="12"/>
                <w:szCs w:val="12"/>
                <w:b w:val="1"/>
                <w:bCs w:val="1"/>
                <w:color w:val="auto"/>
              </w:rPr>
              <w:t>Frequency of Alteration</w:t>
            </w:r>
          </w:p>
        </w:tc>
        <w:tc>
          <w:tcPr>
            <w:tcW w:w="1500" w:type="dxa"/>
            <w:vAlign w:val="bottom"/>
            <w:shd w:val="clear" w:color="auto" w:fill="D9D9D9"/>
          </w:tcPr>
          <w:p>
            <w:pPr>
              <w:jc w:val="center"/>
              <w:ind w:left="9"/>
              <w:spacing w:after="0" w:line="108" w:lineRule="exact"/>
              <w:rPr>
                <w:sz w:val="20"/>
                <w:szCs w:val="20"/>
                <w:color w:val="auto"/>
              </w:rPr>
            </w:pPr>
            <w:r>
              <w:rPr>
                <w:rFonts w:ascii="Arial" w:cs="Arial" w:eastAsia="Arial" w:hAnsi="Arial"/>
                <w:sz w:val="12"/>
                <w:szCs w:val="12"/>
                <w:b w:val="1"/>
                <w:bCs w:val="1"/>
                <w:color w:val="auto"/>
              </w:rPr>
              <w:t>Alteration in Major</w:t>
            </w:r>
          </w:p>
        </w:tc>
        <w:tc>
          <w:tcPr>
            <w:tcW w:w="0" w:type="dxa"/>
            <w:vAlign w:val="bottom"/>
          </w:tcPr>
          <w:p>
            <w:pPr>
              <w:spacing w:after="0"/>
              <w:rPr>
                <w:sz w:val="1"/>
                <w:szCs w:val="1"/>
                <w:color w:val="auto"/>
              </w:rPr>
            </w:pPr>
          </w:p>
        </w:tc>
      </w:tr>
      <w:tr>
        <w:trPr>
          <w:trHeight w:val="216"/>
        </w:trPr>
        <w:tc>
          <w:tcPr>
            <w:tcW w:w="8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Candidate</w:t>
            </w:r>
          </w:p>
        </w:tc>
        <w:tc>
          <w:tcPr>
            <w:tcW w:w="120" w:type="dxa"/>
            <w:vAlign w:val="bottom"/>
            <w:tcBorders>
              <w:bottom w:val="single" w:sz="8" w:color="D9D9D9"/>
            </w:tcBorders>
            <w:shd w:val="clear" w:color="auto" w:fill="D9D9D9"/>
          </w:tcPr>
          <w:p>
            <w:pPr>
              <w:spacing w:after="0"/>
              <w:rPr>
                <w:sz w:val="18"/>
                <w:szCs w:val="18"/>
                <w:color w:val="auto"/>
              </w:rPr>
            </w:pPr>
          </w:p>
        </w:tc>
        <w:tc>
          <w:tcPr>
            <w:tcW w:w="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82"/>
              </w:rPr>
              <w:t>Diseases</w:t>
            </w:r>
          </w:p>
        </w:tc>
        <w:tc>
          <w:tcPr>
            <w:tcW w:w="120" w:type="dxa"/>
            <w:vAlign w:val="bottom"/>
            <w:tcBorders>
              <w:bottom w:val="single" w:sz="8" w:color="D9D9D9"/>
            </w:tcBorders>
            <w:shd w:val="clear" w:color="auto" w:fill="D9D9D9"/>
          </w:tcPr>
          <w:p>
            <w:pPr>
              <w:spacing w:after="0"/>
              <w:rPr>
                <w:sz w:val="18"/>
                <w:szCs w:val="18"/>
                <w:color w:val="auto"/>
              </w:rPr>
            </w:pPr>
          </w:p>
        </w:tc>
        <w:tc>
          <w:tcPr>
            <w:tcW w:w="1320" w:type="dxa"/>
            <w:vAlign w:val="bottom"/>
            <w:tcBorders>
              <w:bottom w:val="single" w:sz="8" w:color="D9D9D9"/>
            </w:tcBorders>
            <w:vMerge w:val="continue"/>
            <w:shd w:val="clear" w:color="auto" w:fill="D9D9D9"/>
          </w:tcPr>
          <w:p>
            <w:pPr>
              <w:spacing w:after="0"/>
              <w:rPr>
                <w:sz w:val="18"/>
                <w:szCs w:val="18"/>
                <w:color w:val="auto"/>
              </w:rPr>
            </w:pPr>
          </w:p>
        </w:tc>
        <w:tc>
          <w:tcPr>
            <w:tcW w:w="1420" w:type="dxa"/>
            <w:vAlign w:val="bottom"/>
            <w:tcBorders>
              <w:bottom w:val="single" w:sz="8" w:color="D9D9D9"/>
            </w:tcBorders>
            <w:vMerge w:val="continue"/>
            <w:shd w:val="clear" w:color="auto" w:fill="D9D9D9"/>
          </w:tcPr>
          <w:p>
            <w:pPr>
              <w:spacing w:after="0"/>
              <w:rPr>
                <w:sz w:val="18"/>
                <w:szCs w:val="18"/>
                <w:color w:val="auto"/>
              </w:rPr>
            </w:pPr>
          </w:p>
        </w:tc>
        <w:tc>
          <w:tcPr>
            <w:tcW w:w="120" w:type="dxa"/>
            <w:vAlign w:val="bottom"/>
            <w:tcBorders>
              <w:bottom w:val="single" w:sz="8" w:color="D9D9D9"/>
            </w:tcBorders>
            <w:shd w:val="clear" w:color="auto" w:fill="D9D9D9"/>
          </w:tcPr>
          <w:p>
            <w:pPr>
              <w:spacing w:after="0"/>
              <w:rPr>
                <w:sz w:val="18"/>
                <w:szCs w:val="18"/>
                <w:color w:val="auto"/>
              </w:rPr>
            </w:pPr>
          </w:p>
        </w:tc>
        <w:tc>
          <w:tcPr>
            <w:tcW w:w="1520" w:type="dxa"/>
            <w:vAlign w:val="bottom"/>
            <w:tcBorders>
              <w:bottom w:val="single" w:sz="8" w:color="D9D9D9"/>
            </w:tcBorders>
            <w:vMerge w:val="continue"/>
            <w:shd w:val="clear" w:color="auto" w:fill="D9D9D9"/>
          </w:tcPr>
          <w:p>
            <w:pPr>
              <w:spacing w:after="0"/>
              <w:rPr>
                <w:sz w:val="18"/>
                <w:szCs w:val="18"/>
                <w:color w:val="auto"/>
              </w:rPr>
            </w:pPr>
          </w:p>
        </w:tc>
        <w:tc>
          <w:tcPr>
            <w:tcW w:w="17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 of Patients)</w:t>
            </w:r>
          </w:p>
        </w:tc>
        <w:tc>
          <w:tcPr>
            <w:tcW w:w="1500" w:type="dxa"/>
            <w:vAlign w:val="bottom"/>
            <w:tcBorders>
              <w:bottom w:val="single" w:sz="8" w:color="D9D9D9"/>
            </w:tcBorders>
            <w:shd w:val="clear" w:color="auto" w:fill="D9D9D9"/>
          </w:tcPr>
          <w:p>
            <w:pPr>
              <w:jc w:val="center"/>
              <w:ind w:left="29"/>
              <w:spacing w:after="0"/>
              <w:rPr>
                <w:sz w:val="20"/>
                <w:szCs w:val="20"/>
                <w:color w:val="auto"/>
              </w:rPr>
            </w:pPr>
            <w:r>
              <w:rPr>
                <w:rFonts w:ascii="Arial" w:cs="Arial" w:eastAsia="Arial" w:hAnsi="Arial"/>
                <w:sz w:val="14"/>
                <w:szCs w:val="14"/>
                <w:b w:val="1"/>
                <w:bCs w:val="1"/>
                <w:color w:val="auto"/>
                <w:w w:val="97"/>
              </w:rPr>
              <w:t xml:space="preserve">Markets </w:t>
            </w:r>
            <w:r>
              <w:rPr>
                <w:rFonts w:ascii="Arial" w:cs="Arial" w:eastAsia="Arial" w:hAnsi="Arial"/>
                <w:sz w:val="7"/>
                <w:szCs w:val="7"/>
                <w:b w:val="1"/>
                <w:bCs w:val="1"/>
                <w:color w:val="auto"/>
                <w:w w:val="97"/>
              </w:rPr>
              <w:t>(1)</w:t>
            </w:r>
          </w:p>
        </w:tc>
        <w:tc>
          <w:tcPr>
            <w:tcW w:w="0" w:type="dxa"/>
            <w:vAlign w:val="bottom"/>
          </w:tcPr>
          <w:p>
            <w:pPr>
              <w:spacing w:after="0"/>
              <w:rPr>
                <w:sz w:val="1"/>
                <w:szCs w:val="1"/>
                <w:color w:val="auto"/>
              </w:rPr>
            </w:pPr>
          </w:p>
        </w:tc>
      </w:tr>
      <w:tr>
        <w:trPr>
          <w:trHeight w:val="198"/>
        </w:trPr>
        <w:tc>
          <w:tcPr>
            <w:tcW w:w="8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color w:val="auto"/>
              </w:rPr>
              <w:t>SM</w:t>
            </w:r>
          </w:p>
        </w:tc>
        <w:tc>
          <w:tcPr>
            <w:tcW w:w="14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w w:val="94"/>
              </w:rPr>
              <w:t xml:space="preserve">1,700 advanced SM </w:t>
            </w:r>
            <w:r>
              <w:rPr>
                <w:rFonts w:ascii="Arial" w:cs="Arial" w:eastAsia="Arial" w:hAnsi="Arial"/>
                <w:sz w:val="7"/>
                <w:szCs w:val="7"/>
                <w:color w:val="auto"/>
                <w:w w:val="94"/>
              </w:rPr>
              <w:t>(2)</w:t>
            </w:r>
          </w:p>
        </w:tc>
        <w:tc>
          <w:tcPr>
            <w:tcW w:w="142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97"/>
              </w:rPr>
              <w:t xml:space="preserve">4,400 advanced SM </w:t>
            </w:r>
            <w:r>
              <w:rPr>
                <w:rFonts w:ascii="Arial" w:cs="Arial" w:eastAsia="Arial" w:hAnsi="Arial"/>
                <w:sz w:val="7"/>
                <w:szCs w:val="7"/>
                <w:color w:val="auto"/>
                <w:w w:val="97"/>
              </w:rPr>
              <w:t>(2)</w:t>
            </w:r>
          </w:p>
        </w:tc>
        <w:tc>
          <w:tcPr>
            <w:tcW w:w="16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color w:val="auto"/>
              </w:rPr>
              <w:t>KIT D816V mutation</w:t>
            </w:r>
          </w:p>
        </w:tc>
        <w:tc>
          <w:tcPr>
            <w:tcW w:w="170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color w:val="auto"/>
              </w:rPr>
              <w:t>90-95%</w:t>
            </w:r>
          </w:p>
        </w:tc>
        <w:tc>
          <w:tcPr>
            <w:tcW w:w="15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 xml:space="preserve">4,100 advanced SM </w:t>
            </w: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color w:val="auto"/>
              </w:rPr>
              <w:t>6,500 indolent SM</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16,100 indolent SM</w:t>
            </w:r>
          </w:p>
        </w:tc>
        <w:tc>
          <w:tcPr>
            <w:tcW w:w="164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color w:val="auto"/>
              </w:rPr>
              <w:t>14,900 indolent SM</w:t>
            </w: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60" w:type="dxa"/>
            <w:vAlign w:val="bottom"/>
            <w:vMerge w:val="restart"/>
          </w:tcPr>
          <w:p>
            <w:pPr>
              <w:jc w:val="center"/>
              <w:spacing w:after="0" w:line="161" w:lineRule="exact"/>
              <w:rPr>
                <w:sz w:val="20"/>
                <w:szCs w:val="20"/>
                <w:color w:val="auto"/>
              </w:rPr>
            </w:pPr>
            <w:r>
              <w:rPr>
                <w:rFonts w:ascii="Arial" w:cs="Arial" w:eastAsia="Arial" w:hAnsi="Arial"/>
                <w:sz w:val="14"/>
                <w:szCs w:val="14"/>
                <w:color w:val="auto"/>
                <w:w w:val="98"/>
              </w:rPr>
              <w:t>BLU</w:t>
            </w:r>
            <w:r>
              <w:rPr>
                <w:rFonts w:ascii="MS PGothic" w:cs="MS PGothic" w:eastAsia="MS PGothic" w:hAnsi="MS PGothic"/>
                <w:sz w:val="14"/>
                <w:szCs w:val="14"/>
                <w:color w:val="auto"/>
                <w:w w:val="98"/>
              </w:rPr>
              <w:t>‑</w:t>
            </w:r>
            <w:r>
              <w:rPr>
                <w:rFonts w:ascii="Arial" w:cs="Arial" w:eastAsia="Arial" w:hAnsi="Arial"/>
                <w:sz w:val="14"/>
                <w:szCs w:val="14"/>
                <w:color w:val="auto"/>
                <w:w w:val="98"/>
              </w:rPr>
              <w:t>285</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color w:val="auto"/>
              </w:rPr>
              <w:t>3,300 first line</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8,700 first line</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w w:val="99"/>
              </w:rPr>
              <w:t>D842V mutant PDGFRα</w:t>
            </w:r>
          </w:p>
        </w:tc>
        <w:tc>
          <w:tcPr>
            <w:tcW w:w="1700" w:type="dxa"/>
            <w:vAlign w:val="bottom"/>
          </w:tcPr>
          <w:p>
            <w:pPr>
              <w:ind w:left="80"/>
              <w:spacing w:after="0"/>
              <w:rPr>
                <w:sz w:val="20"/>
                <w:szCs w:val="20"/>
                <w:color w:val="auto"/>
              </w:rPr>
            </w:pPr>
            <w:r>
              <w:rPr>
                <w:rFonts w:ascii="Arial" w:cs="Arial" w:eastAsia="Arial" w:hAnsi="Arial"/>
                <w:sz w:val="14"/>
                <w:szCs w:val="14"/>
                <w:color w:val="auto"/>
              </w:rPr>
              <w:t>5-6% of primary GIST</w:t>
            </w:r>
          </w:p>
        </w:tc>
        <w:tc>
          <w:tcPr>
            <w:tcW w:w="1500" w:type="dxa"/>
            <w:vAlign w:val="bottom"/>
          </w:tcPr>
          <w:p>
            <w:pPr>
              <w:ind w:left="80"/>
              <w:spacing w:after="0"/>
              <w:rPr>
                <w:sz w:val="20"/>
                <w:szCs w:val="20"/>
                <w:color w:val="auto"/>
              </w:rPr>
            </w:pPr>
            <w:r>
              <w:rPr>
                <w:rFonts w:ascii="Arial" w:cs="Arial" w:eastAsia="Arial" w:hAnsi="Arial"/>
                <w:sz w:val="14"/>
                <w:szCs w:val="14"/>
                <w:color w:val="auto"/>
              </w:rPr>
              <w:t>500 total</w:t>
            </w:r>
          </w:p>
        </w:tc>
        <w:tc>
          <w:tcPr>
            <w:tcW w:w="0" w:type="dxa"/>
            <w:vAlign w:val="bottom"/>
          </w:tcPr>
          <w:p>
            <w:pPr>
              <w:spacing w:after="0"/>
              <w:rPr>
                <w:sz w:val="1"/>
                <w:szCs w:val="1"/>
                <w:color w:val="auto"/>
              </w:rPr>
            </w:pPr>
          </w:p>
        </w:tc>
      </w:tr>
      <w:tr>
        <w:trPr>
          <w:trHeight w:val="39"/>
        </w:trPr>
        <w:tc>
          <w:tcPr>
            <w:tcW w:w="8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00" w:type="dxa"/>
            <w:vAlign w:val="bottom"/>
            <w:vMerge w:val="restart"/>
          </w:tcPr>
          <w:p>
            <w:pPr>
              <w:ind w:left="80"/>
              <w:spacing w:after="0"/>
              <w:rPr>
                <w:sz w:val="20"/>
                <w:szCs w:val="20"/>
                <w:color w:val="auto"/>
              </w:rPr>
            </w:pPr>
            <w:r>
              <w:rPr>
                <w:rFonts w:ascii="Arial" w:cs="Arial" w:eastAsia="Arial" w:hAnsi="Arial"/>
                <w:sz w:val="14"/>
                <w:szCs w:val="14"/>
                <w:color w:val="auto"/>
              </w:rPr>
              <w:t>&lt;1% first line</w:t>
            </w:r>
          </w:p>
        </w:tc>
        <w:tc>
          <w:tcPr>
            <w:tcW w:w="1500" w:type="dxa"/>
            <w:vAlign w:val="bottom"/>
            <w:vMerge w:val="restart"/>
          </w:tcPr>
          <w:p>
            <w:pPr>
              <w:ind w:left="80"/>
              <w:spacing w:after="0"/>
              <w:rPr>
                <w:sz w:val="20"/>
                <w:szCs w:val="20"/>
                <w:color w:val="auto"/>
              </w:rPr>
            </w:pPr>
            <w:r>
              <w:rPr>
                <w:rFonts w:ascii="Arial" w:cs="Arial" w:eastAsia="Arial" w:hAnsi="Arial"/>
                <w:sz w:val="14"/>
                <w:szCs w:val="14"/>
                <w:color w:val="auto"/>
              </w:rPr>
              <w:t>100 first line</w:t>
            </w:r>
          </w:p>
        </w:tc>
        <w:tc>
          <w:tcPr>
            <w:tcW w:w="0" w:type="dxa"/>
            <w:vAlign w:val="bottom"/>
          </w:tcPr>
          <w:p>
            <w:pPr>
              <w:spacing w:after="0"/>
              <w:rPr>
                <w:sz w:val="1"/>
                <w:szCs w:val="1"/>
                <w:color w:val="auto"/>
              </w:rPr>
            </w:pPr>
          </w:p>
        </w:tc>
      </w:tr>
      <w:tr>
        <w:trPr>
          <w:trHeight w:val="147"/>
        </w:trPr>
        <w:tc>
          <w:tcPr>
            <w:tcW w:w="860" w:type="dxa"/>
            <w:vAlign w:val="bottom"/>
          </w:tcPr>
          <w:p>
            <w:pPr>
              <w:spacing w:after="0"/>
              <w:rPr>
                <w:sz w:val="12"/>
                <w:szCs w:val="12"/>
                <w:color w:val="auto"/>
              </w:rPr>
            </w:pPr>
          </w:p>
        </w:tc>
        <w:tc>
          <w:tcPr>
            <w:tcW w:w="92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 xml:space="preserve">GIST </w:t>
            </w:r>
            <w:r>
              <w:rPr>
                <w:rFonts w:ascii="Arial" w:cs="Arial" w:eastAsia="Arial" w:hAnsi="Arial"/>
                <w:sz w:val="7"/>
                <w:szCs w:val="7"/>
                <w:color w:val="auto"/>
              </w:rPr>
              <w:t>(3)</w:t>
            </w:r>
          </w:p>
        </w:tc>
        <w:tc>
          <w:tcPr>
            <w:tcW w:w="14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3,000 second line</w:t>
            </w:r>
          </w:p>
        </w:tc>
        <w:tc>
          <w:tcPr>
            <w:tcW w:w="1420" w:type="dxa"/>
            <w:vAlign w:val="bottom"/>
          </w:tcPr>
          <w:p>
            <w:pPr>
              <w:ind w:left="60"/>
              <w:spacing w:after="0" w:line="147" w:lineRule="exact"/>
              <w:rPr>
                <w:sz w:val="20"/>
                <w:szCs w:val="20"/>
                <w:color w:val="auto"/>
              </w:rPr>
            </w:pPr>
            <w:r>
              <w:rPr>
                <w:rFonts w:ascii="Arial" w:cs="Arial" w:eastAsia="Arial" w:hAnsi="Arial"/>
                <w:sz w:val="14"/>
                <w:szCs w:val="14"/>
                <w:color w:val="auto"/>
              </w:rPr>
              <w:t>7,700 second line</w:t>
            </w:r>
          </w:p>
        </w:tc>
        <w:tc>
          <w:tcPr>
            <w:tcW w:w="1640" w:type="dxa"/>
            <w:vAlign w:val="bottom"/>
            <w:gridSpan w:val="2"/>
            <w:vMerge w:val="restart"/>
          </w:tcPr>
          <w:p>
            <w:pPr>
              <w:ind w:left="120"/>
              <w:spacing w:after="0"/>
              <w:rPr>
                <w:sz w:val="20"/>
                <w:szCs w:val="20"/>
                <w:color w:val="auto"/>
              </w:rPr>
            </w:pPr>
            <w:r>
              <w:rPr>
                <w:rFonts w:ascii="Arial" w:cs="Arial" w:eastAsia="Arial" w:hAnsi="Arial"/>
                <w:sz w:val="14"/>
                <w:szCs w:val="14"/>
                <w:color w:val="auto"/>
              </w:rPr>
              <w:t>Exon 17 mutant KIT</w:t>
            </w:r>
          </w:p>
        </w:tc>
        <w:tc>
          <w:tcPr>
            <w:tcW w:w="17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color w:val="auto"/>
              </w:rPr>
              <w:t>2,400 third line</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5,000 third line</w:t>
            </w:r>
          </w:p>
        </w:tc>
        <w:tc>
          <w:tcPr>
            <w:tcW w:w="1640" w:type="dxa"/>
            <w:vAlign w:val="bottom"/>
            <w:gridSpan w:val="2"/>
            <w:vMerge w:val="continue"/>
          </w:tcPr>
          <w:p>
            <w:pPr>
              <w:spacing w:after="0"/>
              <w:rPr>
                <w:sz w:val="15"/>
                <w:szCs w:val="15"/>
                <w:color w:val="auto"/>
              </w:rPr>
            </w:pPr>
          </w:p>
        </w:tc>
        <w:tc>
          <w:tcPr>
            <w:tcW w:w="1700" w:type="dxa"/>
            <w:vAlign w:val="bottom"/>
          </w:tcPr>
          <w:p>
            <w:pPr>
              <w:ind w:left="80"/>
              <w:spacing w:after="0"/>
              <w:rPr>
                <w:sz w:val="20"/>
                <w:szCs w:val="20"/>
                <w:color w:val="auto"/>
              </w:rPr>
            </w:pPr>
            <w:r>
              <w:rPr>
                <w:rFonts w:ascii="Arial" w:cs="Arial" w:eastAsia="Arial" w:hAnsi="Arial"/>
                <w:sz w:val="14"/>
                <w:szCs w:val="14"/>
                <w:color w:val="auto"/>
              </w:rPr>
              <w:t>23% second line</w:t>
            </w:r>
          </w:p>
        </w:tc>
        <w:tc>
          <w:tcPr>
            <w:tcW w:w="1500" w:type="dxa"/>
            <w:vAlign w:val="bottom"/>
          </w:tcPr>
          <w:p>
            <w:pPr>
              <w:ind w:left="80"/>
              <w:spacing w:after="0"/>
              <w:rPr>
                <w:sz w:val="20"/>
                <w:szCs w:val="20"/>
                <w:color w:val="auto"/>
              </w:rPr>
            </w:pPr>
            <w:r>
              <w:rPr>
                <w:rFonts w:ascii="Arial" w:cs="Arial" w:eastAsia="Arial" w:hAnsi="Arial"/>
                <w:sz w:val="14"/>
                <w:szCs w:val="14"/>
                <w:color w:val="auto"/>
              </w:rPr>
              <w:t>1,800 second line</w:t>
            </w: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700" w:type="dxa"/>
            <w:vAlign w:val="bottom"/>
            <w:vMerge w:val="restart"/>
          </w:tcPr>
          <w:p>
            <w:pPr>
              <w:ind w:left="80"/>
              <w:spacing w:after="0"/>
              <w:rPr>
                <w:sz w:val="20"/>
                <w:szCs w:val="20"/>
                <w:color w:val="auto"/>
              </w:rPr>
            </w:pPr>
            <w:r>
              <w:rPr>
                <w:rFonts w:ascii="Arial" w:cs="Arial" w:eastAsia="Arial" w:hAnsi="Arial"/>
                <w:sz w:val="14"/>
                <w:szCs w:val="14"/>
                <w:color w:val="auto"/>
              </w:rPr>
              <w:t>&gt;90% third line</w:t>
            </w:r>
          </w:p>
        </w:tc>
        <w:tc>
          <w:tcPr>
            <w:tcW w:w="1500" w:type="dxa"/>
            <w:vAlign w:val="bottom"/>
            <w:vMerge w:val="restart"/>
          </w:tcPr>
          <w:p>
            <w:pPr>
              <w:ind w:left="80"/>
              <w:spacing w:after="0"/>
              <w:rPr>
                <w:sz w:val="20"/>
                <w:szCs w:val="20"/>
                <w:color w:val="auto"/>
              </w:rPr>
            </w:pPr>
            <w:r>
              <w:rPr>
                <w:rFonts w:ascii="Arial" w:cs="Arial" w:eastAsia="Arial" w:hAnsi="Arial"/>
                <w:sz w:val="14"/>
                <w:szCs w:val="14"/>
                <w:color w:val="auto"/>
              </w:rPr>
              <w:t>4,500 third line</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60" w:type="dxa"/>
            <w:vAlign w:val="bottom"/>
            <w:vMerge w:val="restart"/>
          </w:tcPr>
          <w:p>
            <w:pPr>
              <w:jc w:val="center"/>
              <w:spacing w:after="0" w:line="161" w:lineRule="exact"/>
              <w:rPr>
                <w:sz w:val="20"/>
                <w:szCs w:val="20"/>
                <w:color w:val="auto"/>
              </w:rPr>
            </w:pPr>
            <w:r>
              <w:rPr>
                <w:rFonts w:ascii="Arial" w:cs="Arial" w:eastAsia="Arial" w:hAnsi="Arial"/>
                <w:sz w:val="14"/>
                <w:szCs w:val="14"/>
                <w:color w:val="auto"/>
                <w:w w:val="98"/>
              </w:rPr>
              <w:t>BLU</w:t>
            </w:r>
            <w:r>
              <w:rPr>
                <w:rFonts w:ascii="MS PGothic" w:cs="MS PGothic" w:eastAsia="MS PGothic" w:hAnsi="MS PGothic"/>
                <w:sz w:val="14"/>
                <w:szCs w:val="14"/>
                <w:color w:val="auto"/>
                <w:w w:val="98"/>
              </w:rPr>
              <w:t>‑</w:t>
            </w:r>
            <w:r>
              <w:rPr>
                <w:rFonts w:ascii="Arial" w:cs="Arial" w:eastAsia="Arial" w:hAnsi="Arial"/>
                <w:sz w:val="14"/>
                <w:szCs w:val="14"/>
                <w:color w:val="auto"/>
                <w:w w:val="98"/>
              </w:rPr>
              <w:t>554</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color w:val="auto"/>
              </w:rPr>
              <w:t xml:space="preserve">HCC </w:t>
            </w:r>
            <w:r>
              <w:rPr>
                <w:rFonts w:ascii="Arial" w:cs="Arial" w:eastAsia="Arial" w:hAnsi="Arial"/>
                <w:sz w:val="7"/>
                <w:szCs w:val="7"/>
                <w:color w:val="auto"/>
              </w:rPr>
              <w:t>(3)(4)</w:t>
            </w: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18,000 first line</w:t>
            </w:r>
          </w:p>
        </w:tc>
        <w:tc>
          <w:tcPr>
            <w:tcW w:w="1420" w:type="dxa"/>
            <w:vAlign w:val="bottom"/>
          </w:tcPr>
          <w:p>
            <w:pPr>
              <w:ind w:left="60"/>
              <w:spacing w:after="0"/>
              <w:rPr>
                <w:sz w:val="20"/>
                <w:szCs w:val="20"/>
                <w:color w:val="auto"/>
              </w:rPr>
            </w:pPr>
            <w:r>
              <w:rPr>
                <w:rFonts w:ascii="Arial" w:cs="Arial" w:eastAsia="Arial" w:hAnsi="Arial"/>
                <w:sz w:val="14"/>
                <w:szCs w:val="14"/>
                <w:color w:val="auto"/>
              </w:rPr>
              <w:t>63,100 first line</w:t>
            </w:r>
          </w:p>
        </w:tc>
        <w:tc>
          <w:tcPr>
            <w:tcW w:w="1640" w:type="dxa"/>
            <w:vAlign w:val="bottom"/>
            <w:gridSpan w:val="2"/>
            <w:vMerge w:val="restart"/>
          </w:tcPr>
          <w:p>
            <w:pPr>
              <w:ind w:left="120"/>
              <w:spacing w:after="0"/>
              <w:rPr>
                <w:sz w:val="20"/>
                <w:szCs w:val="20"/>
                <w:color w:val="auto"/>
              </w:rPr>
            </w:pPr>
            <w:r>
              <w:rPr>
                <w:rFonts w:ascii="Arial" w:cs="Arial" w:eastAsia="Arial" w:hAnsi="Arial"/>
                <w:sz w:val="14"/>
                <w:szCs w:val="14"/>
                <w:color w:val="auto"/>
              </w:rPr>
              <w:t>Aberrant FGFR4</w:t>
            </w:r>
          </w:p>
        </w:tc>
        <w:tc>
          <w:tcPr>
            <w:tcW w:w="1700" w:type="dxa"/>
            <w:vAlign w:val="bottom"/>
            <w:vMerge w:val="restart"/>
          </w:tcPr>
          <w:p>
            <w:pPr>
              <w:ind w:left="80"/>
              <w:spacing w:after="0"/>
              <w:rPr>
                <w:sz w:val="20"/>
                <w:szCs w:val="20"/>
                <w:color w:val="auto"/>
              </w:rPr>
            </w:pPr>
            <w:r>
              <w:rPr>
                <w:rFonts w:ascii="Arial" w:cs="Arial" w:eastAsia="Arial" w:hAnsi="Arial"/>
                <w:sz w:val="14"/>
                <w:szCs w:val="14"/>
                <w:color w:val="auto"/>
              </w:rPr>
              <w:t>Approximately 30%</w:t>
            </w:r>
          </w:p>
        </w:tc>
        <w:tc>
          <w:tcPr>
            <w:tcW w:w="1500" w:type="dxa"/>
            <w:vAlign w:val="bottom"/>
          </w:tcPr>
          <w:p>
            <w:pPr>
              <w:ind w:left="80"/>
              <w:spacing w:after="0"/>
              <w:rPr>
                <w:sz w:val="20"/>
                <w:szCs w:val="20"/>
                <w:color w:val="auto"/>
              </w:rPr>
            </w:pPr>
            <w:r>
              <w:rPr>
                <w:rFonts w:ascii="Arial" w:cs="Arial" w:eastAsia="Arial" w:hAnsi="Arial"/>
                <w:sz w:val="14"/>
                <w:szCs w:val="14"/>
                <w:color w:val="auto"/>
              </w:rPr>
              <w:t>18,900 first line</w:t>
            </w:r>
          </w:p>
        </w:tc>
        <w:tc>
          <w:tcPr>
            <w:tcW w:w="0" w:type="dxa"/>
            <w:vAlign w:val="bottom"/>
          </w:tcPr>
          <w:p>
            <w:pPr>
              <w:spacing w:after="0"/>
              <w:rPr>
                <w:sz w:val="1"/>
                <w:szCs w:val="1"/>
                <w:color w:val="auto"/>
              </w:rPr>
            </w:pPr>
          </w:p>
        </w:tc>
      </w:tr>
      <w:tr>
        <w:trPr>
          <w:trHeight w:val="53"/>
        </w:trPr>
        <w:tc>
          <w:tcPr>
            <w:tcW w:w="86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color w:val="auto"/>
              </w:rPr>
              <w:t>7,300 second line</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26,500 second line</w:t>
            </w:r>
          </w:p>
        </w:tc>
        <w:tc>
          <w:tcPr>
            <w:tcW w:w="1640" w:type="dxa"/>
            <w:vAlign w:val="bottom"/>
            <w:gridSpan w:val="2"/>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color w:val="auto"/>
              </w:rPr>
              <w:t>8,000 second line</w:t>
            </w:r>
          </w:p>
        </w:tc>
        <w:tc>
          <w:tcPr>
            <w:tcW w:w="0" w:type="dxa"/>
            <w:vAlign w:val="bottom"/>
          </w:tcPr>
          <w:p>
            <w:pPr>
              <w:spacing w:after="0"/>
              <w:rPr>
                <w:sz w:val="1"/>
                <w:szCs w:val="1"/>
                <w:color w:val="auto"/>
              </w:rPr>
            </w:pPr>
          </w:p>
        </w:tc>
      </w:tr>
      <w:tr>
        <w:trPr>
          <w:trHeight w:val="176"/>
        </w:trPr>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signaling</w:t>
            </w:r>
          </w:p>
        </w:tc>
        <w:tc>
          <w:tcPr>
            <w:tcW w:w="17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153,900 first line</w:t>
            </w:r>
          </w:p>
        </w:tc>
        <w:tc>
          <w:tcPr>
            <w:tcW w:w="1420" w:type="dxa"/>
            <w:vAlign w:val="bottom"/>
          </w:tcPr>
          <w:p>
            <w:pPr>
              <w:ind w:left="60"/>
              <w:spacing w:after="0"/>
              <w:rPr>
                <w:sz w:val="20"/>
                <w:szCs w:val="20"/>
                <w:color w:val="auto"/>
              </w:rPr>
            </w:pPr>
            <w:r>
              <w:rPr>
                <w:rFonts w:ascii="Arial" w:cs="Arial" w:eastAsia="Arial" w:hAnsi="Arial"/>
                <w:sz w:val="14"/>
                <w:szCs w:val="14"/>
                <w:color w:val="auto"/>
              </w:rPr>
              <w:t>367,500 first line</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5,500 first line</w:t>
            </w:r>
          </w:p>
        </w:tc>
        <w:tc>
          <w:tcPr>
            <w:tcW w:w="0" w:type="dxa"/>
            <w:vAlign w:val="bottom"/>
          </w:tcPr>
          <w:p>
            <w:pPr>
              <w:spacing w:after="0"/>
              <w:rPr>
                <w:sz w:val="1"/>
                <w:szCs w:val="1"/>
                <w:color w:val="auto"/>
              </w:rPr>
            </w:pPr>
          </w:p>
        </w:tc>
      </w:tr>
      <w:tr>
        <w:trPr>
          <w:trHeight w:val="189"/>
        </w:trPr>
        <w:tc>
          <w:tcPr>
            <w:tcW w:w="860" w:type="dxa"/>
            <w:vAlign w:val="bottom"/>
            <w:vMerge w:val="restart"/>
          </w:tcPr>
          <w:p>
            <w:pPr>
              <w:jc w:val="center"/>
              <w:spacing w:after="0" w:line="161" w:lineRule="exact"/>
              <w:rPr>
                <w:sz w:val="20"/>
                <w:szCs w:val="20"/>
                <w:color w:val="auto"/>
              </w:rPr>
            </w:pPr>
            <w:r>
              <w:rPr>
                <w:rFonts w:ascii="Arial" w:cs="Arial" w:eastAsia="Arial" w:hAnsi="Arial"/>
                <w:sz w:val="14"/>
                <w:szCs w:val="14"/>
                <w:color w:val="auto"/>
                <w:w w:val="98"/>
              </w:rPr>
              <w:t>BLU</w:t>
            </w:r>
            <w:r>
              <w:rPr>
                <w:rFonts w:ascii="MS PGothic" w:cs="MS PGothic" w:eastAsia="MS PGothic" w:hAnsi="MS PGothic"/>
                <w:sz w:val="14"/>
                <w:szCs w:val="14"/>
                <w:color w:val="auto"/>
                <w:w w:val="98"/>
              </w:rPr>
              <w:t>‑</w:t>
            </w:r>
            <w:r>
              <w:rPr>
                <w:rFonts w:ascii="Arial" w:cs="Arial" w:eastAsia="Arial" w:hAnsi="Arial"/>
                <w:sz w:val="14"/>
                <w:szCs w:val="14"/>
                <w:color w:val="auto"/>
                <w:w w:val="98"/>
              </w:rPr>
              <w:t>667</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 xml:space="preserve">NSCLC </w:t>
            </w:r>
            <w:r>
              <w:rPr>
                <w:rFonts w:ascii="Arial" w:cs="Arial" w:eastAsia="Arial" w:hAnsi="Arial"/>
                <w:sz w:val="7"/>
                <w:szCs w:val="7"/>
                <w:color w:val="auto"/>
              </w:rPr>
              <w:t>(3)</w:t>
            </w:r>
          </w:p>
        </w:tc>
        <w:tc>
          <w:tcPr>
            <w:tcW w:w="1440" w:type="dxa"/>
            <w:vAlign w:val="bottom"/>
            <w:gridSpan w:val="2"/>
          </w:tcPr>
          <w:p>
            <w:pPr>
              <w:ind w:left="120"/>
              <w:spacing w:after="0"/>
              <w:rPr>
                <w:sz w:val="20"/>
                <w:szCs w:val="20"/>
                <w:color w:val="auto"/>
              </w:rPr>
            </w:pPr>
            <w:r>
              <w:rPr>
                <w:rFonts w:ascii="Arial" w:cs="Arial" w:eastAsia="Arial" w:hAnsi="Arial"/>
                <w:sz w:val="14"/>
                <w:szCs w:val="14"/>
                <w:color w:val="auto"/>
              </w:rPr>
              <w:t>91,600 second line</w:t>
            </w:r>
          </w:p>
        </w:tc>
        <w:tc>
          <w:tcPr>
            <w:tcW w:w="1420" w:type="dxa"/>
            <w:vAlign w:val="bottom"/>
          </w:tcPr>
          <w:p>
            <w:pPr>
              <w:ind w:left="60"/>
              <w:spacing w:after="0"/>
              <w:rPr>
                <w:sz w:val="20"/>
                <w:szCs w:val="20"/>
                <w:color w:val="auto"/>
              </w:rPr>
            </w:pPr>
            <w:r>
              <w:rPr>
                <w:rFonts w:ascii="Arial" w:cs="Arial" w:eastAsia="Arial" w:hAnsi="Arial"/>
                <w:sz w:val="14"/>
                <w:szCs w:val="14"/>
                <w:color w:val="auto"/>
              </w:rPr>
              <w:t>214,200 second line</w:t>
            </w:r>
          </w:p>
        </w:tc>
        <w:tc>
          <w:tcPr>
            <w:tcW w:w="1640" w:type="dxa"/>
            <w:vAlign w:val="bottom"/>
            <w:gridSpan w:val="2"/>
          </w:tcPr>
          <w:p>
            <w:pPr>
              <w:ind w:left="120"/>
              <w:spacing w:after="0"/>
              <w:rPr>
                <w:sz w:val="20"/>
                <w:szCs w:val="20"/>
                <w:color w:val="auto"/>
              </w:rPr>
            </w:pPr>
            <w:r>
              <w:rPr>
                <w:rFonts w:ascii="Arial" w:cs="Arial" w:eastAsia="Arial" w:hAnsi="Arial"/>
                <w:sz w:val="14"/>
                <w:szCs w:val="14"/>
                <w:color w:val="auto"/>
              </w:rPr>
              <w:t>RET fusions</w:t>
            </w:r>
          </w:p>
        </w:tc>
        <w:tc>
          <w:tcPr>
            <w:tcW w:w="1700" w:type="dxa"/>
            <w:vAlign w:val="bottom"/>
          </w:tcPr>
          <w:p>
            <w:pPr>
              <w:ind w:left="80"/>
              <w:spacing w:after="0"/>
              <w:rPr>
                <w:sz w:val="20"/>
                <w:szCs w:val="20"/>
                <w:color w:val="auto"/>
              </w:rPr>
            </w:pPr>
            <w:r>
              <w:rPr>
                <w:rFonts w:ascii="Arial" w:cs="Arial" w:eastAsia="Arial" w:hAnsi="Arial"/>
                <w:sz w:val="14"/>
                <w:szCs w:val="14"/>
                <w:color w:val="auto"/>
              </w:rPr>
              <w:t>1-2%</w:t>
            </w:r>
          </w:p>
        </w:tc>
        <w:tc>
          <w:tcPr>
            <w:tcW w:w="1500" w:type="dxa"/>
            <w:vAlign w:val="bottom"/>
          </w:tcPr>
          <w:p>
            <w:pPr>
              <w:ind w:left="80"/>
              <w:spacing w:after="0"/>
              <w:rPr>
                <w:sz w:val="20"/>
                <w:szCs w:val="20"/>
                <w:color w:val="auto"/>
              </w:rPr>
            </w:pPr>
            <w:r>
              <w:rPr>
                <w:rFonts w:ascii="Arial" w:cs="Arial" w:eastAsia="Arial" w:hAnsi="Arial"/>
                <w:sz w:val="14"/>
                <w:szCs w:val="14"/>
                <w:color w:val="auto"/>
              </w:rPr>
              <w:t>3,200 second line</w:t>
            </w: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color w:val="auto"/>
              </w:rPr>
              <w:t>37,400 third line</w:t>
            </w:r>
          </w:p>
        </w:tc>
        <w:tc>
          <w:tcPr>
            <w:tcW w:w="1420" w:type="dxa"/>
            <w:vAlign w:val="bottom"/>
            <w:vMerge w:val="restart"/>
          </w:tcPr>
          <w:p>
            <w:pPr>
              <w:ind w:left="60"/>
              <w:spacing w:after="0"/>
              <w:rPr>
                <w:sz w:val="20"/>
                <w:szCs w:val="20"/>
                <w:color w:val="auto"/>
              </w:rPr>
            </w:pPr>
            <w:r>
              <w:rPr>
                <w:rFonts w:ascii="Arial" w:cs="Arial" w:eastAsia="Arial" w:hAnsi="Arial"/>
                <w:sz w:val="14"/>
                <w:szCs w:val="14"/>
                <w:color w:val="auto"/>
              </w:rPr>
              <w:t>83,500 third line</w:t>
            </w: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color w:val="auto"/>
              </w:rPr>
              <w:t>1,300 third line</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 xml:space="preserve">MTC </w:t>
            </w:r>
            <w:r>
              <w:rPr>
                <w:rFonts w:ascii="Arial" w:cs="Arial" w:eastAsia="Arial" w:hAnsi="Arial"/>
                <w:sz w:val="14"/>
                <w:szCs w:val="14"/>
                <w:color w:val="auto"/>
                <w:vertAlign w:val="superscript"/>
              </w:rPr>
              <w:t>(3)</w:t>
            </w: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480 total</w:t>
            </w:r>
          </w:p>
        </w:tc>
        <w:tc>
          <w:tcPr>
            <w:tcW w:w="14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990 total</w:t>
            </w:r>
          </w:p>
        </w:tc>
        <w:tc>
          <w:tcPr>
            <w:tcW w:w="16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RET mutations</w:t>
            </w:r>
          </w:p>
        </w:tc>
        <w:tc>
          <w:tcPr>
            <w:tcW w:w="17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60%</w:t>
            </w: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600 total</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880" w:hanging="229"/>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estimated prevalence for SM patients and MTC patients and estimated incidence for GIST, HCC and NSCLC patients.</w:t>
      </w:r>
    </w:p>
    <w:p>
      <w:pPr>
        <w:ind w:left="1360" w:hanging="709"/>
        <w:spacing w:after="0" w:line="201" w:lineRule="auto"/>
        <w:tabs>
          <w:tab w:leader="none" w:pos="1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Estimate includes smoldering SM.</w:t>
      </w:r>
    </w:p>
    <w:p>
      <w:pPr>
        <w:ind w:left="1060" w:hanging="409"/>
        <w:spacing w:after="0" w:line="201" w:lineRule="auto"/>
        <w:tabs>
          <w:tab w:leader="none" w:pos="10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Estimate includes metastatic and unresectable patient populations.</w:t>
      </w:r>
    </w:p>
    <w:p>
      <w:pPr>
        <w:ind w:left="860" w:right="860" w:hanging="209"/>
        <w:spacing w:after="0" w:line="153" w:lineRule="exact"/>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incidence of HCC outside of the Major Markets, including in China, South Korea, Taiwan and Singapore, represents an additional opportunity for BLU</w:t>
      </w:r>
      <w:r>
        <w:rPr>
          <w:rFonts w:ascii="MS PGothic" w:cs="MS PGothic" w:eastAsia="MS PGothic" w:hAnsi="MS PGothic"/>
          <w:sz w:val="14"/>
          <w:szCs w:val="14"/>
          <w:color w:val="auto"/>
        </w:rPr>
        <w:t>‑</w:t>
      </w:r>
      <w:r>
        <w:rPr>
          <w:rFonts w:ascii="Arial" w:cs="Arial" w:eastAsia="Arial" w:hAnsi="Arial"/>
          <w:sz w:val="14"/>
          <w:szCs w:val="14"/>
          <w:color w:val="auto"/>
        </w:rPr>
        <w:t>554.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KIT Inhibitor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520" w:firstLine="648"/>
        <w:spacing w:after="0" w:line="189" w:lineRule="exact"/>
        <w:rPr>
          <w:sz w:val="20"/>
          <w:szCs w:val="20"/>
          <w:color w:val="auto"/>
        </w:rPr>
      </w:pPr>
      <w:r>
        <w:rPr>
          <w:rFonts w:ascii="Arial" w:cs="Arial" w:eastAsia="Arial" w:hAnsi="Arial"/>
          <w:sz w:val="16"/>
          <w:szCs w:val="16"/>
          <w:color w:val="auto"/>
        </w:rPr>
        <w:t>BLU-285 is an orally available, potent and highly selective inhibitor that targets KIT, including Exon 17 mutations, and targets PDGFRα, including the D842V mutation, abnormally active receptor tyrosine kinases that are drivers of cancer and proliferative disorders. BLU</w:t>
      </w:r>
      <w:r>
        <w:rPr>
          <w:rFonts w:ascii="MS PGothic" w:cs="MS PGothic" w:eastAsia="MS PGothic" w:hAnsi="MS PGothic"/>
          <w:sz w:val="16"/>
          <w:szCs w:val="16"/>
          <w:color w:val="auto"/>
        </w:rPr>
        <w:t>‑</w:t>
      </w:r>
      <w:r>
        <w:rPr>
          <w:rFonts w:ascii="Arial" w:cs="Arial" w:eastAsia="Arial" w:hAnsi="Arial"/>
          <w:sz w:val="16"/>
          <w:szCs w:val="16"/>
          <w:color w:val="auto"/>
        </w:rPr>
        <w:t>285 is able to potently and selectively inhibit both KIT and PDGFRα with minimal inhibition of other kinases due to the high degree of structural similarity of the kinase domains of KIT and PDGFRα.</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121920</wp:posOffset>
            </wp:positionV>
            <wp:extent cx="1466215" cy="1998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199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60" w:right="980"/>
        <w:spacing w:after="0" w:line="224" w:lineRule="auto"/>
        <w:rPr>
          <w:sz w:val="20"/>
          <w:szCs w:val="20"/>
          <w:color w:val="auto"/>
        </w:rPr>
      </w:pPr>
      <w:r>
        <w:rPr>
          <w:rFonts w:ascii="Arial" w:cs="Arial" w:eastAsia="Arial" w:hAnsi="Arial"/>
          <w:sz w:val="14"/>
          <w:szCs w:val="14"/>
          <w:color w:val="auto"/>
        </w:rPr>
        <w:t xml:space="preserve">Kinome tree locations of KIT and PDGFRα illustrating close structural similarity between these kinases. Each branch of the dendogram represents an individual human kinase. </w:t>
      </w:r>
      <w:r>
        <w:rPr>
          <w:rFonts w:ascii="Arial" w:cs="Arial" w:eastAsia="Arial" w:hAnsi="Arial"/>
          <w:sz w:val="14"/>
          <w:szCs w:val="14"/>
          <w:i w:val="1"/>
          <w:iCs w:val="1"/>
          <w:color w:val="auto"/>
        </w:rPr>
        <w:t>Kinome illustration reproduced courtesy of CSTI (www.cellsignal.com). The foregoing website is</w:t>
      </w:r>
      <w:r>
        <w:rPr>
          <w:rFonts w:ascii="Arial" w:cs="Arial" w:eastAsia="Arial" w:hAnsi="Arial"/>
          <w:sz w:val="14"/>
          <w:szCs w:val="14"/>
          <w:color w:val="auto"/>
        </w:rPr>
        <w:t xml:space="preserve"> </w:t>
      </w:r>
      <w:r>
        <w:rPr>
          <w:rFonts w:ascii="Arial" w:cs="Arial" w:eastAsia="Arial" w:hAnsi="Arial"/>
          <w:sz w:val="14"/>
          <w:szCs w:val="14"/>
          <w:i w:val="1"/>
          <w:iCs w:val="1"/>
          <w:color w:val="auto"/>
        </w:rPr>
        <w:t>maintained by CSTI, and Blueprint Medicines is not responsible for its content.</w:t>
      </w:r>
    </w:p>
    <w:p>
      <w:pPr>
        <w:spacing w:after="0" w:line="17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480"/>
          </w:cols>
          <w:pgMar w:left="1420" w:top="112" w:right="99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We are initially developing BLU</w:t>
      </w:r>
      <w:r>
        <w:rPr>
          <w:rFonts w:ascii="MS PGothic" w:cs="MS PGothic" w:eastAsia="MS PGothic" w:hAnsi="MS PGothic"/>
          <w:sz w:val="17"/>
          <w:szCs w:val="17"/>
          <w:color w:val="auto"/>
        </w:rPr>
        <w:t>‑</w:t>
      </w:r>
      <w:r>
        <w:rPr>
          <w:rFonts w:ascii="Arial" w:cs="Arial" w:eastAsia="Arial" w:hAnsi="Arial"/>
          <w:sz w:val="17"/>
          <w:szCs w:val="17"/>
          <w:color w:val="auto"/>
        </w:rPr>
        <w:t>285 for PDGFRα-driven GIST and patients with relapsed or refractory KIT-driven GIST, which we collectively refer to as advanced GIST, and for advanced SM. In July 2015 and September 2015, respectively, the FDA accepted our IND applications for BLU-285 for the treatment of advanced GIST and BLU-285 for the treatment of advanced SM. We are currently enrolling patients in ongoing Phase 1 clinical trials for each of these indications. Based on the preliminary safety and clinical activity data from our Phase 1 clinical trial for BLU-285 for advanced SM, we plan to evaluate options to expand the clinical development of BLU-285 in other KIT-driven diseases, including possible opportunities for the treatment of indolent SM, or ISM, and KIT-mutant acute myeloid leukemia, groups of patients in need of more effective treatments.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Systemic Mastocytosis (SM)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 Disease Background</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 advanced forms of SM, abnormal mast cells may also accumulate in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16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Patients with SM are usually diagnosed in adulthood. The diagnosis involves a complex diagnostic algorithm that begins with confirmation of SM and subsequently categorizes patients into indolent or advanced subtypes of disease, a classification that has prognostic significance as shown below. Patients with ISM have a normal life expectancy. The primary burden of disease for ISM patients is the range of often unpredictable and debilitating allergic symptoms due to mast cell activation. Advanced SM includes three subsets with increasingly severe impact on life expectancy: aggressive SM, or ASM, advanced SM with an associated hematologic neoplasm, SM-AHN, and mast cell leukemia, or MCL. These advanced forms of SM have a median overall survival of three to five years and are characterized by prominent organopathy and dysfunction, as well as symptoms of mast cell activation. Smoldering SM, or SSM, is increasingly considered as a variant of advanced SM. While SSM is not known to affect life expectancy, it has a greater degree of bone marrow infiltration, myeloproliferation and/or presents with an enlarged liver and bears a greater risk of progression to ASM, SM-AHN or MCL.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120650</wp:posOffset>
            </wp:positionV>
            <wp:extent cx="2787015" cy="1989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87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right="40"/>
        <w:spacing w:after="0" w:line="151" w:lineRule="exact"/>
        <w:rPr>
          <w:sz w:val="20"/>
          <w:szCs w:val="20"/>
          <w:color w:val="auto"/>
        </w:rPr>
      </w:pPr>
      <w:r>
        <w:rPr>
          <w:rFonts w:ascii="Arial" w:cs="Arial" w:eastAsia="Arial" w:hAnsi="Arial"/>
          <w:sz w:val="14"/>
          <w:szCs w:val="14"/>
          <w:color w:val="auto"/>
        </w:rPr>
        <w:t xml:space="preserve">Overall survival of SM patients. Republished with permission of the American Society of Hematology, from “How I treat patients with indolent and smoldering mastocytosis,” A. Pardanani, </w:t>
      </w:r>
      <w:r>
        <w:rPr>
          <w:rFonts w:ascii="Arial" w:cs="Arial" w:eastAsia="Arial" w:hAnsi="Arial"/>
          <w:sz w:val="14"/>
          <w:szCs w:val="14"/>
          <w:i w:val="1"/>
          <w:iCs w:val="1"/>
          <w:color w:val="auto"/>
        </w:rPr>
        <w:t>Blood</w:t>
      </w:r>
      <w:r>
        <w:rPr>
          <w:rFonts w:ascii="Arial" w:cs="Arial" w:eastAsia="Arial" w:hAnsi="Arial"/>
          <w:sz w:val="14"/>
          <w:szCs w:val="14"/>
          <w:color w:val="auto"/>
        </w:rPr>
        <w:t xml:space="preserve">, 121(16):3085 </w:t>
      </w:r>
      <w:r>
        <w:rPr>
          <w:rFonts w:ascii="MS PGothic" w:cs="MS PGothic" w:eastAsia="MS PGothic" w:hAnsi="MS PGothic"/>
          <w:sz w:val="14"/>
          <w:szCs w:val="14"/>
          <w:color w:val="auto"/>
        </w:rPr>
        <w:t>‑</w:t>
      </w:r>
      <w:r>
        <w:rPr>
          <w:rFonts w:ascii="Arial" w:cs="Arial" w:eastAsia="Arial" w:hAnsi="Arial"/>
          <w:sz w:val="14"/>
          <w:szCs w:val="14"/>
          <w:color w:val="auto"/>
        </w:rPr>
        <w:t xml:space="preserve"> 3094 (2013); permission conveyed through Copyright Clearance Center, Inc. In the figure above, AHD refers to SM-AHN.</w:t>
      </w:r>
    </w:p>
    <w:p>
      <w:pPr>
        <w:spacing w:after="0" w:line="175" w:lineRule="exact"/>
        <w:rPr>
          <w:sz w:val="20"/>
          <w:szCs w:val="20"/>
          <w:color w:val="auto"/>
        </w:rPr>
      </w:pPr>
    </w:p>
    <w:p>
      <w:pPr>
        <w:ind w:right="220" w:firstLine="648"/>
        <w:spacing w:after="0" w:line="189" w:lineRule="exact"/>
        <w:rPr>
          <w:sz w:val="20"/>
          <w:szCs w:val="20"/>
          <w:color w:val="auto"/>
        </w:rPr>
      </w:pPr>
      <w:r>
        <w:rPr>
          <w:rFonts w:ascii="Arial" w:cs="Arial" w:eastAsia="Arial" w:hAnsi="Arial"/>
          <w:sz w:val="17"/>
          <w:szCs w:val="17"/>
          <w:color w:val="auto"/>
        </w:rPr>
        <w:t>Population studies, including a population</w:t>
      </w:r>
      <w:r>
        <w:rPr>
          <w:rFonts w:ascii="MS PGothic" w:cs="MS PGothic" w:eastAsia="MS PGothic" w:hAnsi="MS PGothic"/>
          <w:sz w:val="17"/>
          <w:szCs w:val="17"/>
          <w:color w:val="auto"/>
        </w:rPr>
        <w:t>‑</w:t>
      </w:r>
      <w:r>
        <w:rPr>
          <w:rFonts w:ascii="Arial" w:cs="Arial" w:eastAsia="Arial" w:hAnsi="Arial"/>
          <w:sz w:val="17"/>
          <w:szCs w:val="17"/>
          <w:color w:val="auto"/>
        </w:rPr>
        <w:t>based epidemiology study that we sponsored, based on the Danish National Health Registry, estimate the incidence of all subtypes of SM from 0.5 to 1/100,000 new patients per year. This represents approximately 3,200 new patients diagnosed per year in the United States. Of all SM patients, ISM accounts for 50</w:t>
      </w:r>
      <w:r>
        <w:rPr>
          <w:rFonts w:ascii="MS PGothic" w:cs="MS PGothic" w:eastAsia="MS PGothic" w:hAnsi="MS PGothic"/>
          <w:sz w:val="17"/>
          <w:szCs w:val="17"/>
          <w:color w:val="auto"/>
        </w:rPr>
        <w:t>‑</w:t>
      </w:r>
      <w:r>
        <w:rPr>
          <w:rFonts w:ascii="Arial" w:cs="Arial" w:eastAsia="Arial" w:hAnsi="Arial"/>
          <w:sz w:val="17"/>
          <w:szCs w:val="17"/>
          <w:color w:val="auto"/>
        </w:rPr>
        <w:t>80% of patients, and advanced SM accounts for the remaining 20</w:t>
      </w:r>
      <w:r>
        <w:rPr>
          <w:rFonts w:ascii="MS PGothic" w:cs="MS PGothic" w:eastAsia="MS PGothic" w:hAnsi="MS PGothic"/>
          <w:sz w:val="17"/>
          <w:szCs w:val="17"/>
          <w:color w:val="auto"/>
        </w:rPr>
        <w:t>‑</w:t>
      </w:r>
      <w:r>
        <w:rPr>
          <w:rFonts w:ascii="Arial" w:cs="Arial" w:eastAsia="Arial" w:hAnsi="Arial"/>
          <w:sz w:val="17"/>
          <w:szCs w:val="17"/>
          <w:color w:val="auto"/>
        </w:rPr>
        <w:t>50% of patients.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current treatment paradigm for SM varies by disease subtype. With the exception of imatinib, which does not</w:t>
      </w:r>
    </w:p>
    <w:p>
      <w:pPr>
        <w:spacing w:after="0"/>
        <w:rPr>
          <w:sz w:val="20"/>
          <w:szCs w:val="20"/>
          <w:color w:val="auto"/>
        </w:rPr>
      </w:pPr>
      <w:r>
        <w:rPr>
          <w:rFonts w:ascii="Arial" w:cs="Arial" w:eastAsia="Arial" w:hAnsi="Arial"/>
          <w:sz w:val="16"/>
          <w:szCs w:val="16"/>
          <w:color w:val="auto"/>
        </w:rPr>
        <w:t>address patients with the KIT D816V mutation, there are no approved therapies for SM, leaving approximately 90-95% of</w:t>
      </w:r>
    </w:p>
    <w:p>
      <w:pPr>
        <w:spacing w:after="0" w:line="203" w:lineRule="auto"/>
        <w:rPr>
          <w:sz w:val="20"/>
          <w:szCs w:val="20"/>
          <w:color w:val="auto"/>
        </w:rPr>
      </w:pPr>
      <w:r>
        <w:rPr>
          <w:rFonts w:ascii="Arial" w:cs="Arial" w:eastAsia="Arial" w:hAnsi="Arial"/>
          <w:sz w:val="18"/>
          <w:szCs w:val="18"/>
          <w:color w:val="auto"/>
        </w:rPr>
        <w:t>SM patients with limited or no treatment options. For patients with advanced forms of SM, treatments include</w:t>
      </w:r>
    </w:p>
    <w:p>
      <w:pPr>
        <w:spacing w:after="0" w:line="176" w:lineRule="exact"/>
        <w:rPr>
          <w:sz w:val="20"/>
          <w:szCs w:val="20"/>
          <w:color w:val="auto"/>
        </w:rPr>
      </w:pPr>
      <w:r>
        <w:rPr>
          <w:rFonts w:ascii="Arial" w:cs="Arial" w:eastAsia="Arial" w:hAnsi="Arial"/>
          <w:sz w:val="16"/>
          <w:szCs w:val="16"/>
          <w:color w:val="auto"/>
        </w:rPr>
        <w:t>interferon</w:t>
      </w:r>
      <w:r>
        <w:rPr>
          <w:rFonts w:ascii="MS PGothic" w:cs="MS PGothic" w:eastAsia="MS PGothic" w:hAnsi="MS PGothic"/>
          <w:sz w:val="16"/>
          <w:szCs w:val="16"/>
          <w:color w:val="auto"/>
        </w:rPr>
        <w:t>‑</w:t>
      </w:r>
      <w:r>
        <w:rPr>
          <w:rFonts w:ascii="Arial" w:cs="Arial" w:eastAsia="Arial" w:hAnsi="Arial"/>
          <w:sz w:val="16"/>
          <w:szCs w:val="16"/>
          <w:color w:val="auto"/>
        </w:rPr>
        <w:t>alpha or cytoreductive agents to reduce mast cell burden or treatments aimed at addressing the associated blood</w:t>
      </w:r>
    </w:p>
    <w:p>
      <w:pPr>
        <w:spacing w:after="0" w:line="176" w:lineRule="exact"/>
        <w:rPr>
          <w:sz w:val="20"/>
          <w:szCs w:val="20"/>
          <w:color w:val="auto"/>
        </w:rPr>
      </w:pPr>
      <w:r>
        <w:rPr>
          <w:rFonts w:ascii="Arial" w:cs="Arial" w:eastAsia="Arial" w:hAnsi="Arial"/>
          <w:sz w:val="16"/>
          <w:szCs w:val="16"/>
          <w:color w:val="auto"/>
        </w:rPr>
        <w:t>disorder. However, there are no disease</w:t>
      </w:r>
      <w:r>
        <w:rPr>
          <w:rFonts w:ascii="MS PGothic" w:cs="MS PGothic" w:eastAsia="MS PGothic" w:hAnsi="MS PGothic"/>
          <w:sz w:val="16"/>
          <w:szCs w:val="16"/>
          <w:color w:val="auto"/>
        </w:rPr>
        <w:t>‑</w:t>
      </w:r>
      <w:r>
        <w:rPr>
          <w:rFonts w:ascii="Arial" w:cs="Arial" w:eastAsia="Arial" w:hAnsi="Arial"/>
          <w:sz w:val="16"/>
          <w:szCs w:val="16"/>
          <w:color w:val="auto"/>
        </w:rPr>
        <w:t>modifying agents, and patients with advanced SM inevitably progress, with a three to</w:t>
      </w:r>
    </w:p>
    <w:p>
      <w:pPr>
        <w:spacing w:after="0" w:line="176" w:lineRule="exact"/>
        <w:rPr>
          <w:sz w:val="20"/>
          <w:szCs w:val="20"/>
          <w:color w:val="auto"/>
        </w:rPr>
      </w:pPr>
      <w:r>
        <w:rPr>
          <w:rFonts w:ascii="Arial" w:cs="Arial" w:eastAsia="Arial" w:hAnsi="Arial"/>
          <w:sz w:val="16"/>
          <w:szCs w:val="16"/>
          <w:color w:val="auto"/>
        </w:rPr>
        <w:t>five</w:t>
      </w:r>
      <w:r>
        <w:rPr>
          <w:rFonts w:ascii="MS PGothic" w:cs="MS PGothic" w:eastAsia="MS PGothic" w:hAnsi="MS PGothic"/>
          <w:sz w:val="16"/>
          <w:szCs w:val="16"/>
          <w:color w:val="auto"/>
        </w:rPr>
        <w:t>‑</w:t>
      </w:r>
      <w:r>
        <w:rPr>
          <w:rFonts w:ascii="Arial" w:cs="Arial" w:eastAsia="Arial" w:hAnsi="Arial"/>
          <w:sz w:val="16"/>
          <w:szCs w:val="16"/>
          <w:color w:val="auto"/>
        </w:rPr>
        <w:t>year overall survival prognosis. In the Major Markets, we estimate there are approximately 4,100 patients with advanced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forms of SM, including SSM, who have the KIT D816V mutation.</w:t>
      </w:r>
    </w:p>
    <w:p>
      <w:pPr>
        <w:spacing w:after="0" w:line="169"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For ISM, management is symptom</w:t>
      </w:r>
      <w:r>
        <w:rPr>
          <w:rFonts w:ascii="MS PGothic" w:cs="MS PGothic" w:eastAsia="MS PGothic" w:hAnsi="MS PGothic"/>
          <w:sz w:val="18"/>
          <w:szCs w:val="18"/>
          <w:color w:val="auto"/>
        </w:rPr>
        <w:t>‑</w:t>
      </w:r>
      <w:r>
        <w:rPr>
          <w:rFonts w:ascii="Arial" w:cs="Arial" w:eastAsia="Arial" w:hAnsi="Arial"/>
          <w:sz w:val="18"/>
          <w:szCs w:val="18"/>
          <w:color w:val="auto"/>
        </w:rPr>
        <w:t>directed and includes avoidance of triggers of mast cell activation (such as insect stings). Treatments for ISM include histamine blockers, cromolyn, epinephrine, and, in cases of refractory patients, cytoreductive agents. Within ISM, key opinion leaders see the greatest degree of unmet need for the fraction of patients who have a heavy symptom burden that current therapies fail to address. We plan to evaluate options to expand the clinical development of BLU-285 for the treatment of ISM. We estimate that there are approximately 16,100 ISM patients in the Major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KIT Driver Mutations in SM</w:t>
      </w:r>
    </w:p>
    <w:p>
      <w:pPr>
        <w:spacing w:after="0" w:line="185" w:lineRule="exact"/>
        <w:rPr>
          <w:sz w:val="20"/>
          <w:szCs w:val="20"/>
          <w:color w:val="auto"/>
        </w:rPr>
      </w:pPr>
    </w:p>
    <w:p>
      <w:pPr>
        <w:ind w:right="80" w:firstLine="648"/>
        <w:spacing w:after="0" w:line="258" w:lineRule="auto"/>
        <w:rPr>
          <w:sz w:val="20"/>
          <w:szCs w:val="20"/>
          <w:color w:val="auto"/>
        </w:rPr>
      </w:pPr>
      <w:r>
        <w:rPr>
          <w:rFonts w:ascii="Arial" w:cs="Arial" w:eastAsia="Arial" w:hAnsi="Arial"/>
          <w:sz w:val="17"/>
          <w:szCs w:val="17"/>
          <w:color w:val="auto"/>
        </w:rPr>
        <w:t>In all subtypes of SM, the mast cells of approximately 90-95% of patients display a mutation at the D816V position in KIT that activates the kinase. KIT D816V status is routinely assessed as part of the workup in SM diagnosis.</w:t>
      </w:r>
    </w:p>
    <w:p>
      <w:pPr>
        <w:spacing w:after="0" w:line="147"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KIT signaling is needed for normal blood cell production, including the differentiation and survival of mast cells. In patients with SM, abnormal mast cells bearing the KIT D816V mutation undergo constitutive kinase activation, leading to continuous survival and proliferative signals. Rare cases of SM have been found where alternative mutations in KIT occur that are responsive to imatinib. In these cases, treatment with imatinib can reduce mast cell burden in the bone marrow and other organs and improve symptoms, thereby clinically validating KIT as a therapeutic target for SM.</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BLU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285 Pre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clinical Development in SM</w:t>
      </w:r>
    </w:p>
    <w:p>
      <w:pPr>
        <w:spacing w:after="0" w:line="185" w:lineRule="exact"/>
        <w:rPr>
          <w:sz w:val="20"/>
          <w:szCs w:val="20"/>
          <w:color w:val="auto"/>
        </w:rPr>
      </w:pPr>
    </w:p>
    <w:p>
      <w:pPr>
        <w:ind w:right="40" w:firstLine="648"/>
        <w:spacing w:after="0" w:line="211" w:lineRule="exact"/>
        <w:rPr>
          <w:sz w:val="20"/>
          <w:szCs w:val="20"/>
          <w:color w:val="auto"/>
        </w:rPr>
      </w:pPr>
      <w:r>
        <w:rPr>
          <w:rFonts w:ascii="Arial" w:cs="Arial" w:eastAsia="Arial" w:hAnsi="Arial"/>
          <w:sz w:val="16"/>
          <w:szCs w:val="16"/>
          <w:color w:val="auto"/>
        </w:rPr>
        <w:t>We conducted comprehensive biochemical and cellular experiments to characterize the potency and selectivity of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 xml:space="preserve">285 potently inhibits KIT D816V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or the compound concentration at which 50% of the activity</w:t>
      </w:r>
    </w:p>
    <w:p>
      <w:pPr>
        <w:spacing w:after="0" w:line="1" w:lineRule="exact"/>
        <w:rPr>
          <w:sz w:val="20"/>
          <w:szCs w:val="20"/>
          <w:color w:val="auto"/>
        </w:rPr>
      </w:pPr>
    </w:p>
    <w:p>
      <w:pPr>
        <w:ind w:right="160"/>
        <w:spacing w:after="0" w:line="203" w:lineRule="exact"/>
        <w:rPr>
          <w:sz w:val="20"/>
          <w:szCs w:val="20"/>
          <w:color w:val="auto"/>
        </w:rPr>
      </w:pPr>
      <w:r>
        <w:rPr>
          <w:rFonts w:ascii="Arial" w:cs="Arial" w:eastAsia="Arial" w:hAnsi="Arial"/>
          <w:sz w:val="16"/>
          <w:szCs w:val="16"/>
          <w:color w:val="auto"/>
        </w:rPr>
        <w:t>is inhibited relative to control lacking compound, = 0.27 nM). In contrast, imatinib inhibits KIT D816V at least 10,000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&gt; 8,000 nM). In several cellular models driven by activated KIT mutant proteins, BLU</w:t>
      </w:r>
      <w:r>
        <w:rPr>
          <w:rFonts w:ascii="MS PGothic" w:cs="MS PGothic" w:eastAsia="MS PGothic" w:hAnsi="MS PGothic"/>
          <w:sz w:val="16"/>
          <w:szCs w:val="16"/>
          <w:color w:val="auto"/>
        </w:rPr>
        <w:t>‑</w:t>
      </w:r>
      <w:r>
        <w:rPr>
          <w:rFonts w:ascii="Arial" w:cs="Arial" w:eastAsia="Arial" w:hAnsi="Arial"/>
          <w:sz w:val="16"/>
          <w:szCs w:val="16"/>
          <w:color w:val="auto"/>
        </w:rPr>
        <w:t>285 potently</w:t>
      </w:r>
    </w:p>
    <w:p>
      <w:pPr>
        <w:spacing w:after="0" w:line="229" w:lineRule="auto"/>
        <w:rPr>
          <w:sz w:val="20"/>
          <w:szCs w:val="20"/>
          <w:color w:val="auto"/>
        </w:rPr>
      </w:pPr>
      <w:r>
        <w:rPr>
          <w:rFonts w:ascii="Arial" w:cs="Arial" w:eastAsia="Arial" w:hAnsi="Arial"/>
          <w:sz w:val="16"/>
          <w:szCs w:val="16"/>
          <w:color w:val="auto"/>
        </w:rPr>
        <w:t>inhibits signaling of the oncogenic KIT mutant protein, as measured by inhibition of KIT autophosphorylation and inhibition</w:t>
      </w:r>
    </w:p>
    <w:p>
      <w:pPr>
        <w:spacing w:after="0" w:line="176" w:lineRule="exact"/>
        <w:rPr>
          <w:sz w:val="20"/>
          <w:szCs w:val="20"/>
          <w:color w:val="auto"/>
        </w:rPr>
      </w:pPr>
      <w:r>
        <w:rPr>
          <w:rFonts w:ascii="Arial" w:cs="Arial" w:eastAsia="Arial" w:hAnsi="Arial"/>
          <w:sz w:val="16"/>
          <w:szCs w:val="16"/>
          <w:color w:val="auto"/>
        </w:rPr>
        <w:t>of cellular proliferation. In HMC 1.2 cells, a human mast cell leukemia model driven by the KIT D816V mutation, BLU</w:t>
      </w:r>
      <w:r>
        <w:rPr>
          <w:rFonts w:ascii="MS PGothic" w:cs="MS PGothic" w:eastAsia="MS PGothic" w:hAnsi="MS PGothic"/>
          <w:sz w:val="16"/>
          <w:szCs w:val="16"/>
          <w:color w:val="auto"/>
        </w:rPr>
        <w:t>‑</w:t>
      </w:r>
      <w:r>
        <w:rPr>
          <w:rFonts w:ascii="Arial" w:cs="Arial" w:eastAsia="Arial" w:hAnsi="Arial"/>
          <w:sz w:val="16"/>
          <w:szCs w:val="16"/>
          <w:color w:val="auto"/>
        </w:rPr>
        <w:t>285</w:t>
      </w:r>
    </w:p>
    <w:p>
      <w:pPr>
        <w:spacing w:after="0" w:line="184" w:lineRule="auto"/>
        <w:rPr>
          <w:sz w:val="20"/>
          <w:szCs w:val="20"/>
          <w:color w:val="auto"/>
        </w:rPr>
      </w:pPr>
      <w:r>
        <w:rPr>
          <w:rFonts w:ascii="Arial" w:cs="Arial" w:eastAsia="Arial" w:hAnsi="Arial"/>
          <w:sz w:val="16"/>
          <w:szCs w:val="16"/>
          <w:color w:val="auto"/>
        </w:rPr>
        <w:t>potently inhibits signaling of the mutant KIT protein as measured by inhibition of KIT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4 nM). In</w:t>
      </w:r>
    </w:p>
    <w:p>
      <w:pPr>
        <w:spacing w:after="0" w:line="1" w:lineRule="exact"/>
        <w:rPr>
          <w:sz w:val="20"/>
          <w:szCs w:val="20"/>
          <w:color w:val="auto"/>
        </w:rPr>
      </w:pPr>
    </w:p>
    <w:p>
      <w:pPr>
        <w:ind w:right="340"/>
        <w:spacing w:after="0" w:line="193" w:lineRule="exact"/>
        <w:rPr>
          <w:sz w:val="20"/>
          <w:szCs w:val="20"/>
          <w:color w:val="auto"/>
        </w:rPr>
      </w:pPr>
      <w:r>
        <w:rPr>
          <w:rFonts w:ascii="Arial" w:cs="Arial" w:eastAsia="Arial" w:hAnsi="Arial"/>
          <w:sz w:val="16"/>
          <w:szCs w:val="16"/>
          <w:color w:val="auto"/>
        </w:rPr>
        <w:t>contrast, imatinib inhibits KIT autophosphorylation at least 2,000</w:t>
      </w:r>
      <w:r>
        <w:rPr>
          <w:rFonts w:ascii="MS PGothic" w:cs="MS PGothic" w:eastAsia="MS PGothic" w:hAnsi="MS PGothic"/>
          <w:sz w:val="16"/>
          <w:szCs w:val="16"/>
          <w:color w:val="auto"/>
        </w:rPr>
        <w:t>‑</w:t>
      </w:r>
      <w:r>
        <w:rPr>
          <w:rFonts w:ascii="Arial" w:cs="Arial" w:eastAsia="Arial" w:hAnsi="Arial"/>
          <w:sz w:val="16"/>
          <w:szCs w:val="16"/>
          <w:color w:val="auto"/>
        </w:rPr>
        <w:t>fold less potently. In P815 cells, a mouse mastocytoma model driven by an Exon 17 mutation, BLU</w:t>
      </w:r>
      <w:r>
        <w:rPr>
          <w:rFonts w:ascii="MS PGothic" w:cs="MS PGothic" w:eastAsia="MS PGothic" w:hAnsi="MS PGothic"/>
          <w:sz w:val="16"/>
          <w:szCs w:val="16"/>
          <w:color w:val="auto"/>
        </w:rPr>
        <w:t>‑</w:t>
      </w:r>
      <w:r>
        <w:rPr>
          <w:rFonts w:ascii="Arial" w:cs="Arial" w:eastAsia="Arial" w:hAnsi="Arial"/>
          <w:sz w:val="16"/>
          <w:szCs w:val="16"/>
          <w:color w:val="auto"/>
        </w:rPr>
        <w:t>285 potently inhibits signaling of the mutant KIT protein as measured by inhibition of KIT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22 nM) as well as cellular proliferation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202 nM). By comparison,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imatinib shows considerably lower cellular potency in the P815 model.</w:t>
      </w:r>
    </w:p>
    <w:p>
      <w:pPr>
        <w:spacing w:after="0" w:line="16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KIT D816V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137795</wp:posOffset>
            </wp:positionV>
            <wp:extent cx="2615565" cy="875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right="180"/>
        <w:spacing w:after="0" w:line="147" w:lineRule="exact"/>
        <w:rPr>
          <w:sz w:val="20"/>
          <w:szCs w:val="20"/>
          <w:color w:val="auto"/>
        </w:rPr>
      </w:pPr>
      <w:r>
        <w:rPr>
          <w:rFonts w:ascii="Arial" w:cs="Arial" w:eastAsia="Arial" w:hAnsi="Arial"/>
          <w:sz w:val="13"/>
          <w:szCs w:val="13"/>
          <w:color w:val="auto"/>
        </w:rPr>
        <w:t>Potency of BLU</w:t>
      </w:r>
      <w:r>
        <w:rPr>
          <w:rFonts w:ascii="MS PGothic" w:cs="MS PGothic" w:eastAsia="MS PGothic" w:hAnsi="MS PGothic"/>
          <w:sz w:val="13"/>
          <w:szCs w:val="13"/>
          <w:color w:val="auto"/>
        </w:rPr>
        <w:t>‑</w:t>
      </w:r>
      <w:r>
        <w:rPr>
          <w:rFonts w:ascii="Arial" w:cs="Arial" w:eastAsia="Arial" w:hAnsi="Arial"/>
          <w:sz w:val="13"/>
          <w:szCs w:val="13"/>
          <w:color w:val="auto"/>
        </w:rPr>
        <w:t>285 against KIT D816 and other Exon 17 mutations compared to imatinib. The inhibitory potencies of BLU</w:t>
      </w:r>
      <w:r>
        <w:rPr>
          <w:rFonts w:ascii="MS PGothic" w:cs="MS PGothic" w:eastAsia="MS PGothic" w:hAnsi="MS PGothic"/>
          <w:sz w:val="13"/>
          <w:szCs w:val="13"/>
          <w:color w:val="auto"/>
        </w:rPr>
        <w:t>‑</w:t>
      </w:r>
      <w:r>
        <w:rPr>
          <w:rFonts w:ascii="Arial" w:cs="Arial" w:eastAsia="Arial" w:hAnsi="Arial"/>
          <w:sz w:val="13"/>
          <w:szCs w:val="13"/>
          <w:color w:val="auto"/>
        </w:rPr>
        <w:t xml:space="preserve">285 and imatinib against the KIT D816V mutant protein were evaluated in an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enzyme activity assay. The inhibitory potencies of BLU</w:t>
      </w:r>
      <w:r>
        <w:rPr>
          <w:rFonts w:ascii="MS PGothic" w:cs="MS PGothic" w:eastAsia="MS PGothic" w:hAnsi="MS PGothic"/>
          <w:sz w:val="13"/>
          <w:szCs w:val="13"/>
          <w:color w:val="auto"/>
        </w:rPr>
        <w:t>‑</w:t>
      </w:r>
      <w:r>
        <w:rPr>
          <w:rFonts w:ascii="Arial" w:cs="Arial" w:eastAsia="Arial" w:hAnsi="Arial"/>
          <w:sz w:val="13"/>
          <w:szCs w:val="13"/>
          <w:color w:val="auto"/>
        </w:rPr>
        <w:t>285 and imatinib were also evaluated in two cell lines harboring KIT Exon 17 mutations, HMC 1.2 cells and P815 cells. Inhibition of KIT cellular signaling was measured by inhibition of KIT autophosphorylation (P</w:t>
      </w:r>
      <w:r>
        <w:rPr>
          <w:rFonts w:ascii="MS PGothic" w:cs="MS PGothic" w:eastAsia="MS PGothic" w:hAnsi="MS PGothic"/>
          <w:sz w:val="13"/>
          <w:szCs w:val="13"/>
          <w:color w:val="auto"/>
        </w:rPr>
        <w:t>‑</w:t>
      </w:r>
      <w:r>
        <w:rPr>
          <w:rFonts w:ascii="Arial" w:cs="Arial" w:eastAsia="Arial" w:hAnsi="Arial"/>
          <w:sz w:val="13"/>
          <w:szCs w:val="13"/>
          <w:color w:val="auto"/>
        </w:rPr>
        <w:t>KIT). Inhibition of cellular proliferation was also measured in P815 cells.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selectivity of BLU</w:t>
      </w:r>
      <w:r>
        <w:rPr>
          <w:rFonts w:ascii="MS PGothic" w:cs="MS PGothic" w:eastAsia="MS PGothic" w:hAnsi="MS PGothic"/>
          <w:sz w:val="17"/>
          <w:szCs w:val="17"/>
          <w:color w:val="auto"/>
        </w:rPr>
        <w:t>‑</w:t>
      </w:r>
      <w:r>
        <w:rPr>
          <w:rFonts w:ascii="Arial" w:cs="Arial" w:eastAsia="Arial" w:hAnsi="Arial"/>
          <w:sz w:val="17"/>
          <w:szCs w:val="17"/>
          <w:color w:val="auto"/>
        </w:rPr>
        <w:t>285 was further evaluated by profiling BLU</w:t>
      </w:r>
      <w:r>
        <w:rPr>
          <w:rFonts w:ascii="MS PGothic" w:cs="MS PGothic" w:eastAsia="MS PGothic" w:hAnsi="MS PGothic"/>
          <w:sz w:val="17"/>
          <w:szCs w:val="17"/>
          <w:color w:val="auto"/>
        </w:rPr>
        <w:t>‑</w:t>
      </w:r>
      <w:r>
        <w:rPr>
          <w:rFonts w:ascii="Arial" w:cs="Arial" w:eastAsia="Arial" w:hAnsi="Arial"/>
          <w:sz w:val="17"/>
          <w:szCs w:val="17"/>
          <w:color w:val="auto"/>
        </w:rPr>
        <w:t>285 at a concentration of 3 µM across a panel of over 450 kinases and disease</w:t>
      </w:r>
      <w:r>
        <w:rPr>
          <w:rFonts w:ascii="MS PGothic" w:cs="MS PGothic" w:eastAsia="MS PGothic" w:hAnsi="MS PGothic"/>
          <w:sz w:val="17"/>
          <w:szCs w:val="17"/>
          <w:color w:val="auto"/>
        </w:rPr>
        <w:t>‑</w:t>
      </w:r>
      <w:r>
        <w:rPr>
          <w:rFonts w:ascii="Arial" w:cs="Arial" w:eastAsia="Arial" w:hAnsi="Arial"/>
          <w:sz w:val="17"/>
          <w:szCs w:val="17"/>
          <w:color w:val="auto"/>
        </w:rPr>
        <w:t>relevant kinase mutants using KINOME</w:t>
      </w:r>
      <w:r>
        <w:rPr>
          <w:rFonts w:ascii="Arial" w:cs="Arial" w:eastAsia="Arial" w:hAnsi="Arial"/>
          <w:sz w:val="17"/>
          <w:szCs w:val="17"/>
          <w:i w:val="1"/>
          <w:iCs w:val="1"/>
          <w:color w:val="auto"/>
        </w:rPr>
        <w:t>scan</w:t>
      </w:r>
      <w:r>
        <w:rPr>
          <w:rFonts w:ascii="Arial" w:cs="Arial" w:eastAsia="Arial" w:hAnsi="Arial"/>
          <w:sz w:val="17"/>
          <w:szCs w:val="17"/>
          <w:color w:val="auto"/>
        </w:rPr>
        <w:t xml:space="preserve"> methodology. BLU</w:t>
      </w:r>
      <w:r>
        <w:rPr>
          <w:rFonts w:ascii="MS PGothic" w:cs="MS PGothic" w:eastAsia="MS PGothic" w:hAnsi="MS PGothic"/>
          <w:sz w:val="17"/>
          <w:szCs w:val="17"/>
          <w:color w:val="auto"/>
        </w:rPr>
        <w:t>‑</w:t>
      </w:r>
      <w:r>
        <w:rPr>
          <w:rFonts w:ascii="Arial" w:cs="Arial" w:eastAsia="Arial" w:hAnsi="Arial"/>
          <w:sz w:val="17"/>
          <w:szCs w:val="17"/>
          <w:color w:val="auto"/>
        </w:rPr>
        <w:t>285 demonstrated exquisite selectivity for KIT Exon 17 mutant proteins and PDGFRα D842V in this assay, binding significantly (greater than 90% inhibition relative to control) to only 12 other kinases. We also profiled midostaurin, a multi</w:t>
      </w:r>
      <w:r>
        <w:rPr>
          <w:rFonts w:ascii="MS PGothic" w:cs="MS PGothic" w:eastAsia="MS PGothic" w:hAnsi="MS PGothic"/>
          <w:sz w:val="17"/>
          <w:szCs w:val="17"/>
          <w:color w:val="auto"/>
        </w:rPr>
        <w:t>‑</w:t>
      </w:r>
      <w:r>
        <w:rPr>
          <w:rFonts w:ascii="Arial" w:cs="Arial" w:eastAsia="Arial" w:hAnsi="Arial"/>
          <w:sz w:val="17"/>
          <w:szCs w:val="17"/>
          <w:color w:val="auto"/>
        </w:rPr>
        <w:t>kinase inhibitor with KIT D816V inhibitory activity (an inhibitory activity not present in imatinib), that is being studied in clinical trials of SM patients. Midostaurin demonstrated significant binding (greater than 90% inhibition relative to control at 3 µ M) to 118 kinases, as indicated by the number of dots on the kinome tree shown below. We believe multi</w:t>
      </w:r>
      <w:r>
        <w:rPr>
          <w:rFonts w:ascii="MS PGothic" w:cs="MS PGothic" w:eastAsia="MS PGothic" w:hAnsi="MS PGothic"/>
          <w:sz w:val="17"/>
          <w:szCs w:val="17"/>
          <w:color w:val="auto"/>
        </w:rPr>
        <w:t>‑</w:t>
      </w:r>
      <w:r>
        <w:rPr>
          <w:rFonts w:ascii="Arial" w:cs="Arial" w:eastAsia="Arial" w:hAnsi="Arial"/>
          <w:sz w:val="17"/>
          <w:szCs w:val="17"/>
          <w:color w:val="auto"/>
        </w:rPr>
        <w:t xml:space="preserve">kinase inhibitors that demonstrate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KIT D816V may not achieve full inhibition of KIT D816V in the clinic due to poor selectivity and the resulting dose limitations imposed by off</w:t>
      </w:r>
      <w:r>
        <w:rPr>
          <w:rFonts w:ascii="MS PGothic" w:cs="MS PGothic" w:eastAsia="MS PGothic" w:hAnsi="MS PGothic"/>
          <w:sz w:val="17"/>
          <w:szCs w:val="17"/>
          <w:color w:val="auto"/>
        </w:rPr>
        <w:t>‑</w:t>
      </w:r>
      <w:r>
        <w:rPr>
          <w:rFonts w:ascii="Arial" w:cs="Arial" w:eastAsia="Arial" w:hAnsi="Arial"/>
          <w:sz w:val="17"/>
          <w:szCs w:val="17"/>
          <w:color w:val="auto"/>
        </w:rPr>
        <w:t>target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1459865</wp:posOffset>
            </wp:positionH>
            <wp:positionV relativeFrom="paragraph">
              <wp:posOffset>120015</wp:posOffset>
            </wp:positionV>
            <wp:extent cx="2838450" cy="1612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3845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right="60"/>
        <w:spacing w:after="0" w:line="145" w:lineRule="exact"/>
        <w:rPr>
          <w:sz w:val="20"/>
          <w:szCs w:val="20"/>
          <w:color w:val="auto"/>
        </w:rPr>
      </w:pPr>
      <w:r>
        <w:rPr>
          <w:rFonts w:ascii="Arial" w:cs="Arial" w:eastAsia="Arial" w:hAnsi="Arial"/>
          <w:sz w:val="14"/>
          <w:szCs w:val="14"/>
          <w:color w:val="auto"/>
        </w:rPr>
        <w:t>Kinome selectivity of BLU</w:t>
      </w:r>
      <w:r>
        <w:rPr>
          <w:rFonts w:ascii="MS PGothic" w:cs="MS PGothic" w:eastAsia="MS PGothic" w:hAnsi="MS PGothic"/>
          <w:sz w:val="14"/>
          <w:szCs w:val="14"/>
          <w:color w:val="auto"/>
        </w:rPr>
        <w:t>‑</w:t>
      </w:r>
      <w:r>
        <w:rPr>
          <w:rFonts w:ascii="Arial" w:cs="Arial" w:eastAsia="Arial" w:hAnsi="Arial"/>
          <w:sz w:val="14"/>
          <w:szCs w:val="14"/>
          <w:color w:val="auto"/>
        </w:rPr>
        <w:t>285 and a reference compound that has been studied in clinical trials of SM. Compounds were screened at 3 µM against a panel of over 450 kinases and disease</w:t>
      </w:r>
      <w:r>
        <w:rPr>
          <w:rFonts w:ascii="MS PGothic" w:cs="MS PGothic" w:eastAsia="MS PGothic" w:hAnsi="MS PGothic"/>
          <w:sz w:val="14"/>
          <w:szCs w:val="14"/>
          <w:color w:val="auto"/>
        </w:rPr>
        <w:t>‑</w:t>
      </w:r>
      <w:r>
        <w:rPr>
          <w:rFonts w:ascii="Arial" w:cs="Arial" w:eastAsia="Arial" w:hAnsi="Arial"/>
          <w:sz w:val="14"/>
          <w:szCs w:val="14"/>
          <w:color w:val="auto"/>
        </w:rPr>
        <w:t xml:space="preserv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4"/>
          <w:szCs w:val="14"/>
          <w:i w:val="1"/>
          <w:iCs w:val="1"/>
          <w:color w:val="auto"/>
        </w:rPr>
        <w:t>Kinome</w:t>
      </w:r>
      <w:r>
        <w:rPr>
          <w:rFonts w:ascii="Arial" w:cs="Arial" w:eastAsia="Arial" w:hAnsi="Arial"/>
          <w:sz w:val="14"/>
          <w:szCs w:val="14"/>
          <w:color w:val="auto"/>
        </w:rPr>
        <w:t xml:space="preserve"> </w:t>
      </w:r>
      <w:r>
        <w:rPr>
          <w:rFonts w:ascii="Arial" w:cs="Arial" w:eastAsia="Arial" w:hAnsi="Arial"/>
          <w:sz w:val="14"/>
          <w:szCs w:val="14"/>
          <w:i w:val="1"/>
          <w:iCs w:val="1"/>
          <w:color w:val="auto"/>
        </w:rPr>
        <w:t>illustration reproduced courtesy of CSTI (www.cellsignal.com). The foregoing website is maintained by CSTI, and Blueprint Medicines is not responsible for its content.</w:t>
      </w:r>
    </w:p>
    <w:p>
      <w:pPr>
        <w:spacing w:after="0" w:line="175"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We demonstrated significant anti</w:t>
      </w:r>
      <w:r>
        <w:rPr>
          <w:rFonts w:ascii="MS PGothic" w:cs="MS PGothic" w:eastAsia="MS PGothic" w:hAnsi="MS PGothic"/>
          <w:sz w:val="17"/>
          <w:szCs w:val="17"/>
          <w:color w:val="auto"/>
        </w:rPr>
        <w:t>‑</w:t>
      </w:r>
      <w:r>
        <w:rPr>
          <w:rFonts w:ascii="Arial" w:cs="Arial" w:eastAsia="Arial" w:hAnsi="Arial"/>
          <w:sz w:val="17"/>
          <w:szCs w:val="17"/>
          <w:color w:val="auto"/>
        </w:rPr>
        <w:t>tumor efficacy with BLU</w:t>
      </w:r>
      <w:r>
        <w:rPr>
          <w:rFonts w:ascii="MS PGothic" w:cs="MS PGothic" w:eastAsia="MS PGothic" w:hAnsi="MS PGothic"/>
          <w:sz w:val="17"/>
          <w:szCs w:val="17"/>
          <w:color w:val="auto"/>
        </w:rPr>
        <w:t>‑</w:t>
      </w:r>
      <w:r>
        <w:rPr>
          <w:rFonts w:ascii="Arial" w:cs="Arial" w:eastAsia="Arial" w:hAnsi="Arial"/>
          <w:sz w:val="17"/>
          <w:szCs w:val="17"/>
          <w:color w:val="auto"/>
        </w:rPr>
        <w:t>285 in a P815 mouse mastocytoma allograft model where tumor growth is driven by a KIT Exon 17 mutation. BLU</w:t>
      </w:r>
      <w:r>
        <w:rPr>
          <w:rFonts w:ascii="MS PGothic" w:cs="MS PGothic" w:eastAsia="MS PGothic" w:hAnsi="MS PGothic"/>
          <w:sz w:val="17"/>
          <w:szCs w:val="17"/>
          <w:color w:val="auto"/>
        </w:rPr>
        <w:t>‑</w:t>
      </w:r>
      <w:r>
        <w:rPr>
          <w:rFonts w:ascii="Arial" w:cs="Arial" w:eastAsia="Arial" w:hAnsi="Arial"/>
          <w:sz w:val="17"/>
          <w:szCs w:val="17"/>
          <w:color w:val="auto"/>
        </w:rPr>
        <w:t>285 administered orally for nine days resulted in robust and dose</w:t>
      </w:r>
      <w:r>
        <w:rPr>
          <w:rFonts w:ascii="MS PGothic" w:cs="MS PGothic" w:eastAsia="MS PGothic" w:hAnsi="MS PGothic"/>
          <w:sz w:val="17"/>
          <w:szCs w:val="17"/>
          <w:color w:val="auto"/>
        </w:rPr>
        <w:t>‑</w:t>
      </w:r>
      <w:r>
        <w:rPr>
          <w:rFonts w:ascii="Arial" w:cs="Arial" w:eastAsia="Arial" w:hAnsi="Arial"/>
          <w:sz w:val="17"/>
          <w:szCs w:val="17"/>
          <w:color w:val="auto"/>
        </w:rPr>
        <w:t>dependent growth inhibition of P815 tumors. At a dose of 30 mg/kg once daily, a well</w:t>
      </w:r>
      <w:r>
        <w:rPr>
          <w:rFonts w:ascii="MS PGothic" w:cs="MS PGothic" w:eastAsia="MS PGothic" w:hAnsi="MS PGothic"/>
          <w:sz w:val="17"/>
          <w:szCs w:val="17"/>
          <w:color w:val="auto"/>
        </w:rPr>
        <w:t>‑</w:t>
      </w:r>
      <w:r>
        <w:rPr>
          <w:rFonts w:ascii="Arial" w:cs="Arial" w:eastAsia="Arial" w:hAnsi="Arial"/>
          <w:sz w:val="17"/>
          <w:szCs w:val="17"/>
          <w:color w:val="auto"/>
        </w:rPr>
        <w:t>tolerated dose, BLU</w:t>
      </w:r>
      <w:r>
        <w:rPr>
          <w:rFonts w:ascii="MS PGothic" w:cs="MS PGothic" w:eastAsia="MS PGothic" w:hAnsi="MS PGothic"/>
          <w:sz w:val="17"/>
          <w:szCs w:val="17"/>
          <w:color w:val="auto"/>
        </w:rPr>
        <w:t>‑</w:t>
      </w:r>
      <w:r>
        <w:rPr>
          <w:rFonts w:ascii="Arial" w:cs="Arial" w:eastAsia="Arial" w:hAnsi="Arial"/>
          <w:sz w:val="17"/>
          <w:szCs w:val="17"/>
          <w:color w:val="auto"/>
        </w:rPr>
        <w:t>285 caused tumor regression. We observed a correlation between the concentration of BLU</w:t>
      </w:r>
      <w:r>
        <w:rPr>
          <w:rFonts w:ascii="MS PGothic" w:cs="MS PGothic" w:eastAsia="MS PGothic" w:hAnsi="MS PGothic"/>
          <w:sz w:val="17"/>
          <w:szCs w:val="17"/>
          <w:color w:val="auto"/>
        </w:rPr>
        <w:t>‑</w:t>
      </w:r>
      <w:r>
        <w:rPr>
          <w:rFonts w:ascii="Arial" w:cs="Arial" w:eastAsia="Arial" w:hAnsi="Arial"/>
          <w:sz w:val="17"/>
          <w:szCs w:val="17"/>
          <w:color w:val="auto"/>
        </w:rPr>
        <w:t>285 in mouse plasma and the level of phosphorylated KIT in the tumor, which is a measure of KIT signaling activity. At a dose of 30 mg/kg, the level of phosphorylated KIT was inhibited by greater than or equal to 90% over the 24 hour dosing period. This is an expected consequence of inhibiting KIT signaling. This correlation between BLU</w:t>
      </w:r>
      <w:r>
        <w:rPr>
          <w:rFonts w:ascii="MS PGothic" w:cs="MS PGothic" w:eastAsia="MS PGothic" w:hAnsi="MS PGothic"/>
          <w:sz w:val="17"/>
          <w:szCs w:val="17"/>
          <w:color w:val="auto"/>
        </w:rPr>
        <w:t>‑</w:t>
      </w:r>
      <w:r>
        <w:rPr>
          <w:rFonts w:ascii="Arial" w:cs="Arial" w:eastAsia="Arial" w:hAnsi="Arial"/>
          <w:sz w:val="17"/>
          <w:szCs w:val="17"/>
          <w:color w:val="auto"/>
        </w:rPr>
        <w:t>285 plasma concentration, the level of phosphorylated KIT protein and anti</w:t>
      </w:r>
      <w:r>
        <w:rPr>
          <w:rFonts w:ascii="MS PGothic" w:cs="MS PGothic" w:eastAsia="MS PGothic" w:hAnsi="MS PGothic"/>
          <w:sz w:val="17"/>
          <w:szCs w:val="17"/>
          <w:color w:val="auto"/>
        </w:rPr>
        <w:t>‑</w:t>
      </w:r>
      <w:r>
        <w:rPr>
          <w:rFonts w:ascii="Arial" w:cs="Arial" w:eastAsia="Arial" w:hAnsi="Arial"/>
          <w:sz w:val="17"/>
          <w:szCs w:val="17"/>
          <w:color w:val="auto"/>
        </w:rPr>
        <w:t>tumor efficacy supports the observation that the anti</w:t>
      </w:r>
      <w:r>
        <w:rPr>
          <w:rFonts w:ascii="MS PGothic" w:cs="MS PGothic" w:eastAsia="MS PGothic" w:hAnsi="MS PGothic"/>
          <w:sz w:val="17"/>
          <w:szCs w:val="17"/>
          <w:color w:val="auto"/>
        </w:rPr>
        <w:t>‑</w:t>
      </w:r>
      <w:r>
        <w:rPr>
          <w:rFonts w:ascii="Arial" w:cs="Arial" w:eastAsia="Arial" w:hAnsi="Arial"/>
          <w:sz w:val="17"/>
          <w:szCs w:val="17"/>
          <w:color w:val="auto"/>
        </w:rPr>
        <w:t>tumor response is due to inhibition of KIT signaling. The anti</w:t>
      </w:r>
      <w:r>
        <w:rPr>
          <w:rFonts w:ascii="MS PGothic" w:cs="MS PGothic" w:eastAsia="MS PGothic" w:hAnsi="MS PGothic"/>
          <w:sz w:val="17"/>
          <w:szCs w:val="17"/>
          <w:color w:val="auto"/>
        </w:rPr>
        <w:t>‑</w:t>
      </w:r>
      <w:r>
        <w:rPr>
          <w:rFonts w:ascii="Arial" w:cs="Arial" w:eastAsia="Arial" w:hAnsi="Arial"/>
          <w:sz w:val="17"/>
          <w:szCs w:val="17"/>
          <w:color w:val="auto"/>
        </w:rPr>
        <w:t>tumor efficacy of dasatinib, a multi</w:t>
      </w:r>
      <w:r>
        <w:rPr>
          <w:rFonts w:ascii="MS PGothic" w:cs="MS PGothic" w:eastAsia="MS PGothic" w:hAnsi="MS PGothic"/>
          <w:sz w:val="17"/>
          <w:szCs w:val="17"/>
          <w:color w:val="auto"/>
        </w:rPr>
        <w:t>‑</w:t>
      </w:r>
      <w:r>
        <w:rPr>
          <w:rFonts w:ascii="Arial" w:cs="Arial" w:eastAsia="Arial" w:hAnsi="Arial"/>
          <w:sz w:val="17"/>
          <w:szCs w:val="17"/>
          <w:color w:val="auto"/>
        </w:rPr>
        <w:t>kinase inhibitor with KIT D816V activity, which has been studied in clinical trials of SM patients, was also evaluated in this study. Dasatinib dosed twice daily, or BID, at 25 mg/kg, a dose that resulted in significant body weight loss in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1433830</wp:posOffset>
            </wp:positionH>
            <wp:positionV relativeFrom="paragraph">
              <wp:posOffset>123825</wp:posOffset>
            </wp:positionV>
            <wp:extent cx="2889885" cy="1629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8988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200"/>
        <w:spacing w:after="0" w:line="159"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285 elicits dose</w:t>
      </w:r>
      <w:r>
        <w:rPr>
          <w:rFonts w:ascii="MS PGothic" w:cs="MS PGothic" w:eastAsia="MS PGothic" w:hAnsi="MS PGothic"/>
          <w:sz w:val="14"/>
          <w:szCs w:val="14"/>
          <w:color w:val="auto"/>
        </w:rPr>
        <w:t>‑</w:t>
      </w:r>
      <w:r>
        <w:rPr>
          <w:rFonts w:ascii="Arial" w:cs="Arial" w:eastAsia="Arial" w:hAnsi="Arial"/>
          <w:sz w:val="14"/>
          <w:szCs w:val="14"/>
          <w:color w:val="auto"/>
        </w:rPr>
        <w:t>dependent tumor regression in a mouse mastocytoma allograft model of SM. In the figure above, QD means once a day, BID means twice a day and PO means orally.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6"/>
          <w:szCs w:val="16"/>
          <w:color w:val="auto"/>
        </w:rPr>
        <w:t>To emulate the systemic nature of the disease, we developed an aggressive systemic mouse model of SM. In this model, whereas vehicle</w:t>
      </w:r>
      <w:r>
        <w:rPr>
          <w:rFonts w:ascii="MS PGothic" w:cs="MS PGothic" w:eastAsia="MS PGothic" w:hAnsi="MS PGothic"/>
          <w:sz w:val="16"/>
          <w:szCs w:val="16"/>
          <w:color w:val="auto"/>
        </w:rPr>
        <w:t>‑</w:t>
      </w:r>
      <w:r>
        <w:rPr>
          <w:rFonts w:ascii="Arial" w:cs="Arial" w:eastAsia="Arial" w:hAnsi="Arial"/>
          <w:sz w:val="16"/>
          <w:szCs w:val="16"/>
          <w:color w:val="auto"/>
        </w:rPr>
        <w:t>treated animals were terminated on day seven due to high disease burden, treatment with BLU</w:t>
      </w:r>
      <w:r>
        <w:rPr>
          <w:rFonts w:ascii="MS PGothic" w:cs="MS PGothic" w:eastAsia="MS PGothic" w:hAnsi="MS PGothic"/>
          <w:sz w:val="16"/>
          <w:szCs w:val="16"/>
          <w:color w:val="auto"/>
        </w:rPr>
        <w:t>‑</w:t>
      </w:r>
      <w:r>
        <w:rPr>
          <w:rFonts w:ascii="Arial" w:cs="Arial" w:eastAsia="Arial" w:hAnsi="Arial"/>
          <w:sz w:val="16"/>
          <w:szCs w:val="16"/>
          <w:color w:val="auto"/>
        </w:rPr>
        <w:t>285 enabled significant disease control such that animals treated with BLU</w:t>
      </w:r>
      <w:r>
        <w:rPr>
          <w:rFonts w:ascii="MS PGothic" w:cs="MS PGothic" w:eastAsia="MS PGothic" w:hAnsi="MS PGothic"/>
          <w:sz w:val="16"/>
          <w:szCs w:val="16"/>
          <w:color w:val="auto"/>
        </w:rPr>
        <w:t>‑</w:t>
      </w:r>
      <w:r>
        <w:rPr>
          <w:rFonts w:ascii="Arial" w:cs="Arial" w:eastAsia="Arial" w:hAnsi="Arial"/>
          <w:sz w:val="16"/>
          <w:szCs w:val="16"/>
          <w:color w:val="auto"/>
        </w:rPr>
        <w:t>285 at 30 mg/kg were terminated on day 22.</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Phase 1 Clinical Trial for BLU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285 for the Treatment of Advanced SM</w:t>
      </w:r>
    </w:p>
    <w:p>
      <w:pPr>
        <w:spacing w:after="0" w:line="185" w:lineRule="exact"/>
        <w:rPr>
          <w:sz w:val="20"/>
          <w:szCs w:val="20"/>
          <w:color w:val="auto"/>
        </w:rPr>
      </w:pPr>
    </w:p>
    <w:p>
      <w:pPr>
        <w:ind w:right="320" w:firstLine="648"/>
        <w:spacing w:after="0" w:line="224" w:lineRule="auto"/>
        <w:rPr>
          <w:sz w:val="20"/>
          <w:szCs w:val="20"/>
          <w:color w:val="auto"/>
        </w:rPr>
      </w:pPr>
      <w:r>
        <w:rPr>
          <w:rFonts w:ascii="Arial" w:cs="Arial" w:eastAsia="Arial" w:hAnsi="Arial"/>
          <w:sz w:val="18"/>
          <w:szCs w:val="18"/>
          <w:color w:val="auto"/>
        </w:rPr>
        <w:t>BLU-285 is currently being evaluated in the dose escalation stage of a Phase 1 clinical trial in patients with advanced SM, and enrollment is ongoing. In January 2016, the FDA granted orphan drug designation to BLU-285 for the treatment of SM.</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 December 2016, we presented preliminary data from our ongoing Phase 1 clinical trial at the 2016 American Society of Hematology Annual Meeting. The data showed that BLU-285 was observed to be well-tolerated and achieved proof-of-concept in advanced SM. As of the data cutoff date of November 11, 2016, BLU-285 had been administered to 12 patients at three dose levels (30 mg, 60 mg and 100 mg once daily, or QD). The median age was 61.5 (ranging from 39 to 82), and the KIT D816V mutation has been confirmed in bone marrow or blood from 11 of the 12 patients. Ten of the 12 patients remained on the clinical trial as of the data cutoff date. Preliminary pharmacokinetic, or PK, analysis at all dose levels demonstrated relatively rapid absorption of BLU-285 and a mean half-life of over 19 hours, which supports QD dosing and is consistent with the initial data reported by us from the dose escalation stage of our Phase 1 clinical trial for BLU-285 in patients with advanced GIST.</w:t>
      </w:r>
    </w:p>
    <w:p>
      <w:pPr>
        <w:spacing w:after="0" w:line="162"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i w:val="1"/>
          <w:iCs w:val="1"/>
          <w:color w:val="auto"/>
        </w:rPr>
        <w:t xml:space="preserve">Preliminary Safety Data. </w:t>
      </w:r>
      <w:r>
        <w:rPr>
          <w:rFonts w:ascii="Arial" w:cs="Arial" w:eastAsia="Arial" w:hAnsi="Arial"/>
          <w:sz w:val="16"/>
          <w:szCs w:val="16"/>
          <w:color w:val="auto"/>
        </w:rPr>
        <w:t>As of the data cutoff date of November 11, 2016, BLU-285 was observed to be well-tolerated at all doses. No patients discontinued treatment due to an adverse event, and no Grade 4 or worse treatment-related adverse events were reported. The majority of adverse events reported by investigators were Grade 1 or Grade 2, and adverse events that occurred in two or more patients included fatigue (four patients), anemia (three patients) and alkaline phosphatase elevation (three patients). All three cases of alkaline phosphatase elevation were Grade 3 but were asymptomatic and transient and occurred in the absence of transaminase or bilirubin elevations. In addition, the Grade 3 alkaline phosphatase elevations occurred in the three patients with the highest bone marrow mast cell burden at baseline, suggesting the transient alkaline phosphatase elevations may be consistent with a pharmacodynamic, or PD, effect of BLU-285 on mast cells in the bone. One of the three cases of alkaline phosphatase elevation was considered possibly treatment-related and defined as a dose-limiting toxicity at the 60 mg dose level. All three patients continued treatment with BLU-285 without a dose reduction.</w:t>
      </w:r>
    </w:p>
    <w:p>
      <w:pPr>
        <w:spacing w:after="0" w:line="16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i w:val="1"/>
          <w:iCs w:val="1"/>
          <w:color w:val="auto"/>
        </w:rPr>
        <w:t xml:space="preserve">Preliminary Clinical Activity Data. </w:t>
      </w:r>
      <w:r>
        <w:rPr>
          <w:rFonts w:ascii="Arial" w:cs="Arial" w:eastAsia="Arial" w:hAnsi="Arial"/>
          <w:sz w:val="18"/>
          <w:szCs w:val="18"/>
          <w:color w:val="auto"/>
        </w:rPr>
        <w:t>As of the data cutoff date of November 11, 2016, all 12 patients in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cohorts of the dose escalation stage of the clinical trial at doses ranging from 30 mg QD to 100 mg QD had completed at least two 28-day dosing cycles and were evaluated for signs of clinical activity.</w:t>
      </w:r>
    </w:p>
    <w:p>
      <w:pPr>
        <w:spacing w:after="0" w:line="163" w:lineRule="exact"/>
        <w:rPr>
          <w:sz w:val="20"/>
          <w:szCs w:val="20"/>
          <w:color w:val="auto"/>
        </w:rPr>
      </w:pPr>
    </w:p>
    <w:p>
      <w:pPr>
        <w:ind w:left="1060" w:right="100" w:hanging="85"/>
        <w:spacing w:after="0" w:line="25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Investigators observed decreases in bone marrow mast cell infiltrate, measured by bone marrow biopsy, in six of the eight patients who had a bone marrow biopsy after starting treatment with BLU-285.</w:t>
      </w:r>
    </w:p>
    <w:p>
      <w:pPr>
        <w:spacing w:after="0" w:line="146" w:lineRule="exact"/>
        <w:rPr>
          <w:rFonts w:ascii="Arial" w:cs="Arial" w:eastAsia="Arial" w:hAnsi="Arial"/>
          <w:sz w:val="17"/>
          <w:szCs w:val="17"/>
          <w:color w:val="auto"/>
        </w:rPr>
      </w:pPr>
    </w:p>
    <w:p>
      <w:pPr>
        <w:ind w:left="1060" w:right="520" w:hanging="85"/>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Three of the six patients had a decrease of bone marrow mast infiltrate of more than 50% from baseline, including one patient with no residual mast cells in the bone marrow.</w:t>
      </w:r>
    </w:p>
    <w:p>
      <w:pPr>
        <w:spacing w:after="0" w:line="161" w:lineRule="exact"/>
        <w:rPr>
          <w:rFonts w:ascii="Arial" w:cs="Arial" w:eastAsia="Arial" w:hAnsi="Arial"/>
          <w:sz w:val="18"/>
          <w:szCs w:val="18"/>
          <w:color w:val="auto"/>
        </w:rPr>
      </w:pPr>
    </w:p>
    <w:p>
      <w:pPr>
        <w:ind w:left="1060" w:right="460" w:hanging="85"/>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measurements at a central laboratory, serum tryptase decreased in 10 of 12 patients. The serum tryptase decrease was greater than 50% in eight patients.</w:t>
      </w:r>
    </w:p>
    <w:p>
      <w:pPr>
        <w:spacing w:after="0" w:line="161" w:lineRule="exact"/>
        <w:rPr>
          <w:rFonts w:ascii="Arial" w:cs="Arial" w:eastAsia="Arial" w:hAnsi="Arial"/>
          <w:sz w:val="18"/>
          <w:szCs w:val="18"/>
          <w:color w:val="auto"/>
        </w:rPr>
      </w:pPr>
    </w:p>
    <w:p>
      <w:pPr>
        <w:ind w:left="1060" w:hanging="85"/>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allele burden of D816V mutant KIT decreased within the first two treatment cycles in five of six evaluable patients in circulating tumor DNA and bone marrow.</w:t>
      </w:r>
    </w:p>
    <w:p>
      <w:pPr>
        <w:spacing w:after="0" w:line="161" w:lineRule="exact"/>
        <w:rPr>
          <w:rFonts w:ascii="Arial" w:cs="Arial" w:eastAsia="Arial" w:hAnsi="Arial"/>
          <w:sz w:val="18"/>
          <w:szCs w:val="18"/>
          <w:color w:val="auto"/>
        </w:rPr>
      </w:pPr>
    </w:p>
    <w:p>
      <w:pPr>
        <w:ind w:left="1060" w:right="340" w:hanging="85"/>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Rash improved in five patients with urticaria pigmentosa from baseline based on investigator assessments. Urticaria pigmentosa is an allergy-mediated rash common in SM patients.</w:t>
      </w:r>
    </w:p>
    <w:p>
      <w:pPr>
        <w:spacing w:after="0" w:line="161" w:lineRule="exact"/>
        <w:rPr>
          <w:rFonts w:ascii="Arial" w:cs="Arial" w:eastAsia="Arial" w:hAnsi="Arial"/>
          <w:sz w:val="18"/>
          <w:szCs w:val="18"/>
          <w:color w:val="auto"/>
        </w:rPr>
      </w:pPr>
    </w:p>
    <w:p>
      <w:pPr>
        <w:ind w:left="1060" w:right="920" w:hanging="85"/>
        <w:spacing w:after="0" w:line="235"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Weight increased in 10 patients, and albumin increased in 11 patients, suggesting improvements in malabsorption.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20" w:hanging="85"/>
        <w:spacing w:after="0" w:line="235"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Ten of 12 patients remained on treatment with BLU-285, and the duration of treatment ranged from one month to 8.1 months.</w:t>
      </w:r>
    </w:p>
    <w:p>
      <w:pPr>
        <w:spacing w:after="0" w:line="16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i w:val="1"/>
          <w:iCs w:val="1"/>
          <w:color w:val="auto"/>
        </w:rPr>
        <w:t xml:space="preserve">Clinical Development Plans. </w:t>
      </w:r>
      <w:r>
        <w:rPr>
          <w:rFonts w:ascii="Arial" w:cs="Arial" w:eastAsia="Arial" w:hAnsi="Arial"/>
          <w:sz w:val="17"/>
          <w:szCs w:val="17"/>
          <w:color w:val="auto"/>
        </w:rPr>
        <w:t>Our Phase 1 clinical trial for BLU-285 for the treatment of advanced SM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the safety and tolerability of BLU-285 in multiple ascending doses in patients with advanced SM, including ASM, SM-AHN and MCL with the goal of establishing a maximum tolerated dose, or MTD, or a recommended dose if the MTD is not achieved. The MTD for BLU-285 has not yet been established in this clinical trial, and enrollment in the dose escalation stage is ongoing. All patients will be tested retrospectively for KIT D816V mutational status. Once the MTD is reached, or a recommended dose is established, we will evaluate whether to open expansion cohorts for specific subtypes of SM. Secondary objectives for this clinical trial include assessment of the PK profile of BLU-285, assessment of response rate by the International Working Group Myeloproliferative Neoplasms Research and Treatment criteria, or IWG-MRT criteria, changes in KIT D816V mutant allele fractions in bone marrow and circulating tumor DNA, and changes in patient reported outcomes. The Phase 1 clinical trial is designed to enroll approximately 60 patients, including approximately 25 patients during dose escalation and approximately 35 additional patients in expansion cohorts, at multiple sites in the United States and the European Union.</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Based on the preliminary safety profile and clinical activity observed in this clinical trial, we plan to continue to enroll patients in the dose escalation stage of this Phase 1 clinical trial until an MTD is reached or a recommended dose is established. We plan to open enrollment in expansion cohorts to evaluate BLU-285 as a single agent in advanced SM once a recommended dose for further clinical evaluation has been determined or an MTD has been reached. We expect to initiate the expansion stage of this clinical trial in 2017 and plan to enroll approximately 35 patients with advanced SM in the expansion stage. In addition, based on the preliminary safety and clinical activity data, we plan to evaluate options to expand the clinical development of BLU-285 in other KIT-driven diseases, including possible opportunities for the treatment of indolent SM and KIT-mutant acute myeloid leukemia, groups of patients in need of more effective treatments.</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As there is currently no validated patient reported outcomes tool for SM, we are collaborating with a health research outcomes group to develop a disease-specific patient reported outcome tool to measure changes in total symptom burden in patients with advanced SM. In addition, we are working with patient advocacy groups relevant to SM in order to:</w:t>
      </w:r>
    </w:p>
    <w:p>
      <w:pPr>
        <w:spacing w:after="0" w:line="147" w:lineRule="exact"/>
        <w:rPr>
          <w:sz w:val="20"/>
          <w:szCs w:val="20"/>
          <w:color w:val="auto"/>
        </w:rPr>
      </w:pPr>
    </w:p>
    <w:p>
      <w:pPr>
        <w:ind w:left="1060" w:hanging="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raise awareness of our Phase 1 clinical trial for BLU-285 for the treatment of advanced SM;</w:t>
      </w:r>
    </w:p>
    <w:p>
      <w:pPr>
        <w:spacing w:after="0" w:line="184" w:lineRule="exact"/>
        <w:rPr>
          <w:rFonts w:ascii="Arial" w:cs="Arial" w:eastAsia="Arial" w:hAnsi="Arial"/>
          <w:sz w:val="18"/>
          <w:szCs w:val="18"/>
          <w:color w:val="auto"/>
        </w:rPr>
      </w:pPr>
    </w:p>
    <w:p>
      <w:pPr>
        <w:ind w:left="1060" w:right="20" w:hanging="85"/>
        <w:spacing w:after="0" w:line="224"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 patients to join a patient registry that we launched in December 2015 to help improve the understanding of mastocytosis from the perspective of patients and to increase participation and enrollment in clinical trials for mastocytosis that we or others may conduct in the future; and</w:t>
      </w:r>
    </w:p>
    <w:p>
      <w:pPr>
        <w:spacing w:after="0" w:line="163" w:lineRule="exact"/>
        <w:rPr>
          <w:rFonts w:ascii="Arial" w:cs="Arial" w:eastAsia="Arial" w:hAnsi="Arial"/>
          <w:sz w:val="18"/>
          <w:szCs w:val="18"/>
          <w:color w:val="auto"/>
        </w:rPr>
      </w:pPr>
    </w:p>
    <w:p>
      <w:pPr>
        <w:ind w:left="1080" w:hanging="105"/>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 the SM patient perspective into our ongoing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Gastrointestinal Stromal Tumors (GIST)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GIST Disease Background</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GIST is a rare disease that is a sarcoma of the GI tract. Tumors arise within cells in the wall of the GI tract and occur most often in the stomach or small intestine. Most patients are diagnosed between the ages of 50</w:t>
      </w:r>
      <w:r>
        <w:rPr>
          <w:rFonts w:ascii="MS PGothic" w:cs="MS PGothic" w:eastAsia="MS PGothic" w:hAnsi="MS PGothic"/>
          <w:sz w:val="18"/>
          <w:szCs w:val="18"/>
          <w:color w:val="auto"/>
        </w:rPr>
        <w:t>‑</w:t>
      </w:r>
      <w:r>
        <w:rPr>
          <w:rFonts w:ascii="Arial" w:cs="Arial" w:eastAsia="Arial" w:hAnsi="Arial"/>
          <w:sz w:val="18"/>
          <w:szCs w:val="18"/>
          <w:color w:val="auto"/>
        </w:rPr>
        <w:t>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62"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The GIST treatment paradigm has advanced dramatically over the past 15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5</w:t>
      </w:r>
      <w:r>
        <w:rPr>
          <w:rFonts w:ascii="MS PGothic" w:cs="MS PGothic" w:eastAsia="MS PGothic" w:hAnsi="MS PGothic"/>
          <w:sz w:val="18"/>
          <w:szCs w:val="18"/>
          <w:color w:val="auto"/>
        </w:rPr>
        <w:t>‑</w:t>
      </w:r>
      <w:r>
        <w:rPr>
          <w:rFonts w:ascii="Arial" w:cs="Arial" w:eastAsia="Arial" w:hAnsi="Arial"/>
          <w:sz w:val="18"/>
          <w:szCs w:val="18"/>
          <w:color w:val="auto"/>
        </w:rPr>
        <w:t>year median overall survival. Unresectable or metastatic patients typically receive imatinib, followed by sunitinib and regorafenib as the disease progresses.</w:t>
      </w:r>
    </w:p>
    <w:p>
      <w:pPr>
        <w:spacing w:after="0" w:line="162" w:lineRule="exact"/>
        <w:rPr>
          <w:sz w:val="20"/>
          <w:szCs w:val="20"/>
          <w:color w:val="auto"/>
        </w:rPr>
      </w:pPr>
    </w:p>
    <w:p>
      <w:pPr>
        <w:ind w:right="180" w:firstLine="648"/>
        <w:spacing w:after="0" w:line="203" w:lineRule="exact"/>
        <w:rPr>
          <w:sz w:val="20"/>
          <w:szCs w:val="20"/>
          <w:color w:val="auto"/>
        </w:rPr>
      </w:pPr>
      <w:r>
        <w:rPr>
          <w:rFonts w:ascii="Arial" w:cs="Arial" w:eastAsia="Arial" w:hAnsi="Arial"/>
          <w:sz w:val="16"/>
          <w:szCs w:val="16"/>
          <w:color w:val="auto"/>
        </w:rPr>
        <w:t>Patients with PDGFRα D842V</w:t>
      </w:r>
      <w:r>
        <w:rPr>
          <w:rFonts w:ascii="MS PGothic" w:cs="MS PGothic" w:eastAsia="MS PGothic" w:hAnsi="MS PGothic"/>
          <w:sz w:val="16"/>
          <w:szCs w:val="16"/>
          <w:color w:val="auto"/>
        </w:rPr>
        <w:t>‑</w:t>
      </w:r>
      <w:r>
        <w:rPr>
          <w:rFonts w:ascii="Arial" w:cs="Arial" w:eastAsia="Arial" w:hAnsi="Arial"/>
          <w:sz w:val="16"/>
          <w:szCs w:val="16"/>
          <w:color w:val="auto"/>
        </w:rPr>
        <w:t>driven GIST have great unmet medical need, as no approved medical therapies are effective. Progression can occur within as little as three months, and the median overall survival is 15 months for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03" w:lineRule="exact"/>
        <w:rPr>
          <w:sz w:val="20"/>
          <w:szCs w:val="20"/>
          <w:color w:val="auto"/>
        </w:rPr>
      </w:pPr>
      <w:r>
        <w:rPr>
          <w:rFonts w:ascii="Arial" w:cs="Arial" w:eastAsia="Arial" w:hAnsi="Arial"/>
          <w:sz w:val="16"/>
          <w:szCs w:val="16"/>
          <w:color w:val="auto"/>
        </w:rPr>
        <w:t>patients with advanced disease. The PDGFRα D842V mutation is found in 5</w:t>
      </w:r>
      <w:r>
        <w:rPr>
          <w:rFonts w:ascii="MS PGothic" w:cs="MS PGothic" w:eastAsia="MS PGothic" w:hAnsi="MS PGothic"/>
          <w:sz w:val="16"/>
          <w:szCs w:val="16"/>
          <w:color w:val="auto"/>
        </w:rPr>
        <w:t>‑</w:t>
      </w:r>
      <w:r>
        <w:rPr>
          <w:rFonts w:ascii="Arial" w:cs="Arial" w:eastAsia="Arial" w:hAnsi="Arial"/>
          <w:sz w:val="16"/>
          <w:szCs w:val="16"/>
          <w:color w:val="auto"/>
        </w:rPr>
        <w:t>6% of frontline unresectable or metastatic GIST patients. In the Major Markets, we estimate there are approximately 500 patients with PDGFRα D842V</w:t>
      </w:r>
      <w:r>
        <w:rPr>
          <w:rFonts w:ascii="MS PGothic" w:cs="MS PGothic" w:eastAsia="MS PGothic" w:hAnsi="MS PGothic"/>
          <w:sz w:val="16"/>
          <w:szCs w:val="16"/>
          <w:color w:val="auto"/>
        </w:rPr>
        <w:t>‑</w:t>
      </w:r>
      <w:r>
        <w:rPr>
          <w:rFonts w:ascii="Arial" w:cs="Arial" w:eastAsia="Arial" w:hAnsi="Arial"/>
          <w:sz w:val="16"/>
          <w:szCs w:val="16"/>
          <w:color w:val="auto"/>
        </w:rPr>
        <w:t>driven GIST.</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For patients with KIT</w:t>
      </w:r>
      <w:r>
        <w:rPr>
          <w:rFonts w:ascii="MS PGothic" w:cs="MS PGothic" w:eastAsia="MS PGothic" w:hAnsi="MS PGothic"/>
          <w:sz w:val="17"/>
          <w:szCs w:val="17"/>
          <w:color w:val="auto"/>
        </w:rPr>
        <w:t>‑</w:t>
      </w:r>
      <w:r>
        <w:rPr>
          <w:rFonts w:ascii="Arial" w:cs="Arial" w:eastAsia="Arial" w:hAnsi="Arial"/>
          <w:sz w:val="17"/>
          <w:szCs w:val="17"/>
          <w:color w:val="auto"/>
        </w:rPr>
        <w:t>driven GIST, current medical therapies slow the course of disease but progression is inevitable in most cases. Up to 50% of patients treated with frontline imatinib relapse within approximately 18 months. Of the secondary resistance mutations that lead to relapse, mutations in KIT Exon 17 are not addressed by current therapies. KIT Exon 17 mutations are rare in treatment</w:t>
      </w:r>
      <w:r>
        <w:rPr>
          <w:rFonts w:ascii="MS PGothic" w:cs="MS PGothic" w:eastAsia="MS PGothic" w:hAnsi="MS PGothic"/>
          <w:sz w:val="17"/>
          <w:szCs w:val="17"/>
          <w:color w:val="auto"/>
        </w:rPr>
        <w:t>‑</w:t>
      </w:r>
      <w:r>
        <w:rPr>
          <w:rFonts w:ascii="Arial" w:cs="Arial" w:eastAsia="Arial" w:hAnsi="Arial"/>
          <w:sz w:val="17"/>
          <w:szCs w:val="17"/>
          <w:color w:val="auto"/>
        </w:rPr>
        <w:t>naïve patients (&lt;1%); however selective pressure due to treatment with imatinib and sunitinib causes KIT Exon 17 mutations to emerge with increasing frequency (approximately 23% of second line imatinib</w:t>
      </w:r>
      <w:r>
        <w:rPr>
          <w:rFonts w:ascii="MS PGothic" w:cs="MS PGothic" w:eastAsia="MS PGothic" w:hAnsi="MS PGothic"/>
          <w:sz w:val="17"/>
          <w:szCs w:val="17"/>
          <w:color w:val="auto"/>
        </w:rPr>
        <w:t>‑</w:t>
      </w:r>
      <w:r>
        <w:rPr>
          <w:rFonts w:ascii="Arial" w:cs="Arial" w:eastAsia="Arial" w:hAnsi="Arial"/>
          <w:sz w:val="17"/>
          <w:szCs w:val="17"/>
          <w:color w:val="auto"/>
        </w:rPr>
        <w:t>resistant patients and more than 90% of third line imatinib/sunitinib resistant patients). These mutations confer resistance to current treatments. A therapy that effectively suppresses these mutants and that is potentially amenable to combinations with existing agents is needed. In the Major Markets, we estimate there are approximately 6,300 second line and third line patients with KIT-driven GIST. Finally, we believe frontline combinations with imatinib will have the potential to dramatically increase the duration of response. In the Major Markets, we estimate there are approximately 21,400 total patients with unresectable or metastatic GIST, including approximately 8,700 patients with unresectable or metastatic frontline GIST.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KIT and PDGFRα Driver Mutations in GIST</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GIST is a tumor type that depends on continued signaling of a single, aberrantly active kinase. Most GISTs result from primary mutations in KIT or PDGFRα. Up to 80% of patients have KIT</w:t>
      </w:r>
      <w:r>
        <w:rPr>
          <w:rFonts w:ascii="MS PGothic" w:cs="MS PGothic" w:eastAsia="MS PGothic" w:hAnsi="MS PGothic"/>
          <w:sz w:val="16"/>
          <w:szCs w:val="16"/>
          <w:color w:val="auto"/>
        </w:rPr>
        <w:t>‑</w:t>
      </w:r>
      <w:r>
        <w:rPr>
          <w:rFonts w:ascii="Arial" w:cs="Arial" w:eastAsia="Arial" w:hAnsi="Arial"/>
          <w:sz w:val="16"/>
          <w:szCs w:val="16"/>
          <w:color w:val="auto"/>
        </w:rPr>
        <w:t>driven GIST. Imatinib effectively inhibits most of KIT primary mutations; however over time, secondary mutations occur elsewhere in the KIT gene that lead to kinase activation despite the presence of imatinib, thereby leading to disease progression. The most common mutation in the PDGFRα gene is D842V, found in approximately 5</w:t>
      </w:r>
      <w:r>
        <w:rPr>
          <w:rFonts w:ascii="MS PGothic" w:cs="MS PGothic" w:eastAsia="MS PGothic" w:hAnsi="MS PGothic"/>
          <w:sz w:val="16"/>
          <w:szCs w:val="16"/>
          <w:color w:val="auto"/>
        </w:rPr>
        <w:t>‑</w:t>
      </w:r>
      <w:r>
        <w:rPr>
          <w:rFonts w:ascii="Arial" w:cs="Arial" w:eastAsia="Arial" w:hAnsi="Arial"/>
          <w:sz w:val="16"/>
          <w:szCs w:val="16"/>
          <w:color w:val="auto"/>
        </w:rPr>
        <w:t>6% of frontline unresectable or metastatic GIST patients. There is currently no therapeutic option for patients with D842V mutant PDGFRα</w:t>
      </w:r>
      <w:r>
        <w:rPr>
          <w:rFonts w:ascii="MS PGothic" w:cs="MS PGothic" w:eastAsia="MS PGothic" w:hAnsi="MS PGothic"/>
          <w:sz w:val="16"/>
          <w:szCs w:val="16"/>
          <w:color w:val="auto"/>
        </w:rPr>
        <w:t>‑</w:t>
      </w:r>
      <w:r>
        <w:rPr>
          <w:rFonts w:ascii="Arial" w:cs="Arial" w:eastAsia="Arial" w:hAnsi="Arial"/>
          <w:sz w:val="16"/>
          <w:szCs w:val="16"/>
          <w:color w:val="auto"/>
        </w:rPr>
        <w:t>driven GIST. PDGFRα has a very similar active site structure to KIT, and the PDGFRα D842V mutation is homologous to KIT D816V. As in the case of KIT Exon 17 mutant receptors, PDGFRα D842V mutations confer ligand</w:t>
      </w:r>
      <w:r>
        <w:rPr>
          <w:rFonts w:ascii="MS PGothic" w:cs="MS PGothic" w:eastAsia="MS PGothic" w:hAnsi="MS PGothic"/>
          <w:sz w:val="16"/>
          <w:szCs w:val="16"/>
          <w:color w:val="auto"/>
        </w:rPr>
        <w:t>‑</w:t>
      </w:r>
      <w:r>
        <w:rPr>
          <w:rFonts w:ascii="Arial" w:cs="Arial" w:eastAsia="Arial" w:hAnsi="Arial"/>
          <w:sz w:val="16"/>
          <w:szCs w:val="16"/>
          <w:color w:val="auto"/>
        </w:rPr>
        <w:t>independent constitutive signaling of the mutant PDGFRα kinase.</w:t>
      </w:r>
    </w:p>
    <w:p>
      <w:pPr>
        <w:spacing w:after="0" w:line="167"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BLU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285 Pre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clinical Development in GIST</w:t>
      </w:r>
    </w:p>
    <w:p>
      <w:pPr>
        <w:spacing w:after="0" w:line="185" w:lineRule="exact"/>
        <w:rPr>
          <w:sz w:val="20"/>
          <w:szCs w:val="20"/>
          <w:color w:val="auto"/>
        </w:rPr>
      </w:pPr>
    </w:p>
    <w:p>
      <w:pPr>
        <w:ind w:firstLine="648"/>
        <w:spacing w:after="0" w:line="211" w:lineRule="exact"/>
        <w:rPr>
          <w:sz w:val="20"/>
          <w:szCs w:val="20"/>
          <w:color w:val="auto"/>
        </w:rPr>
      </w:pPr>
      <w:r>
        <w:rPr>
          <w:rFonts w:ascii="Arial" w:cs="Arial" w:eastAsia="Arial" w:hAnsi="Arial"/>
          <w:sz w:val="16"/>
          <w:szCs w:val="16"/>
          <w:color w:val="auto"/>
        </w:rPr>
        <w:t>We have conducted comprehensive pre-clinical experiments to characterize the potency and selectivity of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 xml:space="preserve">285 potently inhibits PDGFRα D842V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0.24 nM). In contrast, imatinib inhibits PDGFRα D842V at least</w:t>
      </w:r>
    </w:p>
    <w:p>
      <w:pPr>
        <w:spacing w:after="0" w:line="230" w:lineRule="exact"/>
        <w:rPr>
          <w:sz w:val="20"/>
          <w:szCs w:val="20"/>
          <w:color w:val="auto"/>
        </w:rPr>
      </w:pPr>
      <w:r>
        <w:rPr>
          <w:rFonts w:ascii="Arial" w:cs="Arial" w:eastAsia="Arial" w:hAnsi="Arial"/>
          <w:sz w:val="16"/>
          <w:szCs w:val="16"/>
          <w:color w:val="auto"/>
        </w:rPr>
        <w:t>3,000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759 nM). In a cellular model driven by an activated PDGFRα D842V mutant protein,</w:t>
      </w:r>
    </w:p>
    <w:p>
      <w:pPr>
        <w:spacing w:after="0" w:line="1" w:lineRule="exact"/>
        <w:rPr>
          <w:sz w:val="20"/>
          <w:szCs w:val="20"/>
          <w:color w:val="auto"/>
        </w:rPr>
      </w:pPr>
    </w:p>
    <w:p>
      <w:pPr>
        <w:ind w:right="220"/>
        <w:spacing w:after="0" w:line="203" w:lineRule="exact"/>
        <w:rPr>
          <w:sz w:val="20"/>
          <w:szCs w:val="20"/>
          <w:color w:val="auto"/>
        </w:rPr>
      </w:pPr>
      <w:r>
        <w:rPr>
          <w:rFonts w:ascii="Arial" w:cs="Arial" w:eastAsia="Arial" w:hAnsi="Arial"/>
          <w:sz w:val="16"/>
          <w:szCs w:val="16"/>
          <w:color w:val="auto"/>
        </w:rPr>
        <w:t>BLU</w:t>
      </w:r>
      <w:r>
        <w:rPr>
          <w:rFonts w:ascii="MS PGothic" w:cs="MS PGothic" w:eastAsia="MS PGothic" w:hAnsi="MS PGothic"/>
          <w:sz w:val="16"/>
          <w:szCs w:val="16"/>
          <w:color w:val="auto"/>
        </w:rPr>
        <w:t>‑</w:t>
      </w:r>
      <w:r>
        <w:rPr>
          <w:rFonts w:ascii="Arial" w:cs="Arial" w:eastAsia="Arial" w:hAnsi="Arial"/>
          <w:sz w:val="16"/>
          <w:szCs w:val="16"/>
          <w:color w:val="auto"/>
        </w:rPr>
        <w:t>285 potently inhibits signaling of the oncogenic PDGFRα mutant protein as measured by inhibition of PDGFRα autophosphorylation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30 nM). By comparison, imatinib shows at least 100</w:t>
      </w:r>
      <w:r>
        <w:rPr>
          <w:rFonts w:ascii="MS PGothic" w:cs="MS PGothic" w:eastAsia="MS PGothic" w:hAnsi="MS PGothic"/>
          <w:sz w:val="16"/>
          <w:szCs w:val="16"/>
          <w:color w:val="auto"/>
        </w:rPr>
        <w:t>‑</w:t>
      </w:r>
      <w:r>
        <w:rPr>
          <w:rFonts w:ascii="Arial" w:cs="Arial" w:eastAsia="Arial" w:hAnsi="Arial"/>
          <w:sz w:val="16"/>
          <w:szCs w:val="16"/>
          <w:color w:val="auto"/>
        </w:rPr>
        <w:t>fold lower potency in the cellular model</w:t>
      </w:r>
    </w:p>
    <w:p>
      <w:pPr>
        <w:jc w:val="center"/>
        <w:ind w:right="40"/>
        <w:spacing w:after="0" w:line="246" w:lineRule="exact"/>
        <w:rPr>
          <w:sz w:val="20"/>
          <w:szCs w:val="20"/>
          <w:color w:val="auto"/>
        </w:rPr>
      </w:pPr>
      <w:r>
        <w:rPr>
          <w:rFonts w:ascii="Arial" w:cs="Arial" w:eastAsia="Arial" w:hAnsi="Arial"/>
          <w:sz w:val="16"/>
          <w:szCs w:val="16"/>
          <w:color w:val="auto"/>
        </w:rPr>
        <w:t>(IC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3,145 nM). The selectivity of BLU</w:t>
      </w:r>
      <w:r>
        <w:rPr>
          <w:rFonts w:ascii="MS PGothic" w:cs="MS PGothic" w:eastAsia="MS PGothic" w:hAnsi="MS PGothic"/>
          <w:sz w:val="16"/>
          <w:szCs w:val="16"/>
          <w:color w:val="auto"/>
        </w:rPr>
        <w:t>‑</w:t>
      </w:r>
      <w:r>
        <w:rPr>
          <w:rFonts w:ascii="Arial" w:cs="Arial" w:eastAsia="Arial" w:hAnsi="Arial"/>
          <w:sz w:val="16"/>
          <w:szCs w:val="16"/>
          <w:color w:val="auto"/>
        </w:rPr>
        <w:t>285 has been discussed with the KINOME</w:t>
      </w:r>
      <w:r>
        <w:rPr>
          <w:rFonts w:ascii="Arial" w:cs="Arial" w:eastAsia="Arial" w:hAnsi="Arial"/>
          <w:sz w:val="16"/>
          <w:szCs w:val="16"/>
          <w:i w:val="1"/>
          <w:iCs w:val="1"/>
          <w:color w:val="auto"/>
        </w:rPr>
        <w:t>scan</w:t>
      </w:r>
      <w:r>
        <w:rPr>
          <w:rFonts w:ascii="Arial" w:cs="Arial" w:eastAsia="Arial" w:hAnsi="Arial"/>
          <w:sz w:val="16"/>
          <w:szCs w:val="16"/>
          <w:color w:val="auto"/>
        </w:rPr>
        <w:t xml:space="preserve"> data shown in the section on SM.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PDGFRα D842V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137795</wp:posOffset>
            </wp:positionV>
            <wp:extent cx="2315210" cy="1029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15210"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right="100"/>
        <w:spacing w:after="0" w:line="159" w:lineRule="exact"/>
        <w:rPr>
          <w:sz w:val="20"/>
          <w:szCs w:val="20"/>
          <w:color w:val="auto"/>
        </w:rPr>
      </w:pPr>
      <w:r>
        <w:rPr>
          <w:rFonts w:ascii="Arial" w:cs="Arial" w:eastAsia="Arial" w:hAnsi="Arial"/>
          <w:sz w:val="14"/>
          <w:szCs w:val="14"/>
          <w:color w:val="auto"/>
        </w:rPr>
        <w:t>Inhibitory potency of BLU</w:t>
      </w:r>
      <w:r>
        <w:rPr>
          <w:rFonts w:ascii="MS PGothic" w:cs="MS PGothic" w:eastAsia="MS PGothic" w:hAnsi="MS PGothic"/>
          <w:sz w:val="14"/>
          <w:szCs w:val="14"/>
          <w:color w:val="auto"/>
        </w:rPr>
        <w:t>‑</w:t>
      </w:r>
      <w:r>
        <w:rPr>
          <w:rFonts w:ascii="Arial" w:cs="Arial" w:eastAsia="Arial" w:hAnsi="Arial"/>
          <w:sz w:val="14"/>
          <w:szCs w:val="14"/>
          <w:color w:val="auto"/>
        </w:rPr>
        <w:t>285 compared to imatinib. The inhibitory potency of BLU</w:t>
      </w:r>
      <w:r>
        <w:rPr>
          <w:rFonts w:ascii="MS PGothic" w:cs="MS PGothic" w:eastAsia="MS PGothic" w:hAnsi="MS PGothic"/>
          <w:sz w:val="14"/>
          <w:szCs w:val="14"/>
          <w:color w:val="auto"/>
        </w:rPr>
        <w:t>‑</w:t>
      </w:r>
      <w:r>
        <w:rPr>
          <w:rFonts w:ascii="Arial" w:cs="Arial" w:eastAsia="Arial" w:hAnsi="Arial"/>
          <w:sz w:val="14"/>
          <w:szCs w:val="14"/>
          <w:color w:val="auto"/>
        </w:rPr>
        <w:t xml:space="preserve">285 and imatinib against PDGFRα D842V was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 and in a cellular model driven by an activated PDGFRα D842V mutant protein.</w:t>
      </w:r>
    </w:p>
    <w:p>
      <w:pPr>
        <w:spacing w:after="0" w:line="174"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We have demonstrated significant anti</w:t>
      </w:r>
      <w:r>
        <w:rPr>
          <w:rFonts w:ascii="MS PGothic" w:cs="MS PGothic" w:eastAsia="MS PGothic" w:hAnsi="MS PGothic"/>
          <w:sz w:val="18"/>
          <w:szCs w:val="18"/>
          <w:color w:val="auto"/>
        </w:rPr>
        <w:t>‑</w:t>
      </w:r>
      <w:r>
        <w:rPr>
          <w:rFonts w:ascii="Arial" w:cs="Arial" w:eastAsia="Arial" w:hAnsi="Arial"/>
          <w:sz w:val="18"/>
          <w:szCs w:val="18"/>
          <w:color w:val="auto"/>
        </w:rPr>
        <w:t>tumor efficacy with BLU</w:t>
      </w:r>
      <w:r>
        <w:rPr>
          <w:rFonts w:ascii="MS PGothic" w:cs="MS PGothic" w:eastAsia="MS PGothic" w:hAnsi="MS PGothic"/>
          <w:sz w:val="18"/>
          <w:szCs w:val="18"/>
          <w:color w:val="auto"/>
        </w:rPr>
        <w:t>‑</w:t>
      </w:r>
      <w:r>
        <w:rPr>
          <w:rFonts w:ascii="Arial" w:cs="Arial" w:eastAsia="Arial" w:hAnsi="Arial"/>
          <w:sz w:val="18"/>
          <w:szCs w:val="18"/>
          <w:color w:val="auto"/>
        </w:rPr>
        <w:t>285 in an imatinib-resistant patient</w:t>
      </w:r>
      <w:r>
        <w:rPr>
          <w:rFonts w:ascii="MS PGothic" w:cs="MS PGothic" w:eastAsia="MS PGothic" w:hAnsi="MS PGothic"/>
          <w:sz w:val="18"/>
          <w:szCs w:val="18"/>
          <w:color w:val="auto"/>
        </w:rPr>
        <w:t>‑</w:t>
      </w:r>
      <w:r>
        <w:rPr>
          <w:rFonts w:ascii="Arial" w:cs="Arial" w:eastAsia="Arial" w:hAnsi="Arial"/>
          <w:sz w:val="18"/>
          <w:szCs w:val="18"/>
          <w:color w:val="auto"/>
        </w:rPr>
        <w:t>derived xenograft model with a KIT Exon 17 resistance mutation, similar to what is found in relapsed/refractory KIT</w:t>
      </w:r>
      <w:r>
        <w:rPr>
          <w:rFonts w:ascii="MS PGothic" w:cs="MS PGothic" w:eastAsia="MS PGothic" w:hAnsi="MS PGothic"/>
          <w:sz w:val="18"/>
          <w:szCs w:val="18"/>
          <w:color w:val="auto"/>
        </w:rPr>
        <w:t>‑</w:t>
      </w:r>
      <w:r>
        <w:rPr>
          <w:rFonts w:ascii="Arial" w:cs="Arial" w:eastAsia="Arial" w:hAnsi="Arial"/>
          <w:sz w:val="18"/>
          <w:szCs w:val="18"/>
          <w:color w:val="auto"/>
        </w:rPr>
        <w:t>driven GIST as shown below. BLU</w:t>
      </w:r>
      <w:r>
        <w:rPr>
          <w:rFonts w:ascii="MS PGothic" w:cs="MS PGothic" w:eastAsia="MS PGothic" w:hAnsi="MS PGothic"/>
          <w:sz w:val="18"/>
          <w:szCs w:val="18"/>
          <w:color w:val="auto"/>
        </w:rPr>
        <w:t>‑</w:t>
      </w:r>
      <w:r>
        <w:rPr>
          <w:rFonts w:ascii="Arial" w:cs="Arial" w:eastAsia="Arial" w:hAnsi="Arial"/>
          <w:sz w:val="18"/>
          <w:szCs w:val="18"/>
          <w:color w:val="auto"/>
        </w:rPr>
        <w:t>285 administered orally for 25 days resulted in tumor regression at the two highest tested doses, which were well-tolerated.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936625</wp:posOffset>
            </wp:positionH>
            <wp:positionV relativeFrom="paragraph">
              <wp:posOffset>135255</wp:posOffset>
            </wp:positionV>
            <wp:extent cx="3884930" cy="2023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8493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right="160"/>
        <w:spacing w:after="0" w:line="159"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285 elicits dose</w:t>
      </w:r>
      <w:r>
        <w:rPr>
          <w:rFonts w:ascii="MS PGothic" w:cs="MS PGothic" w:eastAsia="MS PGothic" w:hAnsi="MS PGothic"/>
          <w:sz w:val="14"/>
          <w:szCs w:val="14"/>
          <w:color w:val="auto"/>
        </w:rPr>
        <w:t>‑</w:t>
      </w:r>
      <w:r>
        <w:rPr>
          <w:rFonts w:ascii="Arial" w:cs="Arial" w:eastAsia="Arial" w:hAnsi="Arial"/>
          <w:sz w:val="14"/>
          <w:szCs w:val="14"/>
          <w:color w:val="auto"/>
        </w:rPr>
        <w:t>dependent tumor regression in a patient</w:t>
      </w:r>
      <w:r>
        <w:rPr>
          <w:rFonts w:ascii="MS PGothic" w:cs="MS PGothic" w:eastAsia="MS PGothic" w:hAnsi="MS PGothic"/>
          <w:sz w:val="14"/>
          <w:szCs w:val="14"/>
          <w:color w:val="auto"/>
        </w:rPr>
        <w:t>‑</w:t>
      </w:r>
      <w:r>
        <w:rPr>
          <w:rFonts w:ascii="Arial" w:cs="Arial" w:eastAsia="Arial" w:hAnsi="Arial"/>
          <w:sz w:val="14"/>
          <w:szCs w:val="14"/>
          <w:color w:val="auto"/>
        </w:rPr>
        <w:t>derived GIST xenograft model with a KIT Exon 11 mutation and a KIT Exon 17 resistance mutation. In the figure above, QD means once a day and BID means twice a day.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we have developed an understanding of the biology that will inform the development of combinations to</w:t>
      </w:r>
    </w:p>
    <w:p>
      <w:pPr>
        <w:spacing w:after="0"/>
        <w:rPr>
          <w:sz w:val="20"/>
          <w:szCs w:val="20"/>
          <w:color w:val="auto"/>
        </w:rPr>
      </w:pPr>
      <w:r>
        <w:rPr>
          <w:rFonts w:ascii="Arial" w:cs="Arial" w:eastAsia="Arial" w:hAnsi="Arial"/>
          <w:sz w:val="16"/>
          <w:szCs w:val="16"/>
          <w:color w:val="auto"/>
        </w:rPr>
        <w:t>address these resistance mutations. We performed a comprehensive analysis of these secondary KIT Exon 17 mutations,</w:t>
      </w:r>
    </w:p>
    <w:p>
      <w:pPr>
        <w:spacing w:after="0" w:line="229" w:lineRule="auto"/>
        <w:rPr>
          <w:sz w:val="20"/>
          <w:szCs w:val="20"/>
          <w:color w:val="auto"/>
        </w:rPr>
      </w:pPr>
      <w:r>
        <w:rPr>
          <w:rFonts w:ascii="Arial" w:cs="Arial" w:eastAsia="Arial" w:hAnsi="Arial"/>
          <w:sz w:val="16"/>
          <w:szCs w:val="16"/>
          <w:color w:val="auto"/>
        </w:rPr>
        <w:t>analyzing the literature and unpublished data from opinion leaders to understand which mutations occur and to quantify their</w:t>
      </w:r>
    </w:p>
    <w:p>
      <w:pPr>
        <w:spacing w:after="0" w:line="229" w:lineRule="auto"/>
        <w:rPr>
          <w:sz w:val="20"/>
          <w:szCs w:val="20"/>
          <w:color w:val="auto"/>
        </w:rPr>
      </w:pPr>
      <w:r>
        <w:rPr>
          <w:rFonts w:ascii="Arial" w:cs="Arial" w:eastAsia="Arial" w:hAnsi="Arial"/>
          <w:sz w:val="16"/>
          <w:szCs w:val="16"/>
          <w:color w:val="auto"/>
        </w:rPr>
        <w:t xml:space="preserve">frequency in the clinical setting. We also conducted a series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biochemistry experiments using compounds from our</w:t>
      </w:r>
    </w:p>
    <w:p>
      <w:pPr>
        <w:spacing w:after="0" w:line="215" w:lineRule="auto"/>
        <w:rPr>
          <w:sz w:val="20"/>
          <w:szCs w:val="20"/>
          <w:color w:val="auto"/>
        </w:rPr>
      </w:pPr>
      <w:r>
        <w:rPr>
          <w:rFonts w:ascii="Arial" w:cs="Arial" w:eastAsia="Arial" w:hAnsi="Arial"/>
          <w:sz w:val="17"/>
          <w:szCs w:val="17"/>
          <w:color w:val="auto"/>
        </w:rPr>
        <w:t>proprietary compound library and currently available therapies (imatinib, sunitinib and regorafenib) to interrogate their</w:t>
      </w:r>
    </w:p>
    <w:p>
      <w:pPr>
        <w:spacing w:after="0" w:line="216" w:lineRule="auto"/>
        <w:rPr>
          <w:sz w:val="20"/>
          <w:szCs w:val="20"/>
          <w:color w:val="auto"/>
        </w:rPr>
      </w:pPr>
      <w:r>
        <w:rPr>
          <w:rFonts w:ascii="Arial" w:cs="Arial" w:eastAsia="Arial" w:hAnsi="Arial"/>
          <w:sz w:val="17"/>
          <w:szCs w:val="17"/>
          <w:color w:val="auto"/>
        </w:rPr>
        <w:t>activity against the range of KIT Exon 17 mutations. The result is a deep understanding of the spectrum of activity of</w:t>
      </w:r>
    </w:p>
    <w:p>
      <w:pPr>
        <w:spacing w:after="0" w:line="176" w:lineRule="exact"/>
        <w:rPr>
          <w:sz w:val="20"/>
          <w:szCs w:val="20"/>
          <w:color w:val="auto"/>
        </w:rPr>
      </w:pPr>
      <w:r>
        <w:rPr>
          <w:rFonts w:ascii="Arial" w:cs="Arial" w:eastAsia="Arial" w:hAnsi="Arial"/>
          <w:sz w:val="16"/>
          <w:szCs w:val="16"/>
          <w:color w:val="auto"/>
        </w:rPr>
        <w:t>BLU</w:t>
      </w:r>
      <w:r>
        <w:rPr>
          <w:rFonts w:ascii="MS PGothic" w:cs="MS PGothic" w:eastAsia="MS PGothic" w:hAnsi="MS PGothic"/>
          <w:sz w:val="16"/>
          <w:szCs w:val="16"/>
          <w:color w:val="auto"/>
        </w:rPr>
        <w:t>‑</w:t>
      </w:r>
      <w:r>
        <w:rPr>
          <w:rFonts w:ascii="Arial" w:cs="Arial" w:eastAsia="Arial" w:hAnsi="Arial"/>
          <w:sz w:val="16"/>
          <w:szCs w:val="16"/>
          <w:color w:val="auto"/>
        </w:rPr>
        <w:t>285, additional compounds from our proprietary compound library and available therapies across the range of possible</w:t>
      </w:r>
    </w:p>
    <w:p>
      <w:pPr>
        <w:spacing w:after="0"/>
        <w:rPr>
          <w:sz w:val="20"/>
          <w:szCs w:val="20"/>
          <w:color w:val="auto"/>
        </w:rPr>
      </w:pPr>
      <w:r>
        <w:rPr>
          <w:rFonts w:ascii="Arial" w:cs="Arial" w:eastAsia="Arial" w:hAnsi="Arial"/>
          <w:sz w:val="18"/>
          <w:szCs w:val="18"/>
          <w:color w:val="auto"/>
        </w:rPr>
        <w:t>mutations. This will enable combination therapy development to address KIT Exon 17 secondary mutations.</w:t>
      </w:r>
    </w:p>
    <w:p>
      <w:pPr>
        <w:spacing w:after="0" w:line="169"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Phase 1 Clinical Trial for BLU</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285 for Advanced GIST</w:t>
      </w:r>
    </w:p>
    <w:p>
      <w:pPr>
        <w:spacing w:after="0" w:line="185"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BLU-285 is currently being evaluated in the dose expansion stage of a Phase 1 clinical trial in patients with advanced GIST, and enrollment is ongoing. In January 2016, the FDA granted orphan drug designation to BLU-285 for the treatment of GIST.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plan to seek regulatory guidance on potential pathways for expedited clinical development of BLU-285 for the treatment of advanced GIST.</w:t>
      </w:r>
    </w:p>
    <w:p>
      <w:pPr>
        <w:spacing w:after="0" w:line="16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December 2016, we presented preliminary data from the dose escalation stage of this clinical trial in December 2016 at the 28</w:t>
      </w:r>
      <w:r>
        <w:rPr>
          <w:rFonts w:ascii="Arial" w:cs="Arial" w:eastAsia="Arial" w:hAnsi="Arial"/>
          <w:sz w:val="8"/>
          <w:szCs w:val="8"/>
          <w:color w:val="auto"/>
        </w:rPr>
        <w:t>th</w:t>
      </w:r>
      <w:r>
        <w:rPr>
          <w:rFonts w:ascii="Arial" w:cs="Arial" w:eastAsia="Arial" w:hAnsi="Arial"/>
          <w:sz w:val="17"/>
          <w:szCs w:val="17"/>
          <w:color w:val="auto"/>
        </w:rPr>
        <w:t xml:space="preserve"> EORTC-NCI-AACR Symposium on Molecular Targets and Cancer Therapeutics. The data showed that BLU-285 was observed to be well-tolerated and had achieved proof-of-concept in PDGFRα-driven GIST and KIT-driven GIST. As of the data cutoff date of November 1, 2016, BLU-285 had been administered to 36 patients at seven dose levels ranging from 30 mg QD to 400 mg QD, including 18 patients with PDGFRα-driven GIST and 18 patients with KIT-driven GIST. The median age was 61 (ranging from 41 to 77), and the median number of prior treatment regimens was 3.5 (ranging from zero to 12). Preliminary PK analysis at all dose levels demonstrated relatively rapid absorption of BLU-285 and a mean half-life of over 24 hours, which supports QD dosing.</w:t>
      </w:r>
    </w:p>
    <w:p>
      <w:pPr>
        <w:spacing w:after="0" w:line="168" w:lineRule="exact"/>
        <w:rPr>
          <w:sz w:val="20"/>
          <w:szCs w:val="20"/>
          <w:color w:val="auto"/>
        </w:rPr>
      </w:pPr>
    </w:p>
    <w:p>
      <w:pPr>
        <w:ind w:right="400" w:firstLine="648"/>
        <w:spacing w:after="0" w:line="239" w:lineRule="auto"/>
        <w:rPr>
          <w:sz w:val="20"/>
          <w:szCs w:val="20"/>
          <w:color w:val="auto"/>
        </w:rPr>
      </w:pPr>
      <w:r>
        <w:rPr>
          <w:rFonts w:ascii="Arial" w:cs="Arial" w:eastAsia="Arial" w:hAnsi="Arial"/>
          <w:sz w:val="16"/>
          <w:szCs w:val="16"/>
          <w:i w:val="1"/>
          <w:iCs w:val="1"/>
          <w:color w:val="auto"/>
        </w:rPr>
        <w:t xml:space="preserve">Preliminary Safety Data. </w:t>
      </w:r>
      <w:r>
        <w:rPr>
          <w:rFonts w:ascii="Arial" w:cs="Arial" w:eastAsia="Arial" w:hAnsi="Arial"/>
          <w:sz w:val="16"/>
          <w:szCs w:val="16"/>
          <w:color w:val="auto"/>
        </w:rPr>
        <w:t>As of the data cutoff date of November 1, 2016, BLU-285 was observed to be well-tolerated at all doses. No dose-limiting toxicities or treatment-related Grade 4 or 5 adverse events were reported, and no patients discontinued treatment with BLU-285 due to treatment-related adverse events. The majority of adverse events reported by investigators were Grade 1 or 2. Across all grades, adverse events reported by investigators most commonly included nausea (42%), vomiting (33%), peripheral edema (31%), fatigue (28%) and constipation (22%). Investigators reported treatment-related Grade 3 adverse events in three patients: nausea and vomiting (one patient); anemia and intratumoral hemorrhage (one patient); and hypophosphatemia (one patient), a deficiency of phosphates in the blood.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i w:val="1"/>
          <w:iCs w:val="1"/>
          <w:color w:val="auto"/>
        </w:rPr>
        <w:t xml:space="preserve">Preliminary Clinical Activity Data. </w:t>
      </w:r>
      <w:r>
        <w:rPr>
          <w:rFonts w:ascii="Arial" w:cs="Arial" w:eastAsia="Arial" w:hAnsi="Arial"/>
          <w:sz w:val="16"/>
          <w:szCs w:val="16"/>
          <w:color w:val="auto"/>
        </w:rPr>
        <w:t>As of the data cutoff date of November 1, 2016, 28 patients in the first six</w:t>
      </w:r>
      <w:r>
        <w:rPr>
          <w:rFonts w:ascii="Arial" w:cs="Arial" w:eastAsia="Arial" w:hAnsi="Arial"/>
          <w:sz w:val="16"/>
          <w:szCs w:val="16"/>
          <w:i w:val="1"/>
          <w:iCs w:val="1"/>
          <w:color w:val="auto"/>
        </w:rPr>
        <w:t xml:space="preserve"> </w:t>
      </w:r>
      <w:r>
        <w:rPr>
          <w:rFonts w:ascii="Arial" w:cs="Arial" w:eastAsia="Arial" w:hAnsi="Arial"/>
          <w:sz w:val="16"/>
          <w:szCs w:val="16"/>
          <w:color w:val="auto"/>
        </w:rPr>
        <w:t>cohorts of the dose escalation stage of the clinical trial at doses ranging from 30 mg QD to 300 mg QD had completed at least two 28-day dosing cycles and were evaluable for response assessment. Response assessments were based on CT and MRI imaging to measure clinical activity per Response Evaluation Criteria In Solid Tumors version 1.1, or RECIST.</w:t>
      </w:r>
    </w:p>
    <w:p>
      <w:pPr>
        <w:spacing w:after="0" w:line="155" w:lineRule="exact"/>
        <w:rPr>
          <w:sz w:val="20"/>
          <w:szCs w:val="20"/>
          <w:color w:val="auto"/>
        </w:rPr>
      </w:pPr>
    </w:p>
    <w:p>
      <w:pPr>
        <w:ind w:left="1060" w:right="20" w:hanging="85"/>
        <w:spacing w:after="0" w:line="226"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PDGFRα-driven GIST, investigators observed radiographic tumor reduction in 14 of 15 evaluable patients with six patients achieving a partial response, or PR, by RECIST (five confirmed, one unconfirmed). For a confirmed PR, the PR was maintained through two consecutive response assessments at least four weeks apart. For the unconfirmed PR, as of the data cutoff date, a second response assessment at least four weeks after the first response assessment was not available. Tumor reduction was observed at the first dose level in the PDGFRα-driven subgroup of advanced GIST.</w:t>
      </w:r>
    </w:p>
    <w:p>
      <w:pPr>
        <w:spacing w:after="0" w:line="165" w:lineRule="exact"/>
        <w:rPr>
          <w:rFonts w:ascii="Arial" w:cs="Arial" w:eastAsia="Arial" w:hAnsi="Arial"/>
          <w:sz w:val="17"/>
          <w:szCs w:val="17"/>
          <w:color w:val="auto"/>
        </w:rPr>
      </w:pPr>
    </w:p>
    <w:p>
      <w:pPr>
        <w:ind w:left="1060" w:right="100" w:hanging="85"/>
        <w:spacing w:after="0" w:line="216"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KIT-driven GIST, investigators observed radiographic tumor reduction in five of the 13 evaluable patients, including one who achieved a PR by RECIST (confirmed). At the higher dose levels (greater than or equal to 135 mg), four out of six patients had tumor reduction, including the patient with a PR, which we believe suggests increased clinical activity with increased dose. Tumor reduction was first observed at the fourth dose level in the KIT-driven subgroup of advanced GIST.</w:t>
      </w:r>
    </w:p>
    <w:p>
      <w:pPr>
        <w:spacing w:after="0" w:line="162" w:lineRule="exact"/>
        <w:rPr>
          <w:rFonts w:ascii="Arial" w:cs="Arial" w:eastAsia="Arial" w:hAnsi="Arial"/>
          <w:sz w:val="18"/>
          <w:szCs w:val="18"/>
          <w:color w:val="auto"/>
        </w:rPr>
      </w:pPr>
    </w:p>
    <w:p>
      <w:pPr>
        <w:ind w:left="1060" w:right="220" w:hanging="85"/>
        <w:spacing w:after="0" w:line="21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addition, among all 36 patients administered BLU-285 for the treatment of advanced GIST, 27 patients remained on BLU-285, including all 18 patients with PDGFRα-driven GIST. For these 36 patients, the treatment duration ranged from 0.8 months to 12.3 months. Nine patients discontinued treatment with BLU-285 due to progressive disease.</w:t>
      </w:r>
    </w:p>
    <w:p>
      <w:pPr>
        <w:spacing w:after="0" w:line="163"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i w:val="1"/>
          <w:iCs w:val="1"/>
          <w:color w:val="auto"/>
        </w:rPr>
        <w:t xml:space="preserve">Clinical Development Plans. </w:t>
      </w:r>
      <w:r>
        <w:rPr>
          <w:rFonts w:ascii="Arial" w:cs="Arial" w:eastAsia="Arial" w:hAnsi="Arial"/>
          <w:sz w:val="17"/>
          <w:szCs w:val="17"/>
          <w:color w:val="auto"/>
        </w:rPr>
        <w:t>Our Phase 1 clinical trial for BLU-285 for the treatment of advanced GIST is designed</w:t>
      </w:r>
      <w:r>
        <w:rPr>
          <w:rFonts w:ascii="Arial" w:cs="Arial" w:eastAsia="Arial" w:hAnsi="Arial"/>
          <w:sz w:val="17"/>
          <w:szCs w:val="17"/>
          <w:i w:val="1"/>
          <w:iCs w:val="1"/>
          <w:color w:val="auto"/>
        </w:rPr>
        <w:t xml:space="preserve"> </w:t>
      </w:r>
      <w:r>
        <w:rPr>
          <w:rFonts w:ascii="Arial" w:cs="Arial" w:eastAsia="Arial" w:hAnsi="Arial"/>
          <w:sz w:val="17"/>
          <w:szCs w:val="17"/>
          <w:color w:val="auto"/>
        </w:rPr>
        <w:t>to evaluate the safety and tolerability of BLU-285 in multiple ascending doses with the goal of establishing an MTD or a recommended dose if the MTD is not achieved. All patients will be tested retrospectively for both KIT Exon 17 and PDGFRα D842 mutational status. An MTD for BLU-285 has been established at 400 mg QD in this clinical trial, and we have initiated enrollment in the dose expansion stage. In the expansion stage, we plan to enroll cohorts for patients who have received imatinib and at least one other KIT-directed tyrosine kinase inhibitor that selects for disease with the KIT Exon 17 mutation and for patients with disease carrying a PDGFRα D842 mutation. Additional primary objectives for the dose expansion stage include determining overall response rate, or ORR, by RECIST in GIST patients who have D842V mutant PDGFRα and determining ORR by RECIST in GIST patients that have progressed following treatment with imatinib and at least one other KIT-directed tyrosine kinase inhibitor and who are not known to have D842V mutant PDGFRα. Secondary objectives include characterizing the PK of BLU-285, assessing response rate by RECIST, anti-tumor activity by Choi criteria and allelic burden using circulating tumor DNA and comparing progression free survival, or PFS, for BLU-285 with PFS for each patient’s last prior anti-cancer therapy. The Phase 1 clinical trial is designed to enroll approximately 150 patients, including approximately 50 patients during dose escalation and approximately 100 additional patients in expansion cohorts, at multiple sites in the United States, European Union and Canada.</w:t>
      </w:r>
    </w:p>
    <w:p>
      <w:pPr>
        <w:spacing w:after="0" w:line="162" w:lineRule="exact"/>
        <w:rPr>
          <w:sz w:val="20"/>
          <w:szCs w:val="20"/>
          <w:color w:val="auto"/>
        </w:rPr>
      </w:pPr>
    </w:p>
    <w:p>
      <w:pPr>
        <w:ind w:right="180" w:firstLine="648"/>
        <w:spacing w:after="0" w:line="226" w:lineRule="auto"/>
        <w:rPr>
          <w:sz w:val="20"/>
          <w:szCs w:val="20"/>
          <w:color w:val="auto"/>
        </w:rPr>
      </w:pPr>
      <w:r>
        <w:rPr>
          <w:rFonts w:ascii="Arial" w:cs="Arial" w:eastAsia="Arial" w:hAnsi="Arial"/>
          <w:sz w:val="17"/>
          <w:szCs w:val="17"/>
          <w:color w:val="auto"/>
        </w:rPr>
        <w:t>Based on the preliminary safety profile and clinical activity observed in this clinical trial, we have increased the cohort size in the expansion stage to evaluate the potential of BLU-285 as a single agent therapy in PDGFRα-driven GIST and KIT-driven GIST and to accelerate our evaluation of expanded development options for BLU-285 in GIST, including opportunities to move to earlier lines of therapy and possible combinations. In addition, in August 2016, we entered into an agreement with QIAGEN Manchester Limited to develop and commercialize an assay as a companion diagnostic test to identify GIST patients with the PDGFRα D842V mutation for use with BLU-285.</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also working with patient advocacy groups relevant to GIST in order to:</w:t>
      </w:r>
    </w:p>
    <w:p>
      <w:pPr>
        <w:spacing w:after="0" w:line="185" w:lineRule="exact"/>
        <w:rPr>
          <w:sz w:val="20"/>
          <w:szCs w:val="20"/>
          <w:color w:val="auto"/>
        </w:rPr>
      </w:pPr>
    </w:p>
    <w:p>
      <w:pPr>
        <w:ind w:left="1120" w:hanging="145"/>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raise awareness of our ongoing Phase 1 clinical trial;</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and use existing patient registries to identify patients for rapid enrollment; and</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 the GIST patient perspective into our ongoing activities.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FGFR4 Inhibitor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BLU</w:t>
      </w:r>
      <w:r>
        <w:rPr>
          <w:rFonts w:ascii="MS PGothic" w:cs="MS PGothic" w:eastAsia="MS PGothic" w:hAnsi="MS PGothic"/>
          <w:sz w:val="18"/>
          <w:szCs w:val="18"/>
          <w:color w:val="auto"/>
        </w:rPr>
        <w:t>‑</w:t>
      </w:r>
      <w:r>
        <w:rPr>
          <w:rFonts w:ascii="Arial" w:cs="Arial" w:eastAsia="Arial" w:hAnsi="Arial"/>
          <w:sz w:val="18"/>
          <w:szCs w:val="18"/>
          <w:color w:val="auto"/>
        </w:rPr>
        <w:t>554 is an orally available, potent, selective and irreversible inhibitor of the kinase FGFR4. FGFR4 functions as a receptor whose aberrant activation is a driver of HCC. FGFR4 belongs to a family of highly homologous receptors, which include FGFR1</w:t>
      </w:r>
      <w:r>
        <w:rPr>
          <w:rFonts w:ascii="MS PGothic" w:cs="MS PGothic" w:eastAsia="MS PGothic" w:hAnsi="MS PGothic"/>
          <w:sz w:val="18"/>
          <w:szCs w:val="18"/>
          <w:color w:val="auto"/>
        </w:rPr>
        <w:t>‑</w:t>
      </w:r>
      <w:r>
        <w:rPr>
          <w:rFonts w:ascii="Arial" w:cs="Arial" w:eastAsia="Arial" w:hAnsi="Arial"/>
          <w:sz w:val="18"/>
          <w:szCs w:val="18"/>
          <w:color w:val="auto"/>
        </w:rPr>
        <w:t>4. BLU</w:t>
      </w:r>
      <w:r>
        <w:rPr>
          <w:rFonts w:ascii="MS PGothic" w:cs="MS PGothic" w:eastAsia="MS PGothic" w:hAnsi="MS PGothic"/>
          <w:sz w:val="18"/>
          <w:szCs w:val="18"/>
          <w:color w:val="auto"/>
        </w:rPr>
        <w:t>‑</w:t>
      </w:r>
      <w:r>
        <w:rPr>
          <w:rFonts w:ascii="Arial" w:cs="Arial" w:eastAsia="Arial" w:hAnsi="Arial"/>
          <w:sz w:val="18"/>
          <w:szCs w:val="18"/>
          <w:color w:val="auto"/>
        </w:rPr>
        <w:t>554 targets FGFR4, while sparing the other three FGFR paralogs, and demonstrates exquisite kinome selectivity. Pre</w:t>
      </w:r>
      <w:r>
        <w:rPr>
          <w:rFonts w:ascii="MS PGothic" w:cs="MS PGothic" w:eastAsia="MS PGothic" w:hAnsi="MS PGothic"/>
          <w:sz w:val="18"/>
          <w:szCs w:val="18"/>
          <w:color w:val="auto"/>
        </w:rPr>
        <w:t>‑</w:t>
      </w:r>
      <w:r>
        <w:rPr>
          <w:rFonts w:ascii="Arial" w:cs="Arial" w:eastAsia="Arial" w:hAnsi="Arial"/>
          <w:sz w:val="18"/>
          <w:szCs w:val="18"/>
          <w:color w:val="auto"/>
        </w:rPr>
        <w:t xml:space="preserv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data provides a strong rationale for the development of BLU</w:t>
      </w:r>
      <w:r>
        <w:rPr>
          <w:rFonts w:ascii="MS PGothic" w:cs="MS PGothic" w:eastAsia="MS PGothic" w:hAnsi="MS PGothic"/>
          <w:sz w:val="18"/>
          <w:szCs w:val="18"/>
          <w:color w:val="auto"/>
        </w:rPr>
        <w:t>‑</w:t>
      </w:r>
      <w:r>
        <w:rPr>
          <w:rFonts w:ascii="Arial" w:cs="Arial" w:eastAsia="Arial" w:hAnsi="Arial"/>
          <w:sz w:val="18"/>
          <w:szCs w:val="18"/>
          <w:color w:val="auto"/>
        </w:rPr>
        <w:t>554 for the subset of HCC patients whose tumors are driven by aberrant FGFR4 signaling. Based on a meta-analysis of publicly available HCC genomic datasets, we estimate that approximately 30% of patients with HCC have tumors with aberrantly activated FGFR4 signaling.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HCC Disease Background</w:t>
      </w:r>
    </w:p>
    <w:p>
      <w:pPr>
        <w:spacing w:after="0" w:line="185"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6"/>
          <w:szCs w:val="16"/>
          <w:color w:val="auto"/>
        </w:rPr>
        <w:t>Liver cancer is the second leading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deaths worldwide, and HCC accounts for most liver cancers. The highest incidence of HCC occurs in regions with endemic hepatitis B virus, or HBV, including Southeast Asia and sub</w:t>
      </w:r>
      <w:r>
        <w:rPr>
          <w:rFonts w:ascii="MS PGothic" w:cs="MS PGothic" w:eastAsia="MS PGothic" w:hAnsi="MS PGothic"/>
          <w:sz w:val="16"/>
          <w:szCs w:val="16"/>
          <w:color w:val="auto"/>
        </w:rPr>
        <w:t>‑</w:t>
      </w:r>
      <w:r>
        <w:rPr>
          <w:rFonts w:ascii="Arial" w:cs="Arial" w:eastAsia="Arial" w:hAnsi="Arial"/>
          <w:sz w:val="16"/>
          <w:szCs w:val="16"/>
          <w:color w:val="auto"/>
        </w:rPr>
        <w:t>Saharan Africa. In the United States, HCC is the fastest rising cause of cancer</w:t>
      </w:r>
      <w:r>
        <w:rPr>
          <w:rFonts w:ascii="MS PGothic" w:cs="MS PGothic" w:eastAsia="MS PGothic" w:hAnsi="MS PGothic"/>
          <w:sz w:val="16"/>
          <w:szCs w:val="16"/>
          <w:color w:val="auto"/>
        </w:rPr>
        <w:t>‑</w:t>
      </w:r>
      <w:r>
        <w:rPr>
          <w:rFonts w:ascii="Arial" w:cs="Arial" w:eastAsia="Arial" w:hAnsi="Arial"/>
          <w:sz w:val="16"/>
          <w:szCs w:val="16"/>
          <w:color w:val="auto"/>
        </w:rPr>
        <w:t>related death. Over the past two decades, the incidence of HCC has tripled while the five</w:t>
      </w:r>
      <w:r>
        <w:rPr>
          <w:rFonts w:ascii="MS PGothic" w:cs="MS PGothic" w:eastAsia="MS PGothic" w:hAnsi="MS PGothic"/>
          <w:sz w:val="16"/>
          <w:szCs w:val="16"/>
          <w:color w:val="auto"/>
        </w:rPr>
        <w:t>‑</w:t>
      </w:r>
      <w:r>
        <w:rPr>
          <w:rFonts w:ascii="Arial" w:cs="Arial" w:eastAsia="Arial" w:hAnsi="Arial"/>
          <w:sz w:val="16"/>
          <w:szCs w:val="16"/>
          <w:color w:val="auto"/>
        </w:rPr>
        <w:t>year survival rate has remained below 12%.</w:t>
      </w:r>
    </w:p>
    <w:p>
      <w:pPr>
        <w:spacing w:after="0" w:line="164"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Cirrhosis is a key risk factor for HCC —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the European Union, the main risk factors for cirrhosis are HCV, HBV and alcohol consumption. In Asia and sub</w:t>
      </w:r>
      <w:r>
        <w:rPr>
          <w:rFonts w:ascii="MS PGothic" w:cs="MS PGothic" w:eastAsia="MS PGothic" w:hAnsi="MS PGothic"/>
          <w:sz w:val="18"/>
          <w:szCs w:val="18"/>
          <w:color w:val="auto"/>
        </w:rPr>
        <w:t>‑</w:t>
      </w:r>
      <w:r>
        <w:rPr>
          <w:rFonts w:ascii="Arial" w:cs="Arial" w:eastAsia="Arial" w:hAnsi="Arial"/>
          <w:sz w:val="18"/>
          <w:szCs w:val="18"/>
          <w:color w:val="auto"/>
        </w:rPr>
        <w:t>Saharan Africa, the major risk factor is chronic HBV infection.</w:t>
      </w:r>
    </w:p>
    <w:p>
      <w:pPr>
        <w:spacing w:after="0" w:line="16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diagnosis of HCC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For example, countries such as Taiwan and Japan with active national screening programs tend to diagnose many more patients in the early stages of disease. There are currently no treatments for molecularly defined patient subgroups in HCC.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HCC treatment paradigm has advanced incrementally over the past decade. Patients diagnosed at an early stage</w:t>
      </w:r>
    </w:p>
    <w:p>
      <w:pPr>
        <w:spacing w:after="0" w:line="224" w:lineRule="auto"/>
        <w:rPr>
          <w:sz w:val="20"/>
          <w:szCs w:val="20"/>
          <w:color w:val="auto"/>
        </w:rPr>
      </w:pPr>
      <w:r>
        <w:rPr>
          <w:rFonts w:ascii="Arial" w:cs="Arial" w:eastAsia="Arial" w:hAnsi="Arial"/>
          <w:sz w:val="17"/>
          <w:szCs w:val="17"/>
          <w:color w:val="auto"/>
        </w:rPr>
        <w:t>receive potentially curative transplant, resection or ablative therapies. Intermediate to advanced stage patients receive</w:t>
      </w:r>
    </w:p>
    <w:p>
      <w:pPr>
        <w:spacing w:after="0" w:line="176" w:lineRule="exact"/>
        <w:rPr>
          <w:sz w:val="20"/>
          <w:szCs w:val="20"/>
          <w:color w:val="auto"/>
        </w:rPr>
      </w:pPr>
      <w:r>
        <w:rPr>
          <w:rFonts w:ascii="Arial" w:cs="Arial" w:eastAsia="Arial" w:hAnsi="Arial"/>
          <w:sz w:val="16"/>
          <w:szCs w:val="16"/>
          <w:color w:val="auto"/>
        </w:rPr>
        <w:t>high</w:t>
      </w:r>
      <w:r>
        <w:rPr>
          <w:rFonts w:ascii="MS PGothic" w:cs="MS PGothic" w:eastAsia="MS PGothic" w:hAnsi="MS PGothic"/>
          <w:sz w:val="16"/>
          <w:szCs w:val="16"/>
          <w:color w:val="auto"/>
        </w:rPr>
        <w:t>‑</w:t>
      </w:r>
      <w:r>
        <w:rPr>
          <w:rFonts w:ascii="Arial" w:cs="Arial" w:eastAsia="Arial" w:hAnsi="Arial"/>
          <w:sz w:val="16"/>
          <w:szCs w:val="16"/>
          <w:color w:val="auto"/>
        </w:rPr>
        <w:t>dose chemotherapy delivered directly to the liver (transarterial chemoembolization) and ultimately sorafenib, the only</w:t>
      </w:r>
    </w:p>
    <w:p>
      <w:pPr>
        <w:spacing w:after="0" w:line="176" w:lineRule="exact"/>
        <w:rPr>
          <w:sz w:val="20"/>
          <w:szCs w:val="20"/>
          <w:color w:val="auto"/>
        </w:rPr>
      </w:pPr>
      <w:r>
        <w:rPr>
          <w:rFonts w:ascii="Arial" w:cs="Arial" w:eastAsia="Arial" w:hAnsi="Arial"/>
          <w:sz w:val="16"/>
          <w:szCs w:val="16"/>
          <w:color w:val="auto"/>
        </w:rPr>
        <w:t>approved systemic therapy for HCC, which became broadly available in the late 2000s. Sorafenib is a multi</w:t>
      </w:r>
      <w:r>
        <w:rPr>
          <w:rFonts w:ascii="MS PGothic" w:cs="MS PGothic" w:eastAsia="MS PGothic" w:hAnsi="MS PGothic"/>
          <w:sz w:val="16"/>
          <w:szCs w:val="16"/>
          <w:color w:val="auto"/>
        </w:rPr>
        <w:t>‑</w:t>
      </w:r>
      <w:r>
        <w:rPr>
          <w:rFonts w:ascii="Arial" w:cs="Arial" w:eastAsia="Arial" w:hAnsi="Arial"/>
          <w:sz w:val="16"/>
          <w:szCs w:val="16"/>
          <w:color w:val="auto"/>
        </w:rPr>
        <w:t>kinase inhibitor</w:t>
      </w:r>
    </w:p>
    <w:p>
      <w:pPr>
        <w:spacing w:after="0" w:line="176" w:lineRule="exact"/>
        <w:rPr>
          <w:sz w:val="20"/>
          <w:szCs w:val="20"/>
          <w:color w:val="auto"/>
        </w:rPr>
      </w:pPr>
      <w:r>
        <w:rPr>
          <w:rFonts w:ascii="Arial" w:cs="Arial" w:eastAsia="Arial" w:hAnsi="Arial"/>
          <w:sz w:val="17"/>
          <w:szCs w:val="17"/>
          <w:color w:val="auto"/>
        </w:rPr>
        <w:t>that targets VEGFR and many other kinases and exhibits anti</w:t>
      </w:r>
      <w:r>
        <w:rPr>
          <w:rFonts w:ascii="MS PGothic" w:cs="MS PGothic" w:eastAsia="MS PGothic" w:hAnsi="MS PGothic"/>
          <w:sz w:val="17"/>
          <w:szCs w:val="17"/>
          <w:color w:val="auto"/>
        </w:rPr>
        <w:t>‑</w:t>
      </w:r>
      <w:r>
        <w:rPr>
          <w:rFonts w:ascii="Arial" w:cs="Arial" w:eastAsia="Arial" w:hAnsi="Arial"/>
          <w:sz w:val="17"/>
          <w:szCs w:val="17"/>
          <w:color w:val="auto"/>
        </w:rPr>
        <w:t>angiogenic effects. In a pivotal trial conducted primarily in</w:t>
      </w:r>
    </w:p>
    <w:p>
      <w:pPr>
        <w:spacing w:after="0" w:line="216" w:lineRule="auto"/>
        <w:rPr>
          <w:sz w:val="20"/>
          <w:szCs w:val="20"/>
          <w:color w:val="auto"/>
        </w:rPr>
      </w:pPr>
      <w:r>
        <w:rPr>
          <w:rFonts w:ascii="Arial" w:cs="Arial" w:eastAsia="Arial" w:hAnsi="Arial"/>
          <w:sz w:val="17"/>
          <w:szCs w:val="17"/>
          <w:color w:val="auto"/>
        </w:rPr>
        <w:t>European Union and U.S. sites, sorafenib improved median overall survival by approximately three months, and 2% of</w:t>
      </w:r>
    </w:p>
    <w:p>
      <w:pPr>
        <w:spacing w:after="0" w:line="229" w:lineRule="auto"/>
        <w:rPr>
          <w:sz w:val="20"/>
          <w:szCs w:val="20"/>
          <w:color w:val="auto"/>
        </w:rPr>
      </w:pPr>
      <w:r>
        <w:rPr>
          <w:rFonts w:ascii="Arial" w:cs="Arial" w:eastAsia="Arial" w:hAnsi="Arial"/>
          <w:sz w:val="16"/>
          <w:szCs w:val="16"/>
          <w:color w:val="auto"/>
        </w:rPr>
        <w:t>patients responded. In clinical practice, patients often require dose modifications or discontinue therapy due to tolerability</w:t>
      </w:r>
    </w:p>
    <w:p>
      <w:pPr>
        <w:spacing w:after="0" w:line="207" w:lineRule="exact"/>
        <w:rPr>
          <w:sz w:val="20"/>
          <w:szCs w:val="20"/>
          <w:color w:val="auto"/>
        </w:rPr>
      </w:pPr>
      <w:r>
        <w:rPr>
          <w:rFonts w:ascii="Arial" w:cs="Arial" w:eastAsia="Arial" w:hAnsi="Arial"/>
          <w:sz w:val="18"/>
          <w:szCs w:val="18"/>
          <w:color w:val="auto"/>
        </w:rPr>
        <w:t>issues. There is a clear need for medical therapies with a favorable risk</w:t>
      </w:r>
      <w:r>
        <w:rPr>
          <w:rFonts w:ascii="MS PGothic" w:cs="MS PGothic" w:eastAsia="MS PGothic" w:hAnsi="MS PGothic"/>
          <w:sz w:val="18"/>
          <w:szCs w:val="18"/>
          <w:color w:val="auto"/>
        </w:rPr>
        <w:t>‑</w:t>
      </w:r>
      <w:r>
        <w:rPr>
          <w:rFonts w:ascii="Arial" w:cs="Arial" w:eastAsia="Arial" w:hAnsi="Arial"/>
          <w:sz w:val="18"/>
          <w:szCs w:val="18"/>
          <w:color w:val="auto"/>
        </w:rPr>
        <w:t>benefit profile.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FGFR4 as a Driver in HCC</w:t>
      </w:r>
    </w:p>
    <w:p>
      <w:pPr>
        <w:spacing w:after="0" w:line="185"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link between aberrant FGFR4 signaling and HCC was first established when an amplicon, a region of replicated DNA, that includes FGF19, the ligand that activates FGFR4, was identified in HCC patients. We estimate that more than 5% of tumors of HCC patients have this amplicon. The physiologic role of the receptor, FGFR4, and its ligand, FGF19, is to regulate bile acid metabolism in hepatocytes and liver regeneration following injury. FGF19 is normally produced in the small intestine and signals to hepatocytes through an endocrine mechanism. FGF19 forms an active signaling complex together with FGFR4 and its co</w:t>
      </w:r>
      <w:r>
        <w:rPr>
          <w:rFonts w:ascii="MS PGothic" w:cs="MS PGothic" w:eastAsia="MS PGothic" w:hAnsi="MS PGothic"/>
          <w:sz w:val="16"/>
          <w:szCs w:val="16"/>
          <w:color w:val="auto"/>
        </w:rPr>
        <w:t>‑</w:t>
      </w:r>
      <w:r>
        <w:rPr>
          <w:rFonts w:ascii="Arial" w:cs="Arial" w:eastAsia="Arial" w:hAnsi="Arial"/>
          <w:sz w:val="16"/>
          <w:szCs w:val="16"/>
          <w:color w:val="auto"/>
        </w:rPr>
        <w:t>receptor Klotho</w:t>
      </w:r>
      <w:r>
        <w:rPr>
          <w:rFonts w:ascii="MS PGothic" w:cs="MS PGothic" w:eastAsia="MS PGothic" w:hAnsi="MS PGothic"/>
          <w:sz w:val="16"/>
          <w:szCs w:val="16"/>
          <w:color w:val="auto"/>
        </w:rPr>
        <w:t>‑</w:t>
      </w:r>
      <w:r>
        <w:rPr>
          <w:rFonts w:ascii="Arial" w:cs="Arial" w:eastAsia="Arial" w:hAnsi="Arial"/>
          <w:sz w:val="16"/>
          <w:szCs w:val="16"/>
          <w:color w:val="auto"/>
        </w:rPr>
        <w:t>β. Signaling of the active complex leads to decreased CYP7A1 transcription with a resultant decrease in bile acid synthesis, as well as increased growth, proliferation and survival signals.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FGFR4 Signaling in the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68580</wp:posOffset>
            </wp:positionV>
            <wp:extent cx="5308600" cy="2212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0860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right="280"/>
        <w:spacing w:after="0" w:line="159" w:lineRule="exact"/>
        <w:rPr>
          <w:sz w:val="20"/>
          <w:szCs w:val="20"/>
          <w:color w:val="auto"/>
        </w:rPr>
      </w:pPr>
      <w:r>
        <w:rPr>
          <w:rFonts w:ascii="Arial" w:cs="Arial" w:eastAsia="Arial" w:hAnsi="Arial"/>
          <w:sz w:val="14"/>
          <w:szCs w:val="14"/>
          <w:color w:val="auto"/>
        </w:rPr>
        <w:t>In the figure above, HBV means hepatitis B virus, HCV means hepatitis C virus, NASH means non-alcoholic steatohepatitis and KLB means Klotho</w:t>
      </w:r>
      <w:r>
        <w:rPr>
          <w:rFonts w:ascii="MS PGothic" w:cs="MS PGothic" w:eastAsia="MS PGothic" w:hAnsi="MS PGothic"/>
          <w:sz w:val="14"/>
          <w:szCs w:val="14"/>
          <w:color w:val="auto"/>
        </w:rPr>
        <w:t>‑</w:t>
      </w:r>
      <w:r>
        <w:rPr>
          <w:rFonts w:ascii="Arial" w:cs="Arial" w:eastAsia="Arial" w:hAnsi="Arial"/>
          <w:sz w:val="14"/>
          <w:szCs w:val="14"/>
          <w:color w:val="auto"/>
        </w:rPr>
        <w:t>β.</w:t>
      </w:r>
    </w:p>
    <w:p>
      <w:pPr>
        <w:spacing w:after="0" w:line="174"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w:t>
      </w:r>
      <w:r>
        <w:rPr>
          <w:rFonts w:ascii="MS PGothic" w:cs="MS PGothic" w:eastAsia="MS PGothic" w:hAnsi="MS PGothic"/>
          <w:sz w:val="16"/>
          <w:szCs w:val="16"/>
          <w:color w:val="auto"/>
        </w:rPr>
        <w:t>‑</w:t>
      </w:r>
      <w:r>
        <w:rPr>
          <w:rFonts w:ascii="Arial" w:cs="Arial" w:eastAsia="Arial" w:hAnsi="Arial"/>
          <w:sz w:val="16"/>
          <w:szCs w:val="16"/>
          <w:color w:val="auto"/>
        </w:rPr>
        <w:t>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w:t>
      </w:r>
      <w:r>
        <w:rPr>
          <w:rFonts w:ascii="MS PGothic" w:cs="MS PGothic" w:eastAsia="MS PGothic" w:hAnsi="MS PGothic"/>
          <w:sz w:val="16"/>
          <w:szCs w:val="16"/>
          <w:color w:val="auto"/>
        </w:rPr>
        <w:t>‑</w:t>
      </w:r>
      <w:r>
        <w:rPr>
          <w:rFonts w:ascii="Arial" w:cs="Arial" w:eastAsia="Arial" w:hAnsi="Arial"/>
          <w:sz w:val="16"/>
          <w:szCs w:val="16"/>
          <w:color w:val="auto"/>
        </w:rPr>
        <w:t>β, are expressed together uniquely in HCC, although it is possible that they may also occur in rare cases of other solid tumors.</w:t>
      </w:r>
    </w:p>
    <w:p>
      <w:pPr>
        <w:spacing w:after="0" w:line="166"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We have used our novel drug discovery platform to identify a potentially broader target responder population in addition to the FGF19</w:t>
      </w:r>
      <w:r>
        <w:rPr>
          <w:rFonts w:ascii="MS PGothic" w:cs="MS PGothic" w:eastAsia="MS PGothic" w:hAnsi="MS PGothic"/>
          <w:sz w:val="16"/>
          <w:szCs w:val="16"/>
          <w:color w:val="auto"/>
        </w:rPr>
        <w:t>‑</w:t>
      </w:r>
      <w:r>
        <w:rPr>
          <w:rFonts w:ascii="Arial" w:cs="Arial" w:eastAsia="Arial" w:hAnsi="Arial"/>
          <w:sz w:val="16"/>
          <w:szCs w:val="16"/>
          <w:color w:val="auto"/>
        </w:rPr>
        <w:t>amplified patient population. We estimate that approximately 25% of HCC tumors overexpress FGF19 without amplification. We have also demonstrated a significant anti</w:t>
      </w:r>
      <w:r>
        <w:rPr>
          <w:rFonts w:ascii="MS PGothic" w:cs="MS PGothic" w:eastAsia="MS PGothic" w:hAnsi="MS PGothic"/>
          <w:sz w:val="16"/>
          <w:szCs w:val="16"/>
          <w:color w:val="auto"/>
        </w:rPr>
        <w:t>‑</w:t>
      </w:r>
      <w:r>
        <w:rPr>
          <w:rFonts w:ascii="Arial" w:cs="Arial" w:eastAsia="Arial" w:hAnsi="Arial"/>
          <w:sz w:val="16"/>
          <w:szCs w:val="16"/>
          <w:color w:val="auto"/>
        </w:rPr>
        <w:t>tumor response with an FGFR4 inhibitor in an HCC patient</w:t>
      </w:r>
      <w:r>
        <w:rPr>
          <w:rFonts w:ascii="MS PGothic" w:cs="MS PGothic" w:eastAsia="MS PGothic" w:hAnsi="MS PGothic"/>
          <w:sz w:val="16"/>
          <w:szCs w:val="16"/>
          <w:color w:val="auto"/>
        </w:rPr>
        <w:t>‑</w:t>
      </w:r>
      <w:r>
        <w:rPr>
          <w:rFonts w:ascii="Arial" w:cs="Arial" w:eastAsia="Arial" w:hAnsi="Arial"/>
          <w:sz w:val="16"/>
          <w:szCs w:val="16"/>
          <w:color w:val="auto"/>
        </w:rPr>
        <w:t xml:space="preserve">derived xenograft model that overexpresses FGF19 in the absence of amplification. Some of these results were published in </w:t>
      </w:r>
      <w:r>
        <w:rPr>
          <w:rFonts w:ascii="Arial" w:cs="Arial" w:eastAsia="Arial" w:hAnsi="Arial"/>
          <w:sz w:val="16"/>
          <w:szCs w:val="16"/>
          <w:i w:val="1"/>
          <w:iCs w:val="1"/>
          <w:color w:val="auto"/>
        </w:rPr>
        <w:t>Cancer Discovery</w:t>
      </w:r>
      <w:r>
        <w:rPr>
          <w:rFonts w:ascii="Arial" w:cs="Arial" w:eastAsia="Arial" w:hAnsi="Arial"/>
          <w:sz w:val="16"/>
          <w:szCs w:val="16"/>
          <w:color w:val="auto"/>
        </w:rPr>
        <w:t xml:space="preserve"> in 2015. Based on a meta-analysis of publicly available HCC genomic datasets, we estimate that approximately 30% of patients with HCC have tumors with aberrantly activated FGFR4 signaling.</w:t>
      </w:r>
    </w:p>
    <w:p>
      <w:pPr>
        <w:spacing w:after="0" w:line="166"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The FGFR4 signaling pathway is a promising new driver for the development of molecularly targeted therapy in HCC. In the Major Markets, we estimate there are approximately 18,900 first line and approximately 8,000 second line HCC patients with aberrantly active FGFR4 signaling, as indicated by FGF19 overexpression.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BLU-554 Pre-clinical Development in HCC</w:t>
      </w:r>
    </w:p>
    <w:p>
      <w:pPr>
        <w:spacing w:after="0" w:line="185" w:lineRule="exact"/>
        <w:rPr>
          <w:sz w:val="20"/>
          <w:szCs w:val="20"/>
          <w:color w:val="auto"/>
        </w:rPr>
      </w:pPr>
    </w:p>
    <w:p>
      <w:pPr>
        <w:ind w:right="120" w:firstLine="648"/>
        <w:spacing w:after="0" w:line="186" w:lineRule="exact"/>
        <w:rPr>
          <w:sz w:val="20"/>
          <w:szCs w:val="20"/>
          <w:color w:val="auto"/>
        </w:rPr>
      </w:pPr>
      <w:r>
        <w:rPr>
          <w:rFonts w:ascii="Arial" w:cs="Arial" w:eastAsia="Arial" w:hAnsi="Arial"/>
          <w:sz w:val="16"/>
          <w:szCs w:val="16"/>
          <w:color w:val="auto"/>
        </w:rPr>
        <w:t>Efforts to discover selective, reversible inhibitors of FGFR4 have been challenging given the high sequence similarity among the four FGFR paralogs. A cysteine located near the ATP binding site in FGFR4 is unique among the paralogs. We therefore focused on developing a covalent inhibitor with paralog specificity and kinome selectivity. Our team of experienced medicinal chemists applied structure</w:t>
      </w:r>
      <w:r>
        <w:rPr>
          <w:rFonts w:ascii="MS PGothic" w:cs="MS PGothic" w:eastAsia="MS PGothic" w:hAnsi="MS PGothic"/>
          <w:sz w:val="16"/>
          <w:szCs w:val="16"/>
          <w:color w:val="auto"/>
        </w:rPr>
        <w:t>‑</w:t>
      </w:r>
      <w:r>
        <w:rPr>
          <w:rFonts w:ascii="Arial" w:cs="Arial" w:eastAsia="Arial" w:hAnsi="Arial"/>
          <w:sz w:val="16"/>
          <w:szCs w:val="16"/>
          <w:color w:val="auto"/>
        </w:rPr>
        <w:t>based design principles to develop a potent and selective FGFR4 inhibitor starting from known FGFR inhibitor templates. This effort yielded our development candidate, BLU</w:t>
      </w:r>
      <w:r>
        <w:rPr>
          <w:rFonts w:ascii="MS PGothic" w:cs="MS PGothic" w:eastAsia="MS PGothic" w:hAnsi="MS PGothic"/>
          <w:sz w:val="16"/>
          <w:szCs w:val="16"/>
          <w:color w:val="auto"/>
        </w:rPr>
        <w:t>‑</w:t>
      </w:r>
      <w:r>
        <w:rPr>
          <w:rFonts w:ascii="Arial" w:cs="Arial" w:eastAsia="Arial" w:hAnsi="Arial"/>
          <w:sz w:val="16"/>
          <w:szCs w:val="16"/>
          <w:color w:val="auto"/>
        </w:rPr>
        <w:t xml:space="preserve">554. We have conducted comprehensive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to characterize the potency and selectivity of BLU</w:t>
      </w:r>
      <w:r>
        <w:rPr>
          <w:rFonts w:ascii="MS PGothic" w:cs="MS PGothic" w:eastAsia="MS PGothic" w:hAnsi="MS PGothic"/>
          <w:sz w:val="16"/>
          <w:szCs w:val="16"/>
          <w:color w:val="auto"/>
        </w:rPr>
        <w:t>‑</w:t>
      </w:r>
      <w:r>
        <w:rPr>
          <w:rFonts w:ascii="Arial" w:cs="Arial" w:eastAsia="Arial" w:hAnsi="Arial"/>
          <w:sz w:val="16"/>
          <w:szCs w:val="16"/>
          <w:color w:val="auto"/>
        </w:rPr>
        <w:t>554. BLU</w:t>
      </w:r>
      <w:r>
        <w:rPr>
          <w:rFonts w:ascii="MS PGothic" w:cs="MS PGothic" w:eastAsia="MS PGothic" w:hAnsi="MS PGothic"/>
          <w:sz w:val="16"/>
          <w:szCs w:val="16"/>
          <w:color w:val="auto"/>
        </w:rPr>
        <w:t>‑</w:t>
      </w:r>
      <w:r>
        <w:rPr>
          <w:rFonts w:ascii="Arial" w:cs="Arial" w:eastAsia="Arial" w:hAnsi="Arial"/>
          <w:sz w:val="16"/>
          <w:szCs w:val="16"/>
          <w:color w:val="auto"/>
        </w:rPr>
        <w:t>554 potently inhibits FGFR4 enzyme activity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 5 nM) and inhibits the activity of FGFR1</w:t>
      </w:r>
      <w:r>
        <w:rPr>
          <w:rFonts w:ascii="MS PGothic" w:cs="MS PGothic" w:eastAsia="MS PGothic" w:hAnsi="MS PGothic"/>
          <w:sz w:val="16"/>
          <w:szCs w:val="16"/>
          <w:color w:val="auto"/>
        </w:rPr>
        <w:t>‑</w:t>
      </w:r>
      <w:r>
        <w:rPr>
          <w:rFonts w:ascii="Arial" w:cs="Arial" w:eastAsia="Arial" w:hAnsi="Arial"/>
          <w:sz w:val="16"/>
          <w:szCs w:val="16"/>
          <w:color w:val="auto"/>
        </w:rPr>
        <w:t>3 at least 100</w:t>
      </w:r>
      <w:r>
        <w:rPr>
          <w:rFonts w:ascii="MS PGothic" w:cs="MS PGothic" w:eastAsia="MS PGothic" w:hAnsi="MS PGothic"/>
          <w:sz w:val="16"/>
          <w:szCs w:val="16"/>
          <w:color w:val="auto"/>
        </w:rPr>
        <w:t>‑</w:t>
      </w:r>
      <w:r>
        <w:rPr>
          <w:rFonts w:ascii="Arial" w:cs="Arial" w:eastAsia="Arial" w:hAnsi="Arial"/>
          <w:sz w:val="16"/>
          <w:szCs w:val="16"/>
          <w:color w:val="auto"/>
        </w:rPr>
        <w:t>fold less potently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w:t>
      </w:r>
    </w:p>
    <w:p>
      <w:pPr>
        <w:spacing w:after="0" w:line="1" w:lineRule="exact"/>
        <w:rPr>
          <w:sz w:val="20"/>
          <w:szCs w:val="20"/>
          <w:color w:val="auto"/>
        </w:rPr>
      </w:pPr>
    </w:p>
    <w:p>
      <w:pPr>
        <w:ind w:right="260"/>
        <w:spacing w:after="0" w:line="183" w:lineRule="exact"/>
        <w:rPr>
          <w:sz w:val="20"/>
          <w:szCs w:val="20"/>
          <w:color w:val="auto"/>
        </w:rPr>
      </w:pPr>
      <w:r>
        <w:rPr>
          <w:rFonts w:ascii="Arial" w:cs="Arial" w:eastAsia="Arial" w:hAnsi="Arial"/>
          <w:sz w:val="18"/>
          <w:szCs w:val="18"/>
          <w:color w:val="auto"/>
        </w:rPr>
        <w:t>600 nM). In contrast, pan</w:t>
      </w:r>
      <w:r>
        <w:rPr>
          <w:rFonts w:ascii="MS PGothic" w:cs="MS PGothic" w:eastAsia="MS PGothic" w:hAnsi="MS PGothic"/>
          <w:sz w:val="18"/>
          <w:szCs w:val="18"/>
          <w:color w:val="auto"/>
        </w:rPr>
        <w:t>‑</w:t>
      </w:r>
      <w:r>
        <w:rPr>
          <w:rFonts w:ascii="Arial" w:cs="Arial" w:eastAsia="Arial" w:hAnsi="Arial"/>
          <w:sz w:val="18"/>
          <w:szCs w:val="18"/>
          <w:color w:val="auto"/>
        </w:rPr>
        <w:t>FGFR inhibitors such as BGJ</w:t>
      </w:r>
      <w:r>
        <w:rPr>
          <w:rFonts w:ascii="MS PGothic" w:cs="MS PGothic" w:eastAsia="MS PGothic" w:hAnsi="MS PGothic"/>
          <w:sz w:val="18"/>
          <w:szCs w:val="18"/>
          <w:color w:val="auto"/>
        </w:rPr>
        <w:t>‑</w:t>
      </w:r>
      <w:r>
        <w:rPr>
          <w:rFonts w:ascii="Arial" w:cs="Arial" w:eastAsia="Arial" w:hAnsi="Arial"/>
          <w:sz w:val="18"/>
          <w:szCs w:val="18"/>
          <w:color w:val="auto"/>
        </w:rPr>
        <w:t>398 fail to exhibit paralog specificity. The selectivity of BLU</w:t>
      </w:r>
      <w:r>
        <w:rPr>
          <w:rFonts w:ascii="MS PGothic" w:cs="MS PGothic" w:eastAsia="MS PGothic" w:hAnsi="MS PGothic"/>
          <w:sz w:val="18"/>
          <w:szCs w:val="18"/>
          <w:color w:val="auto"/>
        </w:rPr>
        <w:t>‑</w:t>
      </w:r>
      <w:r>
        <w:rPr>
          <w:rFonts w:ascii="Arial" w:cs="Arial" w:eastAsia="Arial" w:hAnsi="Arial"/>
          <w:sz w:val="18"/>
          <w:szCs w:val="18"/>
          <w:color w:val="auto"/>
        </w:rPr>
        <w:t>554 was further evaluated by profiling BLU</w:t>
      </w:r>
      <w:r>
        <w:rPr>
          <w:rFonts w:ascii="MS PGothic" w:cs="MS PGothic" w:eastAsia="MS PGothic" w:hAnsi="MS PGothic"/>
          <w:sz w:val="18"/>
          <w:szCs w:val="18"/>
          <w:color w:val="auto"/>
        </w:rPr>
        <w:t>‑</w:t>
      </w:r>
      <w:r>
        <w:rPr>
          <w:rFonts w:ascii="Arial" w:cs="Arial" w:eastAsia="Arial" w:hAnsi="Arial"/>
          <w:sz w:val="18"/>
          <w:szCs w:val="18"/>
          <w:color w:val="auto"/>
        </w:rPr>
        <w:t>554 at a concentration of 3 µM across a panel of over 450 kinases and disease relevant kinase mutants using KINOME</w:t>
      </w:r>
      <w:r>
        <w:rPr>
          <w:rFonts w:ascii="Arial" w:cs="Arial" w:eastAsia="Arial" w:hAnsi="Arial"/>
          <w:sz w:val="18"/>
          <w:szCs w:val="18"/>
          <w:i w:val="1"/>
          <w:iCs w:val="1"/>
          <w:color w:val="auto"/>
        </w:rPr>
        <w:t>scan</w:t>
      </w:r>
      <w:r>
        <w:rPr>
          <w:rFonts w:ascii="Arial" w:cs="Arial" w:eastAsia="Arial" w:hAnsi="Arial"/>
          <w:sz w:val="18"/>
          <w:szCs w:val="18"/>
          <w:color w:val="auto"/>
        </w:rPr>
        <w:t xml:space="preserve"> methodology. BLU</w:t>
      </w:r>
      <w:r>
        <w:rPr>
          <w:rFonts w:ascii="MS PGothic" w:cs="MS PGothic" w:eastAsia="MS PGothic" w:hAnsi="MS PGothic"/>
          <w:sz w:val="18"/>
          <w:szCs w:val="18"/>
          <w:color w:val="auto"/>
        </w:rPr>
        <w:t>‑</w:t>
      </w:r>
      <w:r>
        <w:rPr>
          <w:rFonts w:ascii="Arial" w:cs="Arial" w:eastAsia="Arial" w:hAnsi="Arial"/>
          <w:sz w:val="18"/>
          <w:szCs w:val="18"/>
          <w:color w:val="auto"/>
        </w:rPr>
        <w:t>554 displayed significant binding (greater than 90% inhibition relative to control) only to FGFR4 in this assay. In contrast, BGJ</w:t>
      </w:r>
      <w:r>
        <w:rPr>
          <w:rFonts w:ascii="MS PGothic" w:cs="MS PGothic" w:eastAsia="MS PGothic" w:hAnsi="MS PGothic"/>
          <w:sz w:val="18"/>
          <w:szCs w:val="18"/>
          <w:color w:val="auto"/>
        </w:rPr>
        <w:t>‑</w:t>
      </w:r>
      <w:r>
        <w:rPr>
          <w:rFonts w:ascii="Arial" w:cs="Arial" w:eastAsia="Arial" w:hAnsi="Arial"/>
          <w:sz w:val="18"/>
          <w:szCs w:val="18"/>
          <w:color w:val="auto"/>
        </w:rPr>
        <w:t>398 significantly bound to 14 kinases (greater than 90% inhibition relative to control).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right="39"/>
        <w:spacing w:after="0" w:line="236" w:lineRule="auto"/>
        <w:rPr>
          <w:sz w:val="20"/>
          <w:szCs w:val="20"/>
          <w:color w:val="auto"/>
        </w:rPr>
      </w:pPr>
      <w:r>
        <w:rPr>
          <w:rFonts w:ascii="Arial" w:cs="Arial" w:eastAsia="Arial" w:hAnsi="Arial"/>
          <w:sz w:val="14"/>
          <w:szCs w:val="14"/>
          <w:color w:val="auto"/>
        </w:rPr>
        <w:t xml:space="preserve">Paralog selectivity of BLU-554 compared to the pan-FGFR inhibitor BGJ-398. The inhibitory potency of BLU-554 and BGJ-398 against each of the FGFR paralogs was evaluated in an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128270</wp:posOffset>
            </wp:positionV>
            <wp:extent cx="1020445" cy="1551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044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60" w:right="19"/>
        <w:spacing w:after="0" w:line="147" w:lineRule="exact"/>
        <w:rPr>
          <w:sz w:val="20"/>
          <w:szCs w:val="20"/>
          <w:color w:val="auto"/>
        </w:rPr>
      </w:pPr>
      <w:r>
        <w:rPr>
          <w:rFonts w:ascii="Arial" w:cs="Arial" w:eastAsia="Arial" w:hAnsi="Arial"/>
          <w:sz w:val="13"/>
          <w:szCs w:val="13"/>
          <w:color w:val="auto"/>
        </w:rPr>
        <w:t>Kinome selectivity of BLU-554 as determined using the KINOME scan assay. BLU-554 was screened at 3 µM against a panel of over 450 kinases and disease</w:t>
      </w:r>
      <w:r>
        <w:rPr>
          <w:rFonts w:ascii="MS PGothic" w:cs="MS PGothic" w:eastAsia="MS PGothic" w:hAnsi="MS PGothic"/>
          <w:sz w:val="13"/>
          <w:szCs w:val="13"/>
          <w:color w:val="auto"/>
        </w:rPr>
        <w:t>‑</w:t>
      </w:r>
      <w:r>
        <w:rPr>
          <w:rFonts w:ascii="Arial" w:cs="Arial" w:eastAsia="Arial" w:hAnsi="Arial"/>
          <w:sz w:val="13"/>
          <w:szCs w:val="13"/>
          <w:color w:val="auto"/>
        </w:rPr>
        <w:t xml:space="preserve">relevant mutants. Each branch of the dendogram represents an individual human kinase. Kinases bound by the compound are indicated by red circles on the kinome tree. The degree of binding corresponds to the size of the circle. </w:t>
      </w:r>
      <w:r>
        <w:rPr>
          <w:rFonts w:ascii="Arial" w:cs="Arial" w:eastAsia="Arial" w:hAnsi="Arial"/>
          <w:sz w:val="13"/>
          <w:szCs w:val="13"/>
          <w:i w:val="1"/>
          <w:iCs w:val="1"/>
          <w:color w:val="auto"/>
        </w:rPr>
        <w:t>Kinome illustration reproduced courtesy</w:t>
      </w:r>
      <w:r>
        <w:rPr>
          <w:rFonts w:ascii="Arial" w:cs="Arial" w:eastAsia="Arial" w:hAnsi="Arial"/>
          <w:sz w:val="13"/>
          <w:szCs w:val="13"/>
          <w:color w:val="auto"/>
        </w:rPr>
        <w:t xml:space="preserve"> </w:t>
      </w:r>
      <w:r>
        <w:rPr>
          <w:rFonts w:ascii="Arial" w:cs="Arial" w:eastAsia="Arial" w:hAnsi="Arial"/>
          <w:sz w:val="13"/>
          <w:szCs w:val="13"/>
          <w:i w:val="1"/>
          <w:iCs w:val="1"/>
          <w:color w:val="auto"/>
        </w:rPr>
        <w:t>of CSTI (www.cellsignal.com). The foregoing website is maintained by CSTI, and Blueprint Medicines is not responsible for its content.</w:t>
      </w:r>
    </w:p>
    <w:p>
      <w:pPr>
        <w:spacing w:after="0" w:line="175" w:lineRule="exact"/>
        <w:rPr>
          <w:sz w:val="20"/>
          <w:szCs w:val="20"/>
          <w:color w:val="auto"/>
        </w:rPr>
      </w:pPr>
    </w:p>
    <w:p>
      <w:pPr>
        <w:ind w:right="99" w:firstLine="648"/>
        <w:spacing w:after="0" w:line="182" w:lineRule="exact"/>
        <w:rPr>
          <w:sz w:val="20"/>
          <w:szCs w:val="20"/>
          <w:color w:val="auto"/>
        </w:rPr>
      </w:pPr>
      <w:r>
        <w:rPr>
          <w:rFonts w:ascii="Arial" w:cs="Arial" w:eastAsia="Arial" w:hAnsi="Arial"/>
          <w:sz w:val="18"/>
          <w:szCs w:val="18"/>
          <w:color w:val="auto"/>
        </w:rPr>
        <w:t>We demonstrated significant anti-tumor efficacy with BLU</w:t>
      </w:r>
      <w:r>
        <w:rPr>
          <w:rFonts w:ascii="MS PGothic" w:cs="MS PGothic" w:eastAsia="MS PGothic" w:hAnsi="MS PGothic"/>
          <w:sz w:val="18"/>
          <w:szCs w:val="18"/>
          <w:color w:val="auto"/>
        </w:rPr>
        <w:t>‑</w:t>
      </w:r>
      <w:r>
        <w:rPr>
          <w:rFonts w:ascii="Arial" w:cs="Arial" w:eastAsia="Arial" w:hAnsi="Arial"/>
          <w:sz w:val="18"/>
          <w:szCs w:val="18"/>
          <w:color w:val="auto"/>
        </w:rPr>
        <w:t xml:space="preserve">554 in two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HCC xenograft models where tumor growth is driven by FGFR4 signaling. BLU</w:t>
      </w:r>
      <w:r>
        <w:rPr>
          <w:rFonts w:ascii="MS PGothic" w:cs="MS PGothic" w:eastAsia="MS PGothic" w:hAnsi="MS PGothic"/>
          <w:sz w:val="18"/>
          <w:szCs w:val="18"/>
          <w:color w:val="auto"/>
        </w:rPr>
        <w:t>‑</w:t>
      </w:r>
      <w:r>
        <w:rPr>
          <w:rFonts w:ascii="Arial" w:cs="Arial" w:eastAsia="Arial" w:hAnsi="Arial"/>
          <w:sz w:val="18"/>
          <w:szCs w:val="18"/>
          <w:color w:val="auto"/>
        </w:rPr>
        <w:t>554 administered orally for 21 days resulted in robust and dose</w:t>
      </w:r>
      <w:r>
        <w:rPr>
          <w:rFonts w:ascii="MS PGothic" w:cs="MS PGothic" w:eastAsia="MS PGothic" w:hAnsi="MS PGothic"/>
          <w:sz w:val="18"/>
          <w:szCs w:val="18"/>
          <w:color w:val="auto"/>
        </w:rPr>
        <w:t>‑</w:t>
      </w:r>
      <w:r>
        <w:rPr>
          <w:rFonts w:ascii="Arial" w:cs="Arial" w:eastAsia="Arial" w:hAnsi="Arial"/>
          <w:sz w:val="18"/>
          <w:szCs w:val="18"/>
          <w:color w:val="auto"/>
        </w:rPr>
        <w:t>dependent growth inhibition of Hep3B tumors, an FGF19</w:t>
      </w:r>
      <w:r>
        <w:rPr>
          <w:rFonts w:ascii="MS PGothic" w:cs="MS PGothic" w:eastAsia="MS PGothic" w:hAnsi="MS PGothic"/>
          <w:sz w:val="18"/>
          <w:szCs w:val="18"/>
          <w:color w:val="auto"/>
        </w:rPr>
        <w:t>‑</w:t>
      </w:r>
      <w:r>
        <w:rPr>
          <w:rFonts w:ascii="Arial" w:cs="Arial" w:eastAsia="Arial" w:hAnsi="Arial"/>
          <w:sz w:val="18"/>
          <w:szCs w:val="18"/>
          <w:color w:val="auto"/>
        </w:rPr>
        <w:t>amplified model. At a dose of 100 mg/kg BID, a well</w:t>
      </w:r>
      <w:r>
        <w:rPr>
          <w:rFonts w:ascii="MS PGothic" w:cs="MS PGothic" w:eastAsia="MS PGothic" w:hAnsi="MS PGothic"/>
          <w:sz w:val="18"/>
          <w:szCs w:val="18"/>
          <w:color w:val="auto"/>
        </w:rPr>
        <w:t>‑</w:t>
      </w:r>
      <w:r>
        <w:rPr>
          <w:rFonts w:ascii="Arial" w:cs="Arial" w:eastAsia="Arial" w:hAnsi="Arial"/>
          <w:sz w:val="18"/>
          <w:szCs w:val="18"/>
          <w:color w:val="auto"/>
        </w:rPr>
        <w:t>tolerated dose, BLU</w:t>
      </w:r>
      <w:r>
        <w:rPr>
          <w:rFonts w:ascii="MS PGothic" w:cs="MS PGothic" w:eastAsia="MS PGothic" w:hAnsi="MS PGothic"/>
          <w:sz w:val="18"/>
          <w:szCs w:val="18"/>
          <w:color w:val="auto"/>
        </w:rPr>
        <w:t>‑</w:t>
      </w:r>
      <w:r>
        <w:rPr>
          <w:rFonts w:ascii="Arial" w:cs="Arial" w:eastAsia="Arial" w:hAnsi="Arial"/>
          <w:sz w:val="18"/>
          <w:szCs w:val="18"/>
          <w:color w:val="auto"/>
        </w:rPr>
        <w:t>554 induced complete remission in a subset of mice for at least 30 days after cessation of treatment. We observed a correlation between the concentration of BLU</w:t>
      </w:r>
      <w:r>
        <w:rPr>
          <w:rFonts w:ascii="MS PGothic" w:cs="MS PGothic" w:eastAsia="MS PGothic" w:hAnsi="MS PGothic"/>
          <w:sz w:val="18"/>
          <w:szCs w:val="18"/>
          <w:color w:val="auto"/>
        </w:rPr>
        <w:t>‑</w:t>
      </w:r>
      <w:r>
        <w:rPr>
          <w:rFonts w:ascii="Arial" w:cs="Arial" w:eastAsia="Arial" w:hAnsi="Arial"/>
          <w:sz w:val="18"/>
          <w:szCs w:val="18"/>
          <w:color w:val="auto"/>
        </w:rPr>
        <w:t>554 in mouse plasma and the level of expression of CYP7A1, a downstream biomarker, in the tumor. At the 100 mg/kg BID dose, significant induction of CYP7A1 expression was seen, which is an expected consequence of inhibiting FGFR4 signaling. This correlation between BLU</w:t>
      </w:r>
      <w:r>
        <w:rPr>
          <w:rFonts w:ascii="MS PGothic" w:cs="MS PGothic" w:eastAsia="MS PGothic" w:hAnsi="MS PGothic"/>
          <w:sz w:val="18"/>
          <w:szCs w:val="18"/>
          <w:color w:val="auto"/>
        </w:rPr>
        <w:t>‑</w:t>
      </w:r>
      <w:r>
        <w:rPr>
          <w:rFonts w:ascii="Arial" w:cs="Arial" w:eastAsia="Arial" w:hAnsi="Arial"/>
          <w:sz w:val="18"/>
          <w:szCs w:val="18"/>
          <w:color w:val="auto"/>
        </w:rPr>
        <w:t>554 plasma concentration, the level of induction of CYP7A1 expression and anti</w:t>
      </w:r>
      <w:r>
        <w:rPr>
          <w:rFonts w:ascii="MS PGothic" w:cs="MS PGothic" w:eastAsia="MS PGothic" w:hAnsi="MS PGothic"/>
          <w:sz w:val="18"/>
          <w:szCs w:val="18"/>
          <w:color w:val="auto"/>
        </w:rPr>
        <w:t>‑</w:t>
      </w:r>
      <w:r>
        <w:rPr>
          <w:rFonts w:ascii="Arial" w:cs="Arial" w:eastAsia="Arial" w:hAnsi="Arial"/>
          <w:sz w:val="18"/>
          <w:szCs w:val="18"/>
          <w:color w:val="auto"/>
        </w:rPr>
        <w:t>tumor efficacy supports that the observed anti</w:t>
      </w:r>
      <w:r>
        <w:rPr>
          <w:rFonts w:ascii="MS PGothic" w:cs="MS PGothic" w:eastAsia="MS PGothic" w:hAnsi="MS PGothic"/>
          <w:sz w:val="18"/>
          <w:szCs w:val="18"/>
          <w:color w:val="auto"/>
        </w:rPr>
        <w:t>‑</w:t>
      </w:r>
      <w:r>
        <w:rPr>
          <w:rFonts w:ascii="Arial" w:cs="Arial" w:eastAsia="Arial" w:hAnsi="Arial"/>
          <w:sz w:val="18"/>
          <w:szCs w:val="18"/>
          <w:color w:val="auto"/>
        </w:rPr>
        <w:t>tumor response is due to inhibition of FGFR4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123190</wp:posOffset>
            </wp:positionV>
            <wp:extent cx="2495550" cy="13633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9555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39"/>
        <w:spacing w:after="0" w:line="159" w:lineRule="exact"/>
        <w:rPr>
          <w:sz w:val="20"/>
          <w:szCs w:val="20"/>
          <w:color w:val="auto"/>
        </w:rPr>
      </w:pPr>
      <w:r>
        <w:rPr>
          <w:rFonts w:ascii="Arial" w:cs="Arial" w:eastAsia="Arial" w:hAnsi="Arial"/>
          <w:sz w:val="14"/>
          <w:szCs w:val="14"/>
          <w:color w:val="auto"/>
        </w:rPr>
        <w:t>BLU</w:t>
      </w:r>
      <w:r>
        <w:rPr>
          <w:rFonts w:ascii="MS PGothic" w:cs="MS PGothic" w:eastAsia="MS PGothic" w:hAnsi="MS PGothic"/>
          <w:sz w:val="14"/>
          <w:szCs w:val="14"/>
          <w:color w:val="auto"/>
        </w:rPr>
        <w:t>‑</w:t>
      </w:r>
      <w:r>
        <w:rPr>
          <w:rFonts w:ascii="Arial" w:cs="Arial" w:eastAsia="Arial" w:hAnsi="Arial"/>
          <w:sz w:val="14"/>
          <w:szCs w:val="14"/>
          <w:color w:val="auto"/>
        </w:rPr>
        <w:t>554 elicits dose</w:t>
      </w:r>
      <w:r>
        <w:rPr>
          <w:rFonts w:ascii="MS PGothic" w:cs="MS PGothic" w:eastAsia="MS PGothic" w:hAnsi="MS PGothic"/>
          <w:sz w:val="14"/>
          <w:szCs w:val="14"/>
          <w:color w:val="auto"/>
        </w:rPr>
        <w:t>‑</w:t>
      </w:r>
      <w:r>
        <w:rPr>
          <w:rFonts w:ascii="Arial" w:cs="Arial" w:eastAsia="Arial" w:hAnsi="Arial"/>
          <w:sz w:val="14"/>
          <w:szCs w:val="14"/>
          <w:color w:val="auto"/>
        </w:rPr>
        <w:t>dependent tumor inhibition in the Hep3B tumor xenograft mouse model, a model of FGF19 amplification. In the figure above, BID means twice a day and PO means orally.</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187" w:lineRule="exact"/>
        <w:rPr>
          <w:sz w:val="20"/>
          <w:szCs w:val="20"/>
          <w:color w:val="auto"/>
        </w:rPr>
      </w:pPr>
      <w:r>
        <w:rPr>
          <w:rFonts w:ascii="Arial" w:cs="Arial" w:eastAsia="Arial" w:hAnsi="Arial"/>
          <w:sz w:val="16"/>
          <w:szCs w:val="16"/>
          <w:color w:val="auto"/>
        </w:rPr>
        <w:t>Aberrant FGFR4 signaling can also be driven by FGF19 overexpression in the absence of amplification. Hence, we have also evaluated the anti</w:t>
      </w:r>
      <w:r>
        <w:rPr>
          <w:rFonts w:ascii="MS PGothic" w:cs="MS PGothic" w:eastAsia="MS PGothic" w:hAnsi="MS PGothic"/>
          <w:sz w:val="16"/>
          <w:szCs w:val="16"/>
          <w:color w:val="auto"/>
        </w:rPr>
        <w:t>‑</w:t>
      </w:r>
      <w:r>
        <w:rPr>
          <w:rFonts w:ascii="Arial" w:cs="Arial" w:eastAsia="Arial" w:hAnsi="Arial"/>
          <w:sz w:val="16"/>
          <w:szCs w:val="16"/>
          <w:color w:val="auto"/>
        </w:rPr>
        <w:t>tumor efficacy of BLU</w:t>
      </w:r>
      <w:r>
        <w:rPr>
          <w:rFonts w:ascii="MS PGothic" w:cs="MS PGothic" w:eastAsia="MS PGothic" w:hAnsi="MS PGothic"/>
          <w:sz w:val="16"/>
          <w:szCs w:val="16"/>
          <w:color w:val="auto"/>
        </w:rPr>
        <w:t>‑</w:t>
      </w:r>
      <w:r>
        <w:rPr>
          <w:rFonts w:ascii="Arial" w:cs="Arial" w:eastAsia="Arial" w:hAnsi="Arial"/>
          <w:sz w:val="16"/>
          <w:szCs w:val="16"/>
          <w:color w:val="auto"/>
        </w:rPr>
        <w:t>554 in a patient</w:t>
      </w:r>
      <w:r>
        <w:rPr>
          <w:rFonts w:ascii="MS PGothic" w:cs="MS PGothic" w:eastAsia="MS PGothic" w:hAnsi="MS PGothic"/>
          <w:sz w:val="16"/>
          <w:szCs w:val="16"/>
          <w:color w:val="auto"/>
        </w:rPr>
        <w:t>‑</w:t>
      </w:r>
      <w:r>
        <w:rPr>
          <w:rFonts w:ascii="Arial" w:cs="Arial" w:eastAsia="Arial" w:hAnsi="Arial"/>
          <w:sz w:val="16"/>
          <w:szCs w:val="16"/>
          <w:color w:val="auto"/>
        </w:rPr>
        <w:t>derived xenograft model driven by FGF19 overexpression in the absence of amplification. Treatment with BLU</w:t>
      </w:r>
      <w:r>
        <w:rPr>
          <w:rFonts w:ascii="MS PGothic" w:cs="MS PGothic" w:eastAsia="MS PGothic" w:hAnsi="MS PGothic"/>
          <w:sz w:val="16"/>
          <w:szCs w:val="16"/>
          <w:color w:val="auto"/>
        </w:rPr>
        <w:t>‑</w:t>
      </w:r>
      <w:r>
        <w:rPr>
          <w:rFonts w:ascii="Arial" w:cs="Arial" w:eastAsia="Arial" w:hAnsi="Arial"/>
          <w:sz w:val="16"/>
          <w:szCs w:val="16"/>
          <w:color w:val="auto"/>
        </w:rPr>
        <w:t>554 led to dose</w:t>
      </w:r>
      <w:r>
        <w:rPr>
          <w:rFonts w:ascii="MS PGothic" w:cs="MS PGothic" w:eastAsia="MS PGothic" w:hAnsi="MS PGothic"/>
          <w:sz w:val="16"/>
          <w:szCs w:val="16"/>
          <w:color w:val="auto"/>
        </w:rPr>
        <w:t>‑</w:t>
      </w:r>
      <w:r>
        <w:rPr>
          <w:rFonts w:ascii="Arial" w:cs="Arial" w:eastAsia="Arial" w:hAnsi="Arial"/>
          <w:sz w:val="16"/>
          <w:szCs w:val="16"/>
          <w:color w:val="auto"/>
        </w:rPr>
        <w:t>dependent tumor growth inhibition. The anti</w:t>
      </w:r>
      <w:r>
        <w:rPr>
          <w:rFonts w:ascii="MS PGothic" w:cs="MS PGothic" w:eastAsia="MS PGothic" w:hAnsi="MS PGothic"/>
          <w:sz w:val="16"/>
          <w:szCs w:val="16"/>
          <w:color w:val="auto"/>
        </w:rPr>
        <w:t>‑</w:t>
      </w:r>
      <w:r>
        <w:rPr>
          <w:rFonts w:ascii="Arial" w:cs="Arial" w:eastAsia="Arial" w:hAnsi="Arial"/>
          <w:sz w:val="16"/>
          <w:szCs w:val="16"/>
          <w:color w:val="auto"/>
        </w:rPr>
        <w:t>tumor efficacy of sorafenib, the only approved systemic treatment for HCC, was also evaluated in this study. Sorafenib dosed once daily at 40 mg/kg, a dose that led to body weight loss in the mice, had only a modest effect on tumor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120650</wp:posOffset>
            </wp:positionV>
            <wp:extent cx="3327400" cy="1449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660" w:right="120"/>
        <w:spacing w:after="0" w:line="159" w:lineRule="exact"/>
        <w:rPr>
          <w:sz w:val="20"/>
          <w:szCs w:val="20"/>
          <w:color w:val="auto"/>
        </w:rPr>
      </w:pPr>
      <w:r>
        <w:rPr>
          <w:rFonts w:ascii="Arial" w:cs="Arial" w:eastAsia="Arial" w:hAnsi="Arial"/>
          <w:sz w:val="12"/>
          <w:szCs w:val="12"/>
          <w:color w:val="auto"/>
        </w:rPr>
        <w:t>BLU</w:t>
      </w:r>
      <w:r>
        <w:rPr>
          <w:rFonts w:ascii="MS PGothic" w:cs="MS PGothic" w:eastAsia="MS PGothic" w:hAnsi="MS PGothic"/>
          <w:sz w:val="12"/>
          <w:szCs w:val="12"/>
          <w:color w:val="auto"/>
        </w:rPr>
        <w:t>‑</w:t>
      </w:r>
      <w:r>
        <w:rPr>
          <w:rFonts w:ascii="Arial" w:cs="Arial" w:eastAsia="Arial" w:hAnsi="Arial"/>
          <w:sz w:val="12"/>
          <w:szCs w:val="12"/>
          <w:color w:val="auto"/>
        </w:rPr>
        <w:t>554 elicits dose</w:t>
      </w:r>
      <w:r>
        <w:rPr>
          <w:rFonts w:ascii="MS PGothic" w:cs="MS PGothic" w:eastAsia="MS PGothic" w:hAnsi="MS PGothic"/>
          <w:sz w:val="12"/>
          <w:szCs w:val="12"/>
          <w:color w:val="auto"/>
        </w:rPr>
        <w:t>‑</w:t>
      </w:r>
      <w:r>
        <w:rPr>
          <w:rFonts w:ascii="Arial" w:cs="Arial" w:eastAsia="Arial" w:hAnsi="Arial"/>
          <w:sz w:val="12"/>
          <w:szCs w:val="12"/>
          <w:color w:val="auto"/>
        </w:rPr>
        <w:t>dependent tumor inhibition in a patient</w:t>
      </w:r>
      <w:r>
        <w:rPr>
          <w:rFonts w:ascii="MS PGothic" w:cs="MS PGothic" w:eastAsia="MS PGothic" w:hAnsi="MS PGothic"/>
          <w:sz w:val="12"/>
          <w:szCs w:val="12"/>
          <w:color w:val="auto"/>
        </w:rPr>
        <w:t>‑</w:t>
      </w:r>
      <w:r>
        <w:rPr>
          <w:rFonts w:ascii="Arial" w:cs="Arial" w:eastAsia="Arial" w:hAnsi="Arial"/>
          <w:sz w:val="12"/>
          <w:szCs w:val="12"/>
          <w:color w:val="auto"/>
        </w:rPr>
        <w:t>derived tumor xenograft mouse model in which tumor growth is driven by FGF19 overexpression in the absence of FGF19 amplification. In the figure above, QD means once a day, BID means twice a day and PO means orally.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Taken together, the data presented above indicate that potent and selective FGFR4 inhibition leads to robust</w:t>
      </w:r>
    </w:p>
    <w:p>
      <w:pPr>
        <w:spacing w:after="0" w:line="176"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 xml:space="preserve">tumor effects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where tumor growth is driven by FGF19 amplification or FGF19 overexpression in the</w:t>
      </w:r>
    </w:p>
    <w:p>
      <w:pPr>
        <w:spacing w:after="0"/>
        <w:rPr>
          <w:sz w:val="20"/>
          <w:szCs w:val="20"/>
          <w:color w:val="auto"/>
        </w:rPr>
      </w:pPr>
      <w:r>
        <w:rPr>
          <w:rFonts w:ascii="Arial" w:cs="Arial" w:eastAsia="Arial" w:hAnsi="Arial"/>
          <w:sz w:val="18"/>
          <w:szCs w:val="18"/>
          <w:color w:val="auto"/>
        </w:rPr>
        <w:t>absence of amplification.</w:t>
      </w:r>
    </w:p>
    <w:p>
      <w:pPr>
        <w:spacing w:after="0" w:line="16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These findings, together with our estimate that, based on a meta-analysis of publicly available HCC genomic datasets, approximately 30% of patients with HCC have tumors with aberrantly activated FGFR4 signaling, provide critical information to identify a potential responder population and informed patient selection criteria in our Phase 1 clinical trial.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 for BLU-554 for the Treatment of Advanced HCC</w:t>
      </w:r>
    </w:p>
    <w:p>
      <w:pPr>
        <w:spacing w:after="0" w:line="185"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BLU-554 is currently being evaluated in the dose expansion stage of a Phase 1 clinical trial in patients with advanced HCC, and enrollment is ongoing. In September 2015, the FDA granted orphan drug designation to BLU-554 for the treatment of HCC.</w:t>
      </w:r>
    </w:p>
    <w:p>
      <w:pPr>
        <w:spacing w:after="0" w:line="16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November 2016, we presented preliminary data from the dose escalation stage of this ongoing clinical trial at the 28</w:t>
      </w:r>
      <w:r>
        <w:rPr>
          <w:rFonts w:ascii="Arial" w:cs="Arial" w:eastAsia="Arial" w:hAnsi="Arial"/>
          <w:sz w:val="7"/>
          <w:szCs w:val="7"/>
          <w:color w:val="auto"/>
        </w:rPr>
        <w:t>th</w:t>
      </w:r>
      <w:r>
        <w:rPr>
          <w:rFonts w:ascii="Arial" w:cs="Arial" w:eastAsia="Arial" w:hAnsi="Arial"/>
          <w:sz w:val="16"/>
          <w:szCs w:val="16"/>
          <w:color w:val="auto"/>
        </w:rPr>
        <w:t xml:space="preserve"> EORTC-NCI-AACR Symposium on Molecular Targets and Cancer Therapeutics. The data showed that BLU-554 had achieved proof-of concept in this indication and an MTD had been established for BLU-554. As of the data cutoff date of November 7, 2016, BLU -554 had been administered to 25 patients in the dose escalation stage of the clinical trial at five dose levels (ranging from 140 mg QD to 900 mg QD), with the majority of patients having previously received sorafenib. Ten patients had confirmed tumor FGF19 overexpression using an investigational immunohistochemistry, or IHC, assay. PK data across all dose levels showed rapid oral absorption, a mean half-life of approximately 10 hours and exposure in the expected therapeutic range as predicted by HCC xenograft models in mice. PD data suggested that treatment with BLU-554 inhibited the FGFR4 pathway, as evidenced by effects on metabolic pathways downstream of FGFR4, with increases in the bile acid precursor C4, decreases in cholesterol and feedback upregulation of the ligand FGF19 in blood.</w:t>
      </w:r>
    </w:p>
    <w:p>
      <w:pPr>
        <w:spacing w:after="0" w:line="163"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i w:val="1"/>
          <w:iCs w:val="1"/>
          <w:color w:val="auto"/>
        </w:rPr>
        <w:t xml:space="preserve">Preliminary Safety Data. </w:t>
      </w:r>
      <w:r>
        <w:rPr>
          <w:rFonts w:ascii="Arial" w:cs="Arial" w:eastAsia="Arial" w:hAnsi="Arial"/>
          <w:sz w:val="16"/>
          <w:szCs w:val="16"/>
          <w:color w:val="auto"/>
        </w:rPr>
        <w:t>As of the data cutoff date of November 7, 2016, the majority of adverse events reported by</w:t>
      </w:r>
      <w:r>
        <w:rPr>
          <w:rFonts w:ascii="Arial" w:cs="Arial" w:eastAsia="Arial" w:hAnsi="Arial"/>
          <w:sz w:val="16"/>
          <w:szCs w:val="16"/>
          <w:i w:val="1"/>
          <w:iCs w:val="1"/>
          <w:color w:val="auto"/>
        </w:rPr>
        <w:t xml:space="preserve"> </w:t>
      </w:r>
      <w:r>
        <w:rPr>
          <w:rFonts w:ascii="Arial" w:cs="Arial" w:eastAsia="Arial" w:hAnsi="Arial"/>
          <w:sz w:val="16"/>
          <w:szCs w:val="16"/>
          <w:color w:val="auto"/>
        </w:rPr>
        <w:t>investigators were Grade 1 or 2 and most commonly included diarrhea (72%), nausea (44%), abdominal pain (40%), vomiting (40%), fatigue (36%), transaminase elevation (alanine aminotransferase, or ALT (32%) and aspartate aminotransferase, or AST (28%)) and decreased appetite (24%). Investigators reported Grade 3 or higher adverse events in 17 patients. Grade 3 or worse adverse events occurring in three or more patients included anemia, elevated transaminases (AST and ALT), abdominal pain and decreased lymphocytes. The MTD for BLU-554 was identified to be 600 mg QD. Two patients experienced dose-limiting toxicities at 900 mg (Grade 3 abdominal pain and Grade 3 fatigue). Only two patients discontinued treatment with BLU-554 due to treatment-related toxicities (Grade 4 increased AST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Grade 3 hemorrhage). The case of Grade 3 hemorrhage occurred in a patient treated at 900 mg, which was above the MTD.</w:t>
      </w:r>
    </w:p>
    <w:p>
      <w:pPr>
        <w:spacing w:after="0" w:line="208"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i w:val="1"/>
          <w:iCs w:val="1"/>
          <w:color w:val="auto"/>
        </w:rPr>
        <w:t xml:space="preserve">Preliminary Clinical Activity Data. </w:t>
      </w:r>
      <w:r>
        <w:rPr>
          <w:rFonts w:ascii="Arial" w:cs="Arial" w:eastAsia="Arial" w:hAnsi="Arial"/>
          <w:sz w:val="18"/>
          <w:szCs w:val="18"/>
          <w:color w:val="auto"/>
        </w:rPr>
        <w:t>As of the data cutoff date of November 7, 2016, 25 patients in the first five</w:t>
      </w:r>
      <w:r>
        <w:rPr>
          <w:rFonts w:ascii="Arial" w:cs="Arial" w:eastAsia="Arial" w:hAnsi="Arial"/>
          <w:sz w:val="18"/>
          <w:szCs w:val="18"/>
          <w:i w:val="1"/>
          <w:iCs w:val="1"/>
          <w:color w:val="auto"/>
        </w:rPr>
        <w:t xml:space="preserve"> </w:t>
      </w:r>
      <w:r>
        <w:rPr>
          <w:rFonts w:ascii="Arial" w:cs="Arial" w:eastAsia="Arial" w:hAnsi="Arial"/>
          <w:sz w:val="18"/>
          <w:szCs w:val="18"/>
          <w:color w:val="auto"/>
        </w:rPr>
        <w:t>cohorts of the dose escalation stage of the clinical trial (at doses ranging from 140 mg QD to 900 mg QD) were evaluable for clinical activity.</w:t>
      </w:r>
    </w:p>
    <w:p>
      <w:pPr>
        <w:spacing w:after="0" w:line="163" w:lineRule="exact"/>
        <w:rPr>
          <w:sz w:val="20"/>
          <w:szCs w:val="20"/>
          <w:color w:val="auto"/>
        </w:rPr>
      </w:pPr>
    </w:p>
    <w:p>
      <w:pPr>
        <w:ind w:left="1060" w:right="99" w:hanging="85"/>
        <w:spacing w:after="0" w:line="22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Investigators observed one patient with a confirmed PR, who remained on the clinical trial for eight 28-day dosing cycles, and 12 patients with stable disease, including seven who had tumor reduction but did not reach the threshold for a PR.</w:t>
      </w:r>
    </w:p>
    <w:p>
      <w:pPr>
        <w:spacing w:after="0" w:line="163" w:lineRule="exact"/>
        <w:rPr>
          <w:rFonts w:ascii="Arial" w:cs="Arial" w:eastAsia="Arial" w:hAnsi="Arial"/>
          <w:sz w:val="18"/>
          <w:szCs w:val="18"/>
          <w:color w:val="auto"/>
        </w:rPr>
      </w:pPr>
    </w:p>
    <w:p>
      <w:pPr>
        <w:ind w:left="1060" w:right="119" w:hanging="85"/>
        <w:spacing w:after="0" w:line="22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 10 evaluable patients with FGF19 overexpression in their tumors, five had radiographic tumor reduction, including one patient with a confirmed PR. Seven of the 10 patients with FGF19 overexpression remained on the clinical trial as of the data cutoff date.</w:t>
      </w:r>
    </w:p>
    <w:p>
      <w:pPr>
        <w:spacing w:after="0" w:line="163" w:lineRule="exact"/>
        <w:rPr>
          <w:rFonts w:ascii="Arial" w:cs="Arial" w:eastAsia="Arial" w:hAnsi="Arial"/>
          <w:sz w:val="18"/>
          <w:szCs w:val="18"/>
          <w:color w:val="auto"/>
        </w:rPr>
      </w:pPr>
    </w:p>
    <w:p>
      <w:pPr>
        <w:ind w:left="1060" w:right="99" w:hanging="85"/>
        <w:spacing w:after="0" w:line="219"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Among all 25 evaluable patients, seven patients remained on treatment as of the data cutoff date, with treatment duration ranging from 0.8 to 7.6 months. Eighteen patients discontinued treatment with BLU-554, including 15 patients due to disease progression, two patients due to treatment-related adverse events and one patient due to the investigator’s decision.</w:t>
      </w:r>
    </w:p>
    <w:p>
      <w:pPr>
        <w:spacing w:after="0" w:line="163" w:lineRule="exact"/>
        <w:rPr>
          <w:sz w:val="20"/>
          <w:szCs w:val="20"/>
          <w:color w:val="auto"/>
        </w:rPr>
      </w:pPr>
    </w:p>
    <w:p>
      <w:pPr>
        <w:ind w:right="19" w:firstLine="648"/>
        <w:spacing w:after="0" w:line="219" w:lineRule="auto"/>
        <w:rPr>
          <w:sz w:val="20"/>
          <w:szCs w:val="20"/>
          <w:color w:val="auto"/>
        </w:rPr>
      </w:pPr>
      <w:r>
        <w:rPr>
          <w:rFonts w:ascii="Arial" w:cs="Arial" w:eastAsia="Arial" w:hAnsi="Arial"/>
          <w:sz w:val="17"/>
          <w:szCs w:val="17"/>
          <w:i w:val="1"/>
          <w:iCs w:val="1"/>
          <w:color w:val="auto"/>
        </w:rPr>
        <w:t xml:space="preserve">Clinical Development Plans. </w:t>
      </w:r>
      <w:r>
        <w:rPr>
          <w:rFonts w:ascii="Arial" w:cs="Arial" w:eastAsia="Arial" w:hAnsi="Arial"/>
          <w:sz w:val="17"/>
          <w:szCs w:val="17"/>
          <w:color w:val="auto"/>
        </w:rPr>
        <w:t>Our Phase 1 clinical trial for BLU-554 is designed to evaluate the safety and</w:t>
      </w:r>
      <w:r>
        <w:rPr>
          <w:rFonts w:ascii="Arial" w:cs="Arial" w:eastAsia="Arial" w:hAnsi="Arial"/>
          <w:sz w:val="17"/>
          <w:szCs w:val="17"/>
          <w:i w:val="1"/>
          <w:iCs w:val="1"/>
          <w:color w:val="auto"/>
        </w:rPr>
        <w:t xml:space="preserve"> </w:t>
      </w:r>
      <w:r>
        <w:rPr>
          <w:rFonts w:ascii="Arial" w:cs="Arial" w:eastAsia="Arial" w:hAnsi="Arial"/>
          <w:sz w:val="17"/>
          <w:szCs w:val="17"/>
          <w:color w:val="auto"/>
        </w:rPr>
        <w:t>tolerability of BLU-554. Based on the observed mean half-life of approximately 10 hours for BLU-554 on a QD dosing schedule, we recently amended the protocol for this clinical trial to also explore a BID dosing schedule for BLU-554. For the QD dosing schedule, we have initiated enrollment of the biomarker-selected expansion cohorts for this clinical trial at the MTD of 600 mg QD. In the expansion stage for the QD dosing schedule, patients will be prospectively evaluated for tumor expression of FGF19 using an investigational IHC assay in three subsets with a range of tumors expressing FGF19. Two subsets of patients will be selected to have tumors that overexpress FGF19 (confirmed by the IHC assay), which is indicative of autocrine physiology where FGF19 is produced by the tumor cells in the liver. One of the patient subsets with tumors that overexpress FGF19 will have FGF19 gene amplification (confirmed by fluorescence in situ hybridization). The third subset of patients will be selected to have tumor FGF19 expression of less than 1% by the IHC assay, which is indicative of normal endocrine physiology, where FGF19 is produced by the intestines. For the BID dosing schedule, we plan to evaluate BLU-554 with BID dosing in multiple ascending doses with the goal of establishing an MTD for BID dosing or a recommended dose for BID dosing if the MTD for BID is not achieved. Once the MTD for BID dosing is reached, or a recommended dose for BID dosing is established, we will evaluate whether to open biomarker-selected expansion cohorts for a BID dosing schedule. Secondary objectives for this clinical trial include assessing overall response rate by RECIST criteria, the PK of BLU-554 and PD markers of BLU-554 activity. The Phase 1 clinical trial is designed to enroll approximately 130 patients, including approximately 40 patients during dose escalation for both QD and BID dosing schedules and approximately 90 additional patients in expansion cohorts for both QD and BID dosing schedules, at multiple sites in the United States, European Union and Asia.</w:t>
      </w:r>
    </w:p>
    <w:p>
      <w:pPr>
        <w:spacing w:after="0" w:line="163" w:lineRule="exact"/>
        <w:rPr>
          <w:sz w:val="20"/>
          <w:szCs w:val="20"/>
          <w:color w:val="auto"/>
        </w:rPr>
      </w:pPr>
    </w:p>
    <w:p>
      <w:pPr>
        <w:ind w:right="19" w:firstLine="648"/>
        <w:spacing w:after="0" w:line="216" w:lineRule="auto"/>
        <w:rPr>
          <w:sz w:val="20"/>
          <w:szCs w:val="20"/>
          <w:color w:val="auto"/>
        </w:rPr>
      </w:pPr>
      <w:r>
        <w:rPr>
          <w:rFonts w:ascii="Arial" w:cs="Arial" w:eastAsia="Arial" w:hAnsi="Arial"/>
          <w:sz w:val="18"/>
          <w:szCs w:val="18"/>
          <w:color w:val="auto"/>
        </w:rPr>
        <w:t>Based on the preliminary data, we also plan to accelerate our evaluation of expanded development options for BLU-554 in HCC, including opportunities to move to earlier lines of therapy and possible combinations. In addition, in March 2015, we entered into an agreement with Ventana Medical Systems, Inc. to develop and commercialize an IHC assay as a companion diagnostic test for use with BLU-554 to identify HCC patients with aberrantly active FGFR4 signaling as indicated by FGF19 protein overexpression.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59" w:firstLine="648"/>
        <w:spacing w:after="0" w:line="184" w:lineRule="exact"/>
        <w:rPr>
          <w:sz w:val="20"/>
          <w:szCs w:val="20"/>
          <w:color w:val="auto"/>
        </w:rPr>
      </w:pPr>
      <w:r>
        <w:rPr>
          <w:rFonts w:ascii="Arial" w:cs="Arial" w:eastAsia="Arial" w:hAnsi="Arial"/>
          <w:sz w:val="17"/>
          <w:szCs w:val="17"/>
          <w:color w:val="auto"/>
        </w:rPr>
        <w:t>BLU-667 is an orally available, potent selective inhibitor of the kinase RET and predicted RET resistant mutants. 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MTC (approximately 60% of patients), and RET fusions are implicated in several cancers, including papillary thyroid carcinoma (approximately 10% of patients) and NSCLC (1</w:t>
      </w:r>
      <w:r>
        <w:rPr>
          <w:rFonts w:ascii="MS PGothic" w:cs="MS PGothic" w:eastAsia="MS PGothic" w:hAnsi="MS PGothic"/>
          <w:sz w:val="17"/>
          <w:szCs w:val="17"/>
          <w:color w:val="auto"/>
        </w:rPr>
        <w:t>‑</w:t>
      </w:r>
      <w:r>
        <w:rPr>
          <w:rFonts w:ascii="Arial" w:cs="Arial" w:eastAsia="Arial" w:hAnsi="Arial"/>
          <w:sz w:val="17"/>
          <w:szCs w:val="17"/>
          <w:color w:val="auto"/>
        </w:rPr>
        <w:t xml:space="preserve">2% of patients). Our genomics analyses on the landscape of kinase fusions, published in </w:t>
      </w:r>
      <w:r>
        <w:rPr>
          <w:rFonts w:ascii="Arial" w:cs="Arial" w:eastAsia="Arial" w:hAnsi="Arial"/>
          <w:sz w:val="17"/>
          <w:szCs w:val="17"/>
          <w:i w:val="1"/>
          <w:iCs w:val="1"/>
          <w:color w:val="auto"/>
        </w:rPr>
        <w:t>Nature Communications</w:t>
      </w:r>
      <w:r>
        <w:rPr>
          <w:rFonts w:ascii="Arial" w:cs="Arial" w:eastAsia="Arial" w:hAnsi="Arial"/>
          <w:sz w:val="17"/>
          <w:szCs w:val="17"/>
          <w:color w:val="auto"/>
        </w:rPr>
        <w:t xml:space="preserve"> in 2014, identified RET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4" w:name="page25"/>
    <w:bookmarkEnd w:id="24"/>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20" w:right="340"/>
        <w:spacing w:after="0" w:line="235" w:lineRule="auto"/>
        <w:rPr>
          <w:sz w:val="20"/>
          <w:szCs w:val="20"/>
          <w:color w:val="auto"/>
        </w:rPr>
      </w:pPr>
      <w:r>
        <w:rPr>
          <w:rFonts w:ascii="Arial" w:cs="Arial" w:eastAsia="Arial" w:hAnsi="Arial"/>
          <w:sz w:val="18"/>
          <w:szCs w:val="18"/>
          <w:color w:val="auto"/>
        </w:rPr>
        <w:t>fusions in breast and colon cancer patient samples (both &lt;1% of patients), providing a therapeutic rationale for the use of RET inhibitors in multiple patient subpopulations.</w:t>
      </w:r>
    </w:p>
    <w:p>
      <w:pPr>
        <w:spacing w:after="0" w:line="162" w:lineRule="exact"/>
        <w:rPr>
          <w:sz w:val="20"/>
          <w:szCs w:val="20"/>
          <w:color w:val="auto"/>
        </w:rPr>
      </w:pPr>
    </w:p>
    <w:p>
      <w:pPr>
        <w:ind w:left="20" w:right="20" w:firstLine="648"/>
        <w:spacing w:after="0" w:line="182" w:lineRule="exact"/>
        <w:rPr>
          <w:sz w:val="20"/>
          <w:szCs w:val="20"/>
          <w:color w:val="auto"/>
        </w:rPr>
      </w:pPr>
      <w:r>
        <w:rPr>
          <w:rFonts w:ascii="Arial" w:cs="Arial" w:eastAsia="Arial" w:hAnsi="Arial"/>
          <w:sz w:val="17"/>
          <w:szCs w:val="17"/>
          <w:color w:val="auto"/>
        </w:rPr>
        <w:t>The identification of RET fusions as drivers in some cancers prompted the use of approved multi</w:t>
      </w:r>
      <w:r>
        <w:rPr>
          <w:rFonts w:ascii="MS PGothic" w:cs="MS PGothic" w:eastAsia="MS PGothic" w:hAnsi="MS PGothic"/>
          <w:sz w:val="17"/>
          <w:szCs w:val="17"/>
          <w:color w:val="auto"/>
        </w:rPr>
        <w:t>‑</w:t>
      </w:r>
      <w:r>
        <w:rPr>
          <w:rFonts w:ascii="Arial" w:cs="Arial" w:eastAsia="Arial" w:hAnsi="Arial"/>
          <w:sz w:val="17"/>
          <w:szCs w:val="17"/>
          <w:color w:val="auto"/>
        </w:rPr>
        <w:t>kinase inhibitors with RET inhibitory activity to treat patients whose tumors express a RET fusion protein. However, we believe these drugs cannot be dosed at levels required to sufficiently inhibit RET due to toxicities that result from inhibition of the primary targets. Further, one of the greatest challenges in treating cancer is the ability of tumor cells to become resistant to therapy. Kinase reactivation via mutation is a common mechanism of resistance. We have predicted future resistance mutations of drugs with RET inhibitory activity and are collaborating with opinion leaders to understand patterns of emerging clinical resistance. Thus, there is a clear need for a selective RET inhibitor that targets both wild</w:t>
      </w:r>
      <w:r>
        <w:rPr>
          <w:rFonts w:ascii="MS PGothic" w:cs="MS PGothic" w:eastAsia="MS PGothic" w:hAnsi="MS PGothic"/>
          <w:sz w:val="17"/>
          <w:szCs w:val="17"/>
          <w:color w:val="auto"/>
        </w:rPr>
        <w:t>‑</w:t>
      </w:r>
      <w:r>
        <w:rPr>
          <w:rFonts w:ascii="Arial" w:cs="Arial" w:eastAsia="Arial" w:hAnsi="Arial"/>
          <w:sz w:val="17"/>
          <w:szCs w:val="17"/>
          <w:color w:val="auto"/>
        </w:rPr>
        <w:t>type RET fusions and their predicted RET resistant mutants. In the Major Markets, we estimate there are approximately 10,000 patients with RET-driven NSCLC and approximately 600 patients with RET-driven MTC.</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BLU-667 Pre-Clinical Development in RET</w:t>
      </w:r>
    </w:p>
    <w:p>
      <w:pPr>
        <w:spacing w:after="0" w:line="185" w:lineRule="exact"/>
        <w:rPr>
          <w:sz w:val="20"/>
          <w:szCs w:val="20"/>
          <w:color w:val="auto"/>
        </w:rPr>
      </w:pPr>
    </w:p>
    <w:p>
      <w:pPr>
        <w:jc w:val="both"/>
        <w:ind w:left="20" w:right="300" w:firstLine="648"/>
        <w:spacing w:after="0" w:line="199" w:lineRule="exact"/>
        <w:rPr>
          <w:sz w:val="20"/>
          <w:szCs w:val="20"/>
          <w:color w:val="auto"/>
        </w:rPr>
      </w:pPr>
      <w:r>
        <w:rPr>
          <w:rFonts w:ascii="Arial" w:cs="Arial" w:eastAsia="Arial" w:hAnsi="Arial"/>
          <w:sz w:val="16"/>
          <w:szCs w:val="16"/>
          <w:color w:val="auto"/>
        </w:rPr>
        <w:t>We have conducted pre-clinical experiments to characterize the potency of BLU-667 in biochemical and cellular assays. BLU-667 potently inhibits the kinase activity of both wild</w:t>
      </w:r>
      <w:r>
        <w:rPr>
          <w:rFonts w:ascii="MS PGothic" w:cs="MS PGothic" w:eastAsia="MS PGothic" w:hAnsi="MS PGothic"/>
          <w:sz w:val="16"/>
          <w:szCs w:val="16"/>
          <w:color w:val="auto"/>
        </w:rPr>
        <w:t>‑</w:t>
      </w:r>
      <w:r>
        <w:rPr>
          <w:rFonts w:ascii="Arial" w:cs="Arial" w:eastAsia="Arial" w:hAnsi="Arial"/>
          <w:sz w:val="16"/>
          <w:szCs w:val="16"/>
          <w:color w:val="auto"/>
        </w:rPr>
        <w:t xml:space="preserve">type RET and predicted RET resistant mutants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of 0.4 nM and 0.3 nM, respectively). We have also assessed a panel of seven clinically</w:t>
      </w:r>
      <w:r>
        <w:rPr>
          <w:rFonts w:ascii="MS PGothic" w:cs="MS PGothic" w:eastAsia="MS PGothic" w:hAnsi="MS PGothic"/>
          <w:sz w:val="16"/>
          <w:szCs w:val="16"/>
          <w:color w:val="auto"/>
        </w:rPr>
        <w:t>‑</w:t>
      </w:r>
      <w:r>
        <w:rPr>
          <w:rFonts w:ascii="Arial" w:cs="Arial" w:eastAsia="Arial" w:hAnsi="Arial"/>
          <w:sz w:val="16"/>
          <w:szCs w:val="16"/>
          <w:color w:val="auto"/>
        </w:rPr>
        <w:t>approved multi</w:t>
      </w:r>
      <w:r>
        <w:rPr>
          <w:rFonts w:ascii="MS PGothic" w:cs="MS PGothic" w:eastAsia="MS PGothic" w:hAnsi="MS PGothic"/>
          <w:sz w:val="16"/>
          <w:szCs w:val="16"/>
          <w:color w:val="auto"/>
        </w:rPr>
        <w:t>‑</w:t>
      </w:r>
      <w:r>
        <w:rPr>
          <w:rFonts w:ascii="Arial" w:cs="Arial" w:eastAsia="Arial" w:hAnsi="Arial"/>
          <w:sz w:val="16"/>
          <w:szCs w:val="16"/>
          <w:color w:val="auto"/>
        </w:rPr>
        <w:t>kinase</w:t>
      </w:r>
    </w:p>
    <w:p>
      <w:pPr>
        <w:spacing w:after="0" w:line="2" w:lineRule="exact"/>
        <w:rPr>
          <w:sz w:val="20"/>
          <w:szCs w:val="20"/>
          <w:color w:val="auto"/>
        </w:rPr>
      </w:pPr>
    </w:p>
    <w:p>
      <w:pPr>
        <w:ind w:left="20" w:right="20"/>
        <w:spacing w:after="0" w:line="193" w:lineRule="exact"/>
        <w:rPr>
          <w:sz w:val="20"/>
          <w:szCs w:val="20"/>
          <w:color w:val="auto"/>
        </w:rPr>
      </w:pPr>
      <w:r>
        <w:rPr>
          <w:rFonts w:ascii="Arial" w:cs="Arial" w:eastAsia="Arial" w:hAnsi="Arial"/>
          <w:sz w:val="16"/>
          <w:szCs w:val="16"/>
          <w:color w:val="auto"/>
        </w:rPr>
        <w:t>inhibitors with RET inhibitory activity in these assays. These compounds inhibit the kinase activity of the RET resistant mutant between 1 to &gt;1000</w:t>
      </w:r>
      <w:r>
        <w:rPr>
          <w:rFonts w:ascii="MS PGothic" w:cs="MS PGothic" w:eastAsia="MS PGothic" w:hAnsi="MS PGothic"/>
          <w:sz w:val="16"/>
          <w:szCs w:val="16"/>
          <w:color w:val="auto"/>
        </w:rPr>
        <w:t>‑</w:t>
      </w:r>
      <w:r>
        <w:rPr>
          <w:rFonts w:ascii="Arial" w:cs="Arial" w:eastAsia="Arial" w:hAnsi="Arial"/>
          <w:sz w:val="16"/>
          <w:szCs w:val="16"/>
          <w:color w:val="auto"/>
        </w:rPr>
        <w:t>fold less potently than wild</w:t>
      </w:r>
      <w:r>
        <w:rPr>
          <w:rFonts w:ascii="MS PGothic" w:cs="MS PGothic" w:eastAsia="MS PGothic" w:hAnsi="MS PGothic"/>
          <w:sz w:val="16"/>
          <w:szCs w:val="16"/>
          <w:color w:val="auto"/>
        </w:rPr>
        <w:t>‑</w:t>
      </w:r>
      <w:r>
        <w:rPr>
          <w:rFonts w:ascii="Arial" w:cs="Arial" w:eastAsia="Arial" w:hAnsi="Arial"/>
          <w:sz w:val="16"/>
          <w:szCs w:val="16"/>
          <w:color w:val="auto"/>
        </w:rPr>
        <w:t>type RET. In cellular models driven by either a wild</w:t>
      </w:r>
      <w:r>
        <w:rPr>
          <w:rFonts w:ascii="MS PGothic" w:cs="MS PGothic" w:eastAsia="MS PGothic" w:hAnsi="MS PGothic"/>
          <w:sz w:val="16"/>
          <w:szCs w:val="16"/>
          <w:color w:val="auto"/>
        </w:rPr>
        <w:t>‑</w:t>
      </w:r>
      <w:r>
        <w:rPr>
          <w:rFonts w:ascii="Arial" w:cs="Arial" w:eastAsia="Arial" w:hAnsi="Arial"/>
          <w:sz w:val="16"/>
          <w:szCs w:val="16"/>
          <w:color w:val="auto"/>
        </w:rPr>
        <w:t>type RET fusion or resistant RET fusions, BLU-667 exhibited similar potent growth inhibitory activity in both cell lines (IC</w:t>
      </w:r>
      <w:r>
        <w:rPr>
          <w:rFonts w:ascii="Arial" w:cs="Arial" w:eastAsia="Arial" w:hAnsi="Arial"/>
          <w:sz w:val="26"/>
          <w:szCs w:val="26"/>
          <w:color w:val="auto"/>
          <w:vertAlign w:val="subscript"/>
        </w:rPr>
        <w:t>50</w:t>
      </w:r>
      <w:r>
        <w:rPr>
          <w:rFonts w:ascii="Arial" w:cs="Arial" w:eastAsia="Arial" w:hAnsi="Arial"/>
          <w:sz w:val="16"/>
          <w:szCs w:val="16"/>
          <w:color w:val="auto"/>
        </w:rPr>
        <w:t xml:space="preserve"> of 116.5 nM).</w:t>
      </w:r>
    </w:p>
    <w:p>
      <w:pPr>
        <w:spacing w:after="0" w:line="3" w:lineRule="exact"/>
        <w:rPr>
          <w:sz w:val="20"/>
          <w:szCs w:val="20"/>
          <w:color w:val="auto"/>
        </w:rPr>
      </w:pPr>
    </w:p>
    <w:p>
      <w:pPr>
        <w:ind w:left="20" w:right="200"/>
        <w:spacing w:after="0" w:line="195" w:lineRule="exact"/>
        <w:rPr>
          <w:sz w:val="20"/>
          <w:szCs w:val="20"/>
          <w:color w:val="auto"/>
        </w:rPr>
      </w:pPr>
      <w:r>
        <w:rPr>
          <w:rFonts w:ascii="Arial" w:cs="Arial" w:eastAsia="Arial" w:hAnsi="Arial"/>
          <w:sz w:val="18"/>
          <w:szCs w:val="18"/>
          <w:color w:val="auto"/>
        </w:rPr>
        <w:t>In contrast, the multi</w:t>
      </w:r>
      <w:r>
        <w:rPr>
          <w:rFonts w:ascii="MS PGothic" w:cs="MS PGothic" w:eastAsia="MS PGothic" w:hAnsi="MS PGothic"/>
          <w:sz w:val="18"/>
          <w:szCs w:val="18"/>
          <w:color w:val="auto"/>
        </w:rPr>
        <w:t>‑</w:t>
      </w:r>
      <w:r>
        <w:rPr>
          <w:rFonts w:ascii="Arial" w:cs="Arial" w:eastAsia="Arial" w:hAnsi="Arial"/>
          <w:sz w:val="18"/>
          <w:szCs w:val="18"/>
          <w:color w:val="auto"/>
        </w:rPr>
        <w:t>kinase inhibitors exhibited between 1 to &gt;100</w:t>
      </w:r>
      <w:r>
        <w:rPr>
          <w:rFonts w:ascii="MS PGothic" w:cs="MS PGothic" w:eastAsia="MS PGothic" w:hAnsi="MS PGothic"/>
          <w:sz w:val="18"/>
          <w:szCs w:val="18"/>
          <w:color w:val="auto"/>
        </w:rPr>
        <w:t>‑</w:t>
      </w:r>
      <w:r>
        <w:rPr>
          <w:rFonts w:ascii="Arial" w:cs="Arial" w:eastAsia="Arial" w:hAnsi="Arial"/>
          <w:sz w:val="18"/>
          <w:szCs w:val="18"/>
          <w:color w:val="auto"/>
        </w:rPr>
        <w:t>fold less growth inhibitory activity against the cell line driven by the mutant RET fusion as compared to the wild</w:t>
      </w:r>
      <w:r>
        <w:rPr>
          <w:rFonts w:ascii="MS PGothic" w:cs="MS PGothic" w:eastAsia="MS PGothic" w:hAnsi="MS PGothic"/>
          <w:sz w:val="18"/>
          <w:szCs w:val="18"/>
          <w:color w:val="auto"/>
        </w:rPr>
        <w:t>‑</w:t>
      </w:r>
      <w:r>
        <w:rPr>
          <w:rFonts w:ascii="Arial" w:cs="Arial" w:eastAsia="Arial" w:hAnsi="Arial"/>
          <w:sz w:val="18"/>
          <w:szCs w:val="18"/>
          <w:color w:val="auto"/>
        </w:rPr>
        <w:t>type RET fusion.</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60" w:type="dxa"/>
            <w:vAlign w:val="bottom"/>
            <w:tcBorders>
              <w:bottom w:val="single" w:sz="8" w:color="auto"/>
              <w:right w:val="single" w:sz="8" w:color="auto"/>
            </w:tcBorders>
          </w:tcPr>
          <w:p>
            <w:pPr>
              <w:spacing w:after="0"/>
              <w:rPr>
                <w:sz w:val="18"/>
                <w:szCs w:val="18"/>
                <w:color w:val="auto"/>
              </w:rPr>
            </w:pPr>
          </w:p>
        </w:tc>
        <w:tc>
          <w:tcPr>
            <w:tcW w:w="920" w:type="dxa"/>
            <w:vAlign w:val="bottom"/>
            <w:tcBorders>
              <w:top w:val="single" w:sz="8" w:color="auto"/>
              <w:bottom w:val="single" w:sz="8" w:color="auto"/>
              <w:right w:val="single" w:sz="8" w:color="44546A"/>
            </w:tcBorders>
            <w:shd w:val="clear" w:color="auto" w:fill="44546A"/>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44546A"/>
          </w:tcPr>
          <w:p>
            <w:pPr>
              <w:ind w:left="40"/>
              <w:spacing w:after="0" w:line="202" w:lineRule="exact"/>
              <w:rPr>
                <w:sz w:val="20"/>
                <w:szCs w:val="20"/>
                <w:color w:val="auto"/>
              </w:rPr>
            </w:pPr>
            <w:r>
              <w:rPr>
                <w:rFonts w:ascii="Arial" w:cs="Arial" w:eastAsia="Arial" w:hAnsi="Arial"/>
                <w:sz w:val="18"/>
                <w:szCs w:val="18"/>
                <w:b w:val="1"/>
                <w:bCs w:val="1"/>
                <w:color w:val="FFFFFF"/>
                <w:w w:val="90"/>
              </w:rPr>
              <w:t>Biochemical</w:t>
            </w:r>
          </w:p>
        </w:tc>
        <w:tc>
          <w:tcPr>
            <w:tcW w:w="940" w:type="dxa"/>
            <w:vAlign w:val="bottom"/>
            <w:tcBorders>
              <w:top w:val="single" w:sz="8" w:color="auto"/>
              <w:bottom w:val="single" w:sz="8" w:color="auto"/>
              <w:right w:val="single" w:sz="8" w:color="auto"/>
            </w:tcBorders>
            <w:shd w:val="clear" w:color="auto" w:fill="44546A"/>
          </w:tcPr>
          <w:p>
            <w:pPr>
              <w:spacing w:after="0"/>
              <w:rPr>
                <w:sz w:val="18"/>
                <w:szCs w:val="18"/>
                <w:color w:val="auto"/>
              </w:rPr>
            </w:pPr>
          </w:p>
        </w:tc>
        <w:tc>
          <w:tcPr>
            <w:tcW w:w="2040" w:type="dxa"/>
            <w:vAlign w:val="bottom"/>
            <w:tcBorders>
              <w:top w:val="single" w:sz="8" w:color="auto"/>
              <w:bottom w:val="single" w:sz="8" w:color="auto"/>
              <w:right w:val="single" w:sz="8" w:color="auto"/>
            </w:tcBorders>
            <w:gridSpan w:val="2"/>
            <w:shd w:val="clear" w:color="auto" w:fill="44546A"/>
          </w:tcPr>
          <w:p>
            <w:pPr>
              <w:ind w:left="700"/>
              <w:spacing w:after="0" w:line="202" w:lineRule="exact"/>
              <w:rPr>
                <w:sz w:val="20"/>
                <w:szCs w:val="20"/>
                <w:color w:val="auto"/>
              </w:rPr>
            </w:pPr>
            <w:r>
              <w:rPr>
                <w:rFonts w:ascii="Arial" w:cs="Arial" w:eastAsia="Arial" w:hAnsi="Arial"/>
                <w:sz w:val="18"/>
                <w:szCs w:val="18"/>
                <w:b w:val="1"/>
                <w:bCs w:val="1"/>
                <w:color w:val="FFFFFF"/>
              </w:rPr>
              <w:t>Cellular</w:t>
            </w:r>
          </w:p>
        </w:tc>
        <w:tc>
          <w:tcPr>
            <w:tcW w:w="0" w:type="dxa"/>
            <w:vAlign w:val="bottom"/>
          </w:tcPr>
          <w:p>
            <w:pPr>
              <w:spacing w:after="0"/>
              <w:rPr>
                <w:sz w:val="1"/>
                <w:szCs w:val="1"/>
                <w:color w:val="auto"/>
              </w:rPr>
            </w:pPr>
          </w:p>
        </w:tc>
      </w:tr>
      <w:tr>
        <w:trPr>
          <w:trHeight w:val="149"/>
        </w:trPr>
        <w:tc>
          <w:tcPr>
            <w:tcW w:w="2360" w:type="dxa"/>
            <w:vAlign w:val="bottom"/>
            <w:tcBorders>
              <w:left w:val="single" w:sz="8" w:color="auto"/>
              <w:right w:val="single" w:sz="8" w:color="auto"/>
            </w:tcBorders>
            <w:shd w:val="clear" w:color="auto" w:fill="9CC2E5"/>
          </w:tcPr>
          <w:p>
            <w:pPr>
              <w:spacing w:after="0"/>
              <w:rPr>
                <w:sz w:val="12"/>
                <w:szCs w:val="12"/>
                <w:color w:val="auto"/>
              </w:rPr>
            </w:pPr>
          </w:p>
        </w:tc>
        <w:tc>
          <w:tcPr>
            <w:tcW w:w="920" w:type="dxa"/>
            <w:vAlign w:val="bottom"/>
            <w:tcBorders>
              <w:right w:val="single" w:sz="8" w:color="auto"/>
            </w:tcBorders>
            <w:shd w:val="clear" w:color="auto" w:fill="9CC2E5"/>
          </w:tcPr>
          <w:p>
            <w:pPr>
              <w:spacing w:after="0"/>
              <w:rPr>
                <w:sz w:val="12"/>
                <w:szCs w:val="12"/>
                <w:color w:val="auto"/>
              </w:rPr>
            </w:pPr>
          </w:p>
        </w:tc>
        <w:tc>
          <w:tcPr>
            <w:tcW w:w="940" w:type="dxa"/>
            <w:vAlign w:val="bottom"/>
            <w:tcBorders>
              <w:right w:val="single" w:sz="8" w:color="auto"/>
            </w:tcBorders>
            <w:shd w:val="clear" w:color="auto" w:fill="9CC2E5"/>
          </w:tcPr>
          <w:p>
            <w:pPr>
              <w:jc w:val="center"/>
              <w:spacing w:after="0" w:line="149" w:lineRule="exact"/>
              <w:rPr>
                <w:sz w:val="20"/>
                <w:szCs w:val="20"/>
                <w:color w:val="auto"/>
              </w:rPr>
            </w:pPr>
            <w:r>
              <w:rPr>
                <w:rFonts w:ascii="Arial" w:cs="Arial" w:eastAsia="Arial" w:hAnsi="Arial"/>
                <w:sz w:val="17"/>
                <w:szCs w:val="17"/>
                <w:b w:val="1"/>
                <w:bCs w:val="1"/>
                <w:color w:val="auto"/>
              </w:rPr>
              <w:t>RET</w:t>
            </w:r>
          </w:p>
        </w:tc>
        <w:tc>
          <w:tcPr>
            <w:tcW w:w="80" w:type="dxa"/>
            <w:vAlign w:val="bottom"/>
            <w:shd w:val="clear" w:color="auto" w:fill="9CC2E5"/>
          </w:tcPr>
          <w:p>
            <w:pPr>
              <w:spacing w:after="0"/>
              <w:rPr>
                <w:sz w:val="12"/>
                <w:szCs w:val="12"/>
                <w:color w:val="auto"/>
              </w:rPr>
            </w:pPr>
          </w:p>
        </w:tc>
        <w:tc>
          <w:tcPr>
            <w:tcW w:w="940" w:type="dxa"/>
            <w:vAlign w:val="bottom"/>
            <w:tcBorders>
              <w:right w:val="single" w:sz="8" w:color="auto"/>
            </w:tcBorders>
            <w:vMerge w:val="restart"/>
            <w:shd w:val="clear" w:color="auto" w:fill="9CC2E5"/>
          </w:tcPr>
          <w:p>
            <w:pPr>
              <w:ind w:left="200"/>
              <w:spacing w:after="0"/>
              <w:rPr>
                <w:sz w:val="20"/>
                <w:szCs w:val="20"/>
                <w:color w:val="auto"/>
              </w:rPr>
            </w:pPr>
            <w:r>
              <w:rPr>
                <w:rFonts w:ascii="Arial" w:cs="Arial" w:eastAsia="Arial" w:hAnsi="Arial"/>
                <w:sz w:val="18"/>
                <w:szCs w:val="18"/>
                <w:b w:val="1"/>
                <w:bCs w:val="1"/>
                <w:color w:val="auto"/>
              </w:rPr>
              <w:t>KDR/</w:t>
            </w:r>
          </w:p>
        </w:tc>
        <w:tc>
          <w:tcPr>
            <w:tcW w:w="920" w:type="dxa"/>
            <w:vAlign w:val="bottom"/>
            <w:tcBorders>
              <w:right w:val="single" w:sz="8" w:color="auto"/>
            </w:tcBorders>
            <w:shd w:val="clear" w:color="auto" w:fill="9CC2E5"/>
          </w:tcPr>
          <w:p>
            <w:pPr>
              <w:spacing w:after="0"/>
              <w:rPr>
                <w:sz w:val="12"/>
                <w:szCs w:val="12"/>
                <w:color w:val="auto"/>
              </w:rPr>
            </w:pPr>
          </w:p>
        </w:tc>
        <w:tc>
          <w:tcPr>
            <w:tcW w:w="1120" w:type="dxa"/>
            <w:vAlign w:val="bottom"/>
            <w:tcBorders>
              <w:right w:val="single" w:sz="8" w:color="auto"/>
            </w:tcBorders>
            <w:shd w:val="clear" w:color="auto" w:fill="9CC2E5"/>
          </w:tcPr>
          <w:p>
            <w:pPr>
              <w:jc w:val="center"/>
              <w:spacing w:after="0" w:line="149" w:lineRule="exact"/>
              <w:rPr>
                <w:sz w:val="20"/>
                <w:szCs w:val="20"/>
                <w:color w:val="auto"/>
              </w:rPr>
            </w:pPr>
            <w:r>
              <w:rPr>
                <w:rFonts w:ascii="Arial" w:cs="Arial" w:eastAsia="Arial" w:hAnsi="Arial"/>
                <w:sz w:val="17"/>
                <w:szCs w:val="17"/>
                <w:b w:val="1"/>
                <w:bCs w:val="1"/>
                <w:color w:val="auto"/>
              </w:rPr>
              <w:t>RET</w:t>
            </w: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right w:val="single" w:sz="8" w:color="auto"/>
            </w:tcBorders>
            <w:vMerge w:val="restart"/>
            <w:shd w:val="clear" w:color="auto" w:fill="9CC2E5"/>
          </w:tcPr>
          <w:p>
            <w:pPr>
              <w:ind w:left="820"/>
              <w:spacing w:after="0"/>
              <w:rPr>
                <w:sz w:val="20"/>
                <w:szCs w:val="20"/>
                <w:color w:val="auto"/>
              </w:rPr>
            </w:pPr>
            <w:r>
              <w:rPr>
                <w:rFonts w:ascii="Arial" w:cs="Arial" w:eastAsia="Arial" w:hAnsi="Arial"/>
                <w:sz w:val="18"/>
                <w:szCs w:val="18"/>
                <w:b w:val="1"/>
                <w:bCs w:val="1"/>
                <w:color w:val="auto"/>
              </w:rPr>
              <w:t>IC</w:t>
            </w:r>
            <w:r>
              <w:rPr>
                <w:rFonts w:ascii="Arial" w:cs="Arial" w:eastAsia="Arial" w:hAnsi="Arial"/>
                <w:sz w:val="30"/>
                <w:szCs w:val="30"/>
                <w:b w:val="1"/>
                <w:bCs w:val="1"/>
                <w:color w:val="auto"/>
                <w:vertAlign w:val="subscript"/>
              </w:rPr>
              <w:t>50</w:t>
            </w:r>
            <w:r>
              <w:rPr>
                <w:rFonts w:ascii="Arial" w:cs="Arial" w:eastAsia="Arial" w:hAnsi="Arial"/>
                <w:sz w:val="18"/>
                <w:szCs w:val="18"/>
                <w:b w:val="1"/>
                <w:bCs w:val="1"/>
                <w:color w:val="auto"/>
              </w:rPr>
              <w:t>(nM)</w:t>
            </w:r>
          </w:p>
        </w:tc>
        <w:tc>
          <w:tcPr>
            <w:tcW w:w="920" w:type="dxa"/>
            <w:vAlign w:val="bottom"/>
            <w:tcBorders>
              <w:right w:val="single" w:sz="8" w:color="auto"/>
            </w:tcBorders>
            <w:vMerge w:val="restart"/>
            <w:shd w:val="clear" w:color="auto" w:fill="9CC2E5"/>
          </w:tcPr>
          <w:p>
            <w:pPr>
              <w:ind w:left="140"/>
              <w:spacing w:after="0"/>
              <w:rPr>
                <w:sz w:val="20"/>
                <w:szCs w:val="20"/>
                <w:color w:val="auto"/>
              </w:rPr>
            </w:pPr>
            <w:r>
              <w:rPr>
                <w:rFonts w:ascii="Arial" w:cs="Arial" w:eastAsia="Arial" w:hAnsi="Arial"/>
                <w:sz w:val="18"/>
                <w:szCs w:val="18"/>
                <w:b w:val="1"/>
                <w:bCs w:val="1"/>
                <w:color w:val="auto"/>
              </w:rPr>
              <w:t>RET wt</w:t>
            </w:r>
          </w:p>
        </w:tc>
        <w:tc>
          <w:tcPr>
            <w:tcW w:w="940" w:type="dxa"/>
            <w:vAlign w:val="bottom"/>
            <w:tcBorders>
              <w:right w:val="single" w:sz="8" w:color="auto"/>
            </w:tcBorders>
            <w:shd w:val="clear" w:color="auto" w:fill="9CC2E5"/>
          </w:tcPr>
          <w:p>
            <w:pPr>
              <w:jc w:val="center"/>
              <w:spacing w:after="0" w:line="176" w:lineRule="exact"/>
              <w:rPr>
                <w:sz w:val="20"/>
                <w:szCs w:val="20"/>
                <w:color w:val="auto"/>
              </w:rPr>
            </w:pPr>
            <w:r>
              <w:rPr>
                <w:rFonts w:ascii="Arial" w:cs="Arial" w:eastAsia="Arial" w:hAnsi="Arial"/>
                <w:sz w:val="18"/>
                <w:szCs w:val="18"/>
                <w:b w:val="1"/>
                <w:bCs w:val="1"/>
                <w:color w:val="auto"/>
                <w:w w:val="88"/>
              </w:rPr>
              <w:t>Resistant</w:t>
            </w:r>
          </w:p>
        </w:tc>
        <w:tc>
          <w:tcPr>
            <w:tcW w:w="80" w:type="dxa"/>
            <w:vAlign w:val="bottom"/>
            <w:shd w:val="clear" w:color="auto" w:fill="9CC2E5"/>
          </w:tcPr>
          <w:p>
            <w:pPr>
              <w:spacing w:after="0"/>
              <w:rPr>
                <w:sz w:val="15"/>
                <w:szCs w:val="15"/>
                <w:color w:val="auto"/>
              </w:rPr>
            </w:pPr>
          </w:p>
        </w:tc>
        <w:tc>
          <w:tcPr>
            <w:tcW w:w="940" w:type="dxa"/>
            <w:vAlign w:val="bottom"/>
            <w:tcBorders>
              <w:right w:val="single" w:sz="8" w:color="auto"/>
            </w:tcBorders>
            <w:vMerge w:val="continue"/>
            <w:shd w:val="clear" w:color="auto" w:fill="9CC2E5"/>
          </w:tcPr>
          <w:p>
            <w:pPr>
              <w:spacing w:after="0"/>
              <w:rPr>
                <w:sz w:val="15"/>
                <w:szCs w:val="15"/>
                <w:color w:val="auto"/>
              </w:rPr>
            </w:pPr>
          </w:p>
        </w:tc>
        <w:tc>
          <w:tcPr>
            <w:tcW w:w="920" w:type="dxa"/>
            <w:vAlign w:val="bottom"/>
            <w:tcBorders>
              <w:right w:val="single" w:sz="8" w:color="auto"/>
            </w:tcBorders>
            <w:vMerge w:val="restart"/>
            <w:shd w:val="clear" w:color="auto" w:fill="9CC2E5"/>
          </w:tcPr>
          <w:p>
            <w:pPr>
              <w:ind w:left="160"/>
              <w:spacing w:after="0"/>
              <w:rPr>
                <w:sz w:val="20"/>
                <w:szCs w:val="20"/>
                <w:color w:val="auto"/>
              </w:rPr>
            </w:pPr>
            <w:r>
              <w:rPr>
                <w:rFonts w:ascii="Arial" w:cs="Arial" w:eastAsia="Arial" w:hAnsi="Arial"/>
                <w:sz w:val="18"/>
                <w:szCs w:val="18"/>
                <w:b w:val="1"/>
                <w:bCs w:val="1"/>
                <w:color w:val="auto"/>
              </w:rPr>
              <w:t>RET wt</w:t>
            </w:r>
          </w:p>
        </w:tc>
        <w:tc>
          <w:tcPr>
            <w:tcW w:w="1120" w:type="dxa"/>
            <w:vAlign w:val="bottom"/>
            <w:tcBorders>
              <w:right w:val="single" w:sz="8" w:color="auto"/>
            </w:tcBorders>
            <w:shd w:val="clear" w:color="auto" w:fill="9CC2E5"/>
          </w:tcPr>
          <w:p>
            <w:pPr>
              <w:jc w:val="center"/>
              <w:spacing w:after="0" w:line="176" w:lineRule="exact"/>
              <w:rPr>
                <w:sz w:val="20"/>
                <w:szCs w:val="20"/>
                <w:color w:val="auto"/>
              </w:rPr>
            </w:pPr>
            <w:r>
              <w:rPr>
                <w:rFonts w:ascii="Arial" w:cs="Arial" w:eastAsia="Arial" w:hAnsi="Arial"/>
                <w:sz w:val="18"/>
                <w:szCs w:val="18"/>
                <w:b w:val="1"/>
                <w:bCs w:val="1"/>
                <w:color w:val="auto"/>
                <w:w w:val="88"/>
              </w:rPr>
              <w:t>Resistant</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bottom w:val="single" w:sz="8" w:color="auto"/>
              <w:right w:val="single" w:sz="8" w:color="auto"/>
            </w:tcBorders>
            <w:vMerge w:val="continue"/>
            <w:shd w:val="clear" w:color="auto" w:fill="9CC2E5"/>
          </w:tcPr>
          <w:p>
            <w:pPr>
              <w:spacing w:after="0"/>
              <w:rPr>
                <w:sz w:val="18"/>
                <w:szCs w:val="18"/>
                <w:color w:val="auto"/>
              </w:rPr>
            </w:pPr>
          </w:p>
        </w:tc>
        <w:tc>
          <w:tcPr>
            <w:tcW w:w="920" w:type="dxa"/>
            <w:vAlign w:val="bottom"/>
            <w:tcBorders>
              <w:bottom w:val="single" w:sz="8" w:color="auto"/>
              <w:right w:val="single" w:sz="8" w:color="auto"/>
            </w:tcBorders>
            <w:vMerge w:val="continue"/>
            <w:shd w:val="clear" w:color="auto" w:fill="9CC2E5"/>
          </w:tcPr>
          <w:p>
            <w:pPr>
              <w:spacing w:after="0"/>
              <w:rPr>
                <w:sz w:val="18"/>
                <w:szCs w:val="18"/>
                <w:color w:val="auto"/>
              </w:rPr>
            </w:pPr>
          </w:p>
        </w:tc>
        <w:tc>
          <w:tcPr>
            <w:tcW w:w="940" w:type="dxa"/>
            <w:vAlign w:val="bottom"/>
            <w:tcBorders>
              <w:bottom w:val="single" w:sz="8" w:color="auto"/>
              <w:right w:val="single" w:sz="8" w:color="auto"/>
            </w:tcBorders>
            <w:shd w:val="clear" w:color="auto" w:fill="9CC2E5"/>
          </w:tcPr>
          <w:p>
            <w:pPr>
              <w:jc w:val="center"/>
              <w:spacing w:after="0" w:line="202" w:lineRule="exact"/>
              <w:rPr>
                <w:sz w:val="20"/>
                <w:szCs w:val="20"/>
                <w:color w:val="auto"/>
              </w:rPr>
            </w:pPr>
            <w:r>
              <w:rPr>
                <w:rFonts w:ascii="Arial" w:cs="Arial" w:eastAsia="Arial" w:hAnsi="Arial"/>
                <w:sz w:val="18"/>
                <w:szCs w:val="18"/>
                <w:b w:val="1"/>
                <w:bCs w:val="1"/>
                <w:color w:val="auto"/>
                <w:w w:val="98"/>
              </w:rPr>
              <w:t>Mutant</w:t>
            </w:r>
          </w:p>
        </w:tc>
        <w:tc>
          <w:tcPr>
            <w:tcW w:w="80" w:type="dxa"/>
            <w:vAlign w:val="bottom"/>
            <w:tcBorders>
              <w:bottom w:val="single" w:sz="8" w:color="auto"/>
            </w:tcBorders>
            <w:shd w:val="clear" w:color="auto" w:fill="9CC2E5"/>
          </w:tcPr>
          <w:p>
            <w:pPr>
              <w:spacing w:after="0"/>
              <w:rPr>
                <w:sz w:val="18"/>
                <w:szCs w:val="18"/>
                <w:color w:val="auto"/>
              </w:rPr>
            </w:pPr>
          </w:p>
        </w:tc>
        <w:tc>
          <w:tcPr>
            <w:tcW w:w="940" w:type="dxa"/>
            <w:vAlign w:val="bottom"/>
            <w:tcBorders>
              <w:bottom w:val="single" w:sz="8" w:color="auto"/>
              <w:right w:val="single" w:sz="8" w:color="auto"/>
            </w:tcBorders>
            <w:shd w:val="clear" w:color="auto" w:fill="9CC2E5"/>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VEGFR2</w:t>
            </w:r>
          </w:p>
        </w:tc>
        <w:tc>
          <w:tcPr>
            <w:tcW w:w="920" w:type="dxa"/>
            <w:vAlign w:val="bottom"/>
            <w:tcBorders>
              <w:bottom w:val="single" w:sz="8" w:color="auto"/>
              <w:right w:val="single" w:sz="8" w:color="auto"/>
            </w:tcBorders>
            <w:vMerge w:val="continue"/>
            <w:shd w:val="clear" w:color="auto" w:fill="9CC2E5"/>
          </w:tcPr>
          <w:p>
            <w:pPr>
              <w:spacing w:after="0"/>
              <w:rPr>
                <w:sz w:val="18"/>
                <w:szCs w:val="18"/>
                <w:color w:val="auto"/>
              </w:rPr>
            </w:pPr>
          </w:p>
        </w:tc>
        <w:tc>
          <w:tcPr>
            <w:tcW w:w="1120" w:type="dxa"/>
            <w:vAlign w:val="bottom"/>
            <w:tcBorders>
              <w:bottom w:val="single" w:sz="8" w:color="auto"/>
              <w:right w:val="single" w:sz="8" w:color="auto"/>
            </w:tcBorders>
            <w:shd w:val="clear" w:color="auto" w:fill="9CC2E5"/>
          </w:tcPr>
          <w:p>
            <w:pPr>
              <w:jc w:val="center"/>
              <w:spacing w:after="0" w:line="202" w:lineRule="exact"/>
              <w:rPr>
                <w:sz w:val="20"/>
                <w:szCs w:val="20"/>
                <w:color w:val="auto"/>
              </w:rPr>
            </w:pPr>
            <w:r>
              <w:rPr>
                <w:rFonts w:ascii="Arial" w:cs="Arial" w:eastAsia="Arial" w:hAnsi="Arial"/>
                <w:sz w:val="18"/>
                <w:szCs w:val="18"/>
                <w:b w:val="1"/>
                <w:bCs w:val="1"/>
                <w:color w:val="auto"/>
                <w:w w:val="98"/>
              </w:rPr>
              <w:t>Mutant</w:t>
            </w: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bottom w:val="single" w:sz="8" w:color="auto"/>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BLU-667</w:t>
            </w:r>
          </w:p>
        </w:tc>
        <w:tc>
          <w:tcPr>
            <w:tcW w:w="9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0.4</w:t>
            </w:r>
          </w:p>
        </w:tc>
        <w:tc>
          <w:tcPr>
            <w:tcW w:w="9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0.3</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ind w:right="30"/>
              <w:spacing w:after="0" w:line="176" w:lineRule="exact"/>
              <w:rPr>
                <w:sz w:val="20"/>
                <w:szCs w:val="20"/>
                <w:color w:val="auto"/>
              </w:rPr>
            </w:pPr>
            <w:r>
              <w:rPr>
                <w:rFonts w:ascii="Arial" w:cs="Arial" w:eastAsia="Arial" w:hAnsi="Arial"/>
                <w:sz w:val="18"/>
                <w:szCs w:val="18"/>
                <w:color w:val="auto"/>
                <w:w w:val="89"/>
              </w:rPr>
              <w:t>35</w:t>
            </w:r>
          </w:p>
        </w:tc>
        <w:tc>
          <w:tcPr>
            <w:tcW w:w="9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16.5</w:t>
            </w:r>
          </w:p>
        </w:tc>
        <w:tc>
          <w:tcPr>
            <w:tcW w:w="112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1"/>
              </w:rPr>
              <w:t>15.3</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Vandetanib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4</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3597</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79"/>
              </w:rPr>
              <w:t>4</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793</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9228</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Cabozantinib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11</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162</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79"/>
              </w:rPr>
              <w:t>2</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341</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5582</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Regorafenib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12</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70</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89"/>
              </w:rPr>
              <w:t>14</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186</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2884</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Sorafenib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5.6</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91</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89"/>
              </w:rPr>
              <w:t>20</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260</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2816</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Ponatinib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0.6</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4</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79"/>
              </w:rPr>
              <w:t>2</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10</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267</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Lenvatinib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1.5</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430</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center"/>
              <w:ind w:right="10"/>
              <w:spacing w:after="0" w:line="170" w:lineRule="exact"/>
              <w:rPr>
                <w:sz w:val="20"/>
                <w:szCs w:val="20"/>
                <w:color w:val="auto"/>
              </w:rPr>
            </w:pPr>
            <w:r>
              <w:rPr>
                <w:rFonts w:ascii="Arial" w:cs="Arial" w:eastAsia="Arial" w:hAnsi="Arial"/>
                <w:sz w:val="18"/>
                <w:szCs w:val="18"/>
                <w:color w:val="auto"/>
                <w:w w:val="79"/>
              </w:rPr>
              <w:t>4</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115</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13572</w:t>
            </w:r>
          </w:p>
        </w:tc>
        <w:tc>
          <w:tcPr>
            <w:tcW w:w="0" w:type="dxa"/>
            <w:vAlign w:val="bottom"/>
          </w:tcPr>
          <w:p>
            <w:pPr>
              <w:spacing w:after="0"/>
              <w:rPr>
                <w:sz w:val="1"/>
                <w:szCs w:val="1"/>
                <w:color w:val="auto"/>
              </w:rPr>
            </w:pPr>
          </w:p>
        </w:tc>
      </w:tr>
      <w:tr>
        <w:trPr>
          <w:trHeight w:val="176"/>
        </w:trPr>
        <w:tc>
          <w:tcPr>
            <w:tcW w:w="2360" w:type="dxa"/>
            <w:vAlign w:val="bottom"/>
            <w:tcBorders>
              <w:left w:val="single" w:sz="8" w:color="auto"/>
              <w:bottom w:val="single" w:sz="8" w:color="auto"/>
              <w:right w:val="single" w:sz="8" w:color="auto"/>
            </w:tcBorders>
          </w:tcPr>
          <w:p>
            <w:pPr>
              <w:ind w:left="40"/>
              <w:spacing w:after="0" w:line="170" w:lineRule="exact"/>
              <w:rPr>
                <w:sz w:val="20"/>
                <w:szCs w:val="20"/>
                <w:color w:val="auto"/>
              </w:rPr>
            </w:pPr>
            <w:r>
              <w:rPr>
                <w:rFonts w:ascii="Arial" w:cs="Arial" w:eastAsia="Arial" w:hAnsi="Arial"/>
                <w:sz w:val="18"/>
                <w:szCs w:val="18"/>
                <w:color w:val="auto"/>
              </w:rPr>
              <w:t>Sunitinib</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2.7</w:t>
            </w:r>
          </w:p>
        </w:tc>
        <w:tc>
          <w:tcPr>
            <w:tcW w:w="94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1.6</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jc w:val="center"/>
              <w:ind w:right="30"/>
              <w:spacing w:after="0" w:line="170" w:lineRule="exact"/>
              <w:rPr>
                <w:sz w:val="20"/>
                <w:szCs w:val="20"/>
                <w:color w:val="auto"/>
              </w:rPr>
            </w:pPr>
            <w:r>
              <w:rPr>
                <w:rFonts w:ascii="Arial" w:cs="Arial" w:eastAsia="Arial" w:hAnsi="Arial"/>
                <w:sz w:val="18"/>
                <w:szCs w:val="18"/>
                <w:color w:val="auto"/>
                <w:w w:val="89"/>
              </w:rPr>
              <w:t>85</w:t>
            </w:r>
          </w:p>
        </w:tc>
        <w:tc>
          <w:tcPr>
            <w:tcW w:w="9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734</w:t>
            </w:r>
          </w:p>
        </w:tc>
        <w:tc>
          <w:tcPr>
            <w:tcW w:w="1120" w:type="dxa"/>
            <w:vAlign w:val="bottom"/>
            <w:tcBorders>
              <w:bottom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892</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80" w:right="40"/>
        <w:spacing w:after="0" w:line="147" w:lineRule="exact"/>
        <w:rPr>
          <w:sz w:val="20"/>
          <w:szCs w:val="20"/>
          <w:color w:val="auto"/>
        </w:rPr>
      </w:pPr>
      <w:r>
        <w:rPr>
          <w:rFonts w:ascii="Arial" w:cs="Arial" w:eastAsia="Arial" w:hAnsi="Arial"/>
          <w:sz w:val="14"/>
          <w:szCs w:val="14"/>
          <w:color w:val="auto"/>
        </w:rPr>
        <w:t>Potency of BLU-667 against wild</w:t>
      </w:r>
      <w:r>
        <w:rPr>
          <w:rFonts w:ascii="MS PGothic" w:cs="MS PGothic" w:eastAsia="MS PGothic" w:hAnsi="MS PGothic"/>
          <w:sz w:val="14"/>
          <w:szCs w:val="14"/>
          <w:color w:val="auto"/>
        </w:rPr>
        <w:t>‑</w:t>
      </w:r>
      <w:r>
        <w:rPr>
          <w:rFonts w:ascii="Arial" w:cs="Arial" w:eastAsia="Arial" w:hAnsi="Arial"/>
          <w:sz w:val="14"/>
          <w:szCs w:val="14"/>
          <w:color w:val="auto"/>
        </w:rPr>
        <w:t>type RET and a predicted RET resistant mutant compared to a panel of clinically</w:t>
      </w:r>
      <w:r>
        <w:rPr>
          <w:rFonts w:ascii="MS PGothic" w:cs="MS PGothic" w:eastAsia="MS PGothic" w:hAnsi="MS PGothic"/>
          <w:sz w:val="14"/>
          <w:szCs w:val="14"/>
          <w:color w:val="auto"/>
        </w:rPr>
        <w:t>‑</w:t>
      </w:r>
      <w:r>
        <w:rPr>
          <w:rFonts w:ascii="Arial" w:cs="Arial" w:eastAsia="Arial" w:hAnsi="Arial"/>
          <w:sz w:val="14"/>
          <w:szCs w:val="14"/>
          <w:color w:val="auto"/>
        </w:rPr>
        <w:t>approved multi</w:t>
      </w:r>
      <w:r>
        <w:rPr>
          <w:rFonts w:ascii="MS PGothic" w:cs="MS PGothic" w:eastAsia="MS PGothic" w:hAnsi="MS PGothic"/>
          <w:sz w:val="14"/>
          <w:szCs w:val="14"/>
          <w:color w:val="auto"/>
        </w:rPr>
        <w:t>‑</w:t>
      </w:r>
      <w:r>
        <w:rPr>
          <w:rFonts w:ascii="Arial" w:cs="Arial" w:eastAsia="Arial" w:hAnsi="Arial"/>
          <w:sz w:val="14"/>
          <w:szCs w:val="14"/>
          <w:color w:val="auto"/>
        </w:rPr>
        <w:t>kinase inhibitors with RET inhibitory activity. The inhibitory potencies of BLU-667 and the multi</w:t>
      </w:r>
      <w:r>
        <w:rPr>
          <w:rFonts w:ascii="MS PGothic" w:cs="MS PGothic" w:eastAsia="MS PGothic" w:hAnsi="MS PGothic"/>
          <w:sz w:val="14"/>
          <w:szCs w:val="14"/>
          <w:color w:val="auto"/>
        </w:rPr>
        <w:t>‑</w:t>
      </w:r>
      <w:r>
        <w:rPr>
          <w:rFonts w:ascii="Arial" w:cs="Arial" w:eastAsia="Arial" w:hAnsi="Arial"/>
          <w:sz w:val="14"/>
          <w:szCs w:val="14"/>
          <w:color w:val="auto"/>
        </w:rPr>
        <w:t>kinase inhibitors against wild</w:t>
      </w:r>
      <w:r>
        <w:rPr>
          <w:rFonts w:ascii="MS PGothic" w:cs="MS PGothic" w:eastAsia="MS PGothic" w:hAnsi="MS PGothic"/>
          <w:sz w:val="14"/>
          <w:szCs w:val="14"/>
          <w:color w:val="auto"/>
        </w:rPr>
        <w:t>‑</w:t>
      </w:r>
      <w:r>
        <w:rPr>
          <w:rFonts w:ascii="Arial" w:cs="Arial" w:eastAsia="Arial" w:hAnsi="Arial"/>
          <w:sz w:val="14"/>
          <w:szCs w:val="14"/>
          <w:color w:val="auto"/>
        </w:rPr>
        <w:t xml:space="preserve">type RET, RET resistant mutant protein and KDR/VEGFR2 were evaluated in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enzyme activity assays. The inhibitory potencies of these compounds were also evaluated in cell lines driven by either a wild</w:t>
      </w:r>
      <w:r>
        <w:rPr>
          <w:rFonts w:ascii="MS PGothic" w:cs="MS PGothic" w:eastAsia="MS PGothic" w:hAnsi="MS PGothic"/>
          <w:sz w:val="14"/>
          <w:szCs w:val="14"/>
          <w:color w:val="auto"/>
        </w:rPr>
        <w:t>‑</w:t>
      </w:r>
      <w:r>
        <w:rPr>
          <w:rFonts w:ascii="Arial" w:cs="Arial" w:eastAsia="Arial" w:hAnsi="Arial"/>
          <w:sz w:val="14"/>
          <w:szCs w:val="14"/>
          <w:color w:val="auto"/>
        </w:rPr>
        <w:t>type RET fusion or a mutant RET fusion.</w:t>
      </w:r>
    </w:p>
    <w:p>
      <w:pPr>
        <w:spacing w:after="0" w:line="176" w:lineRule="exact"/>
        <w:rPr>
          <w:sz w:val="20"/>
          <w:szCs w:val="20"/>
          <w:color w:val="auto"/>
        </w:rPr>
      </w:pPr>
    </w:p>
    <w:p>
      <w:pPr>
        <w:ind w:left="20" w:firstLine="648"/>
        <w:spacing w:after="0" w:line="182" w:lineRule="exact"/>
        <w:rPr>
          <w:sz w:val="20"/>
          <w:szCs w:val="20"/>
          <w:color w:val="auto"/>
        </w:rPr>
      </w:pPr>
      <w:r>
        <w:rPr>
          <w:rFonts w:ascii="Arial" w:cs="Arial" w:eastAsia="Arial" w:hAnsi="Arial"/>
          <w:sz w:val="17"/>
          <w:szCs w:val="17"/>
          <w:color w:val="auto"/>
        </w:rPr>
        <w:t>We have demonstrated significant anti</w:t>
      </w:r>
      <w:r>
        <w:rPr>
          <w:rFonts w:ascii="MS PGothic" w:cs="MS PGothic" w:eastAsia="MS PGothic" w:hAnsi="MS PGothic"/>
          <w:sz w:val="17"/>
          <w:szCs w:val="17"/>
          <w:color w:val="auto"/>
        </w:rPr>
        <w:t>‑</w:t>
      </w:r>
      <w:r>
        <w:rPr>
          <w:rFonts w:ascii="Arial" w:cs="Arial" w:eastAsia="Arial" w:hAnsi="Arial"/>
          <w:sz w:val="17"/>
          <w:szCs w:val="17"/>
          <w:color w:val="auto"/>
        </w:rPr>
        <w:t>tumor efficacy with BLU-667 in both a wild</w:t>
      </w:r>
      <w:r>
        <w:rPr>
          <w:rFonts w:ascii="MS PGothic" w:cs="MS PGothic" w:eastAsia="MS PGothic" w:hAnsi="MS PGothic"/>
          <w:sz w:val="17"/>
          <w:szCs w:val="17"/>
          <w:color w:val="auto"/>
        </w:rPr>
        <w:t>‑</w:t>
      </w:r>
      <w:r>
        <w:rPr>
          <w:rFonts w:ascii="Arial" w:cs="Arial" w:eastAsia="Arial" w:hAnsi="Arial"/>
          <w:sz w:val="17"/>
          <w:szCs w:val="17"/>
          <w:color w:val="auto"/>
        </w:rPr>
        <w:t>type RET fusion allograft and a predicted RET resistant mutant allograft. Administration of our compound orally BID for 14 days in a wild</w:t>
      </w:r>
      <w:r>
        <w:rPr>
          <w:rFonts w:ascii="MS PGothic" w:cs="MS PGothic" w:eastAsia="MS PGothic" w:hAnsi="MS PGothic"/>
          <w:sz w:val="17"/>
          <w:szCs w:val="17"/>
          <w:color w:val="auto"/>
        </w:rPr>
        <w:t>‑</w:t>
      </w:r>
      <w:r>
        <w:rPr>
          <w:rFonts w:ascii="Arial" w:cs="Arial" w:eastAsia="Arial" w:hAnsi="Arial"/>
          <w:sz w:val="17"/>
          <w:szCs w:val="17"/>
          <w:color w:val="auto"/>
        </w:rPr>
        <w:t>type RET fusion allograft and for 14 days in a predicted RET resistant mutant allograft resulted in robust and dose</w:t>
      </w:r>
      <w:r>
        <w:rPr>
          <w:rFonts w:ascii="MS PGothic" w:cs="MS PGothic" w:eastAsia="MS PGothic" w:hAnsi="MS PGothic"/>
          <w:sz w:val="17"/>
          <w:szCs w:val="17"/>
          <w:color w:val="auto"/>
        </w:rPr>
        <w:t>‑</w:t>
      </w:r>
      <w:r>
        <w:rPr>
          <w:rFonts w:ascii="Arial" w:cs="Arial" w:eastAsia="Arial" w:hAnsi="Arial"/>
          <w:sz w:val="17"/>
          <w:szCs w:val="17"/>
          <w:color w:val="auto"/>
        </w:rPr>
        <w:t>dependent tumor growth inhibition. At a dose of 30 mg/kg BID, a well</w:t>
      </w:r>
      <w:r>
        <w:rPr>
          <w:rFonts w:ascii="MS PGothic" w:cs="MS PGothic" w:eastAsia="MS PGothic" w:hAnsi="MS PGothic"/>
          <w:sz w:val="17"/>
          <w:szCs w:val="17"/>
          <w:color w:val="auto"/>
        </w:rPr>
        <w:t>‑</w:t>
      </w:r>
      <w:r>
        <w:rPr>
          <w:rFonts w:ascii="Arial" w:cs="Arial" w:eastAsia="Arial" w:hAnsi="Arial"/>
          <w:sz w:val="17"/>
          <w:szCs w:val="17"/>
          <w:color w:val="auto"/>
        </w:rPr>
        <w:t>tolerated dose, the compound induced tumor regression in both models. The anti</w:t>
      </w:r>
      <w:r>
        <w:rPr>
          <w:rFonts w:ascii="MS PGothic" w:cs="MS PGothic" w:eastAsia="MS PGothic" w:hAnsi="MS PGothic"/>
          <w:sz w:val="17"/>
          <w:szCs w:val="17"/>
          <w:color w:val="auto"/>
        </w:rPr>
        <w:t>‑</w:t>
      </w:r>
      <w:r>
        <w:rPr>
          <w:rFonts w:ascii="Arial" w:cs="Arial" w:eastAsia="Arial" w:hAnsi="Arial"/>
          <w:sz w:val="17"/>
          <w:szCs w:val="17"/>
          <w:color w:val="auto"/>
        </w:rPr>
        <w:t>tumor efficacy of a multi</w:t>
      </w:r>
      <w:r>
        <w:rPr>
          <w:rFonts w:ascii="MS PGothic" w:cs="MS PGothic" w:eastAsia="MS PGothic" w:hAnsi="MS PGothic"/>
          <w:sz w:val="17"/>
          <w:szCs w:val="17"/>
          <w:color w:val="auto"/>
        </w:rPr>
        <w:t>‑</w:t>
      </w:r>
      <w:r>
        <w:rPr>
          <w:rFonts w:ascii="Arial" w:cs="Arial" w:eastAsia="Arial" w:hAnsi="Arial"/>
          <w:sz w:val="17"/>
          <w:szCs w:val="17"/>
          <w:color w:val="auto"/>
        </w:rPr>
        <w:t>kinase inhibitor with RET inhibitory activity that is being evaluated in the clinic for treatment of patients with RET fusion positive lung cancer (reference compound) was also evaluated in these models. This reference compound, dosed orally once daily at 60 mg/kg, a well</w:t>
      </w:r>
      <w:r>
        <w:rPr>
          <w:rFonts w:ascii="MS PGothic" w:cs="MS PGothic" w:eastAsia="MS PGothic" w:hAnsi="MS PGothic"/>
          <w:sz w:val="17"/>
          <w:szCs w:val="17"/>
          <w:color w:val="auto"/>
        </w:rPr>
        <w:t>‑</w:t>
      </w:r>
      <w:r>
        <w:rPr>
          <w:rFonts w:ascii="Arial" w:cs="Arial" w:eastAsia="Arial" w:hAnsi="Arial"/>
          <w:sz w:val="17"/>
          <w:szCs w:val="17"/>
          <w:color w:val="auto"/>
        </w:rPr>
        <w:t>tolerated dose, inhibited tumor growth in the wild</w:t>
      </w:r>
      <w:r>
        <w:rPr>
          <w:rFonts w:ascii="MS PGothic" w:cs="MS PGothic" w:eastAsia="MS PGothic" w:hAnsi="MS PGothic"/>
          <w:sz w:val="17"/>
          <w:szCs w:val="17"/>
          <w:color w:val="auto"/>
        </w:rPr>
        <w:t>‑</w:t>
      </w:r>
      <w:r>
        <w:rPr>
          <w:rFonts w:ascii="Arial" w:cs="Arial" w:eastAsia="Arial" w:hAnsi="Arial"/>
          <w:sz w:val="17"/>
          <w:szCs w:val="17"/>
          <w:color w:val="auto"/>
        </w:rPr>
        <w:t>type RET fusion allograft. At the same dose level in the RET resistant mutant allograft, this reference compound showed diminished inhibition of tumor growth.</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0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4939665" cy="16294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966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20"/>
        <w:spacing w:after="0" w:line="236" w:lineRule="auto"/>
        <w:rPr>
          <w:sz w:val="20"/>
          <w:szCs w:val="20"/>
          <w:color w:val="auto"/>
        </w:rPr>
      </w:pPr>
      <w:r>
        <w:rPr>
          <w:rFonts w:ascii="Arial" w:cs="Arial" w:eastAsia="Arial" w:hAnsi="Arial"/>
          <w:sz w:val="14"/>
          <w:szCs w:val="14"/>
          <w:color w:val="auto"/>
        </w:rPr>
        <w:t>BLU-667, a RET inhibitor, elicits dose dependent tumor growth inhibition in both a wild-type RET fusion allograft and a predicted RET resistant mutant allograft model. In the figure above, BID means twice a day, and QD means once a day.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Clinical Trial for BLU-667 for the Treatment of NSCLC, MTC and Other Advanced Solid Tumors</w:t>
      </w:r>
    </w:p>
    <w:p>
      <w:pPr>
        <w:spacing w:after="0" w:line="185"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In December 2016, the FDA approved our IND application for BLU-667 for the treatment of NSCLC, thyroid cancer and other advanced solid tumors, and we expect to initiate a Phase 1 clinical trial for BLU-667 for the treatment of NSCLC, MTC and other advanced solid tumors in the first half of 2017.</w:t>
      </w:r>
    </w:p>
    <w:p>
      <w:pPr>
        <w:spacing w:after="0" w:line="1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Our Phase 1 clinical trial of BLU-667 in RET is designed to evaluate the safety and tolerability of BLU-667 in multiple ascending doses in patients with NSCLC, MTC and other advanced solid tumors with the goal of establishing an MTD or a recommended dose if the MTD is not achieved. Once the MTD is reached, or a recommended dose is established, we plan to open expansion cohorts for the following four patient groups: (1) NSCLC patients with a RET rearrangement who have undergone prior treatment with a tyrosine kinase inhibitor, or TKI, that inhibits RET; (2) NSCLC patients with a RET rearrangement who have never undergone treatment with a TKI that inhibits RET; (3) patients with MTC; and (4) patients with RET-altered solid tumors, other than NSCLC and MTC. Secondary objectives for this Phase 1 clinical trial include assessing the PK profile of BLU-667, assessing RET gene status in plasma and tumor tissue, characterizing the PD of BLU-667 and assessing response rate by RECIST. The Phase 1 clinical trial is designed to enroll approximately 115 patients, including approximately 35 patients during dose escalation and approximately 80 additional patients in expansion cohorts, at multiple sites in the United States and the European Union.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Partnerships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w:t>
      </w:r>
    </w:p>
    <w:p>
      <w:pPr>
        <w:spacing w:after="0" w:line="185"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In March 2015, we entered into the Alexion agreement to research, develop and commercialize drug candidates for an undisclosed activated kinase target, which is the cause of a rare genetic disease. Under the terms of this agreement, we are responsible for research and pre-clinical development activities related to drug candidates and Alexion is responsible for all clinical development, manufacturing and commercialization activities related to drug candidates.</w:t>
      </w:r>
    </w:p>
    <w:p>
      <w:pPr>
        <w:spacing w:after="0" w:line="15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Alexion is responsible for funding 100% of our research and development costs incurred under the research plan, including pass-through costs and a negotiated yearly rate per full-time equivalent for our employees’ time and their associated overhead expenses. We received a $15.0 million non-refundable upfront payment in March 2015 upon execution of the Alexion agreement and are eligible to receive over $250.0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We have recognized and received an aggregate of $3.8 million in milestone payments from Alexion through December 31, 2016. Alexion will pay us tiered royalties, ranging from mid-single to low-double digit percentages, on a country-by-country and licensed-product-by-licensed-product basis, on worldwide net product sales of licensed products. The royalty term for each licensed product in each country is the period commencing with first commercial sale of such licensed product in such country and ending</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on the later of (i) the expiration of the last-to-expire valid claim of specified patents covering such licensed product, (ii) the expiration of the applicable regulatory exclusivity period, and (iii) 10 or 15 years from specified commercial sales.</w:t>
      </w:r>
    </w:p>
    <w:p>
      <w:pPr>
        <w:spacing w:after="0" w:line="147"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term of the Alexion agreement will expire on a country-by-country basis and a licensed-product-by-licensed-product basis at the end of each applicable royalty term, unless terminated earlier by either party. Alexion has the right to terminate the Alexion agreement if we undergo a change of control or become an affiliate of a biotechnology or pharmaceutical company, and may terminate the Alexion agreement at will upon 90 days’ prior written notice. We and Alexion have the right to terminate the Alexion agreement in the event of the other party’s uncured breach or insolvency, and in certain other circumstances agreed to by the parties.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w:t>
      </w:r>
    </w:p>
    <w:p>
      <w:pPr>
        <w:spacing w:after="0" w:line="1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March 2016, we entered into the Roche agreement pursuant to which we and Roche have agreed to collaborate on the discovery, development and commercialization of up to five small molecule therapeutics targeting kinases believed to be important in cancer immunotherapy, as single products or possibly in combination with other therapeutics. The parties initiated activities for three of the collaboration programs in 2016, and the parties have agreed to work together to use our novel target discovery engine and proprietary compound library to select targets for up to two additional collaboration programs.</w:t>
      </w:r>
    </w:p>
    <w:p>
      <w:pPr>
        <w:spacing w:after="0" w:line="162"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Under the Roche agreement, Roche is granted up to five option rights to obtain an exclusive license to exploit products derived from the collaboration programs, or licensed products,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we will retain commercialization rights in the United States for the licensed products, and Roche will receive commercialization rights outside of the United States for the licensed products. We will also retain worldwide rights to any products for which Roche elects not to exercise its applicable option. Prior to Roche’s exercise of an option, we will have the lead responsibility for drug discovery and pre-clinical development of all collaboration programs. In addition, we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we and Roche will share post-Phase 1 development costs for each licensed product for which we retain commercialization rights in the United States.</w:t>
      </w:r>
    </w:p>
    <w:p>
      <w:pPr>
        <w:spacing w:after="0" w:line="162"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We received an upfront cash payment of $45.0 million in March 2016 upon execution of the Roche agreement, and subject to the terms of the Roche agreement, we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In addition, for any licensed product for which Roche retains worldwide commercialization rights, we will be eligible to receive tiered royalties ranging from low double-digits to high-teens on future net sales of the licensed product. For any licensed product for which we retain commercialization rights in the United States, we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0"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Under the Roche agreement, each party has granted the other party specified intellectual property licenses to enable the other party to perform its obligations and exercise its rights under the Roche agreement, including license grants to enable each party to conduct research, development and commercialization activities pursuant to the terms of the Roche agreement. Following Roche’s exercise 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United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color w:val="auto"/>
        </w:rPr>
        <w:t>States for the collaboration programs on which we will retain rights in the United States, with Roche receiving a license under our intellectual property to develop and commercialize such licensed products outside of the United States.</w:t>
      </w:r>
    </w:p>
    <w:p>
      <w:pPr>
        <w:spacing w:after="0" w:line="124"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Subject to the terms and conditions of the Roche agreement, we have agreed to work exclusively with Roche with respect to each collaboration target, and we have agreed to work exclusively within the field of cancer immunotherapy for a period of up to 30 months after the execution of the Roche agreement. In addition, subject to specified exceptions, Roche has a right of first negotiation in the event that we desire to grant any third party rights to develop or commercialize a licensed product under either of the collaboration programs for which we will retain commercialization rights in the United States. Roche’s right of first negotiation will not apply in connection with a change of control of us, an assignment by us in accordance with the terms of the Roche agreement or certain agreements with contract research organizations, contract manufacturing organizations, academic institutions, not-for-profit third parties or distributors.</w:t>
      </w:r>
    </w:p>
    <w:p>
      <w:pPr>
        <w:spacing w:after="0" w:line="16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us.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Ventana</w:t>
      </w:r>
    </w:p>
    <w:p>
      <w:pPr>
        <w:spacing w:after="0" w:line="185" w:lineRule="exact"/>
        <w:rPr>
          <w:sz w:val="20"/>
          <w:szCs w:val="20"/>
          <w:color w:val="auto"/>
        </w:rPr>
      </w:pPr>
    </w:p>
    <w:p>
      <w:pPr>
        <w:ind w:right="160" w:firstLine="648"/>
        <w:spacing w:after="0" w:line="225" w:lineRule="auto"/>
        <w:rPr>
          <w:sz w:val="20"/>
          <w:szCs w:val="20"/>
          <w:color w:val="auto"/>
        </w:rPr>
      </w:pPr>
      <w:r>
        <w:rPr>
          <w:rFonts w:ascii="Arial" w:cs="Arial" w:eastAsia="Arial" w:hAnsi="Arial"/>
          <w:sz w:val="17"/>
          <w:szCs w:val="17"/>
          <w:color w:val="auto"/>
        </w:rPr>
        <w:t>In March 2016, we entered into a master collaboration agreement and project schedules, which we refer to collectively as the Ventana agreement, with Ventana, a member of the Roche Group. Pursuant to the Ventana agreement, Ventana has agreed to develop and commercialize an assay as a companion diagnostic test to identify HCC patients with aberrantly active FGFR4 signaling as indicated by FGF19 protein overexpression for use with BLU-554. FGF19 is a ligand that activates FGFR4, a kinase that is aberrantly activated and is a driver of disease in a subset of patients with HCC. The parties anticipate using Ventana’s investigational immunohistochemistry, or IHC, assay to initially develop the companion diagnostic test. IHC is a process of detecting proteins in tissue cells.</w:t>
      </w:r>
    </w:p>
    <w:p>
      <w:pPr>
        <w:spacing w:after="0" w:line="162" w:lineRule="exact"/>
        <w:rPr>
          <w:sz w:val="20"/>
          <w:szCs w:val="20"/>
          <w:color w:val="auto"/>
        </w:rPr>
      </w:pPr>
    </w:p>
    <w:p>
      <w:pPr>
        <w:ind w:right="220" w:firstLine="648"/>
        <w:spacing w:after="0" w:line="223" w:lineRule="auto"/>
        <w:rPr>
          <w:sz w:val="20"/>
          <w:szCs w:val="20"/>
          <w:color w:val="auto"/>
        </w:rPr>
      </w:pPr>
      <w:r>
        <w:rPr>
          <w:rFonts w:ascii="Arial" w:cs="Arial" w:eastAsia="Arial" w:hAnsi="Arial"/>
          <w:sz w:val="17"/>
          <w:szCs w:val="17"/>
          <w:color w:val="auto"/>
        </w:rPr>
        <w:t>Under the Ventana agreement, Ventana is responsible for developing, and obtaining and maintaining regulatory approvals for, the companion diagnostic test in the United States, specified countries in the European Union, any other countries that recognize the CE/in vitro diagnostic self-registration process and such other countries as the parties may mutually agree. If despite using commercially reasonable efforts Ventana fails, or refuses to seek, obtain or maintain regulatory approvals for, the companion diagnostic test in any country in which Ventana is responsible for obtaining and maintaining regulatory approvals, or in the case of certain specified supply failures or failures to commercialize the companion diagnostic test in any such country, then the parties will negotiate in good faith to select, agree upon and implement one or more alternative arrangements that are reasonably acceptable to the parties for the companion diagnostic test in such country or countries.</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Pursuant to the Ventana agreement, the parties will form a joint steering committee comprised of an equal number of representatives from us and Ventana. The joint steering committee will oversee the activities under the Ventana agreement and any project schedule. Upon the request of either party, the joint steering committee will form one or more of the following committees: a joint development committee, joint commercialization committee or joint patent committee.</w:t>
      </w:r>
    </w:p>
    <w:p>
      <w:pPr>
        <w:spacing w:after="0" w:line="155"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Under the Ventana agreement, each party has granted the other party specified intellectual property licenses to enable the other party to perform its obligations and exercise its rights under the Ventana agreement, including license grants to enable Ventana to develop and commercialize companion diagnostic tests for use with any of our products that are the subject of the Ventana agreement and to enable us to develop and commercialize its products with any companion diagnostic test developed by Ventana under the Ventana agreement. Certain of the license rights granted by each party generally survive termination of the Ventana agreement. Ventana remains free to develop its companion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diagnostic tests for use with a third party’s therapeutic products, and we remain free to engage a third party to develop other companion diagnostic tests for use with BLU-554 and any of our other drug candidates.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terms of the Ventana agreement, we will pay Ventana an aggregate amount of up to approximately</w:t>
      </w:r>
    </w:p>
    <w:p>
      <w:pPr>
        <w:spacing w:after="0"/>
        <w:rPr>
          <w:sz w:val="20"/>
          <w:szCs w:val="20"/>
          <w:color w:val="auto"/>
        </w:rPr>
      </w:pPr>
      <w:r>
        <w:rPr>
          <w:rFonts w:ascii="Arial" w:cs="Arial" w:eastAsia="Arial" w:hAnsi="Arial"/>
          <w:sz w:val="16"/>
          <w:szCs w:val="16"/>
          <w:color w:val="auto"/>
        </w:rPr>
        <w:t>$12.3 million over the term of the development program for the companion diagnostic test for BLU-554. In addition, we will</w:t>
      </w:r>
    </w:p>
    <w:p>
      <w:pPr>
        <w:spacing w:after="0" w:line="229" w:lineRule="auto"/>
        <w:rPr>
          <w:sz w:val="20"/>
          <w:szCs w:val="20"/>
          <w:color w:val="auto"/>
        </w:rPr>
      </w:pPr>
      <w:r>
        <w:rPr>
          <w:rFonts w:ascii="Arial" w:cs="Arial" w:eastAsia="Arial" w:hAnsi="Arial"/>
          <w:sz w:val="16"/>
          <w:szCs w:val="16"/>
          <w:color w:val="auto"/>
        </w:rPr>
        <w:t>reimburse Ventana for certain pass-through costs and will be obligated to pay Ventana up to an additional $2.0 million if we</w:t>
      </w:r>
    </w:p>
    <w:p>
      <w:pPr>
        <w:spacing w:after="0" w:line="229" w:lineRule="auto"/>
        <w:rPr>
          <w:sz w:val="20"/>
          <w:szCs w:val="20"/>
          <w:color w:val="auto"/>
        </w:rPr>
      </w:pPr>
      <w:r>
        <w:rPr>
          <w:rFonts w:ascii="Arial" w:cs="Arial" w:eastAsia="Arial" w:hAnsi="Arial"/>
          <w:sz w:val="16"/>
          <w:szCs w:val="16"/>
          <w:color w:val="auto"/>
        </w:rPr>
        <w:t>elect to have Ventana perform additional optional validation studies specified in the Ventana agreement. These amounts are</w:t>
      </w:r>
    </w:p>
    <w:p>
      <w:pPr>
        <w:spacing w:after="0" w:line="229" w:lineRule="auto"/>
        <w:rPr>
          <w:sz w:val="20"/>
          <w:szCs w:val="20"/>
          <w:color w:val="auto"/>
        </w:rPr>
      </w:pPr>
      <w:r>
        <w:rPr>
          <w:rFonts w:ascii="Arial" w:cs="Arial" w:eastAsia="Arial" w:hAnsi="Arial"/>
          <w:sz w:val="16"/>
          <w:szCs w:val="16"/>
          <w:color w:val="auto"/>
        </w:rPr>
        <w:t>subject to adjustment if the parties determine that changes in the scope of the development program are required. In addition,</w:t>
      </w:r>
    </w:p>
    <w:p>
      <w:pPr>
        <w:spacing w:after="0"/>
        <w:rPr>
          <w:sz w:val="20"/>
          <w:szCs w:val="20"/>
          <w:color w:val="auto"/>
        </w:rPr>
      </w:pPr>
      <w:r>
        <w:rPr>
          <w:rFonts w:ascii="Arial" w:cs="Arial" w:eastAsia="Arial" w:hAnsi="Arial"/>
          <w:sz w:val="18"/>
          <w:szCs w:val="18"/>
          <w:color w:val="auto"/>
        </w:rPr>
        <w:t>Ventana will retain all proceeds from the commercialization of the companion diagnostic test.</w:t>
      </w:r>
    </w:p>
    <w:p>
      <w:pPr>
        <w:spacing w:after="0" w:line="16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The Ventana agreement will continue until terminated by either party in accordance with its terms. If all projects under the Ventana agreement have been terminated in accordance with the terms of the Ventana agreement, either party may terminate the Ventana agreement for convenience upon 30 days’ prior written notice to the other party. We are permitted to terminate any project under the Ventana agreement upon 30 days’ prior written notice to Ventana in the event we cease to continue developing or commercializing the applicable product or for convenience and, under specified circumstances, payment of a termination fee and wind-down costs. Ventana is permitted to terminate any project under the Ventana agreement upon 30 or 180 days’ prior written notice to us depending on the circumstances of such termination. Either party may terminate the Ventana agreement upon a material breach of the other party that is not cured within 60 days after written notice of such breach or immediately upon the bankruptcy or insolvency of the other party.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Qiagen</w:t>
      </w:r>
    </w:p>
    <w:p>
      <w:pPr>
        <w:spacing w:after="0" w:line="18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In August 2016, we entered into a master collaboration agreement and a project schedule, which we refer to collectively as the Qiagen agreement, with Qiagen. Pursuant to the Qiagen agreement, Qiagen has agreed to develop and commercialize an assay as a companion diagnostic test to identify GIST patients with the PDGFRα D842V mutation for use with BLU-285, one of our lead drug candidates.</w:t>
      </w:r>
    </w:p>
    <w:p>
      <w:pPr>
        <w:spacing w:after="0" w:line="163"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Under the Qiagen agreement, Qiagen is responsible for developing, and obtaining and maintaining regulatory approvals for, the companion diagnostic test in the United States, the European Union, Canada and such other countries as the parties may mutually agree. In addition, Qiagen has agreed to use commercially reasonable efforts to manufacture the companion diagnostic test and to make the companion diagnostic test commercially available in the United States, the major European markets, Canada and such other countries as the parties may mutually agree. Under the Qiagen agreement, Qiagen has agreed to undertake specified actions to minimize the risk of an inability of supply occurring for the manufacture of the companion diagnostic test, and if Qiagen elects not to commercialize the companion diagnostic test itself in any country, Qiagen has agreed to procure alternative distribution channels or otherwise supply the companion diagnostic test to us in such quantities and upon commercially reasonable terms as necessary in order to enable us to market BLU-285 for GIST patients with the PDGFRα D842V mutation in combination with the companion diagnostic test. Qiagen remains free to develop its companion diagnostic tests for use with a third party’s therapeutic products, and we remain free to engage a third party to develop other companion diagnostic tests for use with BLU-285 and any of our other drug candidates.</w:t>
      </w:r>
    </w:p>
    <w:p>
      <w:pPr>
        <w:spacing w:after="0" w:line="170"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Subject to the terms of the Qiagen agreement and upon achievement of specified technical and development milestones, we will pay Qiagen an aggregate amount of up to approximately $6.1 million over the term of the development program for the companion diagnostic test for BLU-285. In addition, we will reimburse Qiagen for certain pass-through costs. These amounts are subject to adjustment if the parties determine that changes in the scope of the development program are required. In addition, Qiagen will retain all proceeds from the commercialization of the companion diagnostic test.</w:t>
      </w:r>
    </w:p>
    <w:p>
      <w:pPr>
        <w:spacing w:after="0" w:line="159"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The Qiagen agreement expires on the later to occur of (i) the fifth anniversary of the Qiagen agreement and (ii) the term of any project schedule executed under the Qiagen agreement. We may terminate the Qiagen agreement or a project schedule (i) upon 30 days’ prior written notice to Qiagen if such termination is due to our cessation of further development of BLU-285 or any other drug candidate covered by a project schedule executed under the Qiagen agreement and (ii) for convenience upon 120 day’s prior written notice to Qiagen. Either party may terminate the Qiagen agreement or any project schedule executed under the Qiagen agreement, as applicable, upon a material breach of the other party that is not cured within 30 days after written notice of such breach or immediately upon the bankruptcy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insolvency of the other party. In the event of a termination of the Qiagen agreement by us, we will be obligated to pay Qiagen wind-down and other costs and final payments.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drug candidates, including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BLU-667, and our core technologies, including our novel target discovery engine and our proprietary compound library, and other know</w:t>
      </w:r>
      <w:r>
        <w:rPr>
          <w:rFonts w:ascii="MS PGothic" w:cs="MS PGothic" w:eastAsia="MS PGothic" w:hAnsi="MS PGothic"/>
          <w:sz w:val="16"/>
          <w:szCs w:val="16"/>
          <w:color w:val="auto"/>
        </w:rPr>
        <w:t>‑</w:t>
      </w:r>
      <w:r>
        <w:rPr>
          <w:rFonts w:ascii="Arial" w:cs="Arial" w:eastAsia="Arial" w:hAnsi="Arial"/>
          <w:sz w:val="16"/>
          <w:szCs w:val="16"/>
          <w:color w:val="auto"/>
        </w:rPr>
        <w:t>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w:t>
      </w:r>
      <w:r>
        <w:rPr>
          <w:rFonts w:ascii="MS PGothic" w:cs="MS PGothic" w:eastAsia="MS PGothic" w:hAnsi="MS PGothic"/>
          <w:sz w:val="16"/>
          <w:szCs w:val="16"/>
          <w:color w:val="auto"/>
        </w:rPr>
        <w:t>‑</w:t>
      </w:r>
      <w:r>
        <w:rPr>
          <w:rFonts w:ascii="Arial" w:cs="Arial" w:eastAsia="Arial" w:hAnsi="Arial"/>
          <w:sz w:val="16"/>
          <w:szCs w:val="16"/>
          <w:color w:val="auto"/>
        </w:rPr>
        <w:t>how and continuing technological innovation to develop and maintain our proprietary and intellectual property position.</w:t>
      </w:r>
    </w:p>
    <w:p>
      <w:pPr>
        <w:spacing w:after="0" w:line="140"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fusions that we have discovered through our target discovery engine and the use of these fusions in diagnosing and treating disease. As of February 28, 2017, we owned seven issued U.S. patents, 20 pending</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U.S. patent applications, 7 pending U.S. provisional applications, 87 foreign patent applications pending in a number of jurisdictions, including Australia, Brazil, Canada, China, the European Union, Israel, India, Japan, South Korea, Mexico New Zealand, Russia, South Africa, one issued foreign patent, and six pending Patent Cooperation Treaty, or PCT, patent applications. Our pending patent applications pertain to our key research and development programs, specifically our KIT program, our FGFR4 program and our RET program; and our pipeline, specifically novel recurrent fusions. Our issued U.S. patents are projected to expire between 2033 and 2034, and any patents that may issue from our pending U.S. applications would be projected to expire between 2034 and 2037.</w:t>
      </w:r>
    </w:p>
    <w:p>
      <w:pPr>
        <w:spacing w:after="0" w:line="123"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intellectual property portfolios for our most advanced drug candidates as of February 28, 2017 are summarized below. Each of these portfolios is in its very early stages and, with respect to most of the pending patent applications covering our drug candidates, prosecution has just begun or is in progress. Prosecution is a lengthy process, during which the scope of the claims initially submitted for examination by the USPTO often significantly narrowed by the time they issue, if they issue at all. We expect this to be the case with respect to our pending patent applications referred to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KIT</w:t>
      </w:r>
    </w:p>
    <w:p>
      <w:pPr>
        <w:spacing w:after="0" w:line="158"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8"/>
          <w:szCs w:val="18"/>
          <w:color w:val="auto"/>
        </w:rPr>
        <w:t>The intellectual property portfolio for our KIT program contains patent applications directed to compositions of matter for BLU</w:t>
      </w:r>
      <w:r>
        <w:rPr>
          <w:rFonts w:ascii="MS PGothic" w:cs="MS PGothic" w:eastAsia="MS PGothic" w:hAnsi="MS PGothic"/>
          <w:sz w:val="18"/>
          <w:szCs w:val="18"/>
          <w:color w:val="auto"/>
        </w:rPr>
        <w:t>‑</w:t>
      </w:r>
      <w:r>
        <w:rPr>
          <w:rFonts w:ascii="Arial" w:cs="Arial" w:eastAsia="Arial" w:hAnsi="Arial"/>
          <w:sz w:val="18"/>
          <w:szCs w:val="18"/>
          <w:color w:val="auto"/>
        </w:rPr>
        <w:t>285 and analogs, compositions of matter for KIT inhibitors with different compound families, as well as methods of use for these novel compounds. As of February 28, 2017, we owned three issued US patents, five pending U.S. patent applications, 28 pending foreign patent applications in a number of jurisdictions, including Argentina, Australia, Bolivia, Brazil, Canada, China, the European Union, Israel, India, Japan, South Korea, Mexico New Zealand, Pakistan, Russia, South Africa, Taiwan and Venezuela, and one pending PCT patent applications directed to our KIT program, including BLU-285. Any U.S. or ex-U.S. patents issuing from the pending applications covering BLU-285 will have a statutory expiration date of October 2034. Patent term adjustments or patent term extensions could result in later expiration 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FGFR4</w:t>
      </w:r>
    </w:p>
    <w:p>
      <w:pPr>
        <w:spacing w:after="0" w:line="185" w:lineRule="exact"/>
        <w:rPr>
          <w:sz w:val="20"/>
          <w:szCs w:val="20"/>
          <w:color w:val="auto"/>
        </w:rPr>
      </w:pPr>
    </w:p>
    <w:p>
      <w:pPr>
        <w:ind w:right="40" w:firstLine="648"/>
        <w:spacing w:after="0" w:line="178" w:lineRule="exact"/>
        <w:rPr>
          <w:sz w:val="20"/>
          <w:szCs w:val="20"/>
          <w:color w:val="auto"/>
        </w:rPr>
      </w:pPr>
      <w:r>
        <w:rPr>
          <w:rFonts w:ascii="Arial" w:cs="Arial" w:eastAsia="Arial" w:hAnsi="Arial"/>
          <w:sz w:val="16"/>
          <w:szCs w:val="16"/>
          <w:color w:val="auto"/>
        </w:rPr>
        <w:t>The intellectual property portfolio for our FGFR4 program contains patent applications directed to compositions of matter for BLU</w:t>
      </w:r>
      <w:r>
        <w:rPr>
          <w:rFonts w:ascii="MS PGothic" w:cs="MS PGothic" w:eastAsia="MS PGothic" w:hAnsi="MS PGothic"/>
          <w:sz w:val="16"/>
          <w:szCs w:val="16"/>
          <w:color w:val="auto"/>
        </w:rPr>
        <w:t>‑</w:t>
      </w:r>
      <w:r>
        <w:rPr>
          <w:rFonts w:ascii="Arial" w:cs="Arial" w:eastAsia="Arial" w:hAnsi="Arial"/>
          <w:sz w:val="16"/>
          <w:szCs w:val="16"/>
          <w:color w:val="auto"/>
        </w:rPr>
        <w:t>554 and analogs, as well as compositions of matter for FGFR4 inhibitors with multiple compound families. The portfolio also includes patent applications directed to methods of use for the novel compounds as well as patent applications directed broadly to FGFR4 selective inhibitors. As of February 28, 2017, we owned four issued U.S. patents, three pending U.S. patent applications, two pending U.S. provisional applications, 44 foreign patent applications in a number of jurisdictions, including Australia, Brazil, Canada, China, the European Union, Israel, India, Japan, South Korea, Mexico New Zealand, Russia, South Africa, and one issued foreign patent directed to our FGFR4 program, including BLU-</w:t>
      </w:r>
    </w:p>
    <w:p>
      <w:pPr>
        <w:ind w:right="300" w:firstLine="3"/>
        <w:spacing w:after="0" w:line="231" w:lineRule="auto"/>
        <w:tabs>
          <w:tab w:leader="none" w:pos="3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U.S. or ex-U.S. patent issuing from the pending applications covering BLU-554 will have a statutory expiration date of July 2033, December 2033, October 2034 or September 2037. Patent term adjustments or patent term extensions could result in later expiration dates.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w:t>
      </w:r>
    </w:p>
    <w:p>
      <w:pPr>
        <w:spacing w:after="0" w:line="18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The intellectual property portfolio for our RET program contains patent applications directed to compositions of matter for BLU-667 and analogs, compositions of matter for other inhibitors of predicted RET resistant mutants and methods of use for these novel compounds. As of February 28, 2017, we owned one pending U.S. patent application, two pending PCT applications, two pending foreign patent applications filed in Argentina and Taiwan, and three pending provisional U.S. patent applications directed to our RET program, which, if issued, will have statutory expiration dates of 2036 or 2037.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185"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February 28, 2017, we owned nine pending U.S. patent applications, nine pending European Union patent applications and one pending PCT patent applications directed to this technology, which, if issued, will have statutory expiration dates ranging from 2034 to 2035.</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including the United States, the patent term is 20 years from the earliest filing date of a non</w:t>
      </w:r>
      <w:r>
        <w:rPr>
          <w:rFonts w:ascii="MS PGothic" w:cs="MS PGothic" w:eastAsia="MS PGothic" w:hAnsi="MS PGothic"/>
          <w:sz w:val="17"/>
          <w:szCs w:val="17"/>
          <w:color w:val="auto"/>
        </w:rPr>
        <w:t>‑</w:t>
      </w:r>
      <w:r>
        <w:rPr>
          <w:rFonts w:ascii="Arial" w:cs="Arial" w:eastAsia="Arial" w:hAnsi="Arial"/>
          <w:sz w:val="17"/>
          <w:szCs w:val="17"/>
          <w:color w:val="auto"/>
        </w:rPr>
        <w:t>provisional patent application. In the United States, a patent’s 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 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As with other biotechnology and pharmaceutical companies, our ability to maintain and solidify our proprietary and intellectual property position for our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w:t>
      </w:r>
      <w:r>
        <w:rPr>
          <w:rFonts w:ascii="MS PGothic" w:cs="MS PGothic" w:eastAsia="MS PGothic" w:hAnsi="MS PGothic"/>
          <w:sz w:val="16"/>
          <w:szCs w:val="16"/>
          <w:color w:val="auto"/>
        </w:rPr>
        <w:t>‑</w:t>
      </w:r>
      <w:r>
        <w:rPr>
          <w:rFonts w:ascii="Arial" w:cs="Arial" w:eastAsia="Arial" w:hAnsi="Arial"/>
          <w:sz w:val="16"/>
          <w:szCs w:val="16"/>
          <w:color w:val="auto"/>
        </w:rPr>
        <w:t>party patent applications. If third parties prepare and file patent applications in the United States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candidate we may develop, it is possible that, before any of our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66"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addition to patents, we rely upon unpatented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competitive position. We seek to protect our proprietary information, in part, by executing confidentiality agreements with our collaborators and scientific advisors, and non</w:t>
      </w:r>
      <w:r>
        <w:rPr>
          <w:rFonts w:ascii="MS PGothic" w:cs="MS PGothic" w:eastAsia="MS PGothic" w:hAnsi="MS PGothic"/>
          <w:sz w:val="17"/>
          <w:szCs w:val="17"/>
          <w:color w:val="auto"/>
        </w:rPr>
        <w:t>‑</w:t>
      </w:r>
      <w:r>
        <w:rPr>
          <w:rFonts w:ascii="Arial" w:cs="Arial" w:eastAsia="Arial" w:hAnsi="Arial"/>
          <w:sz w:val="17"/>
          <w:szCs w:val="17"/>
          <w:color w:val="auto"/>
        </w:rPr>
        <w:t>competition, non</w:t>
      </w:r>
      <w:r>
        <w:rPr>
          <w:rFonts w:ascii="MS PGothic" w:cs="MS PGothic" w:eastAsia="MS PGothic" w:hAnsi="MS PGothic"/>
          <w:sz w:val="17"/>
          <w:szCs w:val="17"/>
          <w:color w:val="auto"/>
        </w:rPr>
        <w:t>‑</w:t>
      </w:r>
      <w:r>
        <w:rPr>
          <w:rFonts w:ascii="Arial" w:cs="Arial" w:eastAsia="Arial" w:hAnsi="Arial"/>
          <w:sz w:val="17"/>
          <w:szCs w:val="17"/>
          <w:color w:val="auto"/>
        </w:rPr>
        <w:t>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162" w:lineRule="exact"/>
        <w:rPr>
          <w:sz w:val="20"/>
          <w:szCs w:val="20"/>
          <w:color w:val="auto"/>
        </w:rPr>
      </w:pPr>
    </w:p>
    <w:p>
      <w:pPr>
        <w:ind w:right="60" w:firstLine="648"/>
        <w:spacing w:after="0" w:line="203" w:lineRule="exact"/>
        <w:rPr>
          <w:sz w:val="20"/>
          <w:szCs w:val="20"/>
          <w:color w:val="auto"/>
        </w:rPr>
      </w:pPr>
      <w:r>
        <w:rPr>
          <w:rFonts w:ascii="Arial" w:cs="Arial" w:eastAsia="Arial" w:hAnsi="Arial"/>
          <w:sz w:val="17"/>
          <w:szCs w:val="17"/>
          <w:color w:val="auto"/>
        </w:rPr>
        <w:t>With respect to the building of our proprietary compound library, we consider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to be our primary intellectual property.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can be difficult to protect. In particular, we anticipate that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03" w:lineRule="exact"/>
        <w:rPr>
          <w:sz w:val="20"/>
          <w:szCs w:val="20"/>
          <w:color w:val="auto"/>
        </w:rPr>
      </w:pPr>
      <w:r>
        <w:rPr>
          <w:rFonts w:ascii="Arial" w:cs="Arial" w:eastAsia="Arial" w:hAnsi="Arial"/>
          <w:sz w:val="18"/>
          <w:szCs w:val="18"/>
          <w:color w:val="auto"/>
        </w:rPr>
        <w:t>with respect to our discovery platform, these trade secrets and know</w:t>
      </w:r>
      <w:r>
        <w:rPr>
          <w:rFonts w:ascii="MS PGothic" w:cs="MS PGothic" w:eastAsia="MS PGothic" w:hAnsi="MS PGothic"/>
          <w:sz w:val="18"/>
          <w:szCs w:val="18"/>
          <w:color w:val="auto"/>
        </w:rPr>
        <w:t>‑</w:t>
      </w:r>
      <w:r>
        <w:rPr>
          <w:rFonts w:ascii="Arial" w:cs="Arial" w:eastAsia="Arial" w:hAnsi="Arial"/>
          <w:sz w:val="18"/>
          <w:szCs w:val="18"/>
          <w:color w:val="auto"/>
        </w:rPr>
        <w:t>how will over time be disseminated within the industry through independent development and public presentations describing the methodology.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candidates that we successfully develop and commercialize will compete with existing drugs and new drugs that may become available in the future.</w:t>
      </w:r>
    </w:p>
    <w:p>
      <w:pPr>
        <w:spacing w:after="0" w:line="16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compete in the segments of the pharmaceutical, biotechnology and other related markets that address inhibition of kinases in cancer and other rare genetic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63"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 tests in guiding the use of related therapeutics,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8"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If our drug candidates are approved for the indications for which we are currently conducting or planning clinical trials, they will compete with the drugs discussed below and will likely compete with other drugs that are currently in development.</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285</w:t>
      </w:r>
    </w:p>
    <w:p>
      <w:pPr>
        <w:spacing w:after="0" w:line="185" w:lineRule="exact"/>
        <w:rPr>
          <w:sz w:val="20"/>
          <w:szCs w:val="20"/>
          <w:color w:val="auto"/>
        </w:rPr>
      </w:pPr>
    </w:p>
    <w:p>
      <w:pPr>
        <w:ind w:right="180" w:firstLine="648"/>
        <w:spacing w:after="0" w:line="203" w:lineRule="exact"/>
        <w:rPr>
          <w:sz w:val="20"/>
          <w:szCs w:val="20"/>
          <w:color w:val="auto"/>
        </w:rPr>
      </w:pPr>
      <w:r>
        <w:rPr>
          <w:rFonts w:ascii="Arial" w:cs="Arial" w:eastAsia="Arial" w:hAnsi="Arial"/>
          <w:sz w:val="18"/>
          <w:szCs w:val="18"/>
          <w:color w:val="auto"/>
        </w:rPr>
        <w:t>We are initially developing BLU</w:t>
      </w:r>
      <w:r>
        <w:rPr>
          <w:rFonts w:ascii="MS PGothic" w:cs="MS PGothic" w:eastAsia="MS PGothic" w:hAnsi="MS PGothic"/>
          <w:sz w:val="18"/>
          <w:szCs w:val="18"/>
          <w:color w:val="auto"/>
        </w:rPr>
        <w:t>‑</w:t>
      </w:r>
      <w:r>
        <w:rPr>
          <w:rFonts w:ascii="Arial" w:cs="Arial" w:eastAsia="Arial" w:hAnsi="Arial"/>
          <w:sz w:val="18"/>
          <w:szCs w:val="18"/>
          <w:color w:val="auto"/>
        </w:rPr>
        <w:t>285, which is designed to target KIT, including Exon 17 mutations, for advanced SM and GIST patients, as well as for patients with GIST with the PDGFRα D842V mutation.</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For advanced SM, the only approved medical therapy is imatinib for patients without the KIT D816V mutation or mutational status unknown. Several treatments are used off</w:t>
      </w:r>
      <w:r>
        <w:rPr>
          <w:rFonts w:ascii="MS PGothic" w:cs="MS PGothic" w:eastAsia="MS PGothic" w:hAnsi="MS PGothic"/>
          <w:sz w:val="18"/>
          <w:szCs w:val="18"/>
          <w:color w:val="auto"/>
        </w:rPr>
        <w:t>‑</w:t>
      </w:r>
      <w:r>
        <w:rPr>
          <w:rFonts w:ascii="Arial" w:cs="Arial" w:eastAsia="Arial" w:hAnsi="Arial"/>
          <w:sz w:val="18"/>
          <w:szCs w:val="18"/>
          <w:color w:val="auto"/>
        </w:rPr>
        <w:t>label for cytoreduction including interferon</w:t>
      </w:r>
      <w:r>
        <w:rPr>
          <w:rFonts w:ascii="MS PGothic" w:cs="MS PGothic" w:eastAsia="MS PGothic" w:hAnsi="MS PGothic"/>
          <w:sz w:val="18"/>
          <w:szCs w:val="18"/>
          <w:color w:val="auto"/>
        </w:rPr>
        <w:t>‑</w:t>
      </w:r>
      <w:r>
        <w:rPr>
          <w:rFonts w:ascii="Arial" w:cs="Arial" w:eastAsia="Arial" w:hAnsi="Arial"/>
          <w:sz w:val="18"/>
          <w:szCs w:val="18"/>
          <w:color w:val="auto"/>
        </w:rPr>
        <w:t>α and cytoreductive agents for advanced forms of SM. If BLU</w:t>
      </w:r>
      <w:r>
        <w:rPr>
          <w:rFonts w:ascii="MS PGothic" w:cs="MS PGothic" w:eastAsia="MS PGothic" w:hAnsi="MS PGothic"/>
          <w:sz w:val="18"/>
          <w:szCs w:val="18"/>
          <w:color w:val="auto"/>
        </w:rPr>
        <w:t>‑</w:t>
      </w:r>
      <w:r>
        <w:rPr>
          <w:rFonts w:ascii="Arial" w:cs="Arial" w:eastAsia="Arial" w:hAnsi="Arial"/>
          <w:sz w:val="18"/>
          <w:szCs w:val="18"/>
          <w:color w:val="auto"/>
        </w:rPr>
        <w:t>285 receives marketing approval, it may face competition from other drug candidates in development for advanced SM, including drug candidates in development from AB Science S.A., Deciphera Pharmaceuticals, LLC, Kolltan Pharmaceuticals, Inc., Novartis AG and Plexxikon Inc., a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Daiichi Sankyo Company, Limited.</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For GIST, the current approved standards of care for unresectable or metastatic patients are first</w:t>
      </w:r>
      <w:r>
        <w:rPr>
          <w:rFonts w:ascii="MS PGothic" w:cs="MS PGothic" w:eastAsia="MS PGothic" w:hAnsi="MS PGothic"/>
          <w:sz w:val="17"/>
          <w:szCs w:val="17"/>
          <w:color w:val="auto"/>
        </w:rPr>
        <w:t>‑</w:t>
      </w:r>
      <w:r>
        <w:rPr>
          <w:rFonts w:ascii="Arial" w:cs="Arial" w:eastAsia="Arial" w:hAnsi="Arial"/>
          <w:sz w:val="17"/>
          <w:szCs w:val="17"/>
          <w:color w:val="auto"/>
        </w:rPr>
        <w:t>line imatinib, followed by second</w:t>
      </w:r>
      <w:r>
        <w:rPr>
          <w:rFonts w:ascii="MS PGothic" w:cs="MS PGothic" w:eastAsia="MS PGothic" w:hAnsi="MS PGothic"/>
          <w:sz w:val="17"/>
          <w:szCs w:val="17"/>
          <w:color w:val="auto"/>
        </w:rPr>
        <w:t>‑</w:t>
      </w:r>
      <w:r>
        <w:rPr>
          <w:rFonts w:ascii="Arial" w:cs="Arial" w:eastAsia="Arial" w:hAnsi="Arial"/>
          <w:sz w:val="17"/>
          <w:szCs w:val="17"/>
          <w:color w:val="auto"/>
        </w:rPr>
        <w:t>line sunitinib upon imatinib progression, followed by third</w:t>
      </w:r>
      <w:r>
        <w:rPr>
          <w:rFonts w:ascii="MS PGothic" w:cs="MS PGothic" w:eastAsia="MS PGothic" w:hAnsi="MS PGothic"/>
          <w:sz w:val="17"/>
          <w:szCs w:val="17"/>
          <w:color w:val="auto"/>
        </w:rPr>
        <w:t>‑</w:t>
      </w:r>
      <w:r>
        <w:rPr>
          <w:rFonts w:ascii="Arial" w:cs="Arial" w:eastAsia="Arial" w:hAnsi="Arial"/>
          <w:sz w:val="17"/>
          <w:szCs w:val="17"/>
          <w:color w:val="auto"/>
        </w:rPr>
        <w:t>line regorafenib upon sunitinib progression. While these agents do not address patients with the KIT Exon 17 mutation or the PDGFRα D842V mutation, they may be competitor therapies if the recommended mutational status testing is not performed. If BLU</w:t>
      </w:r>
      <w:r>
        <w:rPr>
          <w:rFonts w:ascii="MS PGothic" w:cs="MS PGothic" w:eastAsia="MS PGothic" w:hAnsi="MS PGothic"/>
          <w:sz w:val="17"/>
          <w:szCs w:val="17"/>
          <w:color w:val="auto"/>
        </w:rPr>
        <w:t>‑</w:t>
      </w:r>
      <w:r>
        <w:rPr>
          <w:rFonts w:ascii="Arial" w:cs="Arial" w:eastAsia="Arial" w:hAnsi="Arial"/>
          <w:sz w:val="17"/>
          <w:szCs w:val="17"/>
          <w:color w:val="auto"/>
        </w:rPr>
        <w:t>285 receives marketing approval for this indication, it may also face competition from drug candidates in development,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spacing w:after="0" w:line="194" w:lineRule="exact"/>
        <w:rPr>
          <w:sz w:val="20"/>
          <w:szCs w:val="20"/>
          <w:color w:val="auto"/>
        </w:rPr>
      </w:pPr>
      <w:r>
        <w:rPr>
          <w:rFonts w:ascii="Arial" w:cs="Arial" w:eastAsia="Arial" w:hAnsi="Arial"/>
          <w:sz w:val="18"/>
          <w:szCs w:val="18"/>
          <w:color w:val="auto"/>
        </w:rPr>
        <w:t>including by AROG Pharmaceuticals, Inc., ARIAD Pharmaceuticals, Inc., a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Takeda Pharmaceutical Company Limited, Deciphera Pharmaceuticals, LLC, Kolltan Pharmaceuticals, Inc. and Plexxikon Inc., a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Daiichi Sankyo Company, Limited.</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w:t>
      </w:r>
    </w:p>
    <w:p>
      <w:pPr>
        <w:spacing w:after="0" w:line="185" w:lineRule="exact"/>
        <w:rPr>
          <w:sz w:val="20"/>
          <w:szCs w:val="20"/>
          <w:color w:val="auto"/>
        </w:rPr>
      </w:pPr>
    </w:p>
    <w:p>
      <w:pPr>
        <w:ind w:right="220" w:firstLine="648"/>
        <w:spacing w:after="0" w:line="187" w:lineRule="exact"/>
        <w:rPr>
          <w:sz w:val="20"/>
          <w:szCs w:val="20"/>
          <w:color w:val="auto"/>
        </w:rPr>
      </w:pPr>
      <w:r>
        <w:rPr>
          <w:rFonts w:ascii="Arial" w:cs="Arial" w:eastAsia="Arial" w:hAnsi="Arial"/>
          <w:sz w:val="18"/>
          <w:szCs w:val="18"/>
          <w:color w:val="auto"/>
        </w:rPr>
        <w:t>The development of BLU</w:t>
      </w:r>
      <w:r>
        <w:rPr>
          <w:rFonts w:ascii="MS PGothic" w:cs="MS PGothic" w:eastAsia="MS PGothic" w:hAnsi="MS PGothic"/>
          <w:sz w:val="18"/>
          <w:szCs w:val="18"/>
          <w:color w:val="auto"/>
        </w:rPr>
        <w:t>‑</w:t>
      </w:r>
      <w:r>
        <w:rPr>
          <w:rFonts w:ascii="Arial" w:cs="Arial" w:eastAsia="Arial" w:hAnsi="Arial"/>
          <w:sz w:val="18"/>
          <w:szCs w:val="18"/>
          <w:color w:val="auto"/>
        </w:rPr>
        <w:t>554 will focus on a subset of patients with HCC with FGF19 overexpression. The only approved systemic medical therapy for HCC is sorafenib. In addition, there are potentially competitive drug candidates in development, including by AstraZeneca plc, Astellas Pharma, Inc., Bayer AG, Celgene Corporation, Eisai Inc., H3 Biomedicine Inc., Incyte Corporation, Johnson &amp; Johnson, Novartis AG, Sanofi S.A., Taiho Pharmaceutical Co., Ltd. and Xoma Ltd.</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667</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The development of BLU</w:t>
      </w:r>
      <w:r>
        <w:rPr>
          <w:rFonts w:ascii="MS PGothic" w:cs="MS PGothic" w:eastAsia="MS PGothic" w:hAnsi="MS PGothic"/>
          <w:sz w:val="18"/>
          <w:szCs w:val="18"/>
          <w:color w:val="auto"/>
        </w:rPr>
        <w:t>‑</w:t>
      </w:r>
      <w:r>
        <w:rPr>
          <w:rFonts w:ascii="Arial" w:cs="Arial" w:eastAsia="Arial" w:hAnsi="Arial"/>
          <w:sz w:val="18"/>
          <w:szCs w:val="18"/>
          <w:color w:val="auto"/>
        </w:rPr>
        <w:t>667 will focus on patients with the kinase RET, RET fusions and predicted RET resistant mutants. There are no approved medical therapies for RET, but there are several approved multi-kinase inhibitors with RET activity being evaluated in clinical trials, including alectinib, apatinib, cabozantinib, dovitinib, lenvatinib, ponatinib, sorafenib, sunitinib and vandetinib. In addition, there are potentially competitive drug candidates in development, including by Ignyta, Inc., Loxo Oncology, Inc. and Mirati Therapeutics.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Plans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goal is to become a fully</w:t>
      </w:r>
      <w:r>
        <w:rPr>
          <w:rFonts w:ascii="MS PGothic" w:cs="MS PGothic" w:eastAsia="MS PGothic" w:hAnsi="MS PGothic"/>
          <w:sz w:val="17"/>
          <w:szCs w:val="17"/>
          <w:color w:val="auto"/>
        </w:rPr>
        <w:t>‑</w:t>
      </w:r>
      <w:r>
        <w:rPr>
          <w:rFonts w:ascii="Arial" w:cs="Arial" w:eastAsia="Arial" w:hAnsi="Arial"/>
          <w:sz w:val="17"/>
          <w:szCs w:val="17"/>
          <w:color w:val="auto"/>
        </w:rPr>
        <w:t>integrated biopharmaceutical company capable of delivering transformative drugs to patients. Given our stage of development, we have not yet established our own commercial organization or distribution capabilities. Our initial focus is on genomically defined patient populations in oncology allowing us to efficiently commercialize our drug candidates in the United States on our own initially and worldwide longer</w:t>
      </w:r>
      <w:r>
        <w:rPr>
          <w:rFonts w:ascii="MS PGothic" w:cs="MS PGothic" w:eastAsia="MS PGothic" w:hAnsi="MS PGothic"/>
          <w:sz w:val="17"/>
          <w:szCs w:val="17"/>
          <w:color w:val="auto"/>
        </w:rPr>
        <w:t>‑</w:t>
      </w:r>
      <w:r>
        <w:rPr>
          <w:rFonts w:ascii="Arial" w:cs="Arial" w:eastAsia="Arial" w:hAnsi="Arial"/>
          <w:sz w:val="17"/>
          <w:szCs w:val="17"/>
          <w:color w:val="auto"/>
        </w:rPr>
        <w:t>term. We currently own worldwide commercial rights to all of our oncology focused drug candidates. Subject to obtaining regulatory approval, we believe that we may be able to commercialize one or more of our drug candidates in as little as five years. However, we may never obtain regulatory approval for our drug candidates or be able to develop or commercialize a marketable drug. In addition, subject to regulatory approval, we believe we can successfully launch and commercialize our initial drug candidates on our own, using a small and highly specialized sales force similar to those of other rare disease companies. However, we may establish collaborations with pharmaceutical companies to leverage their capabilities to maximize the potential of our drug candidates.</w:t>
      </w:r>
    </w:p>
    <w:p>
      <w:pPr>
        <w:spacing w:after="0" w:line="167"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Under the terms of our agreements related to the development and commercialization of companion diagnostic tests, Ventana is responsible for the commercialization of the companion diagnostic test for BLU-554 that we expect to use to identify HCC patients with abberantly active FGFR4 signaling as indicated by FGF19 overexpression, and Qiagen is responsible for the commercialization of the companion diagnostic test for BLU-285 that we expect to use to identify GIST patients with the PDGFRα D842V mutation.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drugs that we may commercialize. To date, we have obtained active pharmaceutical ingredients, or API, and drug substance for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and BLU-667 for our pre</w:t>
      </w:r>
      <w:r>
        <w:rPr>
          <w:rFonts w:ascii="MS PGothic" w:cs="MS PGothic" w:eastAsia="MS PGothic" w:hAnsi="MS PGothic"/>
          <w:sz w:val="18"/>
          <w:szCs w:val="18"/>
          <w:color w:val="auto"/>
        </w:rPr>
        <w:t>‑</w:t>
      </w:r>
      <w:r>
        <w:rPr>
          <w:rFonts w:ascii="Arial" w:cs="Arial" w:eastAsia="Arial" w:hAnsi="Arial"/>
          <w:sz w:val="18"/>
          <w:szCs w:val="18"/>
          <w:color w:val="auto"/>
        </w:rPr>
        <w:t>clinical and Phase 1 testing from one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drug product from another third party manufacturer. We obtain our supplies from these manufacturers on a purchase order basis and do not have a long</w:t>
      </w:r>
      <w:r>
        <w:rPr>
          <w:rFonts w:ascii="MS PGothic" w:cs="MS PGothic" w:eastAsia="MS PGothic" w:hAnsi="MS PGothic"/>
          <w:sz w:val="18"/>
          <w:szCs w:val="18"/>
          <w:color w:val="auto"/>
        </w:rPr>
        <w:t>‑</w:t>
      </w:r>
      <w:r>
        <w:rPr>
          <w:rFonts w:ascii="Arial" w:cs="Arial" w:eastAsia="Arial" w:hAnsi="Arial"/>
          <w:sz w:val="18"/>
          <w:szCs w:val="18"/>
          <w:color w:val="auto"/>
        </w:rPr>
        <w:t>term supply arrangement in place. We do not currently have arrangements in place for redundant supply for API, drug product or drug substance. For all of our drug candidates, we intend to identify and qualify additional manufacturers to provide the API, drug product and drug substance prior to submission of a new drug application to the FDA and/or a marketing authorization application to the European Medicines Agency.</w:t>
      </w:r>
    </w:p>
    <w:p>
      <w:pPr>
        <w:spacing w:after="0" w:line="169" w:lineRule="exact"/>
        <w:rPr>
          <w:sz w:val="20"/>
          <w:szCs w:val="20"/>
          <w:color w:val="auto"/>
        </w:rPr>
      </w:pPr>
    </w:p>
    <w:p>
      <w:pPr>
        <w:ind w:right="20" w:firstLine="648"/>
        <w:spacing w:after="0" w:line="189" w:lineRule="exact"/>
        <w:rPr>
          <w:sz w:val="20"/>
          <w:szCs w:val="20"/>
          <w:color w:val="auto"/>
        </w:rPr>
      </w:pPr>
      <w:r>
        <w:rPr>
          <w:rFonts w:ascii="Arial" w:cs="Arial" w:eastAsia="Arial" w:hAnsi="Arial"/>
          <w:sz w:val="17"/>
          <w:szCs w:val="17"/>
          <w:color w:val="auto"/>
        </w:rPr>
        <w:t>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BLU-667 are compounds of low molecular weight, generally called small molecules. They can be manufactured in reliable and reproducible synthetic processes from readily available starting materials. The chemistry is amenable to scale</w:t>
      </w:r>
      <w:r>
        <w:rPr>
          <w:rFonts w:ascii="MS PGothic" w:cs="MS PGothic" w:eastAsia="MS PGothic" w:hAnsi="MS PGothic"/>
          <w:sz w:val="17"/>
          <w:szCs w:val="17"/>
          <w:color w:val="auto"/>
        </w:rPr>
        <w:t>‑</w:t>
      </w:r>
      <w:r>
        <w:rPr>
          <w:rFonts w:ascii="Arial" w:cs="Arial" w:eastAsia="Arial" w:hAnsi="Arial"/>
          <w:sz w:val="17"/>
          <w:szCs w:val="17"/>
          <w:color w:val="auto"/>
        </w:rPr>
        <w:t>up and does not require unusual equipment in the manufacturing process. We expect to continue developing drug candidates that can be produced cost</w:t>
      </w:r>
      <w:r>
        <w:rPr>
          <w:rFonts w:ascii="MS PGothic" w:cs="MS PGothic" w:eastAsia="MS PGothic" w:hAnsi="MS PGothic"/>
          <w:sz w:val="17"/>
          <w:szCs w:val="17"/>
          <w:color w:val="auto"/>
        </w:rPr>
        <w:t>‑</w:t>
      </w:r>
      <w:r>
        <w:rPr>
          <w:rFonts w:ascii="Arial" w:cs="Arial" w:eastAsia="Arial" w:hAnsi="Arial"/>
          <w:sz w:val="17"/>
          <w:szCs w:val="17"/>
          <w:color w:val="auto"/>
        </w:rPr>
        <w:t>effectively at contract manufacturing facilities.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Under the terms of our agreements related to the development and commercialization of companion diagnostic tests, we will rely on each of Ventana for the manufacture of the companion diagnostic test for BLU-554 that we expect to use to identify HCC patients with abberantly active FGFR4 signaling as indicated by FGF19 overexpression and Qiagen for the manufacture of the companion diagnostic test for BLU-285 that we expect to use to identify GIST patients with the PDGFRα D842V mutation. We generally expect to rely on third parties for the manufacture of any other companion diagnostic tests we may seek to develop.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60" w:firstLine="648"/>
        <w:spacing w:after="0" w:line="184" w:lineRule="exact"/>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and clinical development, testing, manufacture, quality control, approval, labeling, packaging, storage, record</w:t>
      </w:r>
      <w:r>
        <w:rPr>
          <w:rFonts w:ascii="MS PGothic" w:cs="MS PGothic" w:eastAsia="MS PGothic" w:hAnsi="MS PGothic"/>
          <w:sz w:val="16"/>
          <w:szCs w:val="16"/>
          <w:color w:val="auto"/>
        </w:rPr>
        <w:t>‑</w:t>
      </w:r>
      <w:r>
        <w:rPr>
          <w:rFonts w:ascii="Arial" w:cs="Arial" w:eastAsia="Arial" w:hAnsi="Arial"/>
          <w:sz w:val="16"/>
          <w:szCs w:val="16"/>
          <w:color w:val="auto"/>
        </w:rPr>
        <w:t>keeping, promotion, advertising, distribution, post</w:t>
      </w:r>
      <w:r>
        <w:rPr>
          <w:rFonts w:ascii="MS PGothic" w:cs="MS PGothic" w:eastAsia="MS PGothic" w:hAnsi="MS PGothic"/>
          <w:sz w:val="16"/>
          <w:szCs w:val="16"/>
          <w:color w:val="auto"/>
        </w:rPr>
        <w:t>‑</w:t>
      </w:r>
      <w:r>
        <w:rPr>
          <w:rFonts w:ascii="Arial" w:cs="Arial" w:eastAsia="Arial" w:hAnsi="Arial"/>
          <w:sz w:val="16"/>
          <w:szCs w:val="16"/>
          <w:color w:val="auto"/>
        </w:rPr>
        <w: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166"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8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United States. The process required by the FDA before a drug may be marketed in the United States generally involves the following:</w:t>
      </w:r>
    </w:p>
    <w:p>
      <w:pPr>
        <w:spacing w:after="0" w:line="155" w:lineRule="exact"/>
        <w:rPr>
          <w:sz w:val="20"/>
          <w:szCs w:val="20"/>
          <w:color w:val="auto"/>
        </w:rPr>
      </w:pPr>
    </w:p>
    <w:p>
      <w:pPr>
        <w:ind w:left="1060" w:right="220" w:hanging="85"/>
        <w:spacing w:after="0" w:line="224"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extensive non-clinical tests, sometimes referred to as pre-clinical laboratory tests, pre-clinical animal studies and formulation studies performed in accordance with applicable regulations, including the FDA’s GLP regulations;</w:t>
      </w:r>
    </w:p>
    <w:p>
      <w:pPr>
        <w:spacing w:after="0" w:line="163" w:lineRule="exact"/>
        <w:rPr>
          <w:rFonts w:ascii="Arial" w:cs="Arial" w:eastAsia="Arial" w:hAnsi="Arial"/>
          <w:sz w:val="18"/>
          <w:szCs w:val="18"/>
          <w:color w:val="auto"/>
        </w:rPr>
      </w:pPr>
    </w:p>
    <w:p>
      <w:pPr>
        <w:ind w:left="1060" w:right="240" w:hanging="85"/>
        <w:spacing w:after="0" w:line="23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and must be actively maintained, including by submitting annual reports;</w:t>
      </w:r>
    </w:p>
    <w:p>
      <w:pPr>
        <w:spacing w:after="0" w:line="161" w:lineRule="exact"/>
        <w:rPr>
          <w:rFonts w:ascii="Arial" w:cs="Arial" w:eastAsia="Arial" w:hAnsi="Arial"/>
          <w:sz w:val="18"/>
          <w:szCs w:val="18"/>
          <w:color w:val="auto"/>
        </w:rPr>
      </w:pPr>
    </w:p>
    <w:p>
      <w:pPr>
        <w:ind w:left="1060" w:right="200" w:hanging="85"/>
        <w:spacing w:after="0" w:line="194" w:lineRule="exact"/>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w:t>
      </w:r>
      <w:r>
        <w:rPr>
          <w:rFonts w:ascii="MS PGothic" w:cs="MS PGothic" w:eastAsia="MS PGothic" w:hAnsi="MS PGothic"/>
          <w:sz w:val="18"/>
          <w:szCs w:val="18"/>
          <w:color w:val="auto"/>
        </w:rPr>
        <w:t>‑</w:t>
      </w:r>
      <w:r>
        <w:rPr>
          <w:rFonts w:ascii="Arial" w:cs="Arial" w:eastAsia="Arial" w:hAnsi="Arial"/>
          <w:sz w:val="18"/>
          <w:szCs w:val="18"/>
          <w:color w:val="auto"/>
        </w:rPr>
        <w:t>controlled human clinical trials in accordance with applicable IND and other clinical trial</w:t>
      </w:r>
      <w:r>
        <w:rPr>
          <w:rFonts w:ascii="MS PGothic" w:cs="MS PGothic" w:eastAsia="MS PGothic" w:hAnsi="MS PGothic"/>
          <w:sz w:val="18"/>
          <w:szCs w:val="18"/>
          <w:color w:val="auto"/>
        </w:rPr>
        <w:t>‑</w:t>
      </w:r>
      <w:r>
        <w:rPr>
          <w:rFonts w:ascii="Arial" w:cs="Arial" w:eastAsia="Arial" w:hAnsi="Arial"/>
          <w:sz w:val="18"/>
          <w:szCs w:val="18"/>
          <w:color w:val="auto"/>
        </w:rPr>
        <w:t>related regulations, sometimes referred to as good clinical practices, or GCPs, to establish the safety and efficacy of the proposed drug for its proposed indication;</w:t>
      </w:r>
    </w:p>
    <w:p>
      <w:pPr>
        <w:spacing w:after="0" w:line="163" w:lineRule="exact"/>
        <w:rPr>
          <w:rFonts w:ascii="Arial" w:cs="Arial" w:eastAsia="Arial" w:hAnsi="Arial"/>
          <w:sz w:val="18"/>
          <w:szCs w:val="18"/>
          <w:color w:val="auto"/>
        </w:rPr>
      </w:pPr>
    </w:p>
    <w:p>
      <w:pPr>
        <w:ind w:left="1120" w:hanging="14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184" w:lineRule="exact"/>
        <w:rPr>
          <w:rFonts w:ascii="Arial" w:cs="Arial" w:eastAsia="Arial" w:hAnsi="Arial"/>
          <w:sz w:val="18"/>
          <w:szCs w:val="18"/>
          <w:color w:val="auto"/>
        </w:rPr>
      </w:pPr>
    </w:p>
    <w:p>
      <w:pPr>
        <w:ind w:left="1060" w:right="120" w:hanging="85"/>
        <w:spacing w:after="0" w:line="194" w:lineRule="exact"/>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completion of an FDA pre</w:t>
      </w:r>
      <w:r>
        <w:rPr>
          <w:rFonts w:ascii="MS PGothic" w:cs="MS PGothic" w:eastAsia="MS PGothic" w:hAnsi="MS PGothic"/>
          <w:sz w:val="18"/>
          <w:szCs w:val="18"/>
          <w:color w:val="auto"/>
        </w:rPr>
        <w:t>‑</w:t>
      </w:r>
      <w:r>
        <w:rPr>
          <w:rFonts w:ascii="Arial" w:cs="Arial" w:eastAsia="Arial" w:hAnsi="Arial"/>
          <w:sz w:val="18"/>
          <w:szCs w:val="18"/>
          <w:color w:val="auto"/>
        </w:rPr>
        <w:t>approval inspection of the manufacturing facility or facilities at which the API and finished drug product are produced to assess compliance with the FDA’s current good manufacturing practice requirements, or cGMP;</w:t>
      </w:r>
    </w:p>
    <w:p>
      <w:pPr>
        <w:spacing w:after="0" w:line="163" w:lineRule="exact"/>
        <w:rPr>
          <w:rFonts w:ascii="Arial" w:cs="Arial" w:eastAsia="Arial" w:hAnsi="Arial"/>
          <w:sz w:val="18"/>
          <w:szCs w:val="18"/>
          <w:color w:val="auto"/>
        </w:rPr>
      </w:pPr>
    </w:p>
    <w:p>
      <w:pPr>
        <w:ind w:left="1060" w:right="20" w:hanging="85"/>
        <w:spacing w:after="0" w:line="235"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FDA audit of the pre-clinical study sites and/or clinical trial sites that generated the data in support of the NDA; and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340" w:hanging="85"/>
        <w:spacing w:after="0" w:line="23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data required to support an NDA is generated in two distinct development stages: pre-clinical and clinical. For new chemical entities, the pre</w:t>
      </w:r>
      <w:r>
        <w:rPr>
          <w:rFonts w:ascii="MS PGothic" w:cs="MS PGothic" w:eastAsia="MS PGothic" w:hAnsi="MS PGothic"/>
          <w:sz w:val="17"/>
          <w:szCs w:val="17"/>
          <w:color w:val="auto"/>
        </w:rPr>
        <w:t>‑</w:t>
      </w:r>
      <w:r>
        <w:rPr>
          <w:rFonts w:ascii="Arial" w:cs="Arial" w:eastAsia="Arial" w:hAnsi="Arial"/>
          <w:sz w:val="17"/>
          <w:szCs w:val="17"/>
          <w:color w:val="auto"/>
        </w:rPr>
        <w:t>clinical development stage generally involves synthesizing the active component, developing the formulation and determining the manufacturing process, as well as carrying out non</w:t>
      </w:r>
      <w:r>
        <w:rPr>
          <w:rFonts w:ascii="MS PGothic" w:cs="MS PGothic" w:eastAsia="MS PGothic" w:hAnsi="MS PGothic"/>
          <w:sz w:val="17"/>
          <w:szCs w:val="17"/>
          <w:color w:val="auto"/>
        </w:rPr>
        <w:t>‑</w:t>
      </w:r>
      <w:r>
        <w:rPr>
          <w:rFonts w:ascii="Arial" w:cs="Arial" w:eastAsia="Arial" w:hAnsi="Arial"/>
          <w:sz w:val="17"/>
          <w:szCs w:val="17"/>
          <w:color w:val="auto"/>
        </w:rPr>
        <w:t>human toxicology, pharmacology and drug metabolism studies in the laboratory, which support subsequent clinical testing. The conduct of the pre-clinical tests must comply with federal regulations, including GLPs.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automatically becomes effective 30 days after receipt by the FDA, unless the FDA raises concerns or questions regarding the proposed clinical trials and places the IND on clinical hold within that 30</w:t>
      </w:r>
      <w:r>
        <w:rPr>
          <w:rFonts w:ascii="MS PGothic" w:cs="MS PGothic" w:eastAsia="MS PGothic" w:hAnsi="MS PGothic"/>
          <w:sz w:val="17"/>
          <w:szCs w:val="17"/>
          <w:color w:val="auto"/>
        </w:rPr>
        <w:t>‑</w:t>
      </w:r>
      <w:r>
        <w:rPr>
          <w:rFonts w:ascii="Arial" w:cs="Arial" w:eastAsia="Arial" w:hAnsi="Arial"/>
          <w:sz w:val="17"/>
          <w:szCs w:val="17"/>
          <w:color w:val="auto"/>
        </w:rPr>
        <w:t>day time period. In such a case, the IND sponsor and the FDA must resolve any outstanding concerns or questions before the clinical trial can begin. The FDA may also impose clinical holds on a drug candidate at any time before or during clinical trials due to safety concerns or non</w:t>
      </w:r>
      <w:r>
        <w:rPr>
          <w:rFonts w:ascii="MS PGothic" w:cs="MS PGothic" w:eastAsia="MS PGothic" w:hAnsi="MS PGothic"/>
          <w:sz w:val="17"/>
          <w:szCs w:val="17"/>
          <w:color w:val="auto"/>
        </w:rPr>
        <w:t>‑</w:t>
      </w:r>
      <w:r>
        <w:rPr>
          <w:rFonts w:ascii="Arial" w:cs="Arial" w:eastAsia="Arial" w:hAnsi="Arial"/>
          <w:sz w:val="17"/>
          <w:szCs w:val="17"/>
          <w:color w:val="auto"/>
        </w:rPr>
        <w:t>compliance. Accordingly, we cannot be sure that submission of an IND will result in the FDA allowing clinical trials to begin, or that, once begun, issues will not arise that could cause the trial to be suspended or terminated.</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6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Clinical trials are generally conducted in three sequential phases that may overlap or be combined, known as Phase 1, Phase 2 and Phase 3 clinical trials. Phase 1 clinical trials for oncology indications generally involve a small number of disease-affected patients who are treated with the drug candidate in escalating dose cohorts. The primary purpose of these clinical trials is to determine the MTD, or a recommended dose if the MTD is not achieved, assess the PK profile, pharmacologic action, side effect tolerability and safety of the drug. Phase 1 clinical trials for oncology indications may also evaluate preliminary evidence of clinical activity. Phase 2 clinical trials typically involve studies in disease</w:t>
      </w:r>
      <w:r>
        <w:rPr>
          <w:rFonts w:ascii="MS PGothic" w:cs="MS PGothic" w:eastAsia="MS PGothic" w:hAnsi="MS PGothic"/>
          <w:sz w:val="16"/>
          <w:szCs w:val="16"/>
          <w:color w:val="auto"/>
        </w:rPr>
        <w:t>‑</w:t>
      </w:r>
      <w:r>
        <w:rPr>
          <w:rFonts w:ascii="Arial" w:cs="Arial" w:eastAsia="Arial" w:hAnsi="Arial"/>
          <w:sz w:val="16"/>
          <w:szCs w:val="16"/>
          <w:color w:val="auto"/>
        </w:rPr>
        <w:t>affected patients to determine the dose required to produce the desired benefits. At the same time, safety and further PK and PD information is collected, as well as identification of possible adverse effects and safety risks and preliminary evaluation of efficacy. Phase 3 clinical trials generally involve large numbers of patients at multiple sites, in multiple countries (from several hundred to several thousand subjects) and are designed to provide the data necessary to demonstrate the efficacy of the drug for its intended use, its safety in use, and to establish the overall benefit/risk relationship of the drug and provide an adequate basis for drug approval. Phase 3 clinical trials may include comparisons with placebo and/or other comparator treatments. The duration of treatment is often extended to mimic the actual use of a drug during marketing. Generally, two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 Phase 3 clinical trials are required by the FDA for approval of an NDA.</w:t>
      </w:r>
    </w:p>
    <w:p>
      <w:pPr>
        <w:spacing w:after="0" w:line="163" w:lineRule="exact"/>
        <w:rPr>
          <w:sz w:val="20"/>
          <w:szCs w:val="20"/>
          <w:color w:val="auto"/>
        </w:rPr>
      </w:pPr>
    </w:p>
    <w:p>
      <w:pPr>
        <w:jc w:val="both"/>
        <w:ind w:right="560" w:firstLine="648"/>
        <w:spacing w:after="0" w:line="194"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6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suggests a significant risk for human subjects, or any clinically important increase in the rate of a serious suspected adverse reaction over that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9"/>
        <w:spacing w:after="0" w:line="233" w:lineRule="auto"/>
        <w:rPr>
          <w:sz w:val="20"/>
          <w:szCs w:val="20"/>
          <w:color w:val="auto"/>
        </w:rPr>
      </w:pPr>
      <w:r>
        <w:rPr>
          <w:rFonts w:ascii="Arial" w:cs="Arial" w:eastAsia="Arial" w:hAnsi="Arial"/>
          <w:sz w:val="16"/>
          <w:szCs w:val="16"/>
          <w:color w:val="auto"/>
        </w:rPr>
        <w:t>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 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NDA and FDA Review Process</w:t>
      </w:r>
    </w:p>
    <w:p>
      <w:pPr>
        <w:spacing w:after="0" w:line="185" w:lineRule="exact"/>
        <w:rPr>
          <w:sz w:val="20"/>
          <w:szCs w:val="20"/>
          <w:color w:val="auto"/>
        </w:rPr>
      </w:pPr>
    </w:p>
    <w:p>
      <w:pPr>
        <w:ind w:right="79" w:firstLine="648"/>
        <w:spacing w:after="0" w:line="180" w:lineRule="exact"/>
        <w:rPr>
          <w:sz w:val="20"/>
          <w:szCs w:val="20"/>
          <w:color w:val="auto"/>
        </w:rPr>
      </w:pPr>
      <w:r>
        <w:rPr>
          <w:rFonts w:ascii="Arial" w:cs="Arial" w:eastAsia="Arial" w:hAnsi="Arial"/>
          <w:sz w:val="17"/>
          <w:szCs w:val="17"/>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w:t>
      </w:r>
      <w:r>
        <w:rPr>
          <w:rFonts w:ascii="MS PGothic" w:cs="MS PGothic" w:eastAsia="MS PGothic" w:hAnsi="MS PGothic"/>
          <w:sz w:val="17"/>
          <w:szCs w:val="17"/>
          <w:color w:val="auto"/>
        </w:rPr>
        <w:t>‑</w:t>
      </w:r>
      <w:r>
        <w:rPr>
          <w:rFonts w:ascii="Arial" w:cs="Arial" w:eastAsia="Arial" w:hAnsi="Arial"/>
          <w:sz w:val="17"/>
          <w:szCs w:val="17"/>
          <w:color w:val="auto"/>
        </w:rPr>
        <w:t>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The submission of an NDA is subject to the payment of substantial user fees; a waiver of such fees may be obtained under certain limited circumstances. FDA approval of an NDA must be obtained before a drug may be offered for sale in the United States.</w:t>
      </w:r>
    </w:p>
    <w:p>
      <w:pPr>
        <w:spacing w:after="0" w:line="163" w:lineRule="exact"/>
        <w:rPr>
          <w:sz w:val="20"/>
          <w:szCs w:val="20"/>
          <w:color w:val="auto"/>
        </w:rPr>
      </w:pPr>
    </w:p>
    <w:p>
      <w:pPr>
        <w:jc w:val="both"/>
        <w:ind w:right="219" w:firstLine="648"/>
        <w:spacing w:after="0" w:line="219" w:lineRule="auto"/>
        <w:rPr>
          <w:sz w:val="20"/>
          <w:szCs w:val="20"/>
          <w:color w:val="auto"/>
        </w:rPr>
      </w:pPr>
      <w:r>
        <w:rPr>
          <w:rFonts w:ascii="Arial" w:cs="Arial" w:eastAsia="Arial" w:hAnsi="Arial"/>
          <w:sz w:val="18"/>
          <w:szCs w:val="18"/>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163"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Under the Prescription Drug User Fee Act, or PDUFA, as amended, each NDA must be accompanied by a user fee. The FDA adjusts the PDUFA user fees on an annual basis. According to the FDA’s fiscal year 2017 fee schedule, effective through September 30, 2017, the user fee for an application requiring clinical data, such as an NDA, is $2,038,100. PDUFA also imposes an annual product fee for human drugs ($97,750) and an annual establishment fee ($512,000) on facilities used to manufacture prescription drugs. Fee waivers or reductions are available in certain circumstances, including a waiver of the application fee for the first application filed by a small business. In addition, no user fees are assessed on NDAs for products designated as orphan drugs, unless the product also includes a non</w:t>
      </w:r>
      <w:r>
        <w:rPr>
          <w:rFonts w:ascii="MS PGothic" w:cs="MS PGothic" w:eastAsia="MS PGothic" w:hAnsi="MS PGothic"/>
          <w:sz w:val="16"/>
          <w:szCs w:val="16"/>
          <w:color w:val="auto"/>
        </w:rPr>
        <w:t>‑</w:t>
      </w:r>
      <w:r>
        <w:rPr>
          <w:rFonts w:ascii="Arial" w:cs="Arial" w:eastAsia="Arial" w:hAnsi="Arial"/>
          <w:sz w:val="16"/>
          <w:szCs w:val="16"/>
          <w:color w:val="auto"/>
        </w:rPr>
        <w:t>orphan indication.</w:t>
      </w:r>
    </w:p>
    <w:p>
      <w:pPr>
        <w:spacing w:after="0" w:line="122" w:lineRule="exact"/>
        <w:rPr>
          <w:sz w:val="20"/>
          <w:szCs w:val="20"/>
          <w:color w:val="auto"/>
        </w:rPr>
      </w:pPr>
    </w:p>
    <w:p>
      <w:pPr>
        <w:ind w:right="219" w:firstLine="648"/>
        <w:spacing w:after="0" w:line="184" w:lineRule="exact"/>
        <w:rPr>
          <w:sz w:val="20"/>
          <w:szCs w:val="20"/>
          <w:color w:val="auto"/>
        </w:rPr>
      </w:pPr>
      <w:r>
        <w:rPr>
          <w:rFonts w:ascii="Arial" w:cs="Arial" w:eastAsia="Arial" w:hAnsi="Arial"/>
          <w:sz w:val="17"/>
          <w:szCs w:val="17"/>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w:t>
      </w:r>
      <w:r>
        <w:rPr>
          <w:rFonts w:ascii="MS PGothic" w:cs="MS PGothic" w:eastAsia="MS PGothic" w:hAnsi="MS PGothic"/>
          <w:sz w:val="17"/>
          <w:szCs w:val="17"/>
          <w:color w:val="auto"/>
        </w:rPr>
        <w:t>‑</w:t>
      </w:r>
      <w:r>
        <w:rPr>
          <w:rFonts w:ascii="Arial" w:cs="Arial" w:eastAsia="Arial" w:hAnsi="Arial"/>
          <w:sz w:val="17"/>
          <w:szCs w:val="17"/>
          <w:color w:val="auto"/>
        </w:rPr>
        <w:t>depth review of the NDA. Under the goals and policies agreed to by the FDA under PDUFA, the FDA has ten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35" w:lineRule="exact"/>
        <w:rPr>
          <w:sz w:val="20"/>
          <w:szCs w:val="20"/>
          <w:color w:val="auto"/>
        </w:rPr>
      </w:pPr>
    </w:p>
    <w:p>
      <w:pPr>
        <w:ind w:right="439" w:firstLine="648"/>
        <w:spacing w:after="0" w:line="259" w:lineRule="auto"/>
        <w:rPr>
          <w:sz w:val="20"/>
          <w:szCs w:val="20"/>
          <w:color w:val="auto"/>
        </w:rPr>
      </w:pPr>
      <w:r>
        <w:rPr>
          <w:rFonts w:ascii="Arial" w:cs="Arial" w:eastAsia="Arial" w:hAnsi="Arial"/>
          <w:sz w:val="16"/>
          <w:szCs w:val="16"/>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184" w:lineRule="exact"/>
        <w:rPr>
          <w:sz w:val="20"/>
          <w:szCs w:val="20"/>
          <w:color w:val="auto"/>
        </w:rPr>
      </w:pPr>
      <w:r>
        <w:rPr>
          <w:rFonts w:ascii="Arial" w:cs="Arial" w:eastAsia="Arial" w:hAnsi="Arial"/>
          <w:sz w:val="17"/>
          <w:szCs w:val="17"/>
          <w:color w:val="auto"/>
        </w:rPr>
        <w:t>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w:t>
      </w:r>
      <w:r>
        <w:rPr>
          <w:rFonts w:ascii="MS PGothic" w:cs="MS PGothic" w:eastAsia="MS PGothic" w:hAnsi="MS PGothic"/>
          <w:sz w:val="17"/>
          <w:szCs w:val="17"/>
          <w:color w:val="auto"/>
        </w:rPr>
        <w:t>‑</w:t>
      </w:r>
      <w:r>
        <w:rPr>
          <w:rFonts w:ascii="Arial" w:cs="Arial" w:eastAsia="Arial" w:hAnsi="Arial"/>
          <w:sz w:val="17"/>
          <w:szCs w:val="17"/>
          <w:color w:val="auto"/>
        </w:rPr>
        <w:t>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18"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Before approving an NDA, the FDA will conduct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of the manufacturing facilities for the</w:t>
      </w:r>
    </w:p>
    <w:p>
      <w:pPr>
        <w:spacing w:after="0" w:line="229" w:lineRule="auto"/>
        <w:rPr>
          <w:sz w:val="20"/>
          <w:szCs w:val="20"/>
          <w:color w:val="auto"/>
        </w:rPr>
      </w:pPr>
      <w:r>
        <w:rPr>
          <w:rFonts w:ascii="Arial" w:cs="Arial" w:eastAsia="Arial" w:hAnsi="Arial"/>
          <w:sz w:val="16"/>
          <w:szCs w:val="16"/>
          <w:color w:val="auto"/>
        </w:rPr>
        <w:t>new drug to determine whether they comply with cGMPs. The FDA will not approve the drug unless it determines that the</w:t>
      </w:r>
    </w:p>
    <w:p>
      <w:pPr>
        <w:spacing w:after="0" w:line="215" w:lineRule="auto"/>
        <w:rPr>
          <w:sz w:val="20"/>
          <w:szCs w:val="20"/>
          <w:color w:val="auto"/>
        </w:rPr>
      </w:pPr>
      <w:r>
        <w:rPr>
          <w:rFonts w:ascii="Arial" w:cs="Arial" w:eastAsia="Arial" w:hAnsi="Arial"/>
          <w:sz w:val="17"/>
          <w:szCs w:val="17"/>
          <w:color w:val="auto"/>
        </w:rPr>
        <w:t>manufacturing processes and facilities are in compliance with cGMP requirements and adequate to assure consistent</w:t>
      </w:r>
    </w:p>
    <w:p>
      <w:pPr>
        <w:spacing w:after="0" w:line="216" w:lineRule="auto"/>
        <w:rPr>
          <w:sz w:val="20"/>
          <w:szCs w:val="20"/>
          <w:color w:val="auto"/>
        </w:rPr>
      </w:pPr>
      <w:r>
        <w:rPr>
          <w:rFonts w:ascii="Arial" w:cs="Arial" w:eastAsia="Arial" w:hAnsi="Arial"/>
          <w:sz w:val="17"/>
          <w:szCs w:val="17"/>
          <w:color w:val="auto"/>
        </w:rPr>
        <w:t>production of the drug within required specifications. In addition, before approving an NDA, the FDA may also audit data</w:t>
      </w:r>
    </w:p>
    <w:p>
      <w:pPr>
        <w:spacing w:after="0" w:line="215" w:lineRule="auto"/>
        <w:rPr>
          <w:sz w:val="20"/>
          <w:szCs w:val="20"/>
          <w:color w:val="auto"/>
        </w:rPr>
      </w:pPr>
      <w:r>
        <w:rPr>
          <w:rFonts w:ascii="Arial" w:cs="Arial" w:eastAsia="Arial" w:hAnsi="Arial"/>
          <w:sz w:val="17"/>
          <w:szCs w:val="17"/>
          <w:color w:val="auto"/>
        </w:rPr>
        <w:t>from clinical trials by inspecting the sponsor or clinical trial sites to ensure compliance with GCP requirements. After the</w:t>
      </w:r>
    </w:p>
    <w:p>
      <w:pPr>
        <w:spacing w:after="0" w:line="216" w:lineRule="auto"/>
        <w:rPr>
          <w:sz w:val="20"/>
          <w:szCs w:val="20"/>
          <w:color w:val="auto"/>
        </w:rPr>
      </w:pPr>
      <w:r>
        <w:rPr>
          <w:rFonts w:ascii="Arial" w:cs="Arial" w:eastAsia="Arial" w:hAnsi="Arial"/>
          <w:sz w:val="17"/>
          <w:szCs w:val="17"/>
          <w:color w:val="auto"/>
        </w:rPr>
        <w:t>FDA evaluates the application, manufacturing process and manufacturing facilities where the drug product and/or its API</w:t>
      </w:r>
    </w:p>
    <w:p>
      <w:pPr>
        <w:spacing w:after="0" w:line="229" w:lineRule="auto"/>
        <w:rPr>
          <w:sz w:val="20"/>
          <w:szCs w:val="20"/>
          <w:color w:val="auto"/>
        </w:rPr>
      </w:pPr>
      <w:r>
        <w:rPr>
          <w:rFonts w:ascii="Arial" w:cs="Arial" w:eastAsia="Arial" w:hAnsi="Arial"/>
          <w:sz w:val="16"/>
          <w:szCs w:val="16"/>
          <w:color w:val="auto"/>
        </w:rPr>
        <w:t>will be produced, it may issue an approval letter or a Complete Response Letter. An approval letter authorizes commercial</w:t>
      </w:r>
    </w:p>
    <w:p>
      <w:pPr>
        <w:spacing w:after="0" w:line="215" w:lineRule="auto"/>
        <w:rPr>
          <w:sz w:val="20"/>
          <w:szCs w:val="20"/>
          <w:color w:val="auto"/>
        </w:rPr>
      </w:pPr>
      <w:r>
        <w:rPr>
          <w:rFonts w:ascii="Arial" w:cs="Arial" w:eastAsia="Arial" w:hAnsi="Arial"/>
          <w:sz w:val="17"/>
          <w:szCs w:val="17"/>
          <w:color w:val="auto"/>
        </w:rPr>
        <w:t>marketing of the drug with specific prescribing information for specific indications. A Complete Response Letter indicates</w:t>
      </w:r>
    </w:p>
    <w:p>
      <w:pPr>
        <w:spacing w:after="0" w:line="216" w:lineRule="auto"/>
        <w:rPr>
          <w:sz w:val="20"/>
          <w:szCs w:val="20"/>
          <w:color w:val="auto"/>
        </w:rPr>
      </w:pPr>
      <w:r>
        <w:rPr>
          <w:rFonts w:ascii="Arial" w:cs="Arial" w:eastAsia="Arial" w:hAnsi="Arial"/>
          <w:sz w:val="17"/>
          <w:szCs w:val="17"/>
          <w:color w:val="auto"/>
        </w:rPr>
        <w:t>that the review cycle of the application is complete and the application is not ready for approval. A Complete Response</w:t>
      </w:r>
    </w:p>
    <w:p>
      <w:pPr>
        <w:spacing w:after="0" w:line="215" w:lineRule="auto"/>
        <w:rPr>
          <w:sz w:val="20"/>
          <w:szCs w:val="20"/>
          <w:color w:val="auto"/>
        </w:rPr>
      </w:pPr>
      <w:r>
        <w:rPr>
          <w:rFonts w:ascii="Arial" w:cs="Arial" w:eastAsia="Arial" w:hAnsi="Arial"/>
          <w:sz w:val="17"/>
          <w:szCs w:val="17"/>
          <w:color w:val="auto"/>
        </w:rPr>
        <w:t>Letter usually describes all of the specific deficiencies in the NDA identified by the FDA. The Complete Response Letter</w:t>
      </w:r>
    </w:p>
    <w:p>
      <w:pPr>
        <w:spacing w:after="0" w:line="216" w:lineRule="auto"/>
        <w:rPr>
          <w:sz w:val="20"/>
          <w:szCs w:val="20"/>
          <w:color w:val="auto"/>
        </w:rPr>
      </w:pPr>
      <w:r>
        <w:rPr>
          <w:rFonts w:ascii="Arial" w:cs="Arial" w:eastAsia="Arial" w:hAnsi="Arial"/>
          <w:sz w:val="17"/>
          <w:szCs w:val="17"/>
          <w:color w:val="auto"/>
        </w:rPr>
        <w:t>may require additional clinical data and/or an additional pivotal clinical trial(s), and/or other significant, expensive and</w:t>
      </w:r>
    </w:p>
    <w:p>
      <w:pPr>
        <w:spacing w:after="0" w:line="176" w:lineRule="exact"/>
        <w:rPr>
          <w:sz w:val="20"/>
          <w:szCs w:val="20"/>
          <w:color w:val="auto"/>
        </w:rPr>
      </w:pPr>
      <w:r>
        <w:rPr>
          <w:rFonts w:ascii="Arial" w:cs="Arial" w:eastAsia="Arial" w:hAnsi="Arial"/>
          <w:sz w:val="16"/>
          <w:szCs w:val="16"/>
          <w:color w:val="auto"/>
        </w:rPr>
        <w:t>time</w:t>
      </w:r>
      <w:r>
        <w:rPr>
          <w:rFonts w:ascii="MS PGothic" w:cs="MS PGothic" w:eastAsia="MS PGothic" w:hAnsi="MS PGothic"/>
          <w:sz w:val="16"/>
          <w:szCs w:val="16"/>
          <w:color w:val="auto"/>
        </w:rPr>
        <w:t>‑</w:t>
      </w:r>
      <w:r>
        <w:rPr>
          <w:rFonts w:ascii="Arial" w:cs="Arial" w:eastAsia="Arial" w:hAnsi="Arial"/>
          <w:sz w:val="16"/>
          <w:szCs w:val="16"/>
          <w:color w:val="auto"/>
        </w:rPr>
        <w:t>consuming requirements related to clinical trials, pre-clinical studies or manufacturing. If a Complete Response Letter is</w:t>
      </w:r>
    </w:p>
    <w:p>
      <w:pPr>
        <w:spacing w:after="0" w:line="229" w:lineRule="auto"/>
        <w:rPr>
          <w:sz w:val="20"/>
          <w:szCs w:val="20"/>
          <w:color w:val="auto"/>
        </w:rPr>
      </w:pPr>
      <w:r>
        <w:rPr>
          <w:rFonts w:ascii="Arial" w:cs="Arial" w:eastAsia="Arial" w:hAnsi="Arial"/>
          <w:sz w:val="16"/>
          <w:szCs w:val="16"/>
          <w:color w:val="auto"/>
        </w:rPr>
        <w:t>issued, the applicant may either resubmit the NDA, addressing all of the deficiencies identified in the letter, or withdraw the</w:t>
      </w:r>
    </w:p>
    <w:p>
      <w:pPr>
        <w:spacing w:after="0" w:line="229" w:lineRule="auto"/>
        <w:rPr>
          <w:sz w:val="20"/>
          <w:szCs w:val="20"/>
          <w:color w:val="auto"/>
        </w:rPr>
      </w:pPr>
      <w:r>
        <w:rPr>
          <w:rFonts w:ascii="Arial" w:cs="Arial" w:eastAsia="Arial" w:hAnsi="Arial"/>
          <w:sz w:val="16"/>
          <w:szCs w:val="16"/>
          <w:color w:val="auto"/>
        </w:rPr>
        <w:t>application. Even if such data and information is submitted, the FDA may ultimately decide that the NDA does not satisfy the</w:t>
      </w:r>
    </w:p>
    <w:p>
      <w:pPr>
        <w:spacing w:after="0" w:line="229" w:lineRule="auto"/>
        <w:rPr>
          <w:sz w:val="20"/>
          <w:szCs w:val="20"/>
          <w:color w:val="auto"/>
        </w:rPr>
      </w:pPr>
      <w:r>
        <w:rPr>
          <w:rFonts w:ascii="Arial" w:cs="Arial" w:eastAsia="Arial" w:hAnsi="Arial"/>
          <w:sz w:val="16"/>
          <w:szCs w:val="16"/>
          <w:color w:val="auto"/>
        </w:rPr>
        <w:t>criteria for approval. Data obtained from clinical trials are not always conclusive and the FDA may interpret data differently</w:t>
      </w:r>
    </w:p>
    <w:p>
      <w:pPr>
        <w:spacing w:after="0"/>
        <w:rPr>
          <w:sz w:val="20"/>
          <w:szCs w:val="20"/>
          <w:color w:val="auto"/>
        </w:rPr>
      </w:pPr>
      <w:r>
        <w:rPr>
          <w:rFonts w:ascii="Arial" w:cs="Arial" w:eastAsia="Arial" w:hAnsi="Arial"/>
          <w:sz w:val="18"/>
          <w:szCs w:val="18"/>
          <w:color w:val="auto"/>
        </w:rPr>
        <w:t>than we interpret the same data.</w:t>
      </w:r>
    </w:p>
    <w:p>
      <w:pPr>
        <w:spacing w:after="0" w:line="14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There is no assurance that the FDA will ultimately approve a drug product for marketing in the United States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w:t>
      </w:r>
      <w:r>
        <w:rPr>
          <w:rFonts w:ascii="MS PGothic" w:cs="MS PGothic" w:eastAsia="MS PGothic" w:hAnsi="MS PGothic"/>
          <w:sz w:val="16"/>
          <w:szCs w:val="16"/>
          <w:color w:val="auto"/>
        </w:rPr>
        <w:t>‑</w:t>
      </w:r>
      <w:r>
        <w:rPr>
          <w:rFonts w:ascii="Arial" w:cs="Arial" w:eastAsia="Arial" w:hAnsi="Arial"/>
          <w:sz w:val="16"/>
          <w:szCs w:val="16"/>
          <w:color w:val="auto"/>
        </w:rPr>
        <w: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w:t>
      </w:r>
      <w:r>
        <w:rPr>
          <w:rFonts w:ascii="MS PGothic" w:cs="MS PGothic" w:eastAsia="MS PGothic" w:hAnsi="MS PGothic"/>
          <w:sz w:val="16"/>
          <w:szCs w:val="16"/>
          <w:color w:val="auto"/>
        </w:rPr>
        <w:t>‑</w:t>
      </w:r>
      <w:r>
        <w:rPr>
          <w:rFonts w:ascii="Arial" w:cs="Arial" w:eastAsia="Arial" w:hAnsi="Arial"/>
          <w:sz w:val="16"/>
          <w:szCs w:val="16"/>
          <w:color w:val="auto"/>
        </w:rPr>
        <w:t>compliance with regulatory requirements or if problems occur following initial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Special FDA Expedited Review and Approval Programs</w:t>
      </w:r>
    </w:p>
    <w:p>
      <w:pPr>
        <w:spacing w:after="0" w:line="18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 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162" w:lineRule="exact"/>
        <w:rPr>
          <w:sz w:val="20"/>
          <w:szCs w:val="20"/>
          <w:color w:val="auto"/>
        </w:rPr>
      </w:pPr>
    </w:p>
    <w:p>
      <w:pPr>
        <w:ind w:right="460" w:firstLine="648"/>
        <w:spacing w:after="0" w:line="289" w:lineRule="auto"/>
        <w:rPr>
          <w:sz w:val="20"/>
          <w:szCs w:val="20"/>
          <w:color w:val="auto"/>
        </w:rPr>
      </w:pPr>
      <w:r>
        <w:rPr>
          <w:rFonts w:ascii="Arial" w:cs="Arial" w:eastAsia="Arial" w:hAnsi="Arial"/>
          <w:sz w:val="16"/>
          <w:szCs w:val="16"/>
          <w:color w:val="auto"/>
        </w:rPr>
        <w:t>The FDA may give a priority review designation to drugs that offer major advances in treatment, or provide a treatment where no adequate therapy exists. A priority review means that the goal for the FDA to review an application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is six months, rather than the standard review of ten months under current PDUFA guidelines. These six and ten 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15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addition, drugs studied for their safety and effectiveness in treating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illnesses and that provide meaningful therapeutic benefit over existing treatments may receive accelerated approval and may be approved on the basis of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w:t>
      </w:r>
      <w:r>
        <w:rPr>
          <w:rFonts w:ascii="MS PGothic" w:cs="MS PGothic" w:eastAsia="MS PGothic" w:hAnsi="MS PGothic"/>
          <w:sz w:val="17"/>
          <w:szCs w:val="17"/>
          <w:color w:val="auto"/>
        </w:rPr>
        <w:t>‑</w:t>
      </w:r>
      <w:r>
        <w:rPr>
          <w:rFonts w:ascii="Arial" w:cs="Arial" w:eastAsia="Arial" w:hAnsi="Arial"/>
          <w:sz w:val="17"/>
          <w:szCs w:val="17"/>
          <w:color w:val="auto"/>
        </w:rPr>
        <w:t>marketing studies to verify and describe the predicted effect on irreversible morbidity or mortality or other clinical endpoint, and the drug may be subject to accelerated withdrawal procedures.</w:t>
      </w:r>
    </w:p>
    <w:p>
      <w:pPr>
        <w:spacing w:after="0" w:line="162" w:lineRule="exact"/>
        <w:rPr>
          <w:sz w:val="20"/>
          <w:szCs w:val="20"/>
          <w:color w:val="auto"/>
        </w:rPr>
      </w:pPr>
    </w:p>
    <w:p>
      <w:pPr>
        <w:ind w:right="60" w:firstLine="648"/>
        <w:spacing w:after="0" w:line="182" w:lineRule="exact"/>
        <w:rPr>
          <w:sz w:val="20"/>
          <w:szCs w:val="20"/>
          <w:color w:val="auto"/>
        </w:rPr>
      </w:pPr>
      <w:r>
        <w:rPr>
          <w:rFonts w:ascii="Arial" w:cs="Arial" w:eastAsia="Arial" w:hAnsi="Arial"/>
          <w:sz w:val="16"/>
          <w:szCs w:val="16"/>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167"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Pediatric Trials</w:t>
      </w:r>
    </w:p>
    <w:p>
      <w:pPr>
        <w:spacing w:after="0" w:line="185"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Pursuant to FDASIA, a sponsor who is planning to submit a marketing application for a drug that includes a new active ingredient, new indication, new dosage form, new dosing regimen or new route of administration must submit an initial Pediatric Study Plan, or PSP, within sixty days of an end</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Development program candidates designated as orphan drugs are exempt from the above requirements. FDA and the sponsor must reach agreement on the PSP. A sponsor can submit amendments to an agreed</w:t>
      </w:r>
      <w:r>
        <w:rPr>
          <w:rFonts w:ascii="MS PGothic" w:cs="MS PGothic" w:eastAsia="MS PGothic" w:hAnsi="MS PGothic"/>
          <w:sz w:val="17"/>
          <w:szCs w:val="17"/>
          <w:color w:val="auto"/>
        </w:rPr>
        <w:t>‑</w:t>
      </w:r>
      <w:r>
        <w:rPr>
          <w:rFonts w:ascii="Arial" w:cs="Arial" w:eastAsia="Arial" w:hAnsi="Arial"/>
          <w:sz w:val="17"/>
          <w:szCs w:val="17"/>
          <w:color w:val="auto"/>
        </w:rPr>
        <w:t>upon initial PSP at any time if changes to the pediatric plan need to be considered based on data collected from pre</w:t>
      </w:r>
      <w:r>
        <w:rPr>
          <w:rFonts w:ascii="MS PGothic" w:cs="MS PGothic" w:eastAsia="MS PGothic" w:hAnsi="MS PGothic"/>
          <w:sz w:val="17"/>
          <w:szCs w:val="17"/>
          <w:color w:val="auto"/>
        </w:rPr>
        <w:t>‑</w:t>
      </w:r>
      <w:r>
        <w:rPr>
          <w:rFonts w:ascii="Arial" w:cs="Arial" w:eastAsia="Arial" w:hAnsi="Arial"/>
          <w:sz w:val="17"/>
          <w:szCs w:val="17"/>
          <w:color w:val="auto"/>
        </w:rPr>
        <w:t>clinical studies, early phase clinical trials, and/or other clinical development programs.</w:t>
      </w:r>
    </w:p>
    <w:p>
      <w:pPr>
        <w:spacing w:after="0" w:line="16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i w:val="1"/>
          <w:iCs w:val="1"/>
          <w:color w:val="auto"/>
        </w:rPr>
        <w:t>Post</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Marketing Requirements</w:t>
      </w:r>
    </w:p>
    <w:p>
      <w:pPr>
        <w:spacing w:after="0" w:line="185"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consumer advertising, restrictions on promoting drugs for uses or in patient populations that are not described in the drug’s approved labeling (known as “off</w:t>
      </w:r>
      <w:r>
        <w:rPr>
          <w:rFonts w:ascii="MS PGothic" w:cs="MS PGothic" w:eastAsia="MS PGothic" w:hAnsi="MS PGothic"/>
          <w:sz w:val="17"/>
          <w:szCs w:val="17"/>
          <w:color w:val="auto"/>
        </w:rPr>
        <w:t>‑</w:t>
      </w:r>
      <w:r>
        <w:rPr>
          <w:rFonts w:ascii="Arial" w:cs="Arial" w:eastAsia="Arial" w:hAnsi="Arial"/>
          <w:sz w:val="17"/>
          <w:szCs w:val="17"/>
          <w:color w:val="auto"/>
        </w:rPr>
        <w:t>label use”), limitations on industry</w:t>
      </w:r>
      <w:r>
        <w:rPr>
          <w:rFonts w:ascii="MS PGothic" w:cs="MS PGothic" w:eastAsia="MS PGothic" w:hAnsi="MS PGothic"/>
          <w:sz w:val="17"/>
          <w:szCs w:val="17"/>
          <w:color w:val="auto"/>
        </w:rPr>
        <w:t>‑</w:t>
      </w:r>
      <w:r>
        <w:rPr>
          <w:rFonts w:ascii="Arial" w:cs="Arial" w:eastAsia="Arial" w:hAnsi="Arial"/>
          <w:sz w:val="17"/>
          <w:szCs w:val="17"/>
          <w:color w:val="auto"/>
        </w:rPr>
        <w:t>sponsored scientific and educational activities, and requirements for promotional activities involving the internet. Although physicians may prescribe legally available drugs for off</w:t>
      </w:r>
      <w:r>
        <w:rPr>
          <w:rFonts w:ascii="MS PGothic" w:cs="MS PGothic" w:eastAsia="MS PGothic" w:hAnsi="MS PGothic"/>
          <w:sz w:val="17"/>
          <w:szCs w:val="17"/>
          <w:color w:val="auto"/>
        </w:rPr>
        <w:t>‑</w:t>
      </w:r>
      <w:r>
        <w:rPr>
          <w:rFonts w:ascii="Arial" w:cs="Arial" w:eastAsia="Arial" w:hAnsi="Arial"/>
          <w:sz w:val="17"/>
          <w:szCs w:val="17"/>
          <w:color w:val="auto"/>
        </w:rPr>
        <w:t>label uses,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160"/>
        <w:spacing w:after="0" w:line="194" w:lineRule="exact"/>
        <w:rPr>
          <w:sz w:val="20"/>
          <w:szCs w:val="20"/>
          <w:color w:val="auto"/>
        </w:rPr>
      </w:pPr>
      <w:r>
        <w:rPr>
          <w:rFonts w:ascii="Arial" w:cs="Arial" w:eastAsia="Arial" w:hAnsi="Arial"/>
          <w:sz w:val="18"/>
          <w:szCs w:val="18"/>
          <w:color w:val="auto"/>
        </w:rPr>
        <w:t>manufacturers may not market or promote such off</w:t>
      </w:r>
      <w:r>
        <w:rPr>
          <w:rFonts w:ascii="MS PGothic" w:cs="MS PGothic" w:eastAsia="MS PGothic" w:hAnsi="MS PGothic"/>
          <w:sz w:val="18"/>
          <w:szCs w:val="18"/>
          <w:color w:val="auto"/>
        </w:rPr>
        <w:t>‑</w:t>
      </w:r>
      <w:r>
        <w:rPr>
          <w:rFonts w:ascii="Arial" w:cs="Arial" w:eastAsia="Arial" w:hAnsi="Arial"/>
          <w:sz w:val="18"/>
          <w:szCs w:val="18"/>
          <w:color w:val="auto"/>
        </w:rPr>
        <w:t>label uses. Modifications or enhancements to the drug or its labeling or changes of the site of manufacture are often subject to the approval of the FDA and other regulators, which may or may not be received or may result in a lengthy review process.</w:t>
      </w:r>
    </w:p>
    <w:p>
      <w:pPr>
        <w:spacing w:after="0" w:line="163" w:lineRule="exact"/>
        <w:rPr>
          <w:sz w:val="20"/>
          <w:szCs w:val="20"/>
          <w:color w:val="auto"/>
        </w:rPr>
      </w:pPr>
    </w:p>
    <w:p>
      <w:pPr>
        <w:ind w:right="180" w:firstLine="648"/>
        <w:spacing w:after="0" w:line="189" w:lineRule="exact"/>
        <w:rPr>
          <w:sz w:val="20"/>
          <w:szCs w:val="20"/>
          <w:color w:val="auto"/>
        </w:rPr>
      </w:pPr>
      <w:r>
        <w:rPr>
          <w:rFonts w:ascii="Arial" w:cs="Arial" w:eastAsia="Arial" w:hAnsi="Arial"/>
          <w:sz w:val="16"/>
          <w:szCs w:val="16"/>
          <w:color w:val="auto"/>
        </w:rPr>
        <w:t>Prescription drug advertising is subject to federal, state and foreign regulations. In the United States, the FDA regulates prescription drug promotion, including direct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consumer advertising. Prescription drug promotional materials must be submitted to the FDA in conjunction with their first use. Any distribution of prescription drugs and pharmaceutical samples must comply with the U.S. Prescription Drug Marketing Act, or the PDMA, a part of the FDCA.</w:t>
      </w:r>
    </w:p>
    <w:p>
      <w:pPr>
        <w:spacing w:after="0" w:line="164"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In the United States,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166"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The FDA also may require post</w:t>
      </w:r>
      <w:r>
        <w:rPr>
          <w:rFonts w:ascii="MS PGothic" w:cs="MS PGothic" w:eastAsia="MS PGothic" w:hAnsi="MS PGothic"/>
          <w:sz w:val="17"/>
          <w:szCs w:val="17"/>
          <w:color w:val="auto"/>
        </w:rPr>
        <w:t>‑</w:t>
      </w:r>
      <w:r>
        <w:rPr>
          <w:rFonts w:ascii="Arial" w:cs="Arial" w:eastAsia="Arial" w:hAnsi="Arial"/>
          <w:sz w:val="17"/>
          <w:szCs w:val="17"/>
          <w:color w:val="auto"/>
        </w:rPr>
        <w:t>approval testing, sometimes referred to as Phase 4 testing, risk minimization action plans and post</w:t>
      </w:r>
      <w:r>
        <w:rPr>
          <w:rFonts w:ascii="MS PGothic" w:cs="MS PGothic" w:eastAsia="MS PGothic" w:hAnsi="MS PGothic"/>
          <w:sz w:val="17"/>
          <w:szCs w:val="17"/>
          <w:color w:val="auto"/>
        </w:rPr>
        <w:t>‑</w:t>
      </w:r>
      <w:r>
        <w:rPr>
          <w:rFonts w:ascii="Arial" w:cs="Arial" w:eastAsia="Arial" w:hAnsi="Arial"/>
          <w:sz w:val="17"/>
          <w:szCs w:val="17"/>
          <w:color w:val="auto"/>
        </w:rPr>
        <w: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drugs under development.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Regulatory Matters</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Affordable Care Act.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w:t>
      </w:r>
      <w:r>
        <w:rPr>
          <w:rFonts w:ascii="MS PGothic" w:cs="MS PGothic" w:eastAsia="MS PGothic" w:hAnsi="MS PGothic"/>
          <w:sz w:val="16"/>
          <w:szCs w:val="16"/>
          <w:color w:val="auto"/>
        </w:rPr>
        <w:t>‑</w:t>
      </w:r>
      <w:r>
        <w:rPr>
          <w:rFonts w:ascii="Arial" w:cs="Arial" w:eastAsia="Arial" w:hAnsi="Arial"/>
          <w:sz w:val="16"/>
          <w:szCs w:val="16"/>
          <w:color w:val="auto"/>
        </w:rPr>
        <w:t>resistant packaging requirements under the U.S. Poison Prevention Packaging Act. Manufacturing, sales, promotion and other activities are also potentially subject to federal and state consumer protection and unfair competition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color w:val="auto"/>
        </w:rPr>
        <w:t>The distribution of pharmaceutical drugs is subject to additional requirements and regulations, including extensive record</w:t>
      </w:r>
      <w:r>
        <w:rPr>
          <w:rFonts w:ascii="MS PGothic" w:cs="MS PGothic" w:eastAsia="MS PGothic" w:hAnsi="MS PGothic"/>
          <w:sz w:val="18"/>
          <w:szCs w:val="18"/>
          <w:color w:val="auto"/>
        </w:rPr>
        <w:t>‑</w:t>
      </w:r>
      <w:r>
        <w:rPr>
          <w:rFonts w:ascii="Arial" w:cs="Arial" w:eastAsia="Arial" w:hAnsi="Arial"/>
          <w:sz w:val="18"/>
          <w:szCs w:val="18"/>
          <w:color w:val="auto"/>
        </w:rPr>
        <w:t>keeping, licensing, storage and security requirements intended to prevent the unauthorized sale of pharmaceutical drugs.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recalls,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1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spacing w:after="0" w:line="1" w:lineRule="exact"/>
        <w:rPr>
          <w:sz w:val="20"/>
          <w:szCs w:val="20"/>
          <w:color w:val="auto"/>
        </w:rPr>
      </w:pPr>
    </w:p>
    <w:p>
      <w:pPr>
        <w:ind w:right="520" w:firstLine="3"/>
        <w:spacing w:after="0" w:line="195" w:lineRule="exact"/>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voluntary recall or discontinuation of our products; or (iv) additional record</w:t>
      </w:r>
      <w:r>
        <w:rPr>
          <w:rFonts w:ascii="MS PGothic" w:cs="MS PGothic" w:eastAsia="MS PGothic" w:hAnsi="MS PGothic"/>
          <w:sz w:val="18"/>
          <w:szCs w:val="18"/>
          <w:color w:val="auto"/>
        </w:rPr>
        <w:t>‑</w:t>
      </w:r>
      <w:r>
        <w:rPr>
          <w:rFonts w:ascii="Arial" w:cs="Arial" w:eastAsia="Arial" w:hAnsi="Arial"/>
          <w:sz w:val="18"/>
          <w:szCs w:val="18"/>
          <w:color w:val="auto"/>
        </w:rPr>
        <w:t>keeping requirements. If any such changes were to be imposed, they could adversely affect the operation of our business.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Patent Term Restoration and Marketing Exclusivity</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The Hatch</w:t>
      </w:r>
      <w:r>
        <w:rPr>
          <w:rFonts w:ascii="MS PGothic" w:cs="MS PGothic" w:eastAsia="MS PGothic" w:hAnsi="MS PGothic"/>
          <w:sz w:val="16"/>
          <w:szCs w:val="16"/>
          <w:color w:val="auto"/>
        </w:rPr>
        <w:t>‑</w:t>
      </w:r>
      <w:r>
        <w:rPr>
          <w:rFonts w:ascii="Arial" w:cs="Arial" w:eastAsia="Arial" w:hAnsi="Arial"/>
          <w:sz w:val="16"/>
          <w:szCs w:val="16"/>
          <w:color w:val="auto"/>
        </w:rPr>
        <w:t>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w:t>
      </w:r>
      <w:r>
        <w:rPr>
          <w:rFonts w:ascii="MS PGothic" w:cs="MS PGothic" w:eastAsia="MS PGothic" w:hAnsi="MS PGothic"/>
          <w:sz w:val="16"/>
          <w:szCs w:val="16"/>
          <w:color w:val="auto"/>
        </w:rPr>
        <w:t>‑</w:t>
      </w:r>
      <w:r>
        <w:rPr>
          <w:rFonts w:ascii="Arial" w:cs="Arial" w:eastAsia="Arial" w:hAnsi="Arial"/>
          <w:sz w:val="16"/>
          <w:szCs w:val="16"/>
          <w:color w:val="auto"/>
        </w:rPr>
        <w:t>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Marketing exclusivity provisions under the FDCA can also delay the submission or the approval of certain</w:t>
      </w:r>
    </w:p>
    <w:p>
      <w:pPr>
        <w:spacing w:after="0" w:line="176" w:lineRule="exact"/>
        <w:rPr>
          <w:sz w:val="20"/>
          <w:szCs w:val="20"/>
          <w:color w:val="auto"/>
        </w:rPr>
      </w:pPr>
      <w:r>
        <w:rPr>
          <w:rFonts w:ascii="Arial" w:cs="Arial" w:eastAsia="Arial" w:hAnsi="Arial"/>
          <w:sz w:val="16"/>
          <w:szCs w:val="16"/>
          <w:color w:val="auto"/>
        </w:rPr>
        <w:t>marketing applications. The FDCA provides a five</w:t>
      </w:r>
      <w:r>
        <w:rPr>
          <w:rFonts w:ascii="MS PGothic" w:cs="MS PGothic" w:eastAsia="MS PGothic" w:hAnsi="MS PGothic"/>
          <w:sz w:val="16"/>
          <w:szCs w:val="16"/>
          <w:color w:val="auto"/>
        </w:rPr>
        <w:t>‑</w:t>
      </w:r>
      <w:r>
        <w:rPr>
          <w:rFonts w:ascii="Arial" w:cs="Arial" w:eastAsia="Arial" w:hAnsi="Arial"/>
          <w:sz w:val="16"/>
          <w:szCs w:val="16"/>
          <w:color w:val="auto"/>
        </w:rPr>
        <w:t>year period of non</w:t>
      </w:r>
      <w:r>
        <w:rPr>
          <w:rFonts w:ascii="MS PGothic" w:cs="MS PGothic" w:eastAsia="MS PGothic" w:hAnsi="MS PGothic"/>
          <w:sz w:val="16"/>
          <w:szCs w:val="16"/>
          <w:color w:val="auto"/>
        </w:rPr>
        <w:t>‑</w:t>
      </w:r>
      <w:r>
        <w:rPr>
          <w:rFonts w:ascii="Arial" w:cs="Arial" w:eastAsia="Arial" w:hAnsi="Arial"/>
          <w:sz w:val="16"/>
          <w:szCs w:val="16"/>
          <w:color w:val="auto"/>
        </w:rPr>
        <w:t>patent marketing exclusivity within the United States</w:t>
      </w:r>
    </w:p>
    <w:p>
      <w:pPr>
        <w:spacing w:after="0" w:line="229" w:lineRule="auto"/>
        <w:rPr>
          <w:sz w:val="20"/>
          <w:szCs w:val="20"/>
          <w:color w:val="auto"/>
        </w:rPr>
      </w:pPr>
      <w:r>
        <w:rPr>
          <w:rFonts w:ascii="Arial" w:cs="Arial" w:eastAsia="Arial" w:hAnsi="Arial"/>
          <w:sz w:val="16"/>
          <w:szCs w:val="16"/>
          <w:color w:val="auto"/>
        </w:rPr>
        <w:t>to the first applicant to obtain approval of an NDA for a new chemical entity. A drug is a new chemical entity if the FDA has</w:t>
      </w:r>
    </w:p>
    <w:p>
      <w:pPr>
        <w:spacing w:after="0" w:line="229" w:lineRule="auto"/>
        <w:rPr>
          <w:sz w:val="20"/>
          <w:szCs w:val="20"/>
          <w:color w:val="auto"/>
        </w:rPr>
      </w:pPr>
      <w:r>
        <w:rPr>
          <w:rFonts w:ascii="Arial" w:cs="Arial" w:eastAsia="Arial" w:hAnsi="Arial"/>
          <w:sz w:val="16"/>
          <w:szCs w:val="16"/>
          <w:color w:val="auto"/>
        </w:rPr>
        <w:t>not previously approved any other new drug containing the same active moiety, which is the molecule or ion responsible for</w:t>
      </w:r>
    </w:p>
    <w:p>
      <w:pPr>
        <w:spacing w:after="0" w:line="229" w:lineRule="auto"/>
        <w:rPr>
          <w:sz w:val="20"/>
          <w:szCs w:val="20"/>
          <w:color w:val="auto"/>
        </w:rPr>
      </w:pPr>
      <w:r>
        <w:rPr>
          <w:rFonts w:ascii="Arial" w:cs="Arial" w:eastAsia="Arial" w:hAnsi="Arial"/>
          <w:sz w:val="16"/>
          <w:szCs w:val="16"/>
          <w:color w:val="auto"/>
        </w:rPr>
        <w:t>the action of the drug substance. During the exclusivity period, the FDA may not accept for review an abbreviated new drug</w:t>
      </w:r>
    </w:p>
    <w:p>
      <w:pPr>
        <w:spacing w:after="0" w:line="229" w:lineRule="auto"/>
        <w:rPr>
          <w:sz w:val="20"/>
          <w:szCs w:val="20"/>
          <w:color w:val="auto"/>
        </w:rPr>
      </w:pPr>
      <w:r>
        <w:rPr>
          <w:rFonts w:ascii="Arial" w:cs="Arial" w:eastAsia="Arial" w:hAnsi="Arial"/>
          <w:sz w:val="16"/>
          <w:szCs w:val="16"/>
          <w:color w:val="auto"/>
        </w:rPr>
        <w:t>application, or ANDA, or a 505(b)(2) NDA submitted by another company for another drug based on the same active moiety,</w:t>
      </w:r>
    </w:p>
    <w:p>
      <w:pPr>
        <w:spacing w:after="0" w:line="215" w:lineRule="auto"/>
        <w:rPr>
          <w:sz w:val="20"/>
          <w:szCs w:val="20"/>
          <w:color w:val="auto"/>
        </w:rPr>
      </w:pPr>
      <w:r>
        <w:rPr>
          <w:rFonts w:ascii="Arial" w:cs="Arial" w:eastAsia="Arial" w:hAnsi="Arial"/>
          <w:sz w:val="17"/>
          <w:szCs w:val="17"/>
          <w:color w:val="auto"/>
        </w:rPr>
        <w:t>regardless of whether the drug is intended for the same indication as the original innovator drug or for another indication,</w:t>
      </w:r>
    </w:p>
    <w:p>
      <w:pPr>
        <w:spacing w:after="0" w:line="216" w:lineRule="auto"/>
        <w:rPr>
          <w:sz w:val="20"/>
          <w:szCs w:val="20"/>
          <w:color w:val="auto"/>
        </w:rPr>
      </w:pPr>
      <w:r>
        <w:rPr>
          <w:rFonts w:ascii="Arial" w:cs="Arial" w:eastAsia="Arial" w:hAnsi="Arial"/>
          <w:sz w:val="17"/>
          <w:szCs w:val="17"/>
          <w:color w:val="auto"/>
        </w:rPr>
        <w:t>where the applicant does not own or have a legal right of reference to all the data required for approval. However, an</w:t>
      </w:r>
    </w:p>
    <w:p>
      <w:pPr>
        <w:spacing w:after="0" w:line="176" w:lineRule="exact"/>
        <w:rPr>
          <w:sz w:val="20"/>
          <w:szCs w:val="20"/>
          <w:color w:val="auto"/>
        </w:rPr>
      </w:pPr>
      <w:r>
        <w:rPr>
          <w:rFonts w:ascii="Arial" w:cs="Arial" w:eastAsia="Arial" w:hAnsi="Arial"/>
          <w:sz w:val="17"/>
          <w:szCs w:val="17"/>
          <w:color w:val="auto"/>
        </w:rPr>
        <w:t>application may be submitted after four years if it contains a certification of patent invalidity or non</w:t>
      </w:r>
      <w:r>
        <w:rPr>
          <w:rFonts w:ascii="MS PGothic" w:cs="MS PGothic" w:eastAsia="MS PGothic" w:hAnsi="MS PGothic"/>
          <w:sz w:val="17"/>
          <w:szCs w:val="17"/>
          <w:color w:val="auto"/>
        </w:rPr>
        <w:t>‑</w:t>
      </w:r>
      <w:r>
        <w:rPr>
          <w:rFonts w:ascii="Arial" w:cs="Arial" w:eastAsia="Arial" w:hAnsi="Arial"/>
          <w:sz w:val="17"/>
          <w:szCs w:val="17"/>
          <w:color w:val="auto"/>
        </w:rPr>
        <w:t>infringement to one of</w:t>
      </w:r>
    </w:p>
    <w:p>
      <w:pPr>
        <w:spacing w:after="0" w:line="229" w:lineRule="auto"/>
        <w:rPr>
          <w:sz w:val="20"/>
          <w:szCs w:val="20"/>
          <w:color w:val="auto"/>
        </w:rPr>
      </w:pPr>
      <w:r>
        <w:rPr>
          <w:rFonts w:ascii="Arial" w:cs="Arial" w:eastAsia="Arial" w:hAnsi="Arial"/>
          <w:sz w:val="16"/>
          <w:szCs w:val="16"/>
          <w:color w:val="auto"/>
        </w:rPr>
        <w:t>the patents listed with the FDA by the innovator NDA holder. The FDCA also provides three years of marketing exclusivity</w:t>
      </w:r>
    </w:p>
    <w:p>
      <w:pPr>
        <w:spacing w:after="0" w:line="216" w:lineRule="auto"/>
        <w:rPr>
          <w:sz w:val="20"/>
          <w:szCs w:val="20"/>
          <w:color w:val="auto"/>
        </w:rPr>
      </w:pPr>
      <w:r>
        <w:rPr>
          <w:rFonts w:ascii="Arial" w:cs="Arial" w:eastAsia="Arial" w:hAnsi="Arial"/>
          <w:sz w:val="17"/>
          <w:szCs w:val="17"/>
          <w:color w:val="auto"/>
        </w:rPr>
        <w:t>for an NDA, or supplement to an existing NDA if new clinical investigations, other than bioavailability studies, that were</w:t>
      </w:r>
    </w:p>
    <w:p>
      <w:pPr>
        <w:spacing w:after="0" w:line="215" w:lineRule="auto"/>
        <w:rPr>
          <w:sz w:val="20"/>
          <w:szCs w:val="20"/>
          <w:color w:val="auto"/>
        </w:rPr>
      </w:pPr>
      <w:r>
        <w:rPr>
          <w:rFonts w:ascii="Arial" w:cs="Arial" w:eastAsia="Arial" w:hAnsi="Arial"/>
          <w:sz w:val="17"/>
          <w:szCs w:val="17"/>
          <w:color w:val="auto"/>
        </w:rPr>
        <w:t>conducted or sponsored by the applicant are deemed by the FDA to be essential to the approval of the application, for</w:t>
      </w:r>
    </w:p>
    <w:p>
      <w:pPr>
        <w:spacing w:after="0" w:line="176" w:lineRule="exact"/>
        <w:rPr>
          <w:sz w:val="20"/>
          <w:szCs w:val="20"/>
          <w:color w:val="auto"/>
        </w:rPr>
      </w:pPr>
      <w:r>
        <w:rPr>
          <w:rFonts w:ascii="Arial" w:cs="Arial" w:eastAsia="Arial" w:hAnsi="Arial"/>
          <w:sz w:val="16"/>
          <w:szCs w:val="16"/>
          <w:color w:val="auto"/>
        </w:rPr>
        <w:t>example new indications, dosages or strengths of an existing drug. This three</w:t>
      </w:r>
      <w:r>
        <w:rPr>
          <w:rFonts w:ascii="MS PGothic" w:cs="MS PGothic" w:eastAsia="MS PGothic" w:hAnsi="MS PGothic"/>
          <w:sz w:val="16"/>
          <w:szCs w:val="16"/>
          <w:color w:val="auto"/>
        </w:rPr>
        <w:t>‑</w:t>
      </w:r>
      <w:r>
        <w:rPr>
          <w:rFonts w:ascii="Arial" w:cs="Arial" w:eastAsia="Arial" w:hAnsi="Arial"/>
          <w:sz w:val="16"/>
          <w:szCs w:val="16"/>
          <w:color w:val="auto"/>
        </w:rPr>
        <w:t>year exclusivity covers only the modification</w:t>
      </w:r>
    </w:p>
    <w:p>
      <w:pPr>
        <w:spacing w:after="0" w:line="216" w:lineRule="auto"/>
        <w:rPr>
          <w:sz w:val="20"/>
          <w:szCs w:val="20"/>
          <w:color w:val="auto"/>
        </w:rPr>
      </w:pPr>
      <w:r>
        <w:rPr>
          <w:rFonts w:ascii="Arial" w:cs="Arial" w:eastAsia="Arial" w:hAnsi="Arial"/>
          <w:sz w:val="17"/>
          <w:szCs w:val="17"/>
          <w:color w:val="auto"/>
        </w:rPr>
        <w:t>for which the drug received approval on the basis of the new clinical investigations and does not prohibit the FDA from</w:t>
      </w:r>
    </w:p>
    <w:p>
      <w:pPr>
        <w:spacing w:after="0" w:line="176" w:lineRule="exact"/>
        <w:rPr>
          <w:sz w:val="20"/>
          <w:szCs w:val="20"/>
          <w:color w:val="auto"/>
        </w:rPr>
      </w:pPr>
      <w:r>
        <w:rPr>
          <w:rFonts w:ascii="Arial" w:cs="Arial" w:eastAsia="Arial" w:hAnsi="Arial"/>
          <w:sz w:val="17"/>
          <w:szCs w:val="17"/>
          <w:color w:val="auto"/>
        </w:rPr>
        <w:t>approving ANDAs for drugs containing the active agent for the original indication or condition of use. Five</w:t>
      </w:r>
      <w:r>
        <w:rPr>
          <w:rFonts w:ascii="MS PGothic" w:cs="MS PGothic" w:eastAsia="MS PGothic" w:hAnsi="MS PGothic"/>
          <w:sz w:val="17"/>
          <w:szCs w:val="17"/>
          <w:color w:val="auto"/>
        </w:rPr>
        <w:t>‑</w:t>
      </w:r>
      <w:r>
        <w:rPr>
          <w:rFonts w:ascii="Arial" w:cs="Arial" w:eastAsia="Arial" w:hAnsi="Arial"/>
          <w:sz w:val="17"/>
          <w:szCs w:val="17"/>
          <w:color w:val="auto"/>
        </w:rPr>
        <w:t>year and</w:t>
      </w:r>
    </w:p>
    <w:p>
      <w:pPr>
        <w:spacing w:after="0" w:line="176" w:lineRule="exact"/>
        <w:rPr>
          <w:sz w:val="20"/>
          <w:szCs w:val="20"/>
          <w:color w:val="auto"/>
        </w:rPr>
      </w:pPr>
      <w:r>
        <w:rPr>
          <w:rFonts w:ascii="Arial" w:cs="Arial" w:eastAsia="Arial" w:hAnsi="Arial"/>
          <w:sz w:val="16"/>
          <w:szCs w:val="16"/>
          <w:color w:val="auto"/>
        </w:rPr>
        <w:t>three</w:t>
      </w:r>
      <w:r>
        <w:rPr>
          <w:rFonts w:ascii="MS PGothic" w:cs="MS PGothic" w:eastAsia="MS PGothic" w:hAnsi="MS PGothic"/>
          <w:sz w:val="16"/>
          <w:szCs w:val="16"/>
          <w:color w:val="auto"/>
        </w:rPr>
        <w:t>‑</w:t>
      </w:r>
      <w:r>
        <w:rPr>
          <w:rFonts w:ascii="Arial" w:cs="Arial" w:eastAsia="Arial" w:hAnsi="Arial"/>
          <w:sz w:val="16"/>
          <w:szCs w:val="16"/>
          <w:color w:val="auto"/>
        </w:rPr>
        <w:t>year exclusivity will not delay the submission or approval of a full NDA. However, an applicant submitting a full NDA</w:t>
      </w:r>
    </w:p>
    <w:p>
      <w:pPr>
        <w:spacing w:after="0" w:line="176" w:lineRule="exact"/>
        <w:rPr>
          <w:sz w:val="20"/>
          <w:szCs w:val="20"/>
          <w:color w:val="auto"/>
        </w:rPr>
      </w:pPr>
      <w:r>
        <w:rPr>
          <w:rFonts w:ascii="Arial" w:cs="Arial" w:eastAsia="Arial" w:hAnsi="Arial"/>
          <w:sz w:val="16"/>
          <w:szCs w:val="16"/>
          <w:color w:val="auto"/>
        </w:rPr>
        <w:t>would be required to conduct or obtain a right of reference to all of the pre-clinical studies and adequate and well</w:t>
      </w:r>
      <w:r>
        <w:rPr>
          <w:rFonts w:ascii="MS PGothic" w:cs="MS PGothic" w:eastAsia="MS PGothic" w:hAnsi="MS PGothic"/>
          <w:sz w:val="16"/>
          <w:szCs w:val="16"/>
          <w:color w:val="auto"/>
        </w:rPr>
        <w:t>‑</w:t>
      </w:r>
      <w:r>
        <w:rPr>
          <w:rFonts w:ascii="Arial" w:cs="Arial" w:eastAsia="Arial" w:hAnsi="Arial"/>
          <w:sz w:val="16"/>
          <w:szCs w:val="16"/>
          <w:color w:val="auto"/>
        </w:rPr>
        <w:t>controlled</w:t>
      </w:r>
    </w:p>
    <w:p>
      <w:pPr>
        <w:spacing w:after="0" w:line="229" w:lineRule="auto"/>
        <w:rPr>
          <w:sz w:val="20"/>
          <w:szCs w:val="20"/>
          <w:color w:val="auto"/>
        </w:rPr>
      </w:pPr>
      <w:r>
        <w:rPr>
          <w:rFonts w:ascii="Arial" w:cs="Arial" w:eastAsia="Arial" w:hAnsi="Arial"/>
          <w:sz w:val="16"/>
          <w:szCs w:val="16"/>
          <w:color w:val="auto"/>
        </w:rPr>
        <w:t>clinical trials necessary to demonstrate safety and effectiveness. Orphan drug exclusivity, as described below, may offer a</w:t>
      </w:r>
    </w:p>
    <w:p>
      <w:pPr>
        <w:spacing w:after="0" w:line="176" w:lineRule="exact"/>
        <w:rPr>
          <w:sz w:val="20"/>
          <w:szCs w:val="20"/>
          <w:color w:val="auto"/>
        </w:rPr>
      </w:pPr>
      <w:r>
        <w:rPr>
          <w:rFonts w:ascii="Arial" w:cs="Arial" w:eastAsia="Arial" w:hAnsi="Arial"/>
          <w:sz w:val="18"/>
          <w:szCs w:val="18"/>
          <w:color w:val="auto"/>
        </w:rPr>
        <w:t>seven</w:t>
      </w:r>
      <w:r>
        <w:rPr>
          <w:rFonts w:ascii="MS PGothic" w:cs="MS PGothic" w:eastAsia="MS PGothic" w:hAnsi="MS PGothic"/>
          <w:sz w:val="18"/>
          <w:szCs w:val="18"/>
          <w:color w:val="auto"/>
        </w:rPr>
        <w:t>‑</w:t>
      </w:r>
      <w:r>
        <w:rPr>
          <w:rFonts w:ascii="Arial" w:cs="Arial" w:eastAsia="Arial" w:hAnsi="Arial"/>
          <w:sz w:val="18"/>
          <w:szCs w:val="18"/>
          <w:color w:val="auto"/>
        </w:rPr>
        <w:t>year period of marketing exclusivity, except in certain circumstances. Pediatric exclusivity is another type of</w:t>
      </w:r>
    </w:p>
    <w:p>
      <w:pPr>
        <w:spacing w:after="0" w:line="216" w:lineRule="auto"/>
        <w:rPr>
          <w:sz w:val="20"/>
          <w:szCs w:val="20"/>
          <w:color w:val="auto"/>
        </w:rPr>
      </w:pPr>
      <w:r>
        <w:rPr>
          <w:rFonts w:ascii="Arial" w:cs="Arial" w:eastAsia="Arial" w:hAnsi="Arial"/>
          <w:sz w:val="17"/>
          <w:szCs w:val="17"/>
          <w:color w:val="auto"/>
        </w:rPr>
        <w:t>regulatory market exclusivity in the United States. Pediatric exclusivity, if granted, adds six months to existing exclusivity</w:t>
      </w:r>
    </w:p>
    <w:p>
      <w:pPr>
        <w:spacing w:after="0" w:line="176" w:lineRule="exact"/>
        <w:rPr>
          <w:sz w:val="20"/>
          <w:szCs w:val="20"/>
          <w:color w:val="auto"/>
        </w:rPr>
      </w:pPr>
      <w:r>
        <w:rPr>
          <w:rFonts w:ascii="Arial" w:cs="Arial" w:eastAsia="Arial" w:hAnsi="Arial"/>
          <w:sz w:val="16"/>
          <w:szCs w:val="16"/>
          <w:color w:val="auto"/>
        </w:rPr>
        <w:t>periods and patent terms. This six</w:t>
      </w:r>
      <w:r>
        <w:rPr>
          <w:rFonts w:ascii="MS PGothic" w:cs="MS PGothic" w:eastAsia="MS PGothic" w:hAnsi="MS PGothic"/>
          <w:sz w:val="16"/>
          <w:szCs w:val="16"/>
          <w:color w:val="auto"/>
        </w:rPr>
        <w:t>‑</w:t>
      </w:r>
      <w:r>
        <w:rPr>
          <w:rFonts w:ascii="Arial" w:cs="Arial" w:eastAsia="Arial" w:hAnsi="Arial"/>
          <w:sz w:val="16"/>
          <w:szCs w:val="16"/>
          <w:color w:val="auto"/>
        </w:rPr>
        <w:t>month exclusivity, which runs from the end of other exclusivity protection or patent term,</w:t>
      </w:r>
    </w:p>
    <w:p>
      <w:pPr>
        <w:spacing w:after="0" w:line="176" w:lineRule="exact"/>
        <w:rPr>
          <w:sz w:val="20"/>
          <w:szCs w:val="20"/>
          <w:color w:val="auto"/>
        </w:rPr>
      </w:pPr>
      <w:r>
        <w:rPr>
          <w:rFonts w:ascii="Arial" w:cs="Arial" w:eastAsia="Arial" w:hAnsi="Arial"/>
          <w:sz w:val="16"/>
          <w:szCs w:val="16"/>
          <w:color w:val="auto"/>
        </w:rPr>
        <w:t>may be granted based on the voluntary completion of a pediatric trial in accordance with an FDA</w:t>
      </w:r>
      <w:r>
        <w:rPr>
          <w:rFonts w:ascii="MS PGothic" w:cs="MS PGothic" w:eastAsia="MS PGothic" w:hAnsi="MS PGothic"/>
          <w:sz w:val="16"/>
          <w:szCs w:val="16"/>
          <w:color w:val="auto"/>
        </w:rPr>
        <w:t>‑</w:t>
      </w:r>
      <w:r>
        <w:rPr>
          <w:rFonts w:ascii="Arial" w:cs="Arial" w:eastAsia="Arial" w:hAnsi="Arial"/>
          <w:sz w:val="16"/>
          <w:szCs w:val="16"/>
          <w:color w:val="auto"/>
        </w:rPr>
        <w:t>issued “Written Request”</w:t>
      </w:r>
    </w:p>
    <w:p>
      <w:pPr>
        <w:spacing w:after="0"/>
        <w:rPr>
          <w:sz w:val="20"/>
          <w:szCs w:val="20"/>
          <w:color w:val="auto"/>
        </w:rPr>
      </w:pPr>
      <w:r>
        <w:rPr>
          <w:rFonts w:ascii="Arial" w:cs="Arial" w:eastAsia="Arial" w:hAnsi="Arial"/>
          <w:sz w:val="18"/>
          <w:szCs w:val="18"/>
          <w:color w:val="auto"/>
        </w:rPr>
        <w:t>for such a trial.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Orphan Drug Designation</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United States, or if it affects more than 200,000 individuals in the United States, there is no reasonable expectation that the cost of developing and marketing the drug for this type of disease or condition will be recovered from sales in the United States. In the European Union, the European Commission, after receiving the opinion of the EMA’s Committee for Orphan Medicinal Products, or COMP, grants orphan drug designation to promote the development of products that are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five in 10,000 persons in the European Union Community. In addition, designation is granted for products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164"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w:t>
      </w:r>
      <w:r>
        <w:rPr>
          <w:rFonts w:ascii="MS PGothic" w:cs="MS PGothic" w:eastAsia="MS PGothic" w:hAnsi="MS PGothic"/>
          <w:sz w:val="16"/>
          <w:szCs w:val="16"/>
          <w:color w:val="auto"/>
        </w:rPr>
        <w:t>‑</w:t>
      </w:r>
      <w:r>
        <w:rPr>
          <w:rFonts w:ascii="Arial" w:cs="Arial" w:eastAsia="Arial" w:hAnsi="Arial"/>
          <w:sz w:val="16"/>
          <w:szCs w:val="16"/>
          <w:color w:val="auto"/>
        </w:rPr>
        <w:t>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6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7"/>
          <w:szCs w:val="17"/>
          <w:color w:val="auto"/>
        </w:rPr>
        <w:t>In the European Union, orphan drug designation also entitles a party to financial incentives such as reduction of fees or fee waivers and ten years of market exclusivity is granted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63"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of Diagnostic Tests</w:t>
      </w:r>
    </w:p>
    <w:p>
      <w:pPr>
        <w:spacing w:after="0" w:line="185"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 xml:space="preserve">We expect that our drug candidates may require use of a diagnostic to identify appropriate patient populations for our products. These diagnostics, often referred to as companion diagnostic tests, are medical devices, often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devices, which provide information that is essential for the safe and effective use of a corresponding drug. For example, we have entered into agreements with Ventana to develop and commercialize a companion diagnostic test for BLU-554 that we expect to use to identify HCC patients with abberantly active FGFR4 signaling as indicated by FGF19 overexpression and Qiagen to develop and commercialize a companion diagnostic test for BLU-285 that we expect to use to identify GIST patients with the PDGFRα D842V mutation.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w:t>
      </w:r>
      <w:r>
        <w:rPr>
          <w:rFonts w:ascii="MS PGothic" w:cs="MS PGothic" w:eastAsia="MS PGothic" w:hAnsi="MS PGothic"/>
          <w:sz w:val="17"/>
          <w:szCs w:val="17"/>
          <w:color w:val="auto"/>
        </w:rPr>
        <w:t>‑</w:t>
      </w:r>
      <w:r>
        <w:rPr>
          <w:rFonts w:ascii="Arial" w:cs="Arial" w:eastAsia="Arial" w:hAnsi="Arial"/>
          <w:sz w:val="17"/>
          <w:szCs w:val="17"/>
          <w:color w:val="auto"/>
        </w:rPr>
        <w: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test developed for our drug candidates will utilize the PMA pathway.</w:t>
      </w:r>
    </w:p>
    <w:p>
      <w:pPr>
        <w:spacing w:after="0" w:line="165" w:lineRule="exact"/>
        <w:rPr>
          <w:sz w:val="20"/>
          <w:szCs w:val="20"/>
          <w:color w:val="auto"/>
        </w:rPr>
      </w:pPr>
    </w:p>
    <w:p>
      <w:pPr>
        <w:ind w:right="60" w:firstLine="648"/>
        <w:spacing w:after="0" w:line="181" w:lineRule="exact"/>
        <w:rPr>
          <w:sz w:val="20"/>
          <w:szCs w:val="20"/>
          <w:color w:val="auto"/>
        </w:rPr>
      </w:pPr>
      <w:r>
        <w:rPr>
          <w:rFonts w:ascii="Arial" w:cs="Arial" w:eastAsia="Arial" w:hAnsi="Arial"/>
          <w:sz w:val="17"/>
          <w:szCs w:val="17"/>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w:t>
      </w:r>
      <w:r>
        <w:rPr>
          <w:rFonts w:ascii="MS PGothic" w:cs="MS PGothic" w:eastAsia="MS PGothic" w:hAnsi="MS PGothic"/>
          <w:sz w:val="17"/>
          <w:szCs w:val="17"/>
          <w:color w:val="auto"/>
        </w:rPr>
        <w:t>‑</w:t>
      </w:r>
      <w:r>
        <w:rPr>
          <w:rFonts w:ascii="Arial" w:cs="Arial" w:eastAsia="Arial" w:hAnsi="Arial"/>
          <w:sz w:val="17"/>
          <w:szCs w:val="17"/>
          <w:color w:val="auto"/>
        </w:rPr>
        <w:t>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On August 6, 2014, the FDA issued a final guidance document addressing the development and approval process for “In Vitro Companion Diagnostic Devices.” According to the guidance, for novel drugs such as our drug candidates, a companion diagnostic test device and its corresponding drug should be approved or cleared contemporaneously by FDA for the use indicated in the therapeutic product labeling. The guidance also explains that a companion diagnostic test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70"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 xml:space="preserve">In the EEA,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medical devices are required to conform with the essential requirements of the E.U. Directive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w:t>
      </w:r>
      <w:r>
        <w:rPr>
          <w:rFonts w:ascii="MS PGothic" w:cs="MS PGothic" w:eastAsia="MS PGothic" w:hAnsi="MS PGothic"/>
          <w:sz w:val="16"/>
          <w:szCs w:val="16"/>
          <w:color w:val="auto"/>
        </w:rPr>
        <w:t>‑</w:t>
      </w:r>
      <w:r>
        <w:rPr>
          <w:rFonts w:ascii="Arial" w:cs="Arial" w:eastAsia="Arial" w:hAnsi="Arial"/>
          <w:sz w:val="16"/>
          <w:szCs w:val="16"/>
          <w:color w:val="auto"/>
        </w:rPr>
        <w:t>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Drug Development</w:t>
      </w:r>
    </w:p>
    <w:p>
      <w:pPr>
        <w:spacing w:after="0" w:line="18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In the European Union, our future drugs may also be subject to extensive regulatory requirements. As in the United States, medicinal products can only be marketed if a marketing authorization from the competent regulatory agencies has been obtained.</w:t>
      </w:r>
    </w:p>
    <w:p>
      <w:pPr>
        <w:spacing w:after="0" w:line="163"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current EU Clinical Trials Directive 2001/20/EC, or Clinical Trials Directive,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68"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In April 2014, the European Union adopted a new Clinical Trials Regulation (EU) No 536/2014, or the Clinical Trials Regulation, which is set to replace the Clinical Trials Directive. It is expected that the new Clinical Trials Regulation will apply by October 2018. The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 entry point and strictly defined deadlines for the assessment of clinical trial applications.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European Drug Review and Approval</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w:t>
      </w:r>
    </w:p>
    <w:p>
      <w:pPr>
        <w:spacing w:after="0" w:line="163"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w:t>
      </w:r>
      <w:r>
        <w:rPr>
          <w:rFonts w:ascii="MS PGothic" w:cs="MS PGothic" w:eastAsia="MS PGothic" w:hAnsi="MS PGothic"/>
          <w:sz w:val="16"/>
          <w:szCs w:val="16"/>
          <w:color w:val="auto"/>
        </w:rPr>
        <w:t>‑</w:t>
      </w:r>
      <w:r>
        <w:rPr>
          <w:rFonts w:ascii="Arial" w:cs="Arial" w:eastAsia="Arial" w:hAnsi="Arial"/>
          <w:sz w:val="16"/>
          <w:szCs w:val="16"/>
          <w:color w:val="auto"/>
        </w:rPr>
        <w:t>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163"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170" w:lineRule="exact"/>
        <w:rPr>
          <w:sz w:val="20"/>
          <w:szCs w:val="20"/>
          <w:color w:val="auto"/>
        </w:rPr>
      </w:pPr>
    </w:p>
    <w:p>
      <w:pPr>
        <w:jc w:val="both"/>
        <w:ind w:right="520" w:firstLine="648"/>
        <w:spacing w:after="0" w:line="194" w:lineRule="exact"/>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w:t>
      </w:r>
      <w:r>
        <w:rPr>
          <w:rFonts w:ascii="MS PGothic" w:cs="MS PGothic" w:eastAsia="MS PGothic" w:hAnsi="MS PGothic"/>
          <w:sz w:val="18"/>
          <w:szCs w:val="18"/>
          <w:color w:val="auto"/>
        </w:rPr>
        <w:t>‑</w:t>
      </w:r>
      <w:r>
        <w:rPr>
          <w:rFonts w:ascii="Arial" w:cs="Arial" w:eastAsia="Arial" w:hAnsi="Arial"/>
          <w:sz w:val="18"/>
          <w:szCs w:val="18"/>
          <w:color w:val="auto"/>
        </w:rPr>
        <w:t>benefit balance of the drug on the basis of scientific criteria concerning its quality, safety and efficacy.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European Chemical Entity Exclusivity</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w:t>
      </w:r>
      <w:r>
        <w:rPr>
          <w:rFonts w:ascii="MS PGothic" w:cs="MS PGothic" w:eastAsia="MS PGothic" w:hAnsi="MS PGothic"/>
          <w:sz w:val="17"/>
          <w:szCs w:val="17"/>
          <w:color w:val="auto"/>
        </w:rPr>
        <w:t>‑</w:t>
      </w:r>
      <w:r>
        <w:rPr>
          <w:rFonts w:ascii="Arial" w:cs="Arial" w:eastAsia="Arial" w:hAnsi="Arial"/>
          <w:sz w:val="17"/>
          <w:szCs w:val="17"/>
          <w:color w:val="auto"/>
        </w:rPr>
        <w:t>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For other countries outside of the European Union and the United States,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155"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8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Sales of our drugs will depend, in part, on the extent to which our drugs will be covered by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government health programs, commercial insurance and managed healthcare organizations. These third</w:t>
      </w:r>
      <w:r>
        <w:rPr>
          <w:rFonts w:ascii="MS PGothic" w:cs="MS PGothic" w:eastAsia="MS PGothic" w:hAnsi="MS PGothic"/>
          <w:sz w:val="16"/>
          <w:szCs w:val="16"/>
          <w:color w:val="auto"/>
        </w:rPr>
        <w:t>‑</w:t>
      </w:r>
      <w:r>
        <w:rPr>
          <w:rFonts w:ascii="Arial" w:cs="Arial" w:eastAsia="Arial" w:hAnsi="Arial"/>
          <w:sz w:val="16"/>
          <w:szCs w:val="16"/>
          <w:color w:val="auto"/>
        </w:rPr>
        <w:t>party payors are increasingly reducing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w:t>
      </w:r>
      <w:r>
        <w:rPr>
          <w:rFonts w:ascii="MS PGothic" w:cs="MS PGothic" w:eastAsia="MS PGothic" w:hAnsi="MS PGothic"/>
          <w:sz w:val="16"/>
          <w:szCs w:val="16"/>
          <w:color w:val="auto"/>
        </w:rPr>
        <w:t>‑</w:t>
      </w:r>
      <w:r>
        <w:rPr>
          <w:rFonts w:ascii="Arial" w:cs="Arial" w:eastAsia="Arial" w:hAnsi="Arial"/>
          <w:sz w:val="16"/>
          <w:szCs w:val="16"/>
          <w:color w:val="auto"/>
        </w:rPr>
        <w:t>containment programs, including price controls, restrictions on reimbursement and requirements for substitution of generic drugs. Adoption of price controls and cost</w:t>
      </w:r>
      <w:r>
        <w:rPr>
          <w:rFonts w:ascii="MS PGothic" w:cs="MS PGothic" w:eastAsia="MS PGothic" w:hAnsi="MS PGothic"/>
          <w:sz w:val="16"/>
          <w:szCs w:val="16"/>
          <w:color w:val="auto"/>
        </w:rPr>
        <w:t>‑</w:t>
      </w:r>
      <w:r>
        <w:rPr>
          <w:rFonts w:ascii="Arial" w:cs="Arial" w:eastAsia="Arial" w:hAnsi="Arial"/>
          <w:sz w:val="16"/>
          <w:szCs w:val="16"/>
          <w:color w:val="auto"/>
        </w:rPr>
        <w:t>containment measures, and adoption of more restrictive policies in jurisdictions with existing controls and measures, could further limit our net revenue and results. Decreases in third</w:t>
      </w:r>
      <w:r>
        <w:rPr>
          <w:rFonts w:ascii="MS PGothic" w:cs="MS PGothic" w:eastAsia="MS PGothic" w:hAnsi="MS PGothic"/>
          <w:sz w:val="16"/>
          <w:szCs w:val="16"/>
          <w:color w:val="auto"/>
        </w:rPr>
        <w:t>‑</w:t>
      </w:r>
      <w:r>
        <w:rPr>
          <w:rFonts w:ascii="Arial" w:cs="Arial" w:eastAsia="Arial" w:hAnsi="Arial"/>
          <w:sz w:val="16"/>
          <w:szCs w:val="16"/>
          <w:color w:val="auto"/>
        </w:rPr>
        <w:t>party reimbursement for our drug candidates, if approved, or a decision by a third</w:t>
      </w:r>
      <w:r>
        <w:rPr>
          <w:rFonts w:ascii="MS PGothic" w:cs="MS PGothic" w:eastAsia="MS PGothic" w:hAnsi="MS PGothic"/>
          <w:sz w:val="16"/>
          <w:szCs w:val="16"/>
          <w:color w:val="auto"/>
        </w:rPr>
        <w:t>‑</w:t>
      </w:r>
      <w:r>
        <w:rPr>
          <w:rFonts w:ascii="Arial" w:cs="Arial" w:eastAsia="Arial" w:hAnsi="Arial"/>
          <w:sz w:val="16"/>
          <w:szCs w:val="16"/>
          <w:color w:val="auto"/>
        </w:rPr>
        <w:t>party payor to not cover our drug candidates could reduce physician usage of such drugs and have a material adverse effect on our sales, results of operations and financial condition.</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However, any negotiated prices for our drugs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w:t>
      </w:r>
      <w:r>
        <w:rPr>
          <w:rFonts w:ascii="MS PGothic" w:cs="MS PGothic" w:eastAsia="MS PGothic" w:hAnsi="MS PGothic"/>
          <w:sz w:val="17"/>
          <w:szCs w:val="17"/>
          <w:color w:val="auto"/>
        </w:rPr>
        <w:t>‑</w:t>
      </w:r>
      <w:r>
        <w:rPr>
          <w:rFonts w:ascii="Arial" w:cs="Arial" w:eastAsia="Arial" w:hAnsi="Arial"/>
          <w:sz w:val="17"/>
          <w:szCs w:val="17"/>
          <w:color w:val="auto"/>
        </w:rPr>
        <w:t>governmental payors.</w:t>
      </w:r>
    </w:p>
    <w:p>
      <w:pPr>
        <w:spacing w:after="0" w:line="16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is the subject of a trial. It is also possible that comparative effectiveness research demonstrating benefits in a competitor’s drug could adversely affect the sales of our drug candidate. If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consider our drugs to be cost</w:t>
      </w:r>
      <w:r>
        <w:rPr>
          <w:rFonts w:ascii="MS PGothic" w:cs="MS PGothic" w:eastAsia="MS PGothic" w:hAnsi="MS PGothic"/>
          <w:sz w:val="16"/>
          <w:szCs w:val="16"/>
          <w:color w:val="auto"/>
        </w:rPr>
        <w:t>‑</w:t>
      </w:r>
      <w:r>
        <w:rPr>
          <w:rFonts w:ascii="Arial" w:cs="Arial" w:eastAsia="Arial" w:hAnsi="Arial"/>
          <w:sz w:val="16"/>
          <w:szCs w:val="16"/>
          <w:color w:val="auto"/>
        </w:rPr>
        <w:t>effective compared to other available therapies, they may not cover our drugs after approval as a benefit under their plans or, if they do, the level of payment may not be sufficient to allow us to sell our drugs on a profitable basis.</w:t>
      </w:r>
    </w:p>
    <w:p>
      <w:pPr>
        <w:spacing w:after="0" w:line="16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sale discounts off negotiated prices of applicable brand drugs to eligible beneficiaries during their coverage gap period, as a condition for the manufacturer’s outpatient drugs to be covered under Medicare Part D.</w:t>
      </w:r>
    </w:p>
    <w:p>
      <w:pPr>
        <w:spacing w:after="0" w:line="167"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triggering the legislation’s automatic reduction to several government programs. This includes aggregate reductions to Medicare payments to providers of up to 2% per fiscal year, started in April 2013, and, due to subsequent legislative amendments, will stay in effect through 2025 unless additional Congressional action is taken. On January 2, 2013, then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 In January 2017, Congress voted to adopt a budget resolution for fiscal year 2017, that while not a law, is widely viewed as the first step toward the passage of legislation that would repeal certain aspects of the Affordable Care Act.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Thus, in light of the stated policies of the new U.S. presidential administration, there is uncertainty with respect to the impact, if any, on the provisions of the Affordable Care Act affecting us. While any legislative and regulatory changes will likely take time to develop, and may or may not have an impact on the regulatory regime to which we are subject, we cannot predict the ultimate content, timing or effect of any healthcare reform legislation or the impact of potential legislation on us.</w:t>
      </w:r>
    </w:p>
    <w:p>
      <w:pPr>
        <w:spacing w:after="0" w:line="23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85" w:lineRule="exact"/>
        <w:rPr>
          <w:sz w:val="20"/>
          <w:szCs w:val="20"/>
          <w:color w:val="auto"/>
        </w:rPr>
      </w:pPr>
    </w:p>
    <w:p>
      <w:pPr>
        <w:ind w:right="40" w:firstLine="648"/>
        <w:spacing w:after="0" w:line="194" w:lineRule="exact"/>
        <w:rPr>
          <w:sz w:val="20"/>
          <w:szCs w:val="20"/>
          <w:color w:val="auto"/>
        </w:rPr>
      </w:pPr>
      <w:r>
        <w:rPr>
          <w:rFonts w:ascii="Arial" w:cs="Arial" w:eastAsia="Arial" w:hAnsi="Arial"/>
          <w:sz w:val="16"/>
          <w:szCs w:val="16"/>
          <w:color w:val="auto"/>
        </w:rPr>
        <w:t>We may also be subject to healthcare regulation and enforcement by the federal government and the states and foreign governments where we may market our product candidates, if approved. These laws include, without limitation, state and federal anti</w:t>
      </w:r>
      <w:r>
        <w:rPr>
          <w:rFonts w:ascii="MS PGothic" w:cs="MS PGothic" w:eastAsia="MS PGothic" w:hAnsi="MS PGothic"/>
          <w:sz w:val="16"/>
          <w:szCs w:val="16"/>
          <w:color w:val="auto"/>
        </w:rPr>
        <w:t>‑</w:t>
      </w:r>
      <w:r>
        <w:rPr>
          <w:rFonts w:ascii="Arial" w:cs="Arial" w:eastAsia="Arial" w:hAnsi="Arial"/>
          <w:sz w:val="16"/>
          <w:szCs w:val="16"/>
          <w:color w:val="auto"/>
        </w:rPr>
        <w:t>kickback, fraud and abuse, false claims, privacy and security and physician sunshine laws and regulations.</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Anti</w:t>
      </w:r>
      <w:r>
        <w:rPr>
          <w:rFonts w:ascii="MS PGothic" w:cs="MS PGothic" w:eastAsia="MS PGothic" w:hAnsi="MS PGothic"/>
          <w:sz w:val="17"/>
          <w:szCs w:val="17"/>
          <w:color w:val="auto"/>
        </w:rPr>
        <w:t>‑</w:t>
      </w:r>
      <w:r>
        <w:rPr>
          <w:rFonts w:ascii="Arial" w:cs="Arial" w:eastAsia="Arial" w:hAnsi="Arial"/>
          <w:sz w:val="17"/>
          <w:szCs w:val="17"/>
          <w:color w:val="auto"/>
        </w:rPr>
        <w:t>Kickback Statute is subject to evolving interpretations. In the past, the government has enforced the Anti</w:t>
      </w:r>
      <w:r>
        <w:rPr>
          <w:rFonts w:ascii="MS PGothic" w:cs="MS PGothic" w:eastAsia="MS PGothic" w:hAnsi="MS PGothic"/>
          <w:sz w:val="17"/>
          <w:szCs w:val="17"/>
          <w:color w:val="auto"/>
        </w:rPr>
        <w:t>‑</w:t>
      </w:r>
      <w:r>
        <w:rPr>
          <w:rFonts w:ascii="Arial" w:cs="Arial" w:eastAsia="Arial" w:hAnsi="Arial"/>
          <w:sz w:val="17"/>
          <w:szCs w:val="17"/>
          <w:color w:val="auto"/>
        </w:rPr>
        <w:t>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federal False Claims Act. The majority of states also have anti</w:t>
      </w:r>
      <w:r>
        <w:rPr>
          <w:rFonts w:ascii="MS PGothic" w:cs="MS PGothic" w:eastAsia="MS PGothic" w:hAnsi="MS PGothic"/>
          <w:sz w:val="17"/>
          <w:szCs w:val="17"/>
          <w:color w:val="auto"/>
        </w:rPr>
        <w:t>‑</w:t>
      </w:r>
      <w:r>
        <w:rPr>
          <w:rFonts w:ascii="Arial" w:cs="Arial" w:eastAsia="Arial" w:hAnsi="Arial"/>
          <w:sz w:val="17"/>
          <w:szCs w:val="17"/>
          <w:color w:val="auto"/>
        </w:rPr>
        <w:t>kickback laws, which establish similar prohibitions and in some cases may apply to items or services reimbursed by any third</w:t>
      </w:r>
      <w:r>
        <w:rPr>
          <w:rFonts w:ascii="MS PGothic" w:cs="MS PGothic" w:eastAsia="MS PGothic" w:hAnsi="MS PGothic"/>
          <w:sz w:val="17"/>
          <w:szCs w:val="17"/>
          <w:color w:val="auto"/>
        </w:rPr>
        <w:t>‑</w:t>
      </w:r>
      <w:r>
        <w:rPr>
          <w:rFonts w:ascii="Arial" w:cs="Arial" w:eastAsia="Arial" w:hAnsi="Arial"/>
          <w:sz w:val="17"/>
          <w:szCs w:val="17"/>
          <w:color w:val="auto"/>
        </w:rPr>
        <w:t>party payor, including commercial insurers.</w:t>
      </w:r>
    </w:p>
    <w:p>
      <w:pPr>
        <w:spacing w:after="0" w:line="167"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In addition, the civil False Claims Act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7" w:lineRule="exact"/>
        <w:rPr>
          <w:sz w:val="20"/>
          <w:szCs w:val="20"/>
          <w:color w:val="auto"/>
        </w:rPr>
      </w:pPr>
      <w:r>
        <w:rPr>
          <w:rFonts w:ascii="Arial" w:cs="Arial" w:eastAsia="Arial" w:hAnsi="Arial"/>
          <w:sz w:val="18"/>
          <w:szCs w:val="18"/>
          <w:color w:val="auto"/>
        </w:rPr>
        <w:t>products for unapproved uses and other sales and marketing practices. The government has obtained multi</w:t>
      </w:r>
      <w:r>
        <w:rPr>
          <w:rFonts w:ascii="MS PGothic" w:cs="MS PGothic" w:eastAsia="MS PGothic" w:hAnsi="MS PGothic"/>
          <w:sz w:val="18"/>
          <w:szCs w:val="18"/>
          <w:color w:val="auto"/>
        </w:rPr>
        <w:t>‑</w:t>
      </w:r>
      <w:r>
        <w:rPr>
          <w:rFonts w:ascii="Arial" w:cs="Arial" w:eastAsia="Arial" w:hAnsi="Arial"/>
          <w:sz w:val="18"/>
          <w:szCs w:val="18"/>
          <w:color w:val="auto"/>
        </w:rPr>
        <w:t>million and multi</w:t>
      </w:r>
      <w:r>
        <w:rPr>
          <w:rFonts w:ascii="MS PGothic" w:cs="MS PGothic" w:eastAsia="MS PGothic" w:hAnsi="MS PGothic"/>
          <w:sz w:val="18"/>
          <w:szCs w:val="18"/>
          <w:color w:val="auto"/>
        </w:rPr>
        <w:t>‑</w:t>
      </w:r>
      <w:r>
        <w:rPr>
          <w:rFonts w:ascii="Arial" w:cs="Arial" w:eastAsia="Arial" w:hAnsi="Arial"/>
          <w:sz w:val="18"/>
          <w:szCs w:val="18"/>
          <w:color w:val="auto"/>
        </w:rPr>
        <w:t>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62" w:lineRule="exact"/>
        <w:rPr>
          <w:sz w:val="20"/>
          <w:szCs w:val="20"/>
          <w:color w:val="auto"/>
        </w:rPr>
      </w:pPr>
    </w:p>
    <w:p>
      <w:pPr>
        <w:ind w:right="60" w:firstLine="648"/>
        <w:spacing w:after="0" w:line="182" w:lineRule="exact"/>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16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Certain states also mandate implementation of compliance programs, impose restrictions on drug manufacturer marketing practices and/or require the tracking and reporting of gifts, compensation and other remuneration to physicians.</w:t>
      </w:r>
    </w:p>
    <w:p>
      <w:pPr>
        <w:spacing w:after="0" w:line="16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thus complicating compliance efforts.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8"/>
          <w:szCs w:val="18"/>
          <w:color w:val="auto"/>
        </w:rPr>
        <w:t>As of February 28, 2017, we had 106 full</w:t>
      </w:r>
      <w:r>
        <w:rPr>
          <w:rFonts w:ascii="MS PGothic" w:cs="MS PGothic" w:eastAsia="MS PGothic" w:hAnsi="MS PGothic"/>
          <w:sz w:val="18"/>
          <w:szCs w:val="18"/>
          <w:color w:val="auto"/>
        </w:rPr>
        <w:t>‑</w:t>
      </w:r>
      <w:r>
        <w:rPr>
          <w:rFonts w:ascii="Arial" w:cs="Arial" w:eastAsia="Arial" w:hAnsi="Arial"/>
          <w:sz w:val="18"/>
          <w:szCs w:val="18"/>
          <w:color w:val="auto"/>
        </w:rPr>
        <w:t>time employees, including 41 employees with M.D. or Ph.D. degrees. Of these full</w:t>
      </w:r>
      <w:r>
        <w:rPr>
          <w:rFonts w:ascii="MS PGothic" w:cs="MS PGothic" w:eastAsia="MS PGothic" w:hAnsi="MS PGothic"/>
          <w:sz w:val="18"/>
          <w:szCs w:val="18"/>
          <w:color w:val="auto"/>
        </w:rPr>
        <w:t>‑</w:t>
      </w:r>
      <w:r>
        <w:rPr>
          <w:rFonts w:ascii="Arial" w:cs="Arial" w:eastAsia="Arial" w:hAnsi="Arial"/>
          <w:sz w:val="18"/>
          <w:szCs w:val="18"/>
          <w:color w:val="auto"/>
        </w:rPr>
        <w:t>time employees, 80 employees are engaged in research and development activities, and 26 are engaged in general and administrative activities. None of our employees is represented by a labor union or covered by a collective bargaining agreement. We consider our relationship with our employees to be good.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38 Sidney Street, Suite 200, Cambridge, Massachusetts 02139, and our telephone number is (617) 374-7580.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89"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find, copy and inspect information we file at the SEC’s public reference room, which is located at 100 F Street, N.E., Room 1580, Washington, DC 20549. Please call the SEC at 1-800-SEC-0330 for more information about the operation of the SEC’s public reference room. You can review our electronically filed reports and other information that we file with the SEC on the SEC’s website at http://www.sec.gov.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for our most advanced drug candidates, BLU-285, BLU-554 and BLU-667.</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are currently evaluating BLU-285 in an ongoing Phase 1 clinical trial for defined subsets of patients with gastrointestinal stromal tumors, or GIST, and an ongoing Phase 1 clinical trial for advanced systemic mastocytosis, or SM and BLU-554 in an ongoing Phase 1 clinical trial in patients with advanced hepatocellular carcinoma, or HCC. In addition, in December 2016, the U.S. Food and Drug Administration, or FDA, approved our Investigational New Drug, or IND, application for BLU-667 for the treatment of non-small cell lung cancer, or NSCLC, thyroid cancer and other advanced solid tumors, and we expect to initiate a Phase 1 clinical trial for BLU-667 for NSCLC, medullary thyroid cancer, or MTC, and other advanced solid tumors in the first half of 2017. In September 2015, the FDA granted orphan drug designation to BLU-554 for the treatment of HCC, and in January 2016, the FDA granted orphan drug designation to BLU-285 for the treatment of GIST and SM. In addition,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have never generated any revenue from drug sales. We have not obtained regulatory approvals for any of our drug candidates.</w:t>
      </w:r>
    </w:p>
    <w:p>
      <w:pPr>
        <w:spacing w:after="0" w:line="169" w:lineRule="exact"/>
        <w:rPr>
          <w:sz w:val="20"/>
          <w:szCs w:val="20"/>
          <w:color w:val="auto"/>
        </w:rPr>
      </w:pPr>
    </w:p>
    <w:p>
      <w:pPr>
        <w:ind w:firstLine="648"/>
        <w:spacing w:after="0" w:line="189"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3"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Since inception, we have focused substantially all of our efforts and financial resources on developing our proprietary compound library, novel target discovery engine and initial drug candidates. To date, we have financed our operations primarily through public offerings of our common stock, private placements of our convertible preferred stock, collaborations and a debt financing. Through December 31, 2016, we have received an aggregate of $501.3 million from such transactions, including $312.4 million in aggregate gross proceeds from the sale of common stock in our May 2015 initial public offering and December 2016 follow-on underwritten public offering, $115.1 million in gross proceeds from the issuance of convertible preferred stock, $18.8 million of upfront and milestone payments from Alexion Pharma Holding, or Alexion, a $45.0 million upfront payment from F. Hoffmann-La Roche Ltd and Hoffmann-La Roche Inc., which we refer to collectively as Roche, and $10.0 million in gross proceeds from the debt financing.</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have incurred net losses in each year since our inception, and as of December 31, 2016, we had an accumulated deficit of $207.5 million. Our net losses were $72.5 million, $52.8 million and $40.3 million for the years ended December 31, 2016, 2015 and 2014, respectively.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7"/>
          <w:szCs w:val="17"/>
          <w:color w:val="auto"/>
        </w:rPr>
        <w:t>‑</w:t>
      </w:r>
      <w:r>
        <w:rPr>
          <w:rFonts w:ascii="Arial" w:cs="Arial" w:eastAsia="Arial" w:hAnsi="Arial"/>
          <w:sz w:val="17"/>
          <w:szCs w:val="17"/>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62"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To date, we have not generated any revenue from our lead drug candidates,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and BLU-667, and we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BLU-667 or one of our other drug candidates. Our ability to generate revenue depends on a number of factors, including, but not limited to, our ability to:</w:t>
      </w:r>
    </w:p>
    <w:p>
      <w:pPr>
        <w:spacing w:after="0" w:line="162" w:lineRule="exact"/>
        <w:rPr>
          <w:sz w:val="20"/>
          <w:szCs w:val="20"/>
          <w:color w:val="auto"/>
        </w:rPr>
      </w:pPr>
    </w:p>
    <w:p>
      <w:pPr>
        <w:ind w:left="1060" w:hanging="85"/>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060" w:right="40" w:hanging="85"/>
        <w:spacing w:after="0" w:line="235"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060" w:right="360" w:hanging="85"/>
        <w:spacing w:after="0" w:line="235"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 party manufacturers for clinical supply and commercial manufacturing;</w:t>
      </w:r>
    </w:p>
    <w:p>
      <w:pPr>
        <w:spacing w:after="0" w:line="161" w:lineRule="exact"/>
        <w:rPr>
          <w:rFonts w:ascii="Arial" w:cs="Arial" w:eastAsia="Arial" w:hAnsi="Arial"/>
          <w:sz w:val="18"/>
          <w:szCs w:val="18"/>
          <w:color w:val="auto"/>
        </w:rPr>
      </w:pPr>
    </w:p>
    <w:p>
      <w:pPr>
        <w:ind w:left="1060" w:right="580" w:hanging="85"/>
        <w:spacing w:after="0" w:line="235"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1" w:lineRule="exact"/>
        <w:rPr>
          <w:rFonts w:ascii="Arial" w:cs="Arial" w:eastAsia="Arial" w:hAnsi="Arial"/>
          <w:sz w:val="18"/>
          <w:szCs w:val="18"/>
          <w:color w:val="auto"/>
        </w:rPr>
      </w:pPr>
    </w:p>
    <w:p>
      <w:pPr>
        <w:ind w:left="1060" w:hanging="85"/>
        <w:spacing w:after="0" w:line="196" w:lineRule="exact"/>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achieve market acceptance of our drug candidates in the medical community and with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96"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The development of pharmaceuticals is capital</w:t>
      </w:r>
      <w:r>
        <w:rPr>
          <w:rFonts w:ascii="MS PGothic" w:cs="MS PGothic" w:eastAsia="MS PGothic" w:hAnsi="MS PGothic"/>
          <w:sz w:val="17"/>
          <w:szCs w:val="17"/>
          <w:color w:val="auto"/>
        </w:rPr>
        <w:t>‑</w:t>
      </w:r>
      <w:r>
        <w:rPr>
          <w:rFonts w:ascii="Arial" w:cs="Arial" w:eastAsia="Arial" w:hAnsi="Arial"/>
          <w:sz w:val="17"/>
          <w:szCs w:val="17"/>
          <w:color w:val="auto"/>
        </w:rPr>
        <w:t>intensive. We are currently advancing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BLU</w:t>
      </w:r>
      <w:r>
        <w:rPr>
          <w:rFonts w:ascii="MS PGothic" w:cs="MS PGothic" w:eastAsia="MS PGothic" w:hAnsi="MS PGothic"/>
          <w:sz w:val="17"/>
          <w:szCs w:val="17"/>
          <w:color w:val="auto"/>
        </w:rPr>
        <w:t>‑</w:t>
      </w:r>
      <w:r>
        <w:rPr>
          <w:rFonts w:ascii="Arial" w:cs="Arial" w:eastAsia="Arial" w:hAnsi="Arial"/>
          <w:sz w:val="17"/>
          <w:szCs w:val="17"/>
          <w:color w:val="auto"/>
        </w:rPr>
        <w:t>554 and BLU-667,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Roche or other collaborators. We may also need to raise additional funds sooner if we choose to pursue additional indications 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3"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As of December 31, 2016, we had cash, cash equivalents and investments of $268.2 million. Based on our current plans, we expect that our existing cash, cash equivalents and investments, excluding any potential option fees and milestone payments under our existing collaborations, will be sufficient to enable us to fund our operating expenses and capital expenditure requirements into at least late 2018. Our future capital requirements will depend on and could increase significantly as a result of many factors, including:</w:t>
      </w:r>
    </w:p>
    <w:p>
      <w:pPr>
        <w:spacing w:after="0" w:line="162" w:lineRule="exact"/>
        <w:rPr>
          <w:sz w:val="20"/>
          <w:szCs w:val="20"/>
          <w:color w:val="auto"/>
        </w:rPr>
      </w:pPr>
    </w:p>
    <w:p>
      <w:pPr>
        <w:ind w:left="1060" w:right="500" w:hanging="85"/>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060" w:right="200" w:hanging="85"/>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collaborations with Alexion and Roche;</w:t>
      </w:r>
    </w:p>
    <w:p>
      <w:pPr>
        <w:spacing w:after="0" w:line="184" w:lineRule="exact"/>
        <w:rPr>
          <w:rFonts w:ascii="Arial" w:cs="Arial" w:eastAsia="Arial" w:hAnsi="Arial"/>
          <w:sz w:val="18"/>
          <w:szCs w:val="18"/>
          <w:color w:val="auto"/>
        </w:rPr>
      </w:pPr>
    </w:p>
    <w:p>
      <w:pPr>
        <w:ind w:left="1060" w:right="200" w:hanging="85"/>
        <w:spacing w:after="0" w:line="224"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current or future companion diagnostic test collaborations, including our companion diagnostic test with Ventana Medical Systems, Inc., or Ventana, for BLU-554 and our companion diagnostic test with QIAGEN Manchester Limited, or Qiagen, for BLU-285;</w:t>
      </w:r>
    </w:p>
    <w:p>
      <w:pPr>
        <w:spacing w:after="0" w:line="163" w:lineRule="exact"/>
        <w:rPr>
          <w:rFonts w:ascii="Arial" w:cs="Arial" w:eastAsia="Arial" w:hAnsi="Arial"/>
          <w:sz w:val="18"/>
          <w:szCs w:val="18"/>
          <w:color w:val="auto"/>
        </w:rPr>
      </w:pPr>
    </w:p>
    <w:p>
      <w:pPr>
        <w:ind w:left="1060" w:hanging="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4" w:lineRule="exact"/>
        <w:rPr>
          <w:rFonts w:ascii="Arial" w:cs="Arial" w:eastAsia="Arial" w:hAnsi="Arial"/>
          <w:sz w:val="18"/>
          <w:szCs w:val="18"/>
          <w:color w:val="auto"/>
        </w:rPr>
      </w:pPr>
    </w:p>
    <w:p>
      <w:pPr>
        <w:ind w:left="1060" w:right="780" w:hanging="85"/>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obtain;</w:t>
      </w:r>
    </w:p>
    <w:p>
      <w:pPr>
        <w:spacing w:after="0" w:line="161" w:lineRule="exact"/>
        <w:rPr>
          <w:rFonts w:ascii="Arial" w:cs="Arial" w:eastAsia="Arial" w:hAnsi="Arial"/>
          <w:sz w:val="18"/>
          <w:szCs w:val="18"/>
          <w:color w:val="auto"/>
        </w:rPr>
      </w:pPr>
    </w:p>
    <w:p>
      <w:pPr>
        <w:ind w:left="1060" w:right="280" w:hanging="85"/>
        <w:spacing w:after="0" w:line="235"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060" w:right="240" w:hanging="85"/>
        <w:spacing w:after="0" w:line="203" w:lineRule="exact"/>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1" w:lineRule="exact"/>
        <w:rPr>
          <w:rFonts w:ascii="Arial" w:cs="Arial" w:eastAsia="Arial" w:hAnsi="Arial"/>
          <w:sz w:val="18"/>
          <w:szCs w:val="18"/>
          <w:color w:val="auto"/>
        </w:rPr>
      </w:pPr>
    </w:p>
    <w:p>
      <w:pPr>
        <w:ind w:left="1060" w:hanging="85"/>
        <w:spacing w:after="0" w:line="207" w:lineRule="exact"/>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drug candidates and technologies;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 and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20" w:hanging="85"/>
        <w:spacing w:after="0" w:line="235"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drug candidates.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Alexion and Roche, each of which is limited in scope and duration, and funds already borrowed under the loan and security agreement that we entered into with Silicon Valley Bank in May 2013.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4"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b w:val="1"/>
          <w:bCs w:val="1"/>
          <w:i w:val="1"/>
          <w:iCs w:val="1"/>
          <w:color w:val="auto"/>
        </w:rPr>
        <w:t>We are very early in our development efforts with only three drug candidates, BLU-285, BLU-554 and BLU-667,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15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are very early in our development efforts with only three drug candidates, BLU-285, BLU-554 and BLU-667,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lead drug candidates,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BLU-667.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 tests, which are assays or tests to identify an appropriate patient population. For example, we have entered into agreements with Ventana to develop and commercialize a companion diagnostic test for BLU-554 that we expect to use to identify HCC patients with abberantly active FGFR4 signaling as indicated by FGF19 overexpression and Qiagen to develop and commercialize a companion diagnostic test for BLU-285 that we expect to use to identify GIST patients with the PDGFRα D842V mutation. Companion diagnostic tests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175" w:lineRule="exact"/>
        <w:rPr>
          <w:sz w:val="20"/>
          <w:szCs w:val="20"/>
          <w:color w:val="auto"/>
        </w:rPr>
      </w:pPr>
    </w:p>
    <w:p>
      <w:pPr>
        <w:ind w:left="1060" w:right="380" w:hanging="85"/>
        <w:spacing w:after="0" w:line="235"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Phase 1 clinical trials for BLU-285 and BLU-554 and our anticipated Phase 1 clinical trial for BLU-667;</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approval of INDs for future clinical trials for our other drug candidates;</w:t>
      </w:r>
    </w:p>
    <w:p>
      <w:pPr>
        <w:spacing w:after="0" w:line="184" w:lineRule="exact"/>
        <w:rPr>
          <w:rFonts w:ascii="Arial" w:cs="Arial" w:eastAsia="Arial" w:hAnsi="Arial"/>
          <w:sz w:val="18"/>
          <w:szCs w:val="18"/>
          <w:color w:val="auto"/>
        </w:rPr>
      </w:pPr>
    </w:p>
    <w:p>
      <w:pPr>
        <w:ind w:left="1060" w:right="100" w:hanging="85"/>
        <w:spacing w:after="0" w:line="224"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development of companion diagnostic tests for use with our drug candidates, including the development of a companion diagnostic test for BLU-554 for identifying HCC patients with FGF19 signaling and BLU-285 for identifying GIST patients with the PDGFRα D842V mutation;</w:t>
      </w:r>
    </w:p>
    <w:p>
      <w:pPr>
        <w:spacing w:after="0" w:line="163" w:lineRule="exact"/>
        <w:rPr>
          <w:rFonts w:ascii="Arial" w:cs="Arial" w:eastAsia="Arial" w:hAnsi="Arial"/>
          <w:sz w:val="18"/>
          <w:szCs w:val="18"/>
          <w:color w:val="auto"/>
        </w:rPr>
      </w:pPr>
    </w:p>
    <w:p>
      <w:pPr>
        <w:ind w:left="1080" w:hanging="105"/>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84" w:lineRule="exact"/>
        <w:rPr>
          <w:rFonts w:ascii="Arial" w:cs="Arial" w:eastAsia="Arial" w:hAnsi="Arial"/>
          <w:sz w:val="18"/>
          <w:szCs w:val="18"/>
          <w:color w:val="auto"/>
        </w:rPr>
      </w:pPr>
    </w:p>
    <w:p>
      <w:pPr>
        <w:ind w:left="1060" w:right="240" w:hanging="85"/>
        <w:spacing w:after="0" w:line="203" w:lineRule="exact"/>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for clinical supply and commercial manufacturing;</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obtaining and maintaining patent and trade secret protection or regulatory exclusivity for our drug candidates;</w:t>
      </w:r>
    </w:p>
    <w:p>
      <w:pPr>
        <w:spacing w:after="0" w:line="207" w:lineRule="exact"/>
        <w:rPr>
          <w:rFonts w:ascii="Arial" w:cs="Arial" w:eastAsia="Arial" w:hAnsi="Arial"/>
          <w:sz w:val="16"/>
          <w:szCs w:val="16"/>
          <w:color w:val="auto"/>
        </w:rPr>
      </w:pPr>
    </w:p>
    <w:p>
      <w:pPr>
        <w:ind w:left="1060" w:right="220" w:hanging="85"/>
        <w:spacing w:after="0" w:line="235"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060" w:right="160" w:hanging="85"/>
        <w:spacing w:after="0" w:line="235"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 party payors;</w:t>
      </w:r>
    </w:p>
    <w:p>
      <w:pPr>
        <w:spacing w:after="0" w:line="161" w:lineRule="exact"/>
        <w:rPr>
          <w:rFonts w:ascii="Arial" w:cs="Arial" w:eastAsia="Arial" w:hAnsi="Arial"/>
          <w:sz w:val="18"/>
          <w:szCs w:val="18"/>
          <w:color w:val="auto"/>
        </w:rPr>
      </w:pPr>
    </w:p>
    <w:p>
      <w:pPr>
        <w:ind w:left="1140" w:hanging="165"/>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80" w:hanging="10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Each of our lead drug candidates, BLU-285, BLU-554 and BLU-667, is in clinical development, and all of our other drug candidates are in pre-clinical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current Phase 1 clinical trials and future clinical trials may not be successful.</w:t>
      </w:r>
    </w:p>
    <w:p>
      <w:pPr>
        <w:spacing w:after="0" w:line="157"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are currently enrolling patients in our ongoing Phase 1 clinical trials for BLU-285 for the treatment of advanced GIST, BLU-285 for the treatment of advanced SM and BLU-554 for the treatment of advanced HCC. We expect to initiate a Phase 1 clinical trial for BLU-667 for the treatment of NSCLC, MTC and other advanced solid tumors in the first half of 2017.</w:t>
      </w:r>
    </w:p>
    <w:p>
      <w:pPr>
        <w:spacing w:after="0" w:line="136"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BLU</w:t>
      </w:r>
      <w:r>
        <w:rPr>
          <w:rFonts w:ascii="MS PGothic" w:cs="MS PGothic" w:eastAsia="MS PGothic" w:hAnsi="MS PGothic"/>
          <w:sz w:val="18"/>
          <w:szCs w:val="18"/>
          <w:color w:val="auto"/>
        </w:rPr>
        <w:t>‑</w:t>
      </w:r>
      <w:r>
        <w:rPr>
          <w:rFonts w:ascii="Arial" w:cs="Arial" w:eastAsia="Arial" w:hAnsi="Arial"/>
          <w:sz w:val="18"/>
          <w:szCs w:val="18"/>
          <w:color w:val="auto"/>
        </w:rPr>
        <w:t>285, BLU</w:t>
      </w:r>
      <w:r>
        <w:rPr>
          <w:rFonts w:ascii="MS PGothic" w:cs="MS PGothic" w:eastAsia="MS PGothic" w:hAnsi="MS PGothic"/>
          <w:sz w:val="18"/>
          <w:szCs w:val="18"/>
          <w:color w:val="auto"/>
        </w:rPr>
        <w:t>‑</w:t>
      </w:r>
      <w:r>
        <w:rPr>
          <w:rFonts w:ascii="Arial" w:cs="Arial" w:eastAsia="Arial" w:hAnsi="Arial"/>
          <w:sz w:val="18"/>
          <w:szCs w:val="18"/>
          <w:color w:val="auto"/>
        </w:rPr>
        <w:t>554, BLU-667 and our other drug candidates. We do not know whether any of our clinical trials for our lead drug candidates will be completed on schedule, if at all.</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34" w:lineRule="exact"/>
        <w:rPr>
          <w:sz w:val="20"/>
          <w:szCs w:val="20"/>
          <w:color w:val="auto"/>
        </w:rPr>
      </w:pPr>
    </w:p>
    <w:p>
      <w:pPr>
        <w:ind w:left="1060" w:right="860" w:hanging="85"/>
        <w:spacing w:after="0" w:line="25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060" w:right="220" w:hanging="85"/>
        <w:spacing w:after="0" w:line="25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 the terms of which</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can be subject to extensive negotiation and may vary significantly among different CROs and trial sites;</w:t>
      </w:r>
    </w:p>
    <w:p>
      <w:pPr>
        <w:spacing w:after="0" w:line="194" w:lineRule="exact"/>
        <w:rPr>
          <w:sz w:val="20"/>
          <w:szCs w:val="20"/>
          <w:color w:val="auto"/>
        </w:rPr>
      </w:pPr>
    </w:p>
    <w:p>
      <w:pPr>
        <w:ind w:left="1060" w:right="379" w:hanging="85"/>
        <w:spacing w:after="0" w:line="22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ind w:left="1060" w:right="399" w:hanging="85"/>
        <w:spacing w:after="0" w:line="194" w:lineRule="exact"/>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w:t>
      </w:r>
      <w:r>
        <w:rPr>
          <w:rFonts w:ascii="MS PGothic" w:cs="MS PGothic" w:eastAsia="MS PGothic" w:hAnsi="MS PGothic"/>
          <w:sz w:val="16"/>
          <w:szCs w:val="16"/>
          <w:color w:val="auto"/>
        </w:rPr>
        <w:t>‑</w:t>
      </w:r>
      <w:r>
        <w:rPr>
          <w:rFonts w:ascii="Arial" w:cs="Arial" w:eastAsia="Arial" w:hAnsi="Arial"/>
          <w:sz w:val="16"/>
          <w:szCs w:val="16"/>
          <w:color w:val="auto"/>
        </w:rPr>
        <w:t>treatment follow</w:t>
      </w:r>
      <w:r>
        <w:rPr>
          <w:rFonts w:ascii="MS PGothic" w:cs="MS PGothic" w:eastAsia="MS PGothic" w:hAnsi="MS PGothic"/>
          <w:sz w:val="16"/>
          <w:szCs w:val="16"/>
          <w:color w:val="auto"/>
        </w:rPr>
        <w:t>‑</w:t>
      </w:r>
      <w:r>
        <w:rPr>
          <w:rFonts w:ascii="Arial" w:cs="Arial" w:eastAsia="Arial" w:hAnsi="Arial"/>
          <w:sz w:val="16"/>
          <w:szCs w:val="16"/>
          <w:color w:val="auto"/>
        </w:rPr>
        <w:t>up at a higher rate than we anticipate;</w:t>
      </w:r>
    </w:p>
    <w:p>
      <w:pPr>
        <w:spacing w:after="0" w:line="149" w:lineRule="exact"/>
        <w:rPr>
          <w:rFonts w:ascii="Arial" w:cs="Arial" w:eastAsia="Arial" w:hAnsi="Arial"/>
          <w:sz w:val="16"/>
          <w:szCs w:val="16"/>
          <w:color w:val="auto"/>
        </w:rPr>
      </w:pPr>
    </w:p>
    <w:p>
      <w:pPr>
        <w:ind w:left="1060" w:right="79" w:hanging="85"/>
        <w:spacing w:after="0" w:line="224"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9" w:lineRule="exact"/>
        <w:rPr>
          <w:rFonts w:ascii="Arial" w:cs="Arial" w:eastAsia="Arial" w:hAnsi="Arial"/>
          <w:sz w:val="18"/>
          <w:szCs w:val="18"/>
          <w:color w:val="auto"/>
        </w:rPr>
      </w:pPr>
    </w:p>
    <w:p>
      <w:pPr>
        <w:jc w:val="both"/>
        <w:ind w:left="1060" w:right="99" w:hanging="85"/>
        <w:spacing w:after="0" w:line="238"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47" w:lineRule="exact"/>
        <w:rPr>
          <w:rFonts w:ascii="Arial" w:cs="Arial" w:eastAsia="Arial" w:hAnsi="Arial"/>
          <w:sz w:val="17"/>
          <w:szCs w:val="17"/>
          <w:color w:val="auto"/>
        </w:rPr>
      </w:pPr>
    </w:p>
    <w:p>
      <w:pPr>
        <w:ind w:left="1060" w:hanging="85"/>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rFonts w:ascii="Arial" w:cs="Arial" w:eastAsia="Arial" w:hAnsi="Arial"/>
          <w:sz w:val="18"/>
          <w:szCs w:val="18"/>
          <w:color w:val="auto"/>
        </w:rPr>
      </w:pPr>
    </w:p>
    <w:p>
      <w:pPr>
        <w:ind w:left="1060" w:right="139" w:hanging="85"/>
        <w:spacing w:after="0" w:line="235"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060" w:right="179" w:hanging="85"/>
        <w:spacing w:after="0" w:line="219"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9" w:lineRule="exact"/>
        <w:rPr>
          <w:rFonts w:ascii="Arial" w:cs="Arial" w:eastAsia="Arial" w:hAnsi="Arial"/>
          <w:sz w:val="18"/>
          <w:szCs w:val="18"/>
          <w:color w:val="auto"/>
        </w:rPr>
      </w:pPr>
    </w:p>
    <w:p>
      <w:pPr>
        <w:ind w:left="1060" w:right="59" w:hanging="85"/>
        <w:spacing w:after="0" w:line="235"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54" w:lineRule="exact"/>
        <w:rPr>
          <w:sz w:val="20"/>
          <w:szCs w:val="20"/>
          <w:color w:val="auto"/>
        </w:rPr>
      </w:pPr>
    </w:p>
    <w:p>
      <w:pPr>
        <w:jc w:val="both"/>
        <w:ind w:right="159"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080" w:hanging="105"/>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160" w:hanging="185"/>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71" w:lineRule="exact"/>
        <w:rPr>
          <w:rFonts w:ascii="Arial" w:cs="Arial" w:eastAsia="Arial" w:hAnsi="Arial"/>
          <w:sz w:val="18"/>
          <w:szCs w:val="18"/>
          <w:color w:val="auto"/>
        </w:rPr>
      </w:pPr>
    </w:p>
    <w:p>
      <w:pPr>
        <w:ind w:left="1120" w:hanging="145"/>
        <w:spacing w:after="0" w:line="207" w:lineRule="exact"/>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 subject to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have the drug removed from the market after obtaining marketing approval.</w:t>
      </w:r>
    </w:p>
    <w:p>
      <w:pPr>
        <w:spacing w:after="0" w:line="171" w:lineRule="exact"/>
        <w:rPr>
          <w:sz w:val="20"/>
          <w:szCs w:val="20"/>
          <w:color w:val="auto"/>
        </w:rPr>
      </w:pPr>
    </w:p>
    <w:p>
      <w:pPr>
        <w:ind w:right="59"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2" w:lineRule="exact"/>
        <w:rPr>
          <w:sz w:val="20"/>
          <w:szCs w:val="20"/>
          <w:color w:val="auto"/>
        </w:rPr>
      </w:pPr>
    </w:p>
    <w:p>
      <w:pPr>
        <w:ind w:right="479"/>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product candidate, or we may suspend or terminate one or more discovery programs or pre-clinical drug candidates or programs.</w:t>
      </w:r>
    </w:p>
    <w:p>
      <w:pPr>
        <w:spacing w:after="0" w:line="162" w:lineRule="exact"/>
        <w:rPr>
          <w:sz w:val="20"/>
          <w:szCs w:val="20"/>
          <w:color w:val="auto"/>
        </w:rPr>
      </w:pPr>
    </w:p>
    <w:p>
      <w:pPr>
        <w:ind w:right="59" w:firstLine="648"/>
        <w:spacing w:after="0" w:line="223" w:lineRule="auto"/>
        <w:rPr>
          <w:sz w:val="20"/>
          <w:szCs w:val="20"/>
          <w:color w:val="auto"/>
        </w:rPr>
      </w:pPr>
      <w:r>
        <w:rPr>
          <w:rFonts w:ascii="Arial" w:cs="Arial" w:eastAsia="Arial" w:hAnsi="Arial"/>
          <w:sz w:val="17"/>
          <w:szCs w:val="17"/>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or terminate one or more of our discovery programs or pre-clinical drug candidates or programs. For example, we have determined to suspend our discovery program for inhibitors of neurotrophic tyrosine receptor kinase, or NTRK, and predicted NTRK resistant mutants. If we suspend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35"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39" w:firstLine="648"/>
        <w:spacing w:after="0" w:line="212"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120" w:hanging="145"/>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which may lead to delays in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right="20" w:firstLine="648"/>
        <w:spacing w:after="0" w:line="218" w:lineRule="auto"/>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an agreements with Ventana to develop and commercialize a companion diagnostic test for BLU-554 in order to identify HCC patients with aberrantly active FGFR4 signaling as indicated by FGF19 overexpression and with Qiagen to develop and commercialize a companion diagnostic test for BLU-285 in order to identify GIST patients with the PDGFRα D842V mutation. We may engage third parties to develop companion diagnostic tests for use in some of our other current or future clinical trials. However, Ventana, Qiagen or other third parties may not be successful in developing such companion diagnostic tests, furthering the difficulty in identifying patients for our clinical trials. 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products or patients may become increasingly difficult to identify and access, all of which would adversely affect our business, prospects and ability to achieve or sustain profitability.</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the related companion diagnostic tests, we will not be able to commercialize, or will be delayed in commercializing, our drug candidates, and our ability to generate revenue will be materially impaired.</w:t>
      </w:r>
    </w:p>
    <w:p>
      <w:pPr>
        <w:spacing w:after="0" w:line="147" w:lineRule="exact"/>
        <w:rPr>
          <w:sz w:val="20"/>
          <w:szCs w:val="20"/>
          <w:color w:val="auto"/>
        </w:rPr>
      </w:pPr>
    </w:p>
    <w:p>
      <w:pPr>
        <w:ind w:right="20" w:firstLine="648"/>
        <w:spacing w:after="0" w:line="218" w:lineRule="auto"/>
        <w:rPr>
          <w:sz w:val="20"/>
          <w:szCs w:val="20"/>
          <w:color w:val="auto"/>
        </w:rPr>
      </w:pPr>
      <w:r>
        <w:rPr>
          <w:rFonts w:ascii="Arial" w:cs="Arial" w:eastAsia="Arial" w:hAnsi="Arial"/>
          <w:sz w:val="17"/>
          <w:szCs w:val="17"/>
          <w:color w:val="auto"/>
        </w:rPr>
        <w:t>Our drug candidates and the related companion diagnostic tests, including the companion diagnostic tests that we are developing with Ventana for BLU-554 in order to identify HCC patients with aberrantly active FGFR4 signaling as indicated by FGF19 overexpression and with Qiagen for BLU-285 in order to identify GIST patients with the PDGFRα D842V mutation,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 tests, including the companion diagnostic tests that we are developing with Ventana for BLU-554 and with Qiagen for BLU-285. We have not received approval to market any of our drug candidates or related companion diagnostic tests from regulatory authorities in any jurisdiction and it is possible that none of our drug candidates or any drug candidates or related companion diagnostic tests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76"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185" w:lineRule="exact"/>
        <w:rPr>
          <w:sz w:val="20"/>
          <w:szCs w:val="20"/>
          <w:color w:val="auto"/>
        </w:rPr>
      </w:pPr>
      <w:r>
        <w:rPr>
          <w:rFonts w:ascii="Arial" w:cs="Arial" w:eastAsia="Arial" w:hAnsi="Arial"/>
          <w:sz w:val="18"/>
          <w:szCs w:val="18"/>
          <w:color w:val="auto"/>
        </w:rPr>
        <w:t>changes in regulatory review for each submitted NDA for a drug candidate, Pre</w:t>
      </w:r>
      <w:r>
        <w:rPr>
          <w:rFonts w:ascii="MS PGothic" w:cs="MS PGothic" w:eastAsia="MS PGothic" w:hAnsi="MS PGothic"/>
          <w:sz w:val="18"/>
          <w:szCs w:val="18"/>
          <w:color w:val="auto"/>
        </w:rPr>
        <w:t>‑</w:t>
      </w:r>
      <w:r>
        <w:rPr>
          <w:rFonts w:ascii="Arial" w:cs="Arial" w:eastAsia="Arial" w:hAnsi="Arial"/>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2" w:lineRule="exact"/>
        <w:rPr>
          <w:sz w:val="20"/>
          <w:szCs w:val="20"/>
          <w:color w:val="auto"/>
        </w:rPr>
      </w:pPr>
    </w:p>
    <w:p>
      <w:pPr>
        <w:ind w:left="1060" w:right="160" w:hanging="85"/>
        <w:spacing w:after="0" w:line="23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1" w:lineRule="exact"/>
        <w:rPr>
          <w:rFonts w:ascii="Arial" w:cs="Arial" w:eastAsia="Arial" w:hAnsi="Arial"/>
          <w:sz w:val="18"/>
          <w:szCs w:val="18"/>
          <w:color w:val="auto"/>
        </w:rPr>
      </w:pPr>
    </w:p>
    <w:p>
      <w:pPr>
        <w:jc w:val="both"/>
        <w:ind w:left="1060" w:right="140" w:hanging="85"/>
        <w:spacing w:after="0" w:line="224"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63" w:lineRule="exact"/>
        <w:rPr>
          <w:rFonts w:ascii="Arial" w:cs="Arial" w:eastAsia="Arial" w:hAnsi="Arial"/>
          <w:sz w:val="18"/>
          <w:szCs w:val="18"/>
          <w:color w:val="auto"/>
        </w:rPr>
      </w:pPr>
    </w:p>
    <w:p>
      <w:pPr>
        <w:ind w:left="1060" w:right="840" w:hanging="85"/>
        <w:spacing w:after="0" w:line="23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be unable to demonstrate that a drug candidate’s clinical and other benefits outweigh its safety risks;</w:t>
      </w:r>
    </w:p>
    <w:p>
      <w:pPr>
        <w:spacing w:after="0" w:line="207" w:lineRule="exact"/>
        <w:rPr>
          <w:rFonts w:ascii="Arial" w:cs="Arial" w:eastAsia="Arial" w:hAnsi="Arial"/>
          <w:sz w:val="16"/>
          <w:szCs w:val="16"/>
          <w:color w:val="auto"/>
        </w:rPr>
      </w:pPr>
    </w:p>
    <w:p>
      <w:pPr>
        <w:ind w:left="1060" w:right="220" w:hanging="85"/>
        <w:spacing w:after="0" w:line="23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060" w:right="60" w:hanging="85"/>
        <w:spacing w:after="0" w:line="289" w:lineRule="auto"/>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124" w:lineRule="exact"/>
        <w:rPr>
          <w:rFonts w:ascii="Arial" w:cs="Arial" w:eastAsia="Arial" w:hAnsi="Arial"/>
          <w:sz w:val="16"/>
          <w:szCs w:val="16"/>
          <w:color w:val="auto"/>
        </w:rPr>
      </w:pPr>
    </w:p>
    <w:p>
      <w:pPr>
        <w:ind w:left="1060" w:right="400" w:hanging="85"/>
        <w:spacing w:after="0" w:line="203" w:lineRule="exact"/>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with which we contract for clinical and commercial supplies; and</w:t>
      </w:r>
    </w:p>
    <w:p>
      <w:pPr>
        <w:spacing w:after="0" w:line="162" w:lineRule="exact"/>
        <w:rPr>
          <w:rFonts w:ascii="Arial" w:cs="Arial" w:eastAsia="Arial" w:hAnsi="Arial"/>
          <w:sz w:val="16"/>
          <w:szCs w:val="16"/>
          <w:color w:val="auto"/>
        </w:rPr>
      </w:pPr>
    </w:p>
    <w:p>
      <w:pPr>
        <w:ind w:left="1060" w:right="60" w:hanging="85"/>
        <w:spacing w:after="0" w:line="235"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6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20" w:firstLine="648"/>
        <w:spacing w:after="0" w:line="239" w:lineRule="auto"/>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spacing w:after="0" w:line="194" w:lineRule="exact"/>
        <w:rPr>
          <w:sz w:val="20"/>
          <w:szCs w:val="20"/>
          <w:color w:val="auto"/>
        </w:rPr>
      </w:pPr>
      <w:r>
        <w:rPr>
          <w:rFonts w:ascii="Arial" w:cs="Arial" w:eastAsia="Arial" w:hAnsi="Arial"/>
          <w:sz w:val="18"/>
          <w:szCs w:val="18"/>
          <w:color w:val="auto"/>
        </w:rPr>
        <w:t>drug</w:t>
      </w:r>
      <w:r>
        <w:rPr>
          <w:rFonts w:ascii="MS PGothic" w:cs="MS PGothic" w:eastAsia="MS PGothic" w:hAnsi="MS PGothic"/>
          <w:sz w:val="18"/>
          <w:szCs w:val="18"/>
          <w:color w:val="auto"/>
        </w:rPr>
        <w:t>‑</w:t>
      </w:r>
      <w:r>
        <w:rPr>
          <w:rFonts w:ascii="Arial" w:cs="Arial" w:eastAsia="Arial" w:hAnsi="Arial"/>
          <w:sz w:val="18"/>
          <w:szCs w:val="18"/>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1060" w:hanging="85"/>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060" w:right="680" w:hanging="85"/>
        <w:spacing w:after="0" w:line="23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060" w:right="420" w:hanging="85"/>
        <w:spacing w:after="0" w:line="23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1" w:lineRule="exact"/>
        <w:rPr>
          <w:rFonts w:ascii="Arial" w:cs="Arial" w:eastAsia="Arial" w:hAnsi="Arial"/>
          <w:sz w:val="18"/>
          <w:szCs w:val="18"/>
          <w:color w:val="auto"/>
        </w:rPr>
      </w:pPr>
    </w:p>
    <w:p>
      <w:pPr>
        <w:ind w:left="1060" w:hanging="85"/>
        <w:spacing w:after="0" w:line="23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conduct additional clinical trials or change the labeling of the drug candidates;</w:t>
      </w:r>
    </w:p>
    <w:p>
      <w:pPr>
        <w:spacing w:after="0" w:line="161" w:lineRule="exact"/>
        <w:rPr>
          <w:rFonts w:ascii="Arial" w:cs="Arial" w:eastAsia="Arial" w:hAnsi="Arial"/>
          <w:sz w:val="18"/>
          <w:szCs w:val="18"/>
          <w:color w:val="auto"/>
        </w:rPr>
      </w:pPr>
    </w:p>
    <w:p>
      <w:pPr>
        <w:ind w:left="1060" w:right="60" w:hanging="85"/>
        <w:spacing w:after="0" w:line="238"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61" w:lineRule="exact"/>
        <w:rPr>
          <w:rFonts w:ascii="Arial" w:cs="Arial" w:eastAsia="Arial" w:hAnsi="Arial"/>
          <w:sz w:val="17"/>
          <w:szCs w:val="17"/>
          <w:color w:val="auto"/>
        </w:rPr>
      </w:pPr>
    </w:p>
    <w:p>
      <w:pPr>
        <w:ind w:left="1060" w:hanging="85"/>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could be sued and held liable for injury caused to individuals exposed to or taking our drug candidates; and</w:t>
      </w:r>
    </w:p>
    <w:p>
      <w:pPr>
        <w:spacing w:after="0" w:line="207" w:lineRule="exact"/>
        <w:rPr>
          <w:rFonts w:ascii="Arial" w:cs="Arial" w:eastAsia="Arial" w:hAnsi="Arial"/>
          <w:sz w:val="16"/>
          <w:szCs w:val="16"/>
          <w:color w:val="auto"/>
        </w:rPr>
      </w:pPr>
    </w:p>
    <w:p>
      <w:pPr>
        <w:ind w:left="1220" w:hanging="24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jc w:val="both"/>
        <w:ind w:right="620"/>
        <w:spacing w:after="0" w:line="224"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7"/>
          <w:szCs w:val="17"/>
          <w:color w:val="auto"/>
        </w:rPr>
        <w:t>We may seek a breakthrough therapy designation for some of our drug candidates. A breakthrough therapy is defined as a drug that is intended, alone or in combination with one or more other drugs, to treat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disease or condition, and preliminary clinical evidence indicates that the drug may demonstrate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1"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may also seek fast track designation for some of our other drug candidates. If a drug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BLU-285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66"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While we have received orphan drug designation for two of our lead drug candidates, BLU-285 and BLU-554,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In September 2015, the FDA granted orphan drug designation to BLU-554 for the treatment of HCC, and in January 2016, the FDA granted orphan drug designation to BLU-285 for the treatment of GIST and SM.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164"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6"/>
          <w:szCs w:val="16"/>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6"/>
          <w:szCs w:val="16"/>
          <w:color w:val="auto"/>
        </w:rPr>
        <w:t>‑</w:t>
      </w:r>
      <w:r>
        <w:rPr>
          <w:rFonts w:ascii="Arial" w:cs="Arial" w:eastAsia="Arial" w:hAnsi="Arial"/>
          <w:sz w:val="16"/>
          <w:szCs w:val="16"/>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6"/>
          <w:szCs w:val="16"/>
          <w:color w:val="auto"/>
        </w:rPr>
        <w:t>‑</w:t>
      </w:r>
      <w:r>
        <w:rPr>
          <w:rFonts w:ascii="Arial" w:cs="Arial" w:eastAsia="Arial" w:hAnsi="Arial"/>
          <w:sz w:val="16"/>
          <w:szCs w:val="16"/>
          <w:color w:val="auto"/>
        </w:rPr>
        <w:t>threatening, seriously debilitating or serious and chronic condition and when, without incentives, it is unlikely that sales of the drug in the European Union would be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sufficient to justify the necessary investment in developing the drug. In the European Union, orphan drug designation entitles a party to financial incentives such as reduction of fees or fee waivers.</w:t>
      </w:r>
    </w:p>
    <w:p>
      <w:pPr>
        <w:spacing w:after="0" w:line="162"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BLU-554 for the treatment of HCC and BLU -285 for the treatment of GIST and SM, we may never receive such designations. Even if we receive orphan drug designation for any of our drug candidates, there is no guarantee that we will enjoy the benefits of those designations.</w:t>
      </w:r>
    </w:p>
    <w:p>
      <w:pPr>
        <w:spacing w:after="0" w:line="16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w:t>
      </w:r>
    </w:p>
    <w:p>
      <w:pPr>
        <w:spacing w:after="0" w:line="229" w:lineRule="auto"/>
        <w:rPr>
          <w:sz w:val="20"/>
          <w:szCs w:val="20"/>
          <w:color w:val="auto"/>
        </w:rPr>
      </w:pPr>
      <w:r>
        <w:rPr>
          <w:rFonts w:ascii="Arial" w:cs="Arial" w:eastAsia="Arial" w:hAnsi="Arial"/>
          <w:sz w:val="16"/>
          <w:szCs w:val="16"/>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Arial" w:cs="Arial" w:eastAsia="Arial" w:hAnsi="Arial"/>
          <w:sz w:val="18"/>
          <w:szCs w:val="18"/>
          <w:color w:val="auto"/>
        </w:rPr>
        <w:t>and other post</w:t>
      </w:r>
      <w:r>
        <w:rPr>
          <w:rFonts w:ascii="MS PGothic" w:cs="MS PGothic" w:eastAsia="MS PGothic" w:hAnsi="MS PGothic"/>
          <w:sz w:val="18"/>
          <w:szCs w:val="18"/>
          <w:color w:val="auto"/>
        </w:rPr>
        <w:t>‑</w:t>
      </w:r>
      <w:r>
        <w:rPr>
          <w:rFonts w:ascii="Arial" w:cs="Arial" w:eastAsia="Arial" w:hAnsi="Arial"/>
          <w:sz w:val="18"/>
          <w:szCs w:val="18"/>
          <w:color w:val="auto"/>
        </w:rPr>
        <w:t>marketing information and reports, registration, as well as continued compliance with current Good</w:t>
      </w:r>
    </w:p>
    <w:p>
      <w:pPr>
        <w:spacing w:after="0" w:line="204" w:lineRule="auto"/>
        <w:rPr>
          <w:sz w:val="20"/>
          <w:szCs w:val="20"/>
          <w:color w:val="auto"/>
        </w:rPr>
      </w:pPr>
      <w:r>
        <w:rPr>
          <w:rFonts w:ascii="Arial" w:cs="Arial" w:eastAsia="Arial" w:hAnsi="Arial"/>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Any regulatory approvals that we receive for our drug candidates may also be subject to limitations on the</w:t>
      </w:r>
    </w:p>
    <w:p>
      <w:pPr>
        <w:spacing w:after="0" w:line="229" w:lineRule="auto"/>
        <w:rPr>
          <w:sz w:val="20"/>
          <w:szCs w:val="20"/>
          <w:color w:val="auto"/>
        </w:rPr>
      </w:pPr>
      <w:r>
        <w:rPr>
          <w:rFonts w:ascii="Arial" w:cs="Arial" w:eastAsia="Arial" w:hAnsi="Arial"/>
          <w:sz w:val="16"/>
          <w:szCs w:val="16"/>
          <w:color w:val="auto"/>
        </w:rPr>
        <w:t>approved indicated uses for which the drug may be marketed or to the conditions of approval, or contain requirements for</w:t>
      </w:r>
    </w:p>
    <w:p>
      <w:pPr>
        <w:spacing w:after="0" w:line="176" w:lineRule="exact"/>
        <w:rPr>
          <w:sz w:val="20"/>
          <w:szCs w:val="20"/>
          <w:color w:val="auto"/>
        </w:rPr>
      </w:pPr>
      <w:r>
        <w:rPr>
          <w:rFonts w:ascii="Arial" w:cs="Arial" w:eastAsia="Arial" w:hAnsi="Arial"/>
          <w:sz w:val="16"/>
          <w:szCs w:val="16"/>
          <w:color w:val="auto"/>
        </w:rPr>
        <w:t>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w:t>
      </w:r>
    </w:p>
    <w:p>
      <w:pPr>
        <w:spacing w:after="0" w:line="229" w:lineRule="auto"/>
        <w:rPr>
          <w:sz w:val="20"/>
          <w:szCs w:val="20"/>
          <w:color w:val="auto"/>
        </w:rPr>
      </w:pPr>
      <w:r>
        <w:rPr>
          <w:rFonts w:ascii="Arial" w:cs="Arial" w:eastAsia="Arial" w:hAnsi="Arial"/>
          <w:sz w:val="16"/>
          <w:szCs w:val="16"/>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Arial" w:cs="Arial" w:eastAsia="Arial" w:hAnsi="Arial"/>
          <w:sz w:val="17"/>
          <w:szCs w:val="17"/>
          <w:color w:val="auto"/>
        </w:rPr>
        <w:t>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requirements, may result in, among other things:</w:t>
      </w:r>
    </w:p>
    <w:p>
      <w:pPr>
        <w:spacing w:after="0" w:line="169" w:lineRule="exact"/>
        <w:rPr>
          <w:sz w:val="20"/>
          <w:szCs w:val="20"/>
          <w:color w:val="auto"/>
        </w:rPr>
      </w:pPr>
    </w:p>
    <w:p>
      <w:pPr>
        <w:ind w:left="1060" w:right="620" w:hanging="85"/>
        <w:spacing w:after="0" w:line="23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120" w:hanging="145"/>
        <w:spacing w:after="0"/>
        <w:tabs>
          <w:tab w:leader="none" w:pos="11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060" w:right="260" w:hanging="85"/>
        <w:spacing w:after="0" w:line="23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19"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35"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09" w:lineRule="exact"/>
        <w:rPr>
          <w:sz w:val="20"/>
          <w:szCs w:val="20"/>
          <w:color w:val="auto"/>
        </w:rPr>
      </w:pPr>
    </w:p>
    <w:p>
      <w:pPr>
        <w:ind w:right="100" w:firstLine="648"/>
        <w:spacing w:after="0" w:line="234" w:lineRule="auto"/>
        <w:rPr>
          <w:sz w:val="20"/>
          <w:szCs w:val="20"/>
          <w:color w:val="auto"/>
        </w:rPr>
      </w:pPr>
      <w:r>
        <w:rPr>
          <w:rFonts w:ascii="Arial" w:cs="Arial" w:eastAsia="Arial" w:hAnsi="Arial"/>
          <w:sz w:val="16"/>
          <w:szCs w:val="16"/>
          <w:color w:val="auto"/>
        </w:rPr>
        <w:t>The precise incidence and prevalence for SM, GIST, HCC and RET-driven NSCLC and MTC are unknown. Our projections of both the number of people who have these diseases, as well as the subset of people with these diseases who have the potential to benefit from treatment with our drug candidates, are based on estimates. We estimate that in the United States, France, Germany, Italy, Spain, the United Kingdom and Japan, or the Major Markets, there are approximately:</w:t>
      </w:r>
    </w:p>
    <w:p>
      <w:pPr>
        <w:ind w:left="220" w:hanging="217"/>
        <w:spacing w:after="0" w:line="204"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4,100 patients with advanced forms of SM, including smoldering SM, who have the KIT D816V mutation;</w:t>
      </w:r>
    </w:p>
    <w:p>
      <w:pPr>
        <w:ind w:firstLine="3"/>
        <w:spacing w:after="0" w:line="185" w:lineRule="exact"/>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500 patients with PDGFRα D842V</w:t>
      </w:r>
      <w:r>
        <w:rPr>
          <w:rFonts w:ascii="MS PGothic" w:cs="MS PGothic" w:eastAsia="MS PGothic" w:hAnsi="MS PGothic"/>
          <w:sz w:val="18"/>
          <w:szCs w:val="18"/>
          <w:color w:val="auto"/>
        </w:rPr>
        <w:t>‑</w:t>
      </w:r>
      <w:r>
        <w:rPr>
          <w:rFonts w:ascii="Arial" w:cs="Arial" w:eastAsia="Arial" w:hAnsi="Arial"/>
          <w:sz w:val="18"/>
          <w:szCs w:val="18"/>
          <w:color w:val="auto"/>
        </w:rPr>
        <w:t>driven GIST; (iii) 6,300 second line and third line patients with KIT-driven GIST; (iv) 18,900 first line and approximately 8,000 second line HCC patients with aberrantly active FGFR4 signaling, as indicated by FGF19 overexpression; and (iv) 10,000 patients with RET-driven NSCLC and approximately 600 patients with RET-driven MTC.</w:t>
      </w:r>
    </w:p>
    <w:p>
      <w:pPr>
        <w:spacing w:after="0" w:line="110" w:lineRule="exact"/>
        <w:rPr>
          <w:sz w:val="20"/>
          <w:szCs w:val="20"/>
          <w:color w:val="auto"/>
        </w:rPr>
      </w:pPr>
    </w:p>
    <w:p>
      <w:pPr>
        <w:ind w:right="60" w:firstLine="648"/>
        <w:spacing w:after="0" w:line="182" w:lineRule="exact"/>
        <w:rPr>
          <w:sz w:val="20"/>
          <w:szCs w:val="20"/>
          <w:color w:val="auto"/>
        </w:rPr>
      </w:pPr>
      <w:r>
        <w:rPr>
          <w:rFonts w:ascii="Arial" w:cs="Arial" w:eastAsia="Arial" w:hAnsi="Arial"/>
          <w:sz w:val="16"/>
          <w:szCs w:val="16"/>
          <w:color w:val="auto"/>
        </w:rPr>
        <w:t>The total addressable market opportunity for BLU</w:t>
      </w:r>
      <w:r>
        <w:rPr>
          <w:rFonts w:ascii="MS PGothic" w:cs="MS PGothic" w:eastAsia="MS PGothic" w:hAnsi="MS PGothic"/>
          <w:sz w:val="16"/>
          <w:szCs w:val="16"/>
          <w:color w:val="auto"/>
        </w:rPr>
        <w:t>‑</w:t>
      </w:r>
      <w:r>
        <w:rPr>
          <w:rFonts w:ascii="Arial" w:cs="Arial" w:eastAsia="Arial" w:hAnsi="Arial"/>
          <w:sz w:val="16"/>
          <w:szCs w:val="16"/>
          <w:color w:val="auto"/>
        </w:rPr>
        <w:t>285 for the treatment of patients with SM and GIST, BLU</w:t>
      </w:r>
      <w:r>
        <w:rPr>
          <w:rFonts w:ascii="MS PGothic" w:cs="MS PGothic" w:eastAsia="MS PGothic" w:hAnsi="MS PGothic"/>
          <w:sz w:val="16"/>
          <w:szCs w:val="16"/>
          <w:color w:val="auto"/>
        </w:rPr>
        <w:t>‑</w:t>
      </w:r>
      <w:r>
        <w:rPr>
          <w:rFonts w:ascii="Arial" w:cs="Arial" w:eastAsia="Arial" w:hAnsi="Arial"/>
          <w:sz w:val="16"/>
          <w:szCs w:val="16"/>
          <w:color w:val="auto"/>
        </w:rPr>
        <w:t>554 for the treatment of HCC patients with aberrantly active FGFR4 signaling and BLU-667 for the treatment of patients with NSCLC and MTC will ultimately depend upon, among other things, the diagnosis criteria included in the final label for each of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BLU-667,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08"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4"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BLU</w:t>
      </w:r>
      <w:r>
        <w:rPr>
          <w:rFonts w:ascii="MS PGothic" w:cs="MS PGothic" w:eastAsia="MS PGothic" w:hAnsi="MS PGothic"/>
          <w:sz w:val="17"/>
          <w:szCs w:val="17"/>
          <w:color w:val="auto"/>
        </w:rPr>
        <w:t>‑</w:t>
      </w:r>
      <w:r>
        <w:rPr>
          <w:rFonts w:ascii="Arial" w:cs="Arial" w:eastAsia="Arial" w:hAnsi="Arial"/>
          <w:sz w:val="17"/>
          <w:szCs w:val="17"/>
          <w:color w:val="auto"/>
        </w:rPr>
        <w:t>285 receives marketing approval for advanced SM, GIST and/or for GIST patients with the PDGFRα D842V mutation, it may face competition from other drug candidates in development for these indications, including drug candidates in development by AB Science S.A., AROG Pharmaceuticals, Inc., ARIAD Pharmaceuticals, Inc.,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Takeda Pharmaceutical Company Limited, Deciphera Pharmaceuticals, LLC, Kolltan Pharmaceuticals, Inc., Novartis AG and Plexxikon Inc.,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Daiichi Sankyo Company, Limited. Further, if BLU</w:t>
      </w:r>
      <w:r>
        <w:rPr>
          <w:rFonts w:ascii="MS PGothic" w:cs="MS PGothic" w:eastAsia="MS PGothic" w:hAnsi="MS PGothic"/>
          <w:sz w:val="17"/>
          <w:szCs w:val="17"/>
          <w:color w:val="auto"/>
        </w:rPr>
        <w:t>‑</w:t>
      </w:r>
      <w:r>
        <w:rPr>
          <w:rFonts w:ascii="Arial" w:cs="Arial" w:eastAsia="Arial" w:hAnsi="Arial"/>
          <w:sz w:val="17"/>
          <w:szCs w:val="17"/>
          <w:color w:val="auto"/>
        </w:rPr>
        <w:t>554 receives marketing approval for patients with HCC with FGF19 overexpression, it will face competition from sorafenib, the only approved systemic medical therapy for HCC. In addition, BLU-554 may face competition from other drug candidates in development by AstraZeneca plc, Bayer AG, Celgene Corporation, Eisai Inc., H3 Biomedicine Inc., Incyte Corporation, Johnson &amp; Johnson, Novartis AG, Sanofi S.A., Taiho Pharmaceutical Co., Ltd. and Xoma Ltd. If BLU-667 receives marketing approval for patients with RET or mutations, it may face competition from other drug candidates in development, including drug candidates in development by ARIAD Pharmaceuticals, Inc., a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Takeda Pharmaceutical Company Limited, AstraZeneca plc, Eisai Inc., Exelixis, Inc., GlaxoSmithKline plc, Ignyta, Inc., Loxo Oncology, Inc., Mirati Therapeutics, Inc., Novartis AG, Pfizer Inc. and Roche.</w:t>
      </w:r>
    </w:p>
    <w:p>
      <w:pPr>
        <w:spacing w:after="0" w:line="108"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13"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 tests in guiding the use of related drugs, the level of generic competition and the availability of reimbursement from government and other third</w:t>
      </w:r>
      <w:r>
        <w:rPr>
          <w:rFonts w:ascii="MS PGothic" w:cs="MS PGothic" w:eastAsia="MS PGothic" w:hAnsi="MS PGothic"/>
          <w:sz w:val="17"/>
          <w:szCs w:val="17"/>
          <w:color w:val="auto"/>
        </w:rPr>
        <w:t>‑</w:t>
      </w:r>
      <w:r>
        <w:rPr>
          <w:rFonts w:ascii="Arial" w:cs="Arial" w:eastAsia="Arial" w:hAnsi="Arial"/>
          <w:sz w:val="17"/>
          <w:szCs w:val="17"/>
          <w:color w:val="auto"/>
        </w:rPr>
        <w:t>party payors.</w:t>
      </w:r>
    </w:p>
    <w:p>
      <w:pPr>
        <w:spacing w:after="0" w:line="16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360" w:firstLine="648"/>
        <w:spacing w:after="0" w:line="232" w:lineRule="auto"/>
        <w:rPr>
          <w:sz w:val="20"/>
          <w:szCs w:val="20"/>
          <w:color w:val="auto"/>
        </w:rPr>
      </w:pPr>
      <w:r>
        <w:rPr>
          <w:rFonts w:ascii="Arial" w:cs="Arial" w:eastAsia="Arial" w:hAnsi="Arial"/>
          <w:sz w:val="17"/>
          <w:szCs w:val="17"/>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3" w:lineRule="exact"/>
        <w:rPr>
          <w:sz w:val="20"/>
          <w:szCs w:val="20"/>
          <w:color w:val="auto"/>
        </w:rPr>
      </w:pPr>
    </w:p>
    <w:p>
      <w:pPr>
        <w:ind w:left="4440" w:right="3320" w:hanging="3465"/>
        <w:spacing w:after="0" w:line="731" w:lineRule="auto"/>
        <w:tabs>
          <w:tab w:leader="none" w:pos="10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80" w:hanging="105"/>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auto"/>
        </w:rPr>
      </w:pPr>
    </w:p>
    <w:p>
      <w:pPr>
        <w:ind w:left="1280" w:hanging="305"/>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79"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239"/>
        <w:spacing w:after="0" w:line="224" w:lineRule="auto"/>
        <w:rPr>
          <w:sz w:val="20"/>
          <w:szCs w:val="20"/>
          <w:color w:val="auto"/>
        </w:rPr>
      </w:pPr>
      <w:r>
        <w:rPr>
          <w:rFonts w:ascii="Arial" w:cs="Arial" w:eastAsia="Arial" w:hAnsi="Arial"/>
          <w:sz w:val="18"/>
          <w:szCs w:val="18"/>
          <w:b w:val="1"/>
          <w:bCs w:val="1"/>
          <w:i w:val="1"/>
          <w:iCs w:val="1"/>
          <w:color w:val="auto"/>
        </w:rPr>
        <w:t>If we or our collaborators, including Ventana and Qiagen, are unable to successfully develop and commercialize companion diagnostic tests for our drug candidates, or experience significant delays in doing so we may not realize the full commercial potential of our drug candidates.</w:t>
      </w:r>
    </w:p>
    <w:p>
      <w:pPr>
        <w:spacing w:after="0" w:line="163" w:lineRule="exact"/>
        <w:rPr>
          <w:sz w:val="20"/>
          <w:szCs w:val="20"/>
          <w:color w:val="auto"/>
        </w:rPr>
      </w:pPr>
    </w:p>
    <w:p>
      <w:pPr>
        <w:ind w:right="39" w:firstLine="648"/>
        <w:spacing w:after="0" w:line="232"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Ventana for BLU-554 in order to identify HCC patients with aberrantly active FGFR4 signaling as indicated by FGF19 overexpression and with Qiagen for BLU-285 in order to identify GIST patients with the PDGFRα D842V mutation. However, we have not yet initiated development and commercialization of these companion diagnostic tests or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expect to rely on Ventana and Qiagen to design, manufacture, obtain regulatory approval for and commercialize the companion diagnostic tests for BLU-554 and BLU-285, respectively, and we expect to rely in whole or in part on other third parties to design, manufacture, obtain regulatory approval for and commercialize any other companion diagnostic tests for our drug candidates. We and our collaborators, including Ventana and Qiagen,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 our collaborators, including Ventana and Qiagen:</w:t>
      </w:r>
    </w:p>
    <w:p>
      <w:pPr>
        <w:spacing w:after="0" w:line="170" w:lineRule="exact"/>
        <w:rPr>
          <w:sz w:val="20"/>
          <w:szCs w:val="20"/>
          <w:color w:val="auto"/>
        </w:rPr>
      </w:pPr>
    </w:p>
    <w:p>
      <w:pPr>
        <w:ind w:left="1060" w:hanging="85"/>
        <w:spacing w:after="0"/>
        <w:tabs>
          <w:tab w:leader="none" w:pos="10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may not perform their respective obligations as expected or as required under our agreements with them;</w:t>
      </w:r>
    </w:p>
    <w:p>
      <w:pPr>
        <w:spacing w:after="0" w:line="196" w:lineRule="exact"/>
        <w:rPr>
          <w:rFonts w:ascii="Arial" w:cs="Arial" w:eastAsia="Arial" w:hAnsi="Arial"/>
          <w:sz w:val="17"/>
          <w:szCs w:val="17"/>
          <w:color w:val="auto"/>
        </w:rPr>
      </w:pPr>
    </w:p>
    <w:p>
      <w:pPr>
        <w:ind w:left="1060" w:right="199" w:hanging="85"/>
        <w:spacing w:after="0" w:line="235"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ind w:left="1060" w:right="199" w:hanging="85"/>
        <w:spacing w:after="0" w:line="22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060" w:hanging="85"/>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the a companion diagnostic test; and</w:t>
      </w: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may terminate their relationship with us.</w:t>
      </w:r>
    </w:p>
    <w:p>
      <w:pPr>
        <w:spacing w:after="0" w:line="18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Any delay or failure by us or our collaborators, including Ventana and Qiagen, to develop or obtain regulatory approval of the companion diagnostic tests could delay or prevent approval of our drug candidates. If we, or any third parties that we engage to assist us, including Ventana and Qiagen, are unable to successfully develop and commercialize companion diagnostic tests for our drug candidates, or experience delays in doing so:</w:t>
      </w:r>
    </w:p>
    <w:p>
      <w:pPr>
        <w:spacing w:after="0" w:line="163" w:lineRule="exact"/>
        <w:rPr>
          <w:sz w:val="20"/>
          <w:szCs w:val="20"/>
          <w:color w:val="auto"/>
        </w:rPr>
      </w:pPr>
    </w:p>
    <w:p>
      <w:pPr>
        <w:ind w:left="1060" w:right="360" w:hanging="85"/>
        <w:spacing w:after="0" w:line="235"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060" w:right="640" w:hanging="85"/>
        <w:spacing w:after="0" w:line="235"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ind w:left="1060" w:hanging="85"/>
        <w:spacing w:after="0" w:line="22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In addition, third party collaborators, including Ventana and Qiagen,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3" w:lineRule="exact"/>
        <w:rPr>
          <w:sz w:val="20"/>
          <w:szCs w:val="20"/>
          <w:color w:val="auto"/>
        </w:rPr>
      </w:pPr>
    </w:p>
    <w:p>
      <w:pPr>
        <w:ind w:right="640"/>
        <w:spacing w:after="0" w:line="203" w:lineRule="exact"/>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coverage and reimbursement policies, which would harm our business.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such as private health insurers and health maintenance organizations, decide which medications they will pay for and establish reimbursement levels. A primary trend in the U.S. healthcare industry and elsewhere is cost containment. Government authorities and third</w:t>
      </w:r>
      <w:r>
        <w:rPr>
          <w:rFonts w:ascii="MS PGothic" w:cs="MS PGothic" w:eastAsia="MS PGothic" w:hAnsi="MS PGothic"/>
          <w:sz w:val="17"/>
          <w:szCs w:val="17"/>
          <w:color w:val="auto"/>
        </w:rPr>
        <w:t>‑</w:t>
      </w:r>
      <w:r>
        <w:rPr>
          <w:rFonts w:ascii="Arial" w:cs="Arial" w:eastAsia="Arial" w:hAnsi="Arial"/>
          <w:sz w:val="17"/>
          <w:szCs w:val="17"/>
          <w:color w:val="auto"/>
        </w:rPr>
        <w:t>party payors have attempted to control costs by limiting coverage and the amount of reimbursement for particular drugs. Increasingly, third</w:t>
      </w:r>
      <w:r>
        <w:rPr>
          <w:rFonts w:ascii="MS PGothic" w:cs="MS PGothic" w:eastAsia="MS PGothic" w:hAnsi="MS PGothic"/>
          <w:sz w:val="17"/>
          <w:szCs w:val="17"/>
          <w:color w:val="auto"/>
        </w:rPr>
        <w:t>‑</w:t>
      </w:r>
      <w:r>
        <w:rPr>
          <w:rFonts w:ascii="Arial" w:cs="Arial" w:eastAsia="Arial" w:hAnsi="Arial"/>
          <w:sz w:val="17"/>
          <w:szCs w:val="17"/>
          <w:color w:val="auto"/>
        </w:rPr>
        <w:t>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may be significant delays in obtaining reimbursement for newly approved drugs, and coverage may be more</w:t>
      </w:r>
    </w:p>
    <w:p>
      <w:pPr>
        <w:spacing w:after="0" w:line="224" w:lineRule="auto"/>
        <w:rPr>
          <w:sz w:val="20"/>
          <w:szCs w:val="20"/>
          <w:color w:val="auto"/>
        </w:rPr>
      </w:pPr>
      <w:r>
        <w:rPr>
          <w:rFonts w:ascii="Arial" w:cs="Arial" w:eastAsia="Arial" w:hAnsi="Arial"/>
          <w:sz w:val="17"/>
          <w:szCs w:val="17"/>
          <w:color w:val="auto"/>
        </w:rPr>
        <w:t>limited than the purposes for which the drug is approved by the FDA or similar regulatory authorities outside the United</w:t>
      </w:r>
    </w:p>
    <w:p>
      <w:pPr>
        <w:spacing w:after="0" w:line="216" w:lineRule="auto"/>
        <w:rPr>
          <w:sz w:val="20"/>
          <w:szCs w:val="20"/>
          <w:color w:val="auto"/>
        </w:rPr>
      </w:pPr>
      <w:r>
        <w:rPr>
          <w:rFonts w:ascii="Arial" w:cs="Arial" w:eastAsia="Arial" w:hAnsi="Arial"/>
          <w:sz w:val="17"/>
          <w:szCs w:val="17"/>
          <w:color w:val="auto"/>
        </w:rPr>
        <w:t>States. Moreover, eligibility for reimbursement does not imply that any drug will be paid for in all cases or at a rate that</w:t>
      </w:r>
    </w:p>
    <w:p>
      <w:pPr>
        <w:spacing w:after="0" w:line="229" w:lineRule="auto"/>
        <w:rPr>
          <w:sz w:val="20"/>
          <w:szCs w:val="20"/>
          <w:color w:val="auto"/>
        </w:rPr>
      </w:pPr>
      <w:r>
        <w:rPr>
          <w:rFonts w:ascii="Arial" w:cs="Arial" w:eastAsia="Arial" w:hAnsi="Arial"/>
          <w:sz w:val="16"/>
          <w:szCs w:val="16"/>
          <w:color w:val="auto"/>
        </w:rPr>
        <w:t>covers our costs, including research, development, manufacture, sale and distribution. Interim reimbursement levels for new</w:t>
      </w:r>
    </w:p>
    <w:p>
      <w:pPr>
        <w:spacing w:after="0" w:line="229" w:lineRule="auto"/>
        <w:rPr>
          <w:sz w:val="20"/>
          <w:szCs w:val="20"/>
          <w:color w:val="auto"/>
        </w:rPr>
      </w:pPr>
      <w:r>
        <w:rPr>
          <w:rFonts w:ascii="Arial" w:cs="Arial" w:eastAsia="Arial" w:hAnsi="Arial"/>
          <w:sz w:val="16"/>
          <w:szCs w:val="16"/>
          <w:color w:val="auto"/>
        </w:rPr>
        <w:t>drugs, if applicable, may also not be sufficient to cover our costs and may not be made permanent. Reimbursement rates may</w:t>
      </w:r>
    </w:p>
    <w:p>
      <w:pPr>
        <w:spacing w:after="0" w:line="216" w:lineRule="auto"/>
        <w:rPr>
          <w:sz w:val="20"/>
          <w:szCs w:val="20"/>
          <w:color w:val="auto"/>
        </w:rPr>
      </w:pPr>
      <w:r>
        <w:rPr>
          <w:rFonts w:ascii="Arial" w:cs="Arial" w:eastAsia="Arial" w:hAnsi="Arial"/>
          <w:sz w:val="17"/>
          <w:szCs w:val="17"/>
          <w:color w:val="auto"/>
        </w:rPr>
        <w:t>vary according to the use of the drug and the clinical setting in which it is used, may be based on reimbursement levels</w:t>
      </w:r>
    </w:p>
    <w:p>
      <w:pPr>
        <w:spacing w:after="0" w:line="229" w:lineRule="auto"/>
        <w:rPr>
          <w:sz w:val="20"/>
          <w:szCs w:val="20"/>
          <w:color w:val="auto"/>
        </w:rPr>
      </w:pPr>
      <w:r>
        <w:rPr>
          <w:rFonts w:ascii="Arial" w:cs="Arial" w:eastAsia="Arial" w:hAnsi="Arial"/>
          <w:sz w:val="16"/>
          <w:szCs w:val="16"/>
          <w:color w:val="auto"/>
        </w:rPr>
        <w:t>already set for lower cost drugs and may be incorporated into existing payments for other services. Net prices for drugs may</w:t>
      </w:r>
    </w:p>
    <w:p>
      <w:pPr>
        <w:spacing w:after="0" w:line="229" w:lineRule="auto"/>
        <w:rPr>
          <w:sz w:val="20"/>
          <w:szCs w:val="20"/>
          <w:color w:val="auto"/>
        </w:rPr>
      </w:pPr>
      <w:r>
        <w:rPr>
          <w:rFonts w:ascii="Arial" w:cs="Arial" w:eastAsia="Arial" w:hAnsi="Arial"/>
          <w:sz w:val="16"/>
          <w:szCs w:val="16"/>
          <w:color w:val="auto"/>
        </w:rPr>
        <w:t>be reduced by mandatory discounts or rebates required by government healthcare programs or private payors and by any</w:t>
      </w:r>
    </w:p>
    <w:p>
      <w:pPr>
        <w:spacing w:after="0" w:line="229" w:lineRule="auto"/>
        <w:rPr>
          <w:sz w:val="20"/>
          <w:szCs w:val="20"/>
          <w:color w:val="auto"/>
        </w:rPr>
      </w:pPr>
      <w:r>
        <w:rPr>
          <w:rFonts w:ascii="Arial" w:cs="Arial" w:eastAsia="Arial" w:hAnsi="Arial"/>
          <w:sz w:val="16"/>
          <w:szCs w:val="16"/>
          <w:color w:val="auto"/>
        </w:rPr>
        <w:t>future relaxation of laws that presently restrict imports of drugs from countries where they may be sold at lower prices than in</w:t>
      </w:r>
    </w:p>
    <w:p>
      <w:pPr>
        <w:spacing w:after="0" w:line="176" w:lineRule="exact"/>
        <w:rPr>
          <w:sz w:val="20"/>
          <w:szCs w:val="20"/>
          <w:color w:val="auto"/>
        </w:rPr>
      </w:pPr>
      <w:r>
        <w:rPr>
          <w:rFonts w:ascii="Arial" w:cs="Arial" w:eastAsia="Arial" w:hAnsi="Arial"/>
          <w:sz w:val="16"/>
          <w:szCs w:val="16"/>
          <w:color w:val="auto"/>
        </w:rPr>
        <w:t>the United States. Third</w:t>
      </w:r>
      <w:r>
        <w:rPr>
          <w:rFonts w:ascii="MS PGothic" w:cs="MS PGothic" w:eastAsia="MS PGothic" w:hAnsi="MS PGothic"/>
          <w:sz w:val="16"/>
          <w:szCs w:val="16"/>
          <w:color w:val="auto"/>
        </w:rPr>
        <w:t>‑</w:t>
      </w:r>
      <w:r>
        <w:rPr>
          <w:rFonts w:ascii="Arial" w:cs="Arial" w:eastAsia="Arial" w:hAnsi="Arial"/>
          <w:sz w:val="16"/>
          <w:szCs w:val="16"/>
          <w:color w:val="auto"/>
        </w:rPr>
        <w:t>party payors often rely upon Medicare coverage policy and payment limitations in setting their own</w:t>
      </w:r>
    </w:p>
    <w:p>
      <w:pPr>
        <w:spacing w:after="0" w:line="203" w:lineRule="auto"/>
        <w:rPr>
          <w:sz w:val="20"/>
          <w:szCs w:val="20"/>
          <w:color w:val="auto"/>
        </w:rPr>
      </w:pPr>
      <w:r>
        <w:rPr>
          <w:rFonts w:ascii="Arial" w:cs="Arial" w:eastAsia="Arial" w:hAnsi="Arial"/>
          <w:sz w:val="18"/>
          <w:szCs w:val="18"/>
          <w:color w:val="auto"/>
        </w:rPr>
        <w:t>reimbursement policies. Our inability to promptly obtain coverage and profitable payment rates from both</w:t>
      </w:r>
    </w:p>
    <w:p>
      <w:pPr>
        <w:spacing w:after="0" w:line="176" w:lineRule="exact"/>
        <w:rPr>
          <w:sz w:val="20"/>
          <w:szCs w:val="20"/>
          <w:color w:val="auto"/>
        </w:rPr>
      </w:pPr>
      <w:r>
        <w:rPr>
          <w:rFonts w:ascii="Arial" w:cs="Arial" w:eastAsia="Arial" w:hAnsi="Arial"/>
          <w:sz w:val="16"/>
          <w:szCs w:val="16"/>
          <w:color w:val="auto"/>
        </w:rPr>
        <w:t>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approved drugs that we develop could have a material adverse effect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our ability to raise capital needed to commercialize drugs and our overall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w:t>
      </w:r>
      <w:r>
        <w:rPr>
          <w:rFonts w:ascii="MS PGothic" w:cs="MS PGothic" w:eastAsia="MS PGothic" w:hAnsi="MS PGothic"/>
          <w:sz w:val="16"/>
          <w:szCs w:val="16"/>
          <w:color w:val="auto"/>
        </w:rPr>
        <w:t>‑</w:t>
      </w:r>
      <w:r>
        <w:rPr>
          <w:rFonts w:ascii="Arial" w:cs="Arial" w:eastAsia="Arial" w:hAnsi="Arial"/>
          <w:sz w:val="16"/>
          <w:szCs w:val="16"/>
          <w:color w:val="auto"/>
        </w:rPr>
        <w:t>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67"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In January 2017, Congress voted to adopt a budget resolution for fiscal year 2017, that while not a law, is widely viewed as the first step toward the passage of legislation that would repeal certain aspects of the Affordable Care Act.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739"/>
        <w:spacing w:after="0" w:line="235" w:lineRule="auto"/>
        <w:rPr>
          <w:sz w:val="20"/>
          <w:szCs w:val="20"/>
          <w:color w:val="auto"/>
        </w:rPr>
      </w:pPr>
      <w:r>
        <w:rPr>
          <w:rFonts w:ascii="Arial" w:cs="Arial" w:eastAsia="Arial" w:hAnsi="Arial"/>
          <w:sz w:val="18"/>
          <w:szCs w:val="18"/>
          <w:color w:val="auto"/>
        </w:rPr>
        <w:t>pharmaceuticals or medical devices. Congress also could consider subsequent legislation to replace elements of the Affordable Care Act that are repealed.</w:t>
      </w:r>
    </w:p>
    <w:p>
      <w:pPr>
        <w:spacing w:after="0" w:line="162"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1" w:lineRule="exact"/>
        <w:rPr>
          <w:sz w:val="20"/>
          <w:szCs w:val="20"/>
          <w:color w:val="auto"/>
        </w:rPr>
      </w:pPr>
    </w:p>
    <w:p>
      <w:pPr>
        <w:ind w:right="119" w:firstLine="648"/>
        <w:spacing w:after="0" w:line="216"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62" w:lineRule="exact"/>
        <w:rPr>
          <w:sz w:val="20"/>
          <w:szCs w:val="20"/>
          <w:color w:val="auto"/>
        </w:rPr>
      </w:pPr>
    </w:p>
    <w:p>
      <w:pPr>
        <w:jc w:val="both"/>
        <w:ind w:right="99"/>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19"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59"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060" w:hanging="85"/>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060" w:right="199" w:hanging="85"/>
        <w:spacing w:after="0" w:line="235"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161" w:lineRule="exact"/>
        <w:rPr>
          <w:rFonts w:ascii="Arial" w:cs="Arial" w:eastAsia="Arial" w:hAnsi="Arial"/>
          <w:sz w:val="18"/>
          <w:szCs w:val="18"/>
          <w:color w:val="auto"/>
        </w:rPr>
      </w:pPr>
    </w:p>
    <w:p>
      <w:pPr>
        <w:ind w:left="1060" w:right="719" w:hanging="85"/>
        <w:spacing w:after="0" w:line="235"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19"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194" w:lineRule="exact"/>
        <w:rPr>
          <w:sz w:val="20"/>
          <w:szCs w:val="20"/>
          <w:color w:val="auto"/>
        </w:rPr>
      </w:pPr>
      <w:r>
        <w:rPr>
          <w:rFonts w:ascii="Arial" w:cs="Arial" w:eastAsia="Arial" w:hAnsi="Arial"/>
          <w:sz w:val="15"/>
          <w:szCs w:val="15"/>
          <w:b w:val="1"/>
          <w:bCs w:val="1"/>
          <w:i w:val="1"/>
          <w:iCs w:val="1"/>
          <w:color w:val="auto"/>
        </w:rPr>
        <w:t>Our relationships with customers and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payors will be subject to applicable anti</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63"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w:t>
      </w:r>
      <w:r>
        <w:rPr>
          <w:rFonts w:ascii="MS PGothic" w:cs="MS PGothic" w:eastAsia="MS PGothic" w:hAnsi="MS PGothic"/>
          <w:sz w:val="16"/>
          <w:szCs w:val="16"/>
          <w:color w:val="auto"/>
        </w:rPr>
        <w:t>‑</w:t>
      </w:r>
      <w:r>
        <w:rPr>
          <w:rFonts w:ascii="Arial" w:cs="Arial" w:eastAsia="Arial" w:hAnsi="Arial"/>
          <w:sz w:val="16"/>
          <w:szCs w:val="16"/>
          <w:color w:val="auto"/>
        </w:rPr>
        <w:t>party payors play a primary role in the recommendation and prescription of any drug candidates for which we obtain marketing approval. Our future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1060" w:right="40" w:hanging="85"/>
        <w:spacing w:after="0" w:line="185" w:lineRule="exact"/>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1060" w:right="20" w:hanging="85"/>
        <w:spacing w:after="0" w:line="185" w:lineRule="exact"/>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constitutes a false or fraudulent claim for purposes of the False Claims Act;</w:t>
      </w:r>
    </w:p>
    <w:p>
      <w:pPr>
        <w:spacing w:after="0" w:line="165" w:lineRule="exact"/>
        <w:rPr>
          <w:rFonts w:ascii="Arial" w:cs="Arial" w:eastAsia="Arial" w:hAnsi="Arial"/>
          <w:sz w:val="17"/>
          <w:szCs w:val="17"/>
          <w:color w:val="auto"/>
        </w:rPr>
      </w:pPr>
    </w:p>
    <w:p>
      <w:pPr>
        <w:ind w:left="1060" w:hanging="85"/>
        <w:spacing w:after="0" w:line="185" w:lineRule="exact"/>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r>
        <w:rPr>
          <w:rFonts w:ascii="MS PGothic" w:cs="MS PGothic" w:eastAsia="MS PGothic" w:hAnsi="MS PGothic"/>
          <w:sz w:val="18"/>
          <w:szCs w:val="18"/>
          <w:color w:val="auto"/>
        </w:rPr>
        <w:t>‑</w:t>
      </w:r>
      <w:r>
        <w:rPr>
          <w:rFonts w:ascii="Arial" w:cs="Arial" w:eastAsia="Arial" w:hAnsi="Arial"/>
          <w:sz w:val="18"/>
          <w:szCs w:val="18"/>
          <w:color w:val="auto"/>
        </w:rPr>
        <w:t>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1060" w:right="120" w:hanging="85"/>
        <w:spacing w:after="0" w:line="244"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58" w:lineRule="exact"/>
        <w:rPr>
          <w:rFonts w:ascii="Arial" w:cs="Arial" w:eastAsia="Arial" w:hAnsi="Arial"/>
          <w:sz w:val="16"/>
          <w:szCs w:val="16"/>
          <w:color w:val="auto"/>
        </w:rPr>
      </w:pPr>
    </w:p>
    <w:p>
      <w:pPr>
        <w:ind w:left="1060" w:hanging="85"/>
        <w:spacing w:after="0" w:line="21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62" w:lineRule="exact"/>
        <w:rPr>
          <w:rFonts w:ascii="Arial" w:cs="Arial" w:eastAsia="Arial" w:hAnsi="Arial"/>
          <w:sz w:val="18"/>
          <w:szCs w:val="18"/>
          <w:color w:val="auto"/>
        </w:rPr>
      </w:pPr>
    </w:p>
    <w:p>
      <w:pPr>
        <w:ind w:left="1060" w:hanging="85"/>
        <w:spacing w:after="0" w:line="185" w:lineRule="exact"/>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w:t>
      </w:r>
      <w:r>
        <w:rPr>
          <w:rFonts w:ascii="MS PGothic" w:cs="MS PGothic" w:eastAsia="MS PGothic" w:hAnsi="MS PGothic"/>
          <w:sz w:val="17"/>
          <w:szCs w:val="17"/>
          <w:color w:val="auto"/>
        </w:rPr>
        <w:t>‑</w:t>
      </w:r>
      <w:r>
        <w:rPr>
          <w:rFonts w:ascii="Arial" w:cs="Arial" w:eastAsia="Arial" w:hAnsi="Arial"/>
          <w:sz w:val="17"/>
          <w:szCs w:val="17"/>
          <w:color w:val="auto"/>
        </w:rPr>
        <w:t>kickback and false claims laws that may apply to sales or marketing arrangements and claims involving healthcare items or services reimbursed by non</w:t>
      </w:r>
      <w:r>
        <w:rPr>
          <w:rFonts w:ascii="MS PGothic" w:cs="MS PGothic" w:eastAsia="MS PGothic" w:hAnsi="MS PGothic"/>
          <w:sz w:val="17"/>
          <w:szCs w:val="17"/>
          <w:color w:val="auto"/>
        </w:rPr>
        <w:t>‑</w:t>
      </w:r>
      <w:r>
        <w:rPr>
          <w:rFonts w:ascii="Arial" w:cs="Arial" w:eastAsia="Arial" w:hAnsi="Arial"/>
          <w:sz w:val="17"/>
          <w:szCs w:val="17"/>
          <w:color w:val="auto"/>
        </w:rPr>
        <w:t>governmental third</w:t>
      </w:r>
      <w:r>
        <w:rPr>
          <w:rFonts w:ascii="MS PGothic" w:cs="MS PGothic" w:eastAsia="MS PGothic" w:hAnsi="MS PGothic"/>
          <w:sz w:val="17"/>
          <w:szCs w:val="17"/>
          <w:color w:val="auto"/>
        </w:rPr>
        <w:t>‑</w:t>
      </w:r>
      <w:r>
        <w:rPr>
          <w:rFonts w:ascii="Arial" w:cs="Arial" w:eastAsia="Arial" w:hAnsi="Arial"/>
          <w:sz w:val="17"/>
          <w:szCs w:val="17"/>
          <w:color w:val="auto"/>
        </w:rPr>
        <w:t>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300" w:right="180"/>
        <w:spacing w:after="0" w:line="224" w:lineRule="auto"/>
        <w:rPr>
          <w:sz w:val="20"/>
          <w:szCs w:val="20"/>
          <w:color w:val="auto"/>
        </w:rPr>
      </w:pPr>
      <w:r>
        <w:rPr>
          <w:rFonts w:ascii="Arial" w:cs="Arial" w:eastAsia="Arial" w:hAnsi="Arial"/>
          <w:sz w:val="18"/>
          <w:szCs w:val="18"/>
          <w:color w:val="auto"/>
        </w:rPr>
        <w:t>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3"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7" w:lineRule="exact"/>
        <w:rPr>
          <w:sz w:val="20"/>
          <w:szCs w:val="20"/>
          <w:color w:val="auto"/>
        </w:rPr>
      </w:pPr>
    </w:p>
    <w:p>
      <w:pPr>
        <w:ind w:left="1060" w:hanging="85"/>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84" w:lineRule="exact"/>
        <w:rPr>
          <w:rFonts w:ascii="Arial" w:cs="Arial" w:eastAsia="Arial" w:hAnsi="Arial"/>
          <w:sz w:val="18"/>
          <w:szCs w:val="18"/>
          <w:color w:val="auto"/>
        </w:rPr>
      </w:pPr>
    </w:p>
    <w:p>
      <w:pPr>
        <w:ind w:left="1060" w:right="940" w:hanging="85"/>
        <w:spacing w:after="0" w:line="235"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96" w:lineRule="exact"/>
        <w:rPr>
          <w:rFonts w:ascii="Arial" w:cs="Arial" w:eastAsia="Arial" w:hAnsi="Arial"/>
          <w:sz w:val="17"/>
          <w:szCs w:val="17"/>
          <w:color w:val="auto"/>
        </w:rPr>
      </w:pPr>
    </w:p>
    <w:p>
      <w:pPr>
        <w:ind w:left="1140" w:hanging="1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84" w:lineRule="exact"/>
        <w:rPr>
          <w:rFonts w:ascii="Arial" w:cs="Arial" w:eastAsia="Arial" w:hAnsi="Arial"/>
          <w:sz w:val="18"/>
          <w:szCs w:val="18"/>
          <w:color w:val="auto"/>
        </w:rPr>
      </w:pPr>
    </w:p>
    <w:p>
      <w:pPr>
        <w:ind w:left="1200" w:hanging="225"/>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84" w:lineRule="exact"/>
        <w:rPr>
          <w:rFonts w:ascii="Arial" w:cs="Arial" w:eastAsia="Arial" w:hAnsi="Arial"/>
          <w:sz w:val="18"/>
          <w:szCs w:val="18"/>
          <w:color w:val="auto"/>
        </w:rPr>
      </w:pPr>
    </w:p>
    <w:p>
      <w:pPr>
        <w:ind w:left="1060" w:hanging="85"/>
        <w:spacing w:after="0" w:line="207" w:lineRule="exact"/>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w:t>
      </w:r>
      <w:r>
        <w:rPr>
          <w:rFonts w:ascii="MS PGothic" w:cs="MS PGothic" w:eastAsia="MS PGothic" w:hAnsi="MS PGothic"/>
          <w:sz w:val="18"/>
          <w:szCs w:val="18"/>
          <w:color w:val="auto"/>
        </w:rPr>
        <w:t>‑</w:t>
      </w:r>
      <w:r>
        <w:rPr>
          <w:rFonts w:ascii="Arial" w:cs="Arial" w:eastAsia="Arial" w:hAnsi="Arial"/>
          <w:sz w:val="18"/>
          <w:szCs w:val="18"/>
          <w:color w:val="auto"/>
        </w:rPr>
        <w:t>party intellectual property rights;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9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drug candidate to other available therapies. If reimbursement of our drugs is unavailable or limited in scope or amount, or if pricing is set at unsatisfactory levels, our business could be materially harmed. In addition, the recent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9" w:lineRule="exact"/>
        <w:rPr>
          <w:sz w:val="20"/>
          <w:szCs w:val="20"/>
          <w:color w:val="auto"/>
        </w:rPr>
      </w:pPr>
    </w:p>
    <w:p>
      <w:pPr>
        <w:ind w:right="48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60" w:firstLine="648"/>
        <w:spacing w:after="0" w:line="189" w:lineRule="exact"/>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w:t>
      </w:r>
      <w:r>
        <w:rPr>
          <w:rFonts w:ascii="MS PGothic" w:cs="MS PGothic" w:eastAsia="MS PGothic" w:hAnsi="MS PGothic"/>
          <w:sz w:val="17"/>
          <w:szCs w:val="17"/>
          <w:color w:val="auto"/>
        </w:rPr>
        <w:t>‑</w:t>
      </w:r>
      <w:r>
        <w:rPr>
          <w:rFonts w:ascii="Arial" w:cs="Arial" w:eastAsia="Arial" w:hAnsi="Arial"/>
          <w:sz w:val="17"/>
          <w:szCs w:val="17"/>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In addition, our collaborations with Alexion and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w:t>
      </w:r>
      <w:r>
        <w:rPr>
          <w:rFonts w:ascii="MS PGothic" w:cs="MS PGothic" w:eastAsia="MS PGothic" w:hAnsi="MS PGothic"/>
          <w:sz w:val="17"/>
          <w:szCs w:val="17"/>
          <w:color w:val="auto"/>
        </w:rPr>
        <w:t>‑</w:t>
      </w:r>
      <w:r>
        <w:rPr>
          <w:rFonts w:ascii="Arial" w:cs="Arial" w:eastAsia="Arial" w:hAnsi="Arial"/>
          <w:sz w:val="17"/>
          <w:szCs w:val="17"/>
          <w:color w:val="auto"/>
        </w:rPr>
        <w:t>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62"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8"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certain timeframes. Failure to do so can result in fines, adverse publicity and civil and criminal sanctions.</w:t>
      </w:r>
    </w:p>
    <w:p>
      <w:pPr>
        <w:spacing w:after="0" w:line="162" w:lineRule="exact"/>
        <w:rPr>
          <w:sz w:val="20"/>
          <w:szCs w:val="20"/>
          <w:color w:val="auto"/>
        </w:rPr>
      </w:pPr>
    </w:p>
    <w:p>
      <w:pPr>
        <w:jc w:val="both"/>
        <w:ind w:right="100" w:firstLine="648"/>
        <w:spacing w:after="0" w:line="238" w:lineRule="auto"/>
        <w:rPr>
          <w:sz w:val="20"/>
          <w:szCs w:val="20"/>
          <w:color w:val="auto"/>
        </w:rPr>
      </w:pPr>
      <w:r>
        <w:rPr>
          <w:rFonts w:ascii="Arial" w:cs="Arial" w:eastAsia="Arial" w:hAnsi="Arial"/>
          <w:sz w:val="17"/>
          <w:szCs w:val="17"/>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159"/>
        <w:spacing w:after="0" w:line="224" w:lineRule="auto"/>
        <w:rPr>
          <w:sz w:val="20"/>
          <w:szCs w:val="20"/>
          <w:color w:val="auto"/>
        </w:rPr>
      </w:pPr>
      <w:r>
        <w:rPr>
          <w:rFonts w:ascii="Arial" w:cs="Arial" w:eastAsia="Arial" w:hAnsi="Arial"/>
          <w:sz w:val="18"/>
          <w:szCs w:val="18"/>
          <w:color w:val="auto"/>
        </w:rPr>
        <w:t>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3" w:lineRule="exact"/>
        <w:rPr>
          <w:sz w:val="20"/>
          <w:szCs w:val="20"/>
          <w:color w:val="auto"/>
        </w:rPr>
      </w:pPr>
    </w:p>
    <w:p>
      <w:pPr>
        <w:ind w:left="1240" w:hanging="265"/>
        <w:spacing w:after="0"/>
        <w:tabs>
          <w:tab w:leader="none" w:pos="1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140" w:hanging="165"/>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99"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5" w:lineRule="exact"/>
        <w:rPr>
          <w:sz w:val="20"/>
          <w:szCs w:val="20"/>
          <w:color w:val="auto"/>
        </w:rPr>
      </w:pPr>
    </w:p>
    <w:p>
      <w:pPr>
        <w:ind w:right="159" w:firstLine="648"/>
        <w:spacing w:after="0" w:line="182"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68" w:lineRule="exact"/>
        <w:rPr>
          <w:sz w:val="20"/>
          <w:szCs w:val="20"/>
          <w:color w:val="auto"/>
        </w:rPr>
      </w:pPr>
    </w:p>
    <w:p>
      <w:pPr>
        <w:ind w:right="39"/>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19"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right="39" w:firstLine="648"/>
        <w:spacing w:after="0" w:line="220"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recalls of drug candidates or drugs, if approved, operating restrictions and criminal prosecutions, any of which could significantly and adversely affect our business and supplies of our drug candidates.</w:t>
      </w:r>
    </w:p>
    <w:p>
      <w:pPr>
        <w:spacing w:after="0" w:line="162" w:lineRule="exact"/>
        <w:rPr>
          <w:sz w:val="20"/>
          <w:szCs w:val="20"/>
          <w:color w:val="auto"/>
        </w:rPr>
      </w:pPr>
    </w:p>
    <w:p>
      <w:pPr>
        <w:jc w:val="both"/>
        <w:ind w:right="40" w:firstLine="648"/>
        <w:spacing w:after="0" w:line="194" w:lineRule="exact"/>
        <w:rPr>
          <w:sz w:val="20"/>
          <w:szCs w:val="20"/>
          <w:color w:val="auto"/>
        </w:rPr>
      </w:pPr>
      <w:r>
        <w:rPr>
          <w:rFonts w:ascii="Arial" w:cs="Arial" w:eastAsia="Arial" w:hAnsi="Arial"/>
          <w:sz w:val="18"/>
          <w:szCs w:val="18"/>
          <w:color w:val="auto"/>
        </w:rPr>
        <w:t>We may be unable to establish any agreements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or to do so on acceptable terms. Even if we are able to establish agreements with third party manufacturers, reliance on third party manufacturers entails additional risks, including:</w:t>
      </w:r>
    </w:p>
    <w:p>
      <w:pPr>
        <w:spacing w:after="0" w:line="163" w:lineRule="exact"/>
        <w:rPr>
          <w:sz w:val="20"/>
          <w:szCs w:val="20"/>
          <w:color w:val="auto"/>
        </w:rPr>
      </w:pPr>
    </w:p>
    <w:p>
      <w:pPr>
        <w:ind w:left="1060" w:hanging="85"/>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1060" w:hanging="85"/>
        <w:spacing w:after="0" w:line="184" w:lineRule="exact"/>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w:t>
      </w:r>
      <w:r>
        <w:rPr>
          <w:rFonts w:ascii="MS PGothic" w:cs="MS PGothic" w:eastAsia="MS PGothic" w:hAnsi="MS PGothic"/>
          <w:sz w:val="16"/>
          <w:szCs w:val="16"/>
          <w:color w:val="auto"/>
        </w:rPr>
        <w:t>‑</w:t>
      </w:r>
      <w:r>
        <w:rPr>
          <w:rFonts w:ascii="Arial" w:cs="Arial" w:eastAsia="Arial" w:hAnsi="Arial"/>
          <w:sz w:val="16"/>
          <w:szCs w:val="16"/>
          <w:color w:val="auto"/>
        </w:rPr>
        <w:t>how; and</w:t>
      </w:r>
    </w:p>
    <w:p>
      <w:pPr>
        <w:spacing w:after="0" w:line="207" w:lineRule="exact"/>
        <w:rPr>
          <w:rFonts w:ascii="Arial" w:cs="Arial" w:eastAsia="Arial" w:hAnsi="Arial"/>
          <w:sz w:val="16"/>
          <w:szCs w:val="16"/>
          <w:color w:val="auto"/>
        </w:rPr>
      </w:pPr>
    </w:p>
    <w:p>
      <w:pPr>
        <w:ind w:left="1060" w:right="820" w:hanging="85"/>
        <w:spacing w:after="0" w:line="235"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both"/>
        <w:ind w:right="300" w:firstLine="648"/>
        <w:spacing w:after="0" w:line="249"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5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63" w:lineRule="exact"/>
        <w:rPr>
          <w:sz w:val="20"/>
          <w:szCs w:val="20"/>
          <w:color w:val="auto"/>
        </w:rPr>
      </w:pPr>
    </w:p>
    <w:p>
      <w:pPr>
        <w:ind w:right="40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The active pharmaceutical ingredients, or API, drug product and drug substance used in our lead drug candidates are supplied to us from single</w:t>
      </w:r>
      <w:r>
        <w:rPr>
          <w:rFonts w:ascii="MS PGothic" w:cs="MS PGothic" w:eastAsia="MS PGothic" w:hAnsi="MS PGothic"/>
          <w:sz w:val="17"/>
          <w:szCs w:val="17"/>
          <w:color w:val="auto"/>
        </w:rPr>
        <w:t>‑</w:t>
      </w:r>
      <w:r>
        <w:rPr>
          <w:rFonts w:ascii="Arial" w:cs="Arial" w:eastAsia="Arial" w:hAnsi="Arial"/>
          <w:sz w:val="17"/>
          <w:szCs w:val="17"/>
          <w:color w:val="auto"/>
        </w:rPr>
        <w:t>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w:t>
      </w:r>
      <w:r>
        <w:rPr>
          <w:rFonts w:ascii="MS PGothic" w:cs="MS PGothic" w:eastAsia="MS PGothic" w:hAnsi="MS PGothic"/>
          <w:sz w:val="17"/>
          <w:szCs w:val="17"/>
          <w:color w:val="auto"/>
        </w:rPr>
        <w:t>‑</w:t>
      </w:r>
      <w:r>
        <w:rPr>
          <w:rFonts w:ascii="Arial" w:cs="Arial" w:eastAsia="Arial" w:hAnsi="Arial"/>
          <w:sz w:val="17"/>
          <w:szCs w:val="17"/>
          <w:color w:val="auto"/>
        </w:rPr>
        <w:t>source supply of any such API, drug product or drug substance in the event any of our current suppliers of such API, drug product and drug substance cease their operations for any reason.</w:t>
      </w:r>
    </w:p>
    <w:p>
      <w:pPr>
        <w:spacing w:after="0" w:line="162"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w:t>
      </w:r>
      <w:r>
        <w:rPr>
          <w:rFonts w:ascii="MS PGothic" w:cs="MS PGothic" w:eastAsia="MS PGothic" w:hAnsi="MS PGothic"/>
          <w:sz w:val="17"/>
          <w:szCs w:val="17"/>
          <w:color w:val="auto"/>
        </w:rPr>
        <w:t>‑</w:t>
      </w:r>
      <w:r>
        <w:rPr>
          <w:rFonts w:ascii="Arial" w:cs="Arial" w:eastAsia="Arial" w:hAnsi="Arial"/>
          <w:sz w:val="17"/>
          <w:szCs w:val="17"/>
          <w:color w:val="auto"/>
        </w:rPr>
        <w:t>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2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United States and other countries for our drug candidates, including BLU-285, BLU-554 and BLU-667,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63"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own patents and patent applications that relate to BLU-285 and BLU-554 as composition of matter. We also own applications relating to composition of matter for KIT inhibitors with different compound families, composition of matter for FGFR4 inhibitors with multiple compound families, composition of matter for inhibitors of the predicted RET resistant mutants, as well as methods of use for these novel compounds. The issued patent directed to BLU-554 composition of matter has a statutory expiration date in 2034, the issued patent directed to BLU-285 composition of matter has a statutory expiration date in 2034 and any patents issuing from our pending patent applications are projected to expire between 2034 and 2037.</w:t>
      </w:r>
    </w:p>
    <w:p>
      <w:pPr>
        <w:spacing w:after="0" w:line="165"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As of February 28, 2017, we owned three issued U.S. patents, five pending U.S. patent applications, 28 foreign patent applications in a number of jurisdictions, including Australia, Argentina, Brazil, Bolivia, Canada, China, the European Union, Hong Kong, Israel, India, Iraq, Japan, Lebanon, Mexico, New Zealand, Pakistan, Paraguay, Philippines, Russia, Singapore, South Africa, South Korea, Taiwan, Uruguay and Venezuela, and one pending Patent Cooperation Treaty, or PCT, patent applications directed to our KIT program, including BLU-285. Any U.S. or ex-U.S. patents issuing from the pending applications covering BLU-285 will have a statutory expiration date of October 2034. Patent term adjustments or patent term extensions could result in later expiration dates.</w:t>
      </w:r>
    </w:p>
    <w:p>
      <w:pPr>
        <w:spacing w:after="0" w:line="162"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As of February 28, 2017, we owned four issued U.S. patents, three pending U.S. patent applications, two pending U.S. provisional applications, and 44 pending foreign patent applications in a number of jurisdictions, including Argentina, Australia, Bolivia, Brazil, Canada, China, Egypt, the European Union, Hong Kong, Israel, India, Indonesia, Iraq, Japan, South Korea, Lebanon, Mexico New Zealand, Pakistan, Paraguay, Philippines, Russia, Singapore, South Africa, Taiwan, Thailand, Uruguay and Venezuela, directed to our FGFR4 program, including BLU-554. Any U.S. or ex-U.S. patent issuing from the pending applications covering BLU-554 will have a statutory expiration date of July 2033, December 2033, October 2034 or September 2037. Patent term adjustments or patent term extensions could result in later expiration dates.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February 28, 2017, we owned one pending U.S. patent application, two pending PCT applications, two</w:t>
      </w:r>
    </w:p>
    <w:p>
      <w:pPr>
        <w:spacing w:after="0" w:line="203" w:lineRule="auto"/>
        <w:rPr>
          <w:sz w:val="20"/>
          <w:szCs w:val="20"/>
          <w:color w:val="auto"/>
        </w:rPr>
      </w:pPr>
      <w:r>
        <w:rPr>
          <w:rFonts w:ascii="Arial" w:cs="Arial" w:eastAsia="Arial" w:hAnsi="Arial"/>
          <w:sz w:val="18"/>
          <w:szCs w:val="18"/>
          <w:color w:val="auto"/>
        </w:rPr>
        <w:t>pending foreign patent applications filed in Argentina and Taiwan, and three pending provisional U.S. patent</w:t>
      </w:r>
    </w:p>
    <w:p>
      <w:pPr>
        <w:spacing w:after="0" w:line="229" w:lineRule="auto"/>
        <w:rPr>
          <w:sz w:val="20"/>
          <w:szCs w:val="20"/>
          <w:color w:val="auto"/>
        </w:rPr>
      </w:pPr>
      <w:r>
        <w:rPr>
          <w:rFonts w:ascii="Arial" w:cs="Arial" w:eastAsia="Arial" w:hAnsi="Arial"/>
          <w:sz w:val="16"/>
          <w:szCs w:val="16"/>
          <w:color w:val="auto"/>
        </w:rPr>
        <w:t>applications directed to our RET program, which, if issued, will have statutory expiration dates of 2036 or 2037. Patent 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adjustments or patent term extensions could result in later expiration dates.</w:t>
      </w:r>
    </w:p>
    <w:p>
      <w:pPr>
        <w:spacing w:after="0" w:line="169"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The intellectual property portfolio directed to our platform includes patent applications directed to novel gene fusions and the uses of these fusions for detecting and treating conditions implicated with these fusions. As of February 28, 2017, we owned nine U.S. patent applications, nine European Union patent applications and one pending PCT patent application directed to this technology, which, if issued, will have statutory expiration dates ranging from 2034 to 2035</w:t>
      </w:r>
    </w:p>
    <w:p>
      <w:pPr>
        <w:spacing w:after="0" w:line="15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10" w:lineRule="auto"/>
        <w:rPr>
          <w:sz w:val="20"/>
          <w:szCs w:val="20"/>
          <w:color w:val="auto"/>
        </w:rPr>
      </w:pPr>
      <w:r>
        <w:rPr>
          <w:rFonts w:ascii="Arial" w:cs="Arial" w:eastAsia="Arial" w:hAnsi="Arial"/>
          <w:sz w:val="18"/>
          <w:szCs w:val="18"/>
          <w:color w:val="auto"/>
        </w:rPr>
        <w:t>applications that mature into issued patents will include, claims with a scope sufficient to protect BLU-285, BLU-554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166"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 For example, we are aware of a U.S. patent owned by a third party that has generic composition of matter claims that cover BLU-</w:t>
      </w:r>
    </w:p>
    <w:p>
      <w:pPr>
        <w:spacing w:after="0" w:line="1" w:lineRule="exact"/>
        <w:rPr>
          <w:sz w:val="20"/>
          <w:szCs w:val="20"/>
          <w:color w:val="auto"/>
        </w:rPr>
      </w:pPr>
    </w:p>
    <w:p>
      <w:pPr>
        <w:ind w:right="40" w:firstLine="3"/>
        <w:spacing w:after="0" w:line="210"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claims of this third party patent are asserted against us, we do not believe BLU-554 or our proposed activities related to BLU-554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440" w:firstLine="648"/>
        <w:spacing w:after="0" w:line="289"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ind w:right="300" w:firstLine="648"/>
        <w:spacing w:after="0" w:line="23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a U.S. patent owned by a third party that has generic composition of matter claims that cover BLU-554. If the claims of this third party patent are asserted against us, we do not believe BLU-554 or our proposed activities related to BLU-554 would be found to infringe any valid claim of this patent. While we may decide to initiate proceedings to challenge the validity of this patent in the future, we may be unsuccessful, and courts or patent offices in the United States and abroad could uphold the validity of any such patent.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4"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w:t>
      </w:r>
      <w:r>
        <w:rPr>
          <w:rFonts w:ascii="MS PGothic" w:cs="MS PGothic" w:eastAsia="MS PGothic" w:hAnsi="MS PGothic"/>
          <w:sz w:val="17"/>
          <w:szCs w:val="17"/>
          <w:color w:val="auto"/>
        </w:rPr>
        <w:t>‑</w:t>
      </w:r>
      <w:r>
        <w:rPr>
          <w:rFonts w:ascii="Arial" w:cs="Arial" w:eastAsia="Arial" w:hAnsi="Arial"/>
          <w:sz w:val="17"/>
          <w:szCs w:val="17"/>
          <w:color w:val="auto"/>
        </w:rPr>
        <w:t>practicing entities that have no relevant drug revenue and against whom our own patent portfolio may thus have no deterrent effect.</w:t>
      </w:r>
    </w:p>
    <w:p>
      <w:pPr>
        <w:spacing w:after="0" w:line="162"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drug candidates and technology. However, we may not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184" w:lineRule="exact"/>
        <w:rPr>
          <w:sz w:val="20"/>
          <w:szCs w:val="20"/>
          <w:color w:val="auto"/>
        </w:rPr>
      </w:pPr>
      <w:r>
        <w:rPr>
          <w:rFonts w:ascii="Arial" w:cs="Arial" w:eastAsia="Arial" w:hAnsi="Arial"/>
          <w:sz w:val="17"/>
          <w:szCs w:val="17"/>
          <w:color w:val="auto"/>
        </w:rPr>
        <w:t>be able to obtain any required license on commercially reasonable terms or at all. Even if we were able to obtain such a license, it could be granted on non</w:t>
      </w:r>
      <w:r>
        <w:rPr>
          <w:rFonts w:ascii="MS PGothic" w:cs="MS PGothic" w:eastAsia="MS PGothic" w:hAnsi="MS PGothic"/>
          <w:sz w:val="17"/>
          <w:szCs w:val="17"/>
          <w:color w:val="auto"/>
        </w:rPr>
        <w:t>‑</w:t>
      </w:r>
      <w:r>
        <w:rPr>
          <w:rFonts w:ascii="Arial" w:cs="Arial" w:eastAsia="Arial" w:hAnsi="Arial"/>
          <w:sz w:val="17"/>
          <w:szCs w:val="17"/>
          <w:color w:val="auto"/>
        </w:rPr>
        <w:t>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w:t>
      </w:r>
      <w:r>
        <w:rPr>
          <w:rFonts w:ascii="MS PGothic" w:cs="MS PGothic" w:eastAsia="MS PGothic" w:hAnsi="MS PGothic"/>
          <w:sz w:val="17"/>
          <w:szCs w:val="17"/>
          <w:color w:val="auto"/>
        </w:rPr>
        <w:t>‑</w:t>
      </w:r>
      <w:r>
        <w:rPr>
          <w:rFonts w:ascii="Arial" w:cs="Arial" w:eastAsia="Arial" w:hAnsi="Arial"/>
          <w:sz w:val="17"/>
          <w:szCs w:val="17"/>
          <w:color w:val="auto"/>
        </w:rPr>
        <w:t>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w:t>
      </w:r>
      <w:r>
        <w:rPr>
          <w:rFonts w:ascii="MS PGothic" w:cs="MS PGothic" w:eastAsia="MS PGothic" w:hAnsi="MS PGothic"/>
          <w:sz w:val="17"/>
          <w:szCs w:val="17"/>
          <w:color w:val="auto"/>
        </w:rPr>
        <w:t>‑</w:t>
      </w:r>
      <w:r>
        <w:rPr>
          <w:rFonts w:ascii="Arial" w:cs="Arial" w:eastAsia="Arial" w:hAnsi="Arial"/>
          <w:sz w:val="17"/>
          <w:szCs w:val="17"/>
          <w:color w:val="auto"/>
        </w:rPr>
        <w:t>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w:t>
      </w:r>
      <w:r>
        <w:rPr>
          <w:rFonts w:ascii="MS PGothic" w:cs="MS PGothic" w:eastAsia="MS PGothic" w:hAnsi="MS PGothic"/>
          <w:sz w:val="17"/>
          <w:szCs w:val="17"/>
          <w:color w:val="auto"/>
        </w:rPr>
        <w:t>‑</w:t>
      </w:r>
      <w:r>
        <w:rPr>
          <w:rFonts w:ascii="Arial" w:cs="Arial" w:eastAsia="Arial" w:hAnsi="Arial"/>
          <w:sz w:val="17"/>
          <w:szCs w:val="17"/>
          <w:color w:val="auto"/>
        </w:rPr>
        <w:t>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5"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194" w:lineRule="exact"/>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compliance with these requirements.</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r>
      <w:r>
        <w:rPr>
          <w:rFonts w:ascii="MS PGothic" w:cs="MS PGothic" w:eastAsia="MS PGothic" w:hAnsi="MS PGothic"/>
          <w:sz w:val="17"/>
          <w:szCs w:val="17"/>
          <w:color w:val="auto"/>
        </w:rPr>
        <w:t>‑</w:t>
      </w:r>
      <w:r>
        <w:rPr>
          <w:rFonts w:ascii="Arial" w:cs="Arial" w:eastAsia="Arial" w:hAnsi="Arial"/>
          <w:sz w:val="17"/>
          <w:szCs w:val="17"/>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7"/>
          <w:szCs w:val="17"/>
          <w:color w:val="auto"/>
        </w:rPr>
        <w:t>‑</w:t>
      </w:r>
      <w:r>
        <w:rPr>
          <w:rFonts w:ascii="Arial" w:cs="Arial" w:eastAsia="Arial" w:hAnsi="Arial"/>
          <w:sz w:val="17"/>
          <w:szCs w:val="17"/>
          <w:color w:val="auto"/>
        </w:rPr>
        <w:t>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w:t>
      </w:r>
      <w:r>
        <w:rPr>
          <w:rFonts w:ascii="MS PGothic" w:cs="MS PGothic" w:eastAsia="MS PGothic" w:hAnsi="MS PGothic"/>
          <w:sz w:val="16"/>
          <w:szCs w:val="16"/>
          <w:color w:val="auto"/>
        </w:rPr>
        <w:t>‑</w:t>
      </w:r>
      <w:r>
        <w:rPr>
          <w:rFonts w:ascii="Arial" w:cs="Arial" w:eastAsia="Arial" w:hAnsi="Arial"/>
          <w:sz w:val="16"/>
          <w:szCs w:val="16"/>
          <w:color w:val="auto"/>
        </w:rPr>
        <w:t>Smith America Invents Act, or Leahy</w:t>
      </w:r>
      <w:r>
        <w:rPr>
          <w:rFonts w:ascii="MS PGothic" w:cs="MS PGothic" w:eastAsia="MS PGothic" w:hAnsi="MS PGothic"/>
          <w:sz w:val="16"/>
          <w:szCs w:val="16"/>
          <w:color w:val="auto"/>
        </w:rPr>
        <w:t>‑</w:t>
      </w:r>
      <w:r>
        <w:rPr>
          <w:rFonts w:ascii="Arial" w:cs="Arial" w:eastAsia="Arial" w:hAnsi="Arial"/>
          <w:sz w:val="16"/>
          <w:szCs w:val="16"/>
          <w:color w:val="auto"/>
        </w:rPr>
        <w:t>Smith Act, signed into law on September 16, 2011, could increase those uncertainties and costs. The Leahy</w:t>
      </w:r>
      <w:r>
        <w:rPr>
          <w:rFonts w:ascii="MS PGothic" w:cs="MS PGothic" w:eastAsia="MS PGothic" w:hAnsi="MS PGothic"/>
          <w:sz w:val="16"/>
          <w:szCs w:val="16"/>
          <w:color w:val="auto"/>
        </w:rPr>
        <w:t>‑</w:t>
      </w:r>
      <w:r>
        <w:rPr>
          <w:rFonts w:ascii="Arial" w:cs="Arial" w:eastAsia="Arial" w:hAnsi="Arial"/>
          <w:sz w:val="16"/>
          <w:szCs w:val="16"/>
          <w:color w:val="auto"/>
        </w:rPr>
        <w:t>Smith Act includes a number of significant changes to U.S. patent law. These include provisions that affect the way patent applications are prosecuted, redefine prior art and provide more efficient and cost</w:t>
      </w:r>
      <w:r>
        <w:rPr>
          <w:rFonts w:ascii="MS PGothic" w:cs="MS PGothic" w:eastAsia="MS PGothic" w:hAnsi="MS PGothic"/>
          <w:sz w:val="16"/>
          <w:szCs w:val="16"/>
          <w:color w:val="auto"/>
        </w:rPr>
        <w:t>‑</w:t>
      </w:r>
      <w:r>
        <w:rPr>
          <w:rFonts w:ascii="Arial" w:cs="Arial" w:eastAsia="Arial" w:hAnsi="Arial"/>
          <w:sz w:val="16"/>
          <w:szCs w:val="16"/>
          <w:color w:val="auto"/>
        </w:rPr>
        <w:t>effective avenues for competitors to challenge the validity of patents. In addition, the Leahy</w:t>
      </w:r>
      <w:r>
        <w:rPr>
          <w:rFonts w:ascii="MS PGothic" w:cs="MS PGothic" w:eastAsia="MS PGothic" w:hAnsi="MS PGothic"/>
          <w:sz w:val="16"/>
          <w:szCs w:val="16"/>
          <w:color w:val="auto"/>
        </w:rPr>
        <w:t>‑</w:t>
      </w:r>
      <w:r>
        <w:rPr>
          <w:rFonts w:ascii="Arial" w:cs="Arial" w:eastAsia="Arial" w:hAnsi="Arial"/>
          <w:sz w:val="16"/>
          <w:szCs w:val="16"/>
          <w:color w:val="auto"/>
        </w:rPr>
        <w:t>Smith Act has transformed the U.S. patent system into a “first to file” system. The first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file provisions, however, only became effective on March 16, 2013. Accordingly, it is not yet clear what, if any, impact the Leahy</w:t>
      </w:r>
      <w:r>
        <w:rPr>
          <w:rFonts w:ascii="MS PGothic" w:cs="MS PGothic" w:eastAsia="MS PGothic" w:hAnsi="MS PGothic"/>
          <w:sz w:val="16"/>
          <w:szCs w:val="16"/>
          <w:color w:val="auto"/>
        </w:rPr>
        <w:t>‑</w:t>
      </w:r>
      <w:r>
        <w:rPr>
          <w:rFonts w:ascii="Arial" w:cs="Arial" w:eastAsia="Arial" w:hAnsi="Arial"/>
          <w:sz w:val="16"/>
          <w:szCs w:val="16"/>
          <w:color w:val="auto"/>
        </w:rPr>
        <w:t>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9" w:firstLine="648"/>
        <w:spacing w:after="0" w:line="184" w:lineRule="exact"/>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w:t>
      </w:r>
      <w:r>
        <w:rPr>
          <w:rFonts w:ascii="MS PGothic" w:cs="MS PGothic" w:eastAsia="MS PGothic" w:hAnsi="MS PGothic"/>
          <w:sz w:val="16"/>
          <w:szCs w:val="16"/>
          <w:color w:val="auto"/>
        </w:rPr>
        <w:t>‑</w:t>
      </w:r>
      <w:r>
        <w:rPr>
          <w:rFonts w:ascii="Arial" w:cs="Arial" w:eastAsia="Arial" w:hAnsi="Arial"/>
          <w:sz w:val="16"/>
          <w:szCs w:val="16"/>
          <w:color w:val="auto"/>
        </w:rPr>
        <w:t>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39" w:firstLine="648"/>
        <w:spacing w:after="0" w:line="180" w:lineRule="exact"/>
        <w:rPr>
          <w:sz w:val="20"/>
          <w:szCs w:val="20"/>
          <w:color w:val="auto"/>
        </w:rPr>
      </w:pPr>
      <w:r>
        <w:rPr>
          <w:rFonts w:ascii="Arial" w:cs="Arial" w:eastAsia="Arial" w:hAnsi="Arial"/>
          <w:sz w:val="17"/>
          <w:szCs w:val="17"/>
          <w:color w:val="auto"/>
        </w:rPr>
        <w:t>In addition to the protection afforded by patents, we rely upon unpatented trade secret protection, unpatented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competitive position. With respect to the building of our proprietary compound library, we consider trade secrets and know</w:t>
      </w:r>
      <w:r>
        <w:rPr>
          <w:rFonts w:ascii="MS PGothic" w:cs="MS PGothic" w:eastAsia="MS PGothic" w:hAnsi="MS PGothic"/>
          <w:sz w:val="17"/>
          <w:szCs w:val="17"/>
          <w:color w:val="auto"/>
        </w:rPr>
        <w:t>‑</w:t>
      </w:r>
      <w:r>
        <w:rPr>
          <w:rFonts w:ascii="Arial" w:cs="Arial" w:eastAsia="Arial" w:hAnsi="Arial"/>
          <w:sz w:val="17"/>
          <w:szCs w:val="17"/>
          <w:color w:val="auto"/>
        </w:rPr>
        <w:t>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w:t>
      </w:r>
      <w:r>
        <w:rPr>
          <w:rFonts w:ascii="MS PGothic" w:cs="MS PGothic" w:eastAsia="MS PGothic" w:hAnsi="MS PGothic"/>
          <w:sz w:val="17"/>
          <w:szCs w:val="17"/>
          <w:color w:val="auto"/>
        </w:rPr>
        <w:t>‑</w:t>
      </w:r>
      <w:r>
        <w:rPr>
          <w:rFonts w:ascii="Arial" w:cs="Arial" w:eastAsia="Arial" w:hAnsi="Arial"/>
          <w:sz w:val="17"/>
          <w:szCs w:val="17"/>
          <w:color w:val="auto"/>
        </w:rPr>
        <w:t>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65" w:lineRule="exact"/>
        <w:rPr>
          <w:sz w:val="20"/>
          <w:szCs w:val="20"/>
          <w:color w:val="auto"/>
        </w:rPr>
      </w:pPr>
    </w:p>
    <w:p>
      <w:pPr>
        <w:ind w:right="159"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79"/>
        <w:spacing w:after="0" w:line="203" w:lineRule="exact"/>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competition or non</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solicitation agreements with our competitors.</w:t>
      </w:r>
    </w:p>
    <w:p>
      <w:pPr>
        <w:spacing w:after="0" w:line="162" w:lineRule="exact"/>
        <w:rPr>
          <w:sz w:val="20"/>
          <w:szCs w:val="20"/>
          <w:color w:val="auto"/>
        </w:rPr>
      </w:pPr>
    </w:p>
    <w:p>
      <w:pPr>
        <w:ind w:right="39" w:firstLine="648"/>
        <w:spacing w:after="0" w:line="179" w:lineRule="exact"/>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w:t>
      </w:r>
      <w:r>
        <w:rPr>
          <w:rFonts w:ascii="MS PGothic" w:cs="MS PGothic" w:eastAsia="MS PGothic" w:hAnsi="MS PGothic"/>
          <w:sz w:val="16"/>
          <w:szCs w:val="16"/>
          <w:color w:val="auto"/>
        </w:rPr>
        <w:t>‑</w:t>
      </w:r>
      <w:r>
        <w:rPr>
          <w:rFonts w:ascii="Arial" w:cs="Arial" w:eastAsia="Arial" w:hAnsi="Arial"/>
          <w:sz w:val="16"/>
          <w:szCs w:val="16"/>
          <w:color w:val="auto"/>
        </w:rPr>
        <w:t>how or trade secrets of others in their work for us, we may in the future be subject to claims that we caused an employee to breach the terms of his or her non</w:t>
      </w:r>
      <w:r>
        <w:rPr>
          <w:rFonts w:ascii="MS PGothic" w:cs="MS PGothic" w:eastAsia="MS PGothic" w:hAnsi="MS PGothic"/>
          <w:sz w:val="16"/>
          <w:szCs w:val="16"/>
          <w:color w:val="auto"/>
        </w:rPr>
        <w:t>‑</w:t>
      </w:r>
      <w:r>
        <w:rPr>
          <w:rFonts w:ascii="Arial" w:cs="Arial" w:eastAsia="Arial" w:hAnsi="Arial"/>
          <w:sz w:val="16"/>
          <w:szCs w:val="16"/>
          <w:color w:val="auto"/>
        </w:rPr>
        <w:t>competition or non</w:t>
      </w:r>
      <w:r>
        <w:rPr>
          <w:rFonts w:ascii="MS PGothic" w:cs="MS PGothic" w:eastAsia="MS PGothic" w:hAnsi="MS PGothic"/>
          <w:sz w:val="16"/>
          <w:szCs w:val="16"/>
          <w:color w:val="auto"/>
        </w:rPr>
        <w:t>‑</w:t>
      </w:r>
      <w:r>
        <w:rPr>
          <w:rFonts w:ascii="Arial" w:cs="Arial" w:eastAsia="Arial" w:hAnsi="Arial"/>
          <w:sz w:val="16"/>
          <w:szCs w:val="16"/>
          <w:color w:val="auto"/>
        </w:rPr>
        <w:t>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Business Officer, Michael Landsittel, our Vice President of Finance, and Tracey McCain, our Chief Legal Officer, as well as the other principal members of our management, scientific and clinical team. Although we have entered into employment agreements with our executive officers, other than Mr. Landsittel,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As of February 28, 2017, we had 106 full</w:t>
      </w:r>
      <w:r>
        <w:rPr>
          <w:rFonts w:ascii="MS PGothic" w:cs="MS PGothic" w:eastAsia="MS PGothic" w:hAnsi="MS PGothic"/>
          <w:sz w:val="16"/>
          <w:szCs w:val="16"/>
          <w:color w:val="auto"/>
        </w:rPr>
        <w:t>‑</w:t>
      </w:r>
      <w:r>
        <w:rPr>
          <w:rFonts w:ascii="Arial" w:cs="Arial" w:eastAsia="Arial" w:hAnsi="Arial"/>
          <w:sz w:val="16"/>
          <w:szCs w:val="16"/>
          <w:color w:val="auto"/>
        </w:rPr>
        <w:t>time employees, and in connection with operating as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resulting in supply disruption, or cause our customers to delay making payments for our services. In addition, Brexit has already and may continue to adversely affect European and/or worldwide economic or market, political or regulatory conditions and may contribute to instability in the global financial markets, political institutions and regulatory agencies. The long-term impact of Brexit, including on our business and our industry, will depend on the terms that are negotiated in relation to the United Kingdom’s future relationship with the European Union. Any of the foregoing could harm our business and we cannot anticipate all of the ways in which the current economic climate and financial market conditions could adversely impact our business.</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w:t>
      </w:r>
      <w:r>
        <w:rPr>
          <w:rFonts w:ascii="MS PGothic" w:cs="MS PGothic" w:eastAsia="MS PGothic" w:hAnsi="MS PGothic"/>
          <w:sz w:val="17"/>
          <w:szCs w:val="17"/>
          <w:color w:val="auto"/>
        </w:rPr>
        <w:t>‑</w:t>
      </w:r>
      <w:r>
        <w:rPr>
          <w:rFonts w:ascii="Arial" w:cs="Arial" w:eastAsia="Arial" w:hAnsi="Arial"/>
          <w:sz w:val="17"/>
          <w:szCs w:val="17"/>
          <w:color w:val="auto"/>
        </w:rPr>
        <w:t>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240"/>
        <w:spacing w:after="0" w:line="203" w:lineRule="exact"/>
        <w:rPr>
          <w:sz w:val="20"/>
          <w:szCs w:val="20"/>
          <w:color w:val="auto"/>
        </w:rPr>
      </w:pPr>
      <w:r>
        <w:rPr>
          <w:rFonts w:ascii="Arial" w:cs="Arial" w:eastAsia="Arial" w:hAnsi="Arial"/>
          <w:sz w:val="15"/>
          <w:szCs w:val="15"/>
          <w:b w:val="1"/>
          <w:bCs w:val="1"/>
          <w:i w:val="1"/>
          <w:iCs w:val="1"/>
          <w:color w:val="auto"/>
        </w:rPr>
        <w:t>Our internal computer systems, or those of 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CROs or other contractors or consultants, may fail or suffer security breaches, which could result in a material disruption of our drug candidates’ development programs.</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Despite the implementation of security measures, our internal computer systems and those of our third</w:t>
      </w:r>
      <w:r>
        <w:rPr>
          <w:rFonts w:ascii="MS PGothic" w:cs="MS PGothic" w:eastAsia="MS PGothic" w:hAnsi="MS PGothic"/>
          <w:sz w:val="16"/>
          <w:szCs w:val="16"/>
          <w:color w:val="auto"/>
        </w:rPr>
        <w:t>‑</w:t>
      </w:r>
      <w:r>
        <w:rPr>
          <w:rFonts w:ascii="Arial" w:cs="Arial" w:eastAsia="Arial" w:hAnsi="Arial"/>
          <w:sz w:val="16"/>
          <w:szCs w:val="16"/>
          <w:color w:val="auto"/>
        </w:rPr>
        <w:t>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8" w:lineRule="exact"/>
        <w:rPr>
          <w:sz w:val="20"/>
          <w:szCs w:val="20"/>
          <w:color w:val="auto"/>
        </w:rPr>
      </w:pPr>
    </w:p>
    <w:p>
      <w:pPr>
        <w:ind w:right="340"/>
        <w:spacing w:after="0" w:line="203" w:lineRule="exact"/>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compliance with regulatory standards and requirements and insider trading.</w:t>
      </w:r>
    </w:p>
    <w:p>
      <w:pPr>
        <w:spacing w:after="0" w:line="162"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6"/>
          <w:szCs w:val="16"/>
          <w:color w:val="auto"/>
        </w:rPr>
        <w:t>‑</w:t>
      </w:r>
      <w:r>
        <w:rPr>
          <w:rFonts w:ascii="Arial" w:cs="Arial" w:eastAsia="Arial" w:hAnsi="Arial"/>
          <w:sz w:val="16"/>
          <w:szCs w:val="16"/>
          <w:color w:val="auto"/>
        </w:rPr>
        <w:t>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and future earnings, and curtailment of our operations, any of which could adversely affect our ability to operate our business and our results of operations.</w:t>
      </w:r>
    </w:p>
    <w:p>
      <w:pPr>
        <w:spacing w:after="0" w:line="16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increased costs as a result of operating as a public company, and our management is required to devote substantial time to new compliance initiatives.</w:t>
      </w:r>
    </w:p>
    <w:p>
      <w:pPr>
        <w:spacing w:after="0" w:line="120"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As a public company, we have incurred and expect to continue to incur, particularly after we are no longer an “emerging growth company,” significant legal, accounting and other expenses that we did not incur as a private company. In addition, the Sarbanes</w:t>
      </w:r>
      <w:r>
        <w:rPr>
          <w:rFonts w:ascii="MS PGothic" w:cs="MS PGothic" w:eastAsia="MS PGothic" w:hAnsi="MS PGothic"/>
          <w:sz w:val="17"/>
          <w:szCs w:val="17"/>
          <w:color w:val="auto"/>
        </w:rPr>
        <w:t>‑</w:t>
      </w:r>
      <w:r>
        <w:rPr>
          <w:rFonts w:ascii="Arial" w:cs="Arial" w:eastAsia="Arial" w:hAnsi="Arial"/>
          <w:sz w:val="17"/>
          <w:szCs w:val="17"/>
          <w:color w:val="auto"/>
        </w:rPr>
        <w:t>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w:t>
      </w:r>
      <w:r>
        <w:rPr>
          <w:rFonts w:ascii="MS PGothic" w:cs="MS PGothic" w:eastAsia="MS PGothic" w:hAnsi="MS PGothic"/>
          <w:sz w:val="17"/>
          <w:szCs w:val="17"/>
          <w:color w:val="auto"/>
        </w:rPr>
        <w:t>‑</w:t>
      </w:r>
      <w:r>
        <w:rPr>
          <w:rFonts w:ascii="Arial" w:cs="Arial" w:eastAsia="Arial" w:hAnsi="Arial"/>
          <w:sz w:val="17"/>
          <w:szCs w:val="17"/>
          <w:color w:val="auto"/>
        </w:rPr>
        <w:t>consuming and costly. For example, we expect that these rules and regulations may make it more difficult and more expensive for us to obtain director and officer liability insurance.</w:t>
      </w:r>
    </w:p>
    <w:p>
      <w:pPr>
        <w:spacing w:after="0" w:line="148"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Pursuant to Section 404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58"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$38.33 and a low price of $13.04 per share for the period beginning on April 30, 2015, our first day of trading on The NASDAQ Global Select Market, through February 28, 2017. As a result of this volatility, our stockholders could incur substantial losses. In addition, the market price for our common stock may be influenced by many factors, including:</w:t>
      </w:r>
    </w:p>
    <w:p>
      <w:pPr>
        <w:spacing w:after="0" w:line="149" w:lineRule="exact"/>
        <w:rPr>
          <w:sz w:val="20"/>
          <w:szCs w:val="20"/>
          <w:color w:val="auto"/>
        </w:rPr>
      </w:pPr>
    </w:p>
    <w:p>
      <w:pPr>
        <w:ind w:left="1120" w:hanging="145"/>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80" w:hanging="105"/>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1120" w:hanging="14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82" w:lineRule="exact"/>
        <w:rPr>
          <w:rFonts w:ascii="Arial" w:cs="Arial" w:eastAsia="Arial" w:hAnsi="Arial"/>
          <w:sz w:val="17"/>
          <w:szCs w:val="17"/>
          <w:color w:val="auto"/>
        </w:rPr>
      </w:pPr>
    </w:p>
    <w:p>
      <w:pPr>
        <w:ind w:left="1060" w:right="179" w:hanging="85"/>
        <w:spacing w:after="0" w:line="235"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48" w:lineRule="exact"/>
        <w:rPr>
          <w:rFonts w:ascii="Arial" w:cs="Arial" w:eastAsia="Arial" w:hAnsi="Arial"/>
          <w:sz w:val="18"/>
          <w:szCs w:val="18"/>
          <w:color w:val="auto"/>
        </w:rPr>
      </w:pPr>
    </w:p>
    <w:p>
      <w:pPr>
        <w:ind w:left="1060" w:hanging="85"/>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71" w:lineRule="exact"/>
        <w:rPr>
          <w:rFonts w:ascii="Arial" w:cs="Arial" w:eastAsia="Arial" w:hAnsi="Arial"/>
          <w:sz w:val="18"/>
          <w:szCs w:val="18"/>
          <w:color w:val="auto"/>
        </w:rPr>
      </w:pPr>
    </w:p>
    <w:p>
      <w:pPr>
        <w:ind w:left="1100" w:hanging="125"/>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71" w:lineRule="exact"/>
        <w:rPr>
          <w:rFonts w:ascii="Arial" w:cs="Arial" w:eastAsia="Arial" w:hAnsi="Arial"/>
          <w:sz w:val="18"/>
          <w:szCs w:val="18"/>
          <w:color w:val="auto"/>
        </w:rPr>
      </w:pPr>
    </w:p>
    <w:p>
      <w:pPr>
        <w:ind w:left="1080" w:hanging="105"/>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71" w:lineRule="exact"/>
        <w:rPr>
          <w:rFonts w:ascii="Arial" w:cs="Arial" w:eastAsia="Arial" w:hAnsi="Arial"/>
          <w:sz w:val="18"/>
          <w:szCs w:val="18"/>
          <w:color w:val="auto"/>
        </w:rPr>
      </w:pPr>
    </w:p>
    <w:p>
      <w:pPr>
        <w:ind w:left="1120" w:hanging="145"/>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1100" w:hanging="125"/>
        <w:spacing w:after="0"/>
        <w:tabs>
          <w:tab w:leader="none" w:pos="1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71"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47" w:lineRule="exact"/>
        <w:rPr>
          <w:sz w:val="20"/>
          <w:szCs w:val="20"/>
          <w:color w:val="auto"/>
        </w:rPr>
      </w:pPr>
    </w:p>
    <w:p>
      <w:pPr>
        <w:ind w:right="79"/>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35" w:lineRule="exact"/>
        <w:rPr>
          <w:sz w:val="20"/>
          <w:szCs w:val="20"/>
          <w:color w:val="auto"/>
        </w:rPr>
      </w:pPr>
    </w:p>
    <w:p>
      <w:pPr>
        <w:ind w:right="59"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45"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48" w:lineRule="exact"/>
        <w:rPr>
          <w:sz w:val="20"/>
          <w:szCs w:val="20"/>
          <w:color w:val="auto"/>
        </w:rPr>
      </w:pPr>
    </w:p>
    <w:p>
      <w:pPr>
        <w:ind w:right="39" w:firstLine="648"/>
        <w:spacing w:after="0" w:line="212"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38" w:lineRule="exact"/>
        <w:rPr>
          <w:sz w:val="20"/>
          <w:szCs w:val="20"/>
          <w:color w:val="auto"/>
        </w:rPr>
      </w:pPr>
    </w:p>
    <w:p>
      <w:pPr>
        <w:ind w:right="359"/>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33" w:lineRule="exact"/>
        <w:rPr>
          <w:sz w:val="20"/>
          <w:szCs w:val="20"/>
          <w:color w:val="auto"/>
        </w:rPr>
      </w:pPr>
    </w:p>
    <w:p>
      <w:pPr>
        <w:ind w:right="519" w:firstLine="648"/>
        <w:spacing w:after="0" w:line="259" w:lineRule="auto"/>
        <w:rPr>
          <w:sz w:val="20"/>
          <w:szCs w:val="20"/>
          <w:color w:val="auto"/>
        </w:rPr>
      </w:pPr>
      <w:r>
        <w:rPr>
          <w:rFonts w:ascii="Arial" w:cs="Arial" w:eastAsia="Arial" w:hAnsi="Arial"/>
          <w:sz w:val="16"/>
          <w:szCs w:val="16"/>
          <w:color w:val="auto"/>
        </w:rPr>
        <w:t>The holdings of our executive officers, directors and stockholders who own more than 5% of our outstanding common stock, together with their affiliates and related persons, represent beneficial ownership, in the aggregate, of approximately 44% of our common stock, based on the number of shares of our common stock outstanding as of</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40"/>
        <w:spacing w:after="0" w:line="232" w:lineRule="auto"/>
        <w:rPr>
          <w:sz w:val="20"/>
          <w:szCs w:val="20"/>
          <w:color w:val="auto"/>
        </w:rPr>
      </w:pPr>
      <w:r>
        <w:rPr>
          <w:rFonts w:ascii="Arial" w:cs="Arial" w:eastAsia="Arial" w:hAnsi="Arial"/>
          <w:sz w:val="17"/>
          <w:szCs w:val="17"/>
          <w:color w:val="auto"/>
        </w:rPr>
        <w:t>December 31, 2016. As a result, these stockholders, if they choose to act together, will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this concentration of ownership might adversely affect the market price of our common stock by:</w:t>
      </w:r>
    </w:p>
    <w:p>
      <w:pPr>
        <w:spacing w:after="0" w:line="169" w:lineRule="exact"/>
        <w:rPr>
          <w:sz w:val="20"/>
          <w:szCs w:val="20"/>
          <w:color w:val="auto"/>
        </w:rPr>
      </w:pPr>
    </w:p>
    <w:p>
      <w:pPr>
        <w:ind w:left="1100" w:hanging="125"/>
        <w:spacing w:after="0"/>
        <w:tabs>
          <w:tab w:leader="none" w:pos="11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71" w:lineRule="exact"/>
        <w:rPr>
          <w:rFonts w:ascii="Arial" w:cs="Arial" w:eastAsia="Arial" w:hAnsi="Arial"/>
          <w:sz w:val="18"/>
          <w:szCs w:val="18"/>
          <w:color w:val="auto"/>
        </w:rPr>
      </w:pPr>
    </w:p>
    <w:p>
      <w:pPr>
        <w:ind w:left="1060" w:hanging="85"/>
        <w:spacing w:after="0"/>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08" w:lineRule="exact"/>
        <w:rPr>
          <w:sz w:val="20"/>
          <w:szCs w:val="20"/>
          <w:color w:val="auto"/>
        </w:rPr>
      </w:pPr>
    </w:p>
    <w:p>
      <w:pPr>
        <w:ind w:right="120"/>
        <w:spacing w:after="0" w:line="194" w:lineRule="exact"/>
        <w:rPr>
          <w:sz w:val="20"/>
          <w:szCs w:val="20"/>
          <w:color w:val="auto"/>
        </w:rPr>
      </w:pPr>
      <w:r>
        <w:rPr>
          <w:rFonts w:ascii="Arial" w:cs="Arial" w:eastAsia="Arial" w:hAnsi="Arial"/>
          <w:sz w:val="18"/>
          <w:szCs w:val="18"/>
          <w:b w:val="1"/>
          <w:bCs w:val="1"/>
          <w:i w:val="1"/>
          <w:iCs w:val="1"/>
          <w:color w:val="auto"/>
        </w:rPr>
        <w:t>Anti</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36"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Provisions in our amended and restated certificate of incorporation and amended and restated by</w:t>
      </w:r>
      <w:r>
        <w:rPr>
          <w:rFonts w:ascii="MS PGothic" w:cs="MS PGothic" w:eastAsia="MS PGothic" w:hAnsi="MS PGothic"/>
          <w:sz w:val="17"/>
          <w:szCs w:val="17"/>
          <w:color w:val="auto"/>
        </w:rPr>
        <w:t>‑</w:t>
      </w:r>
      <w:r>
        <w:rPr>
          <w:rFonts w:ascii="Arial" w:cs="Arial" w:eastAsia="Arial" w:hAnsi="Arial"/>
          <w:sz w:val="17"/>
          <w:szCs w:val="17"/>
          <w:color w:val="auto"/>
        </w:rPr>
        <w:t>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27"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21"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36"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21"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 which means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220" w:hanging="85"/>
        <w:spacing w:after="0" w:line="203" w:lineRule="exact"/>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w:t>
      </w:r>
    </w:p>
    <w:p>
      <w:pPr>
        <w:spacing w:after="0" w:line="121" w:lineRule="exact"/>
        <w:rPr>
          <w:rFonts w:ascii="Arial" w:cs="Arial" w:eastAsia="Arial" w:hAnsi="Arial"/>
          <w:sz w:val="18"/>
          <w:szCs w:val="18"/>
          <w:color w:val="auto"/>
        </w:rPr>
      </w:pPr>
    </w:p>
    <w:p>
      <w:pPr>
        <w:ind w:left="1060" w:right="200" w:hanging="85"/>
        <w:spacing w:after="0" w:line="224"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22" w:lineRule="exact"/>
        <w:rPr>
          <w:rFonts w:ascii="Arial" w:cs="Arial" w:eastAsia="Arial" w:hAnsi="Arial"/>
          <w:sz w:val="18"/>
          <w:szCs w:val="18"/>
          <w:color w:val="auto"/>
        </w:rPr>
      </w:pPr>
    </w:p>
    <w:p>
      <w:pPr>
        <w:ind w:left="1080" w:hanging="105"/>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rFonts w:ascii="Arial" w:cs="Arial" w:eastAsia="Arial" w:hAnsi="Arial"/>
          <w:sz w:val="18"/>
          <w:szCs w:val="18"/>
          <w:color w:val="auto"/>
        </w:rPr>
      </w:pPr>
    </w:p>
    <w:p>
      <w:pPr>
        <w:ind w:left="1060" w:right="420" w:hanging="85"/>
        <w:spacing w:after="0" w:line="258"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47" w:lineRule="exact"/>
        <w:rPr>
          <w:sz w:val="20"/>
          <w:szCs w:val="20"/>
          <w:color w:val="auto"/>
        </w:rPr>
      </w:pPr>
    </w:p>
    <w:p>
      <w:pPr>
        <w:jc w:val="both"/>
        <w:ind w:right="220" w:firstLine="648"/>
        <w:spacing w:after="0" w:line="224"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2" w:lineRule="exact"/>
        <w:rPr>
          <w:sz w:val="20"/>
          <w:szCs w:val="20"/>
          <w:color w:val="auto"/>
        </w:rPr>
      </w:pPr>
    </w:p>
    <w:p>
      <w:pPr>
        <w:ind w:right="96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w:t>
      </w:r>
      <w:r>
        <w:rPr>
          <w:rFonts w:ascii="MS PGothic" w:cs="MS PGothic" w:eastAsia="MS PGothic" w:hAnsi="MS PGothic"/>
          <w:sz w:val="17"/>
          <w:szCs w:val="17"/>
          <w:color w:val="auto"/>
        </w:rPr>
        <w:t>‑</w:t>
      </w:r>
      <w:r>
        <w:rPr>
          <w:rFonts w:ascii="Arial" w:cs="Arial" w:eastAsia="Arial" w:hAnsi="Arial"/>
          <w:sz w:val="17"/>
          <w:szCs w:val="17"/>
          <w:color w:val="auto"/>
        </w:rPr>
        <w:t>change net operating loss carryforwards and certain other pre</w:t>
      </w:r>
      <w:r>
        <w:rPr>
          <w:rFonts w:ascii="MS PGothic" w:cs="MS PGothic" w:eastAsia="MS PGothic" w:hAnsi="MS PGothic"/>
          <w:sz w:val="17"/>
          <w:szCs w:val="17"/>
          <w:color w:val="auto"/>
        </w:rPr>
        <w:t>‑</w:t>
      </w:r>
      <w:r>
        <w:rPr>
          <w:rFonts w:ascii="Arial" w:cs="Arial" w:eastAsia="Arial" w:hAnsi="Arial"/>
          <w:sz w:val="17"/>
          <w:szCs w:val="17"/>
          <w:color w:val="auto"/>
        </w:rPr>
        <w:t>change tax attributes to offset its post</w:t>
      </w:r>
      <w:r>
        <w:rPr>
          <w:rFonts w:ascii="MS PGothic" w:cs="MS PGothic" w:eastAsia="MS PGothic" w:hAnsi="MS PGothic"/>
          <w:sz w:val="17"/>
          <w:szCs w:val="17"/>
          <w:color w:val="auto"/>
        </w:rPr>
        <w:t>‑</w:t>
      </w:r>
      <w:r>
        <w:rPr>
          <w:rFonts w:ascii="Arial" w:cs="Arial" w:eastAsia="Arial" w:hAnsi="Arial"/>
          <w:sz w:val="17"/>
          <w:szCs w:val="17"/>
          <w:color w:val="auto"/>
        </w:rPr>
        <w:t>change income may be limited. We may have experienced such ownership changes in the past, and we may experience ownership changes in the future as a result of shifts in our stock ownership, some of which are outside our control. As of December 31, 2016, we had federal net operating loss carryforwards of approximately $179.8 million, and our ability to utilize those net operating loss carryforwards could be limited by an “ownership change” as described above, which could result in increased tax liability to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Our headquarters are located in Cambridge, Massachusetts where we occupy approximately 38,500 rentable square feet of office and laboratory space pursuant to a lease agreement that we entered into on February 12, 2015. The lease term commenced June 15, 2015 and ends on October 31, 2022. We have an option to extend the lease term for five additional years. We believe that this office and laboratory space is sufficient to meet our needs for the foreseeable future and that suitable additional space will be available as and when needed.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559"/>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Information Regarding the Trading of Our Common Stock</w:t>
      </w:r>
    </w:p>
    <w:p>
      <w:pPr>
        <w:spacing w:after="0" w:line="189" w:lineRule="exact"/>
        <w:rPr>
          <w:sz w:val="20"/>
          <w:szCs w:val="20"/>
          <w:color w:val="auto"/>
        </w:rPr>
      </w:pPr>
    </w:p>
    <w:p>
      <w:pPr>
        <w:ind w:right="59" w:firstLine="648"/>
        <w:spacing w:after="0" w:line="219" w:lineRule="auto"/>
        <w:rPr>
          <w:sz w:val="20"/>
          <w:szCs w:val="20"/>
          <w:color w:val="auto"/>
        </w:rPr>
      </w:pPr>
      <w:r>
        <w:rPr>
          <w:rFonts w:ascii="Arial" w:cs="Arial" w:eastAsia="Arial" w:hAnsi="Arial"/>
          <w:sz w:val="18"/>
          <w:szCs w:val="18"/>
          <w:color w:val="auto"/>
        </w:rPr>
        <w:t>Our common stock trades under the symbol “BPMC” on the NASDAQ Global Select Market and has been publicly traded since April 30, 2015. Prior to this time, there was no public market for our common stock. The following table sets forth the high and low sales prices of our common stock as reported on the NASDAQ Global Market for the periods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ind w:left="120"/>
              <w:spacing w:after="0"/>
              <w:rPr>
                <w:sz w:val="20"/>
                <w:szCs w:val="20"/>
                <w:color w:val="auto"/>
              </w:rPr>
            </w:pPr>
            <w:r>
              <w:rPr>
                <w:rFonts w:ascii="Arial" w:cs="Arial" w:eastAsia="Arial" w:hAnsi="Arial"/>
                <w:sz w:val="18"/>
                <w:szCs w:val="18"/>
                <w:b w:val="1"/>
                <w:bCs w:val="1"/>
                <w:color w:val="auto"/>
              </w:rPr>
              <w:t>Year Ended December 31, 2015:</w:t>
            </w:r>
          </w:p>
        </w:tc>
        <w:tc>
          <w:tcPr>
            <w:tcW w:w="2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Low</w:t>
            </w:r>
          </w:p>
        </w:tc>
      </w:tr>
      <w:tr>
        <w:trPr>
          <w:trHeight w:val="169"/>
        </w:trPr>
        <w:tc>
          <w:tcPr>
            <w:tcW w:w="4460" w:type="dxa"/>
            <w:vAlign w:val="bottom"/>
            <w:tcBorders>
              <w:top w:val="single" w:sz="8" w:color="CCEEFF"/>
            </w:tcBorders>
            <w:shd w:val="clear" w:color="auto" w:fill="CCEEFF"/>
          </w:tcPr>
          <w:p>
            <w:pPr>
              <w:ind w:left="440"/>
              <w:spacing w:after="0" w:line="170" w:lineRule="exact"/>
              <w:rPr>
                <w:sz w:val="20"/>
                <w:szCs w:val="20"/>
                <w:color w:val="auto"/>
              </w:rPr>
            </w:pPr>
            <w:r>
              <w:rPr>
                <w:rFonts w:ascii="Arial" w:cs="Arial" w:eastAsia="Arial" w:hAnsi="Arial"/>
                <w:sz w:val="18"/>
                <w:szCs w:val="18"/>
                <w:color w:val="auto"/>
              </w:rPr>
              <w:t>Second Quarter (beginning April 30, 2015)</w:t>
            </w:r>
          </w:p>
        </w:tc>
        <w:tc>
          <w:tcPr>
            <w:tcW w:w="2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rPr>
              <w:t>37.17</w:t>
            </w: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rPr>
              <w:t>18.00</w:t>
            </w:r>
          </w:p>
        </w:tc>
      </w:tr>
      <w:tr>
        <w:trPr>
          <w:trHeight w:val="176"/>
        </w:trPr>
        <w:tc>
          <w:tcPr>
            <w:tcW w:w="4460" w:type="dxa"/>
            <w:vAlign w:val="bottom"/>
          </w:tcPr>
          <w:p>
            <w:pPr>
              <w:ind w:left="440"/>
              <w:spacing w:after="0" w:line="176" w:lineRule="exact"/>
              <w:rPr>
                <w:sz w:val="20"/>
                <w:szCs w:val="20"/>
                <w:color w:val="auto"/>
              </w:rPr>
            </w:pPr>
            <w:r>
              <w:rPr>
                <w:rFonts w:ascii="Arial" w:cs="Arial" w:eastAsia="Arial" w:hAnsi="Arial"/>
                <w:sz w:val="18"/>
                <w:szCs w:val="18"/>
                <w:color w:val="auto"/>
              </w:rPr>
              <w:t>Third Quarter</w:t>
            </w:r>
          </w:p>
        </w:tc>
        <w:tc>
          <w:tcPr>
            <w:tcW w:w="2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33.10</w:t>
            </w:r>
          </w:p>
        </w:tc>
        <w:tc>
          <w:tcPr>
            <w:tcW w:w="28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19.39</w:t>
            </w:r>
          </w:p>
        </w:tc>
      </w:tr>
      <w:tr>
        <w:trPr>
          <w:trHeight w:val="176"/>
        </w:trPr>
        <w:tc>
          <w:tcPr>
            <w:tcW w:w="44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Fourth Quarter</w:t>
            </w:r>
          </w:p>
        </w:tc>
        <w:tc>
          <w:tcPr>
            <w:tcW w:w="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27.00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19.08</w:t>
            </w:r>
          </w:p>
        </w:tc>
      </w:tr>
      <w:tr>
        <w:trPr>
          <w:trHeight w:val="176"/>
        </w:trPr>
        <w:tc>
          <w:tcPr>
            <w:tcW w:w="44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rPr>
              <w:t>Year Ended December 31, 2016:</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44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First Quarter</w:t>
            </w:r>
          </w:p>
        </w:tc>
        <w:tc>
          <w:tcPr>
            <w:tcW w:w="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25.99</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13.04</w:t>
            </w:r>
          </w:p>
        </w:tc>
      </w:tr>
      <w:tr>
        <w:trPr>
          <w:trHeight w:val="176"/>
        </w:trPr>
        <w:tc>
          <w:tcPr>
            <w:tcW w:w="4460" w:type="dxa"/>
            <w:vAlign w:val="bottom"/>
          </w:tcPr>
          <w:p>
            <w:pPr>
              <w:ind w:left="440"/>
              <w:spacing w:after="0" w:line="176" w:lineRule="exact"/>
              <w:rPr>
                <w:sz w:val="20"/>
                <w:szCs w:val="20"/>
                <w:color w:val="auto"/>
              </w:rPr>
            </w:pPr>
            <w:r>
              <w:rPr>
                <w:rFonts w:ascii="Arial" w:cs="Arial" w:eastAsia="Arial" w:hAnsi="Arial"/>
                <w:sz w:val="18"/>
                <w:szCs w:val="18"/>
                <w:color w:val="auto"/>
              </w:rPr>
              <w:t>Second Quarter</w:t>
            </w:r>
          </w:p>
        </w:tc>
        <w:tc>
          <w:tcPr>
            <w:tcW w:w="2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22.48</w:t>
            </w:r>
          </w:p>
        </w:tc>
        <w:tc>
          <w:tcPr>
            <w:tcW w:w="280" w:type="dxa"/>
            <w:vAlign w:val="bottom"/>
          </w:tcPr>
          <w:p>
            <w:pPr>
              <w:spacing w:after="0"/>
              <w:rPr>
                <w:sz w:val="15"/>
                <w:szCs w:val="15"/>
                <w:color w:val="auto"/>
              </w:rPr>
            </w:pP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13.27</w:t>
            </w:r>
          </w:p>
        </w:tc>
      </w:tr>
      <w:tr>
        <w:trPr>
          <w:trHeight w:val="176"/>
        </w:trPr>
        <w:tc>
          <w:tcPr>
            <w:tcW w:w="44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29.90</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19.51</w:t>
            </w:r>
          </w:p>
        </w:tc>
      </w:tr>
      <w:tr>
        <w:trPr>
          <w:trHeight w:val="230"/>
        </w:trPr>
        <w:tc>
          <w:tcPr>
            <w:tcW w:w="446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38.33</w:t>
            </w: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25.08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239" w:firstLine="648"/>
        <w:spacing w:after="0" w:line="235" w:lineRule="auto"/>
        <w:rPr>
          <w:sz w:val="20"/>
          <w:szCs w:val="20"/>
          <w:color w:val="auto"/>
        </w:rPr>
      </w:pPr>
      <w:r>
        <w:rPr>
          <w:rFonts w:ascii="Arial" w:cs="Arial" w:eastAsia="Arial" w:hAnsi="Arial"/>
          <w:sz w:val="18"/>
          <w:szCs w:val="18"/>
          <w:color w:val="auto"/>
        </w:rPr>
        <w:t>As of February 28, 2017, there were approximately 48 holders of record of our common stock. This number does not include beneficial owners whose shares are held by nominees in street 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39" w:firstLine="648"/>
        <w:spacing w:after="0" w:line="237"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In addition, pursuant to our loan and security agreement with Silicon Valley Bank, we are prohibited from paying cash dividends without the prior written consent of Silicon Valley Bank. Moreover, the terms of any future debt agreements may preclude us from paying dividends.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62" w:lineRule="exact"/>
        <w:rPr>
          <w:sz w:val="20"/>
          <w:szCs w:val="20"/>
          <w:color w:val="auto"/>
        </w:rPr>
      </w:pPr>
    </w:p>
    <w:p>
      <w:pPr>
        <w:ind w:right="239" w:firstLine="648"/>
        <w:spacing w:after="0" w:line="259" w:lineRule="auto"/>
        <w:rPr>
          <w:sz w:val="20"/>
          <w:szCs w:val="20"/>
          <w:color w:val="auto"/>
        </w:rPr>
      </w:pPr>
      <w:r>
        <w:rPr>
          <w:rFonts w:ascii="Arial" w:cs="Arial" w:eastAsia="Arial" w:hAnsi="Arial"/>
          <w:sz w:val="16"/>
          <w:szCs w:val="16"/>
          <w:color w:val="auto"/>
        </w:rPr>
        <w:t>The following performance graph compares the performance of our common stock to the NASDAQ Composite Index and to the NASDAQ Biotechnology Index from April 30, 2015 (the first date that shares of our common stock were publicly traded) through December 31, 2016. The comparison assumes $100 was invested in our common stock</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and in each of the foregoing indices after the market closed on April 30, 2015, and it assumes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96520</wp:posOffset>
            </wp:positionV>
            <wp:extent cx="5394325" cy="3387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94325"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provides information relating to our repurchase of shares of our common stock during the three months ended December 31, 2016.</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 Number</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Total Number of</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(or Approximate</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9"/>
              </w:rPr>
              <w:t>Average Price</w:t>
            </w:r>
          </w:p>
        </w:tc>
        <w:tc>
          <w:tcPr>
            <w:tcW w:w="18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6"/>
              </w:rPr>
              <w:t>Shares Purchased</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Shares that May Yet</w:t>
            </w: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8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as Part of Publicly</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be Purchased Under</w:t>
            </w:r>
          </w:p>
        </w:tc>
        <w:tc>
          <w:tcPr>
            <w:tcW w:w="0" w:type="dxa"/>
            <w:vAlign w:val="bottom"/>
          </w:tcPr>
          <w:p>
            <w:pPr>
              <w:spacing w:after="0"/>
              <w:rPr>
                <w:sz w:val="1"/>
                <w:szCs w:val="1"/>
                <w:color w:val="auto"/>
              </w:rPr>
            </w:pPr>
          </w:p>
        </w:tc>
      </w:tr>
      <w:tr>
        <w:trPr>
          <w:trHeight w:val="176"/>
        </w:trPr>
        <w:tc>
          <w:tcPr>
            <w:tcW w:w="2540" w:type="dxa"/>
            <w:vAlign w:val="bottom"/>
            <w:gridSpan w:val="2"/>
            <w:vMerge w:val="restart"/>
          </w:tcPr>
          <w:p>
            <w:pPr>
              <w:ind w:left="88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3"/>
              </w:rPr>
              <w:t>Shares</w:t>
            </w:r>
          </w:p>
        </w:tc>
        <w:tc>
          <w:tcPr>
            <w:tcW w:w="260" w:type="dxa"/>
            <w:vAlign w:val="bottom"/>
          </w:tcPr>
          <w:p>
            <w:pPr>
              <w:spacing w:after="0"/>
              <w:rPr>
                <w:sz w:val="15"/>
                <w:szCs w:val="15"/>
                <w:color w:val="auto"/>
              </w:rPr>
            </w:pPr>
          </w:p>
        </w:tc>
        <w:tc>
          <w:tcPr>
            <w:tcW w:w="1540" w:type="dxa"/>
            <w:vAlign w:val="bottom"/>
            <w:gridSpan w:val="4"/>
          </w:tcPr>
          <w:p>
            <w:pPr>
              <w:jc w:val="center"/>
              <w:ind w:right="200"/>
              <w:spacing w:after="0" w:line="176" w:lineRule="exact"/>
              <w:rPr>
                <w:sz w:val="20"/>
                <w:szCs w:val="20"/>
                <w:color w:val="auto"/>
              </w:rPr>
            </w:pPr>
            <w:r>
              <w:rPr>
                <w:rFonts w:ascii="Arial" w:cs="Arial" w:eastAsia="Arial" w:hAnsi="Arial"/>
                <w:sz w:val="18"/>
                <w:szCs w:val="18"/>
                <w:b w:val="1"/>
                <w:bCs w:val="1"/>
                <w:color w:val="auto"/>
                <w:w w:val="90"/>
              </w:rPr>
              <w:t>Paid per Share</w:t>
            </w:r>
          </w:p>
        </w:tc>
        <w:tc>
          <w:tcPr>
            <w:tcW w:w="180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Announced Plans</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03"/>
        </w:trPr>
        <w:tc>
          <w:tcPr>
            <w:tcW w:w="2540" w:type="dxa"/>
            <w:vAlign w:val="bottom"/>
            <w:gridSpan w:val="2"/>
            <w:vMerge w:val="continue"/>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Purchased (1)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0"/>
              <w:spacing w:after="0" w:line="202" w:lineRule="exact"/>
              <w:rPr>
                <w:sz w:val="20"/>
                <w:szCs w:val="20"/>
                <w:color w:val="auto"/>
              </w:rPr>
            </w:pPr>
            <w:r>
              <w:rPr>
                <w:rFonts w:ascii="Arial" w:cs="Arial" w:eastAsia="Arial" w:hAnsi="Arial"/>
                <w:sz w:val="18"/>
                <w:szCs w:val="18"/>
                <w:b w:val="1"/>
                <w:bCs w:val="1"/>
                <w:color w:val="auto"/>
                <w:w w:val="93"/>
              </w:rPr>
              <w:t>($) (2)</w:t>
            </w:r>
          </w:p>
        </w:tc>
        <w:tc>
          <w:tcPr>
            <w:tcW w:w="220" w:type="dxa"/>
            <w:vAlign w:val="bottom"/>
          </w:tcPr>
          <w:p>
            <w:pPr>
              <w:spacing w:after="0"/>
              <w:rPr>
                <w:sz w:val="17"/>
                <w:szCs w:val="17"/>
                <w:color w:val="auto"/>
              </w:rPr>
            </w:pPr>
          </w:p>
        </w:tc>
        <w:tc>
          <w:tcPr>
            <w:tcW w:w="18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2"/>
              </w:rPr>
              <w:t>or Programs (3)</w:t>
            </w:r>
          </w:p>
        </w:tc>
        <w:tc>
          <w:tcPr>
            <w:tcW w:w="1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Programs (3)</w:t>
            </w:r>
          </w:p>
        </w:tc>
        <w:tc>
          <w:tcPr>
            <w:tcW w:w="0" w:type="dxa"/>
            <w:vAlign w:val="bottom"/>
          </w:tcPr>
          <w:p>
            <w:pPr>
              <w:spacing w:after="0"/>
              <w:rPr>
                <w:sz w:val="1"/>
                <w:szCs w:val="1"/>
                <w:color w:val="auto"/>
              </w:rPr>
            </w:pPr>
          </w:p>
        </w:tc>
      </w:tr>
      <w:tr>
        <w:trPr>
          <w:trHeight w:val="169"/>
        </w:trPr>
        <w:tc>
          <w:tcPr>
            <w:tcW w:w="22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October 1 - October 31</w:t>
            </w:r>
          </w:p>
        </w:tc>
        <w:tc>
          <w:tcPr>
            <w:tcW w:w="26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110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ind w:left="132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136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line="176" w:lineRule="exact"/>
              <w:rPr>
                <w:sz w:val="20"/>
                <w:szCs w:val="20"/>
                <w:color w:val="auto"/>
              </w:rPr>
            </w:pPr>
            <w:r>
              <w:rPr>
                <w:rFonts w:ascii="Arial" w:cs="Arial" w:eastAsia="Arial" w:hAnsi="Arial"/>
                <w:sz w:val="18"/>
                <w:szCs w:val="18"/>
                <w:color w:val="auto"/>
              </w:rPr>
              <w:t>November 1 - November 30</w:t>
            </w:r>
          </w:p>
        </w:tc>
        <w:tc>
          <w:tcPr>
            <w:tcW w:w="1340" w:type="dxa"/>
            <w:vAlign w:val="bottom"/>
          </w:tcPr>
          <w:p>
            <w:pPr>
              <w:ind w:left="1100"/>
              <w:spacing w:after="0" w:line="17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800" w:type="dxa"/>
            <w:vAlign w:val="bottom"/>
            <w:gridSpan w:val="2"/>
          </w:tcPr>
          <w:p>
            <w:pPr>
              <w:ind w:left="1320"/>
              <w:spacing w:after="0" w:line="176" w:lineRule="exact"/>
              <w:rPr>
                <w:sz w:val="20"/>
                <w:szCs w:val="20"/>
                <w:color w:val="auto"/>
              </w:rPr>
            </w:pPr>
            <w:r>
              <w:rPr>
                <w:rFonts w:ascii="Arial" w:cs="Arial" w:eastAsia="Arial" w:hAnsi="Arial"/>
                <w:sz w:val="18"/>
                <w:szCs w:val="18"/>
                <w:color w:val="auto"/>
              </w:rPr>
              <w:t>—</w:t>
            </w:r>
          </w:p>
        </w:tc>
        <w:tc>
          <w:tcPr>
            <w:tcW w:w="1580" w:type="dxa"/>
            <w:vAlign w:val="bottom"/>
          </w:tcPr>
          <w:p>
            <w:pPr>
              <w:ind w:left="136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38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15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8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860" w:right="140" w:hanging="215"/>
        <w:spacing w:after="0" w:line="224" w:lineRule="auto"/>
        <w:rPr>
          <w:sz w:val="20"/>
          <w:szCs w:val="20"/>
          <w:color w:val="auto"/>
        </w:rPr>
      </w:pPr>
      <w:r>
        <w:rPr>
          <w:rFonts w:ascii="Arial" w:cs="Arial" w:eastAsia="Arial" w:hAnsi="Arial"/>
          <w:sz w:val="18"/>
          <w:szCs w:val="18"/>
          <w:color w:val="auto"/>
        </w:rPr>
        <w:t>(1)All repurchases were made in connection with the forfeiture of shares of common stock by the recipient of such equity incentive awards in connection with the termination of the recipient’s employment or other service relationship with us.</w:t>
      </w:r>
    </w:p>
    <w:p>
      <w:pPr>
        <w:spacing w:after="0" w:line="163" w:lineRule="exact"/>
        <w:rPr>
          <w:sz w:val="20"/>
          <w:szCs w:val="20"/>
          <w:color w:val="auto"/>
        </w:rPr>
      </w:pPr>
    </w:p>
    <w:p>
      <w:pPr>
        <w:ind w:left="860" w:right="660" w:hanging="215"/>
        <w:spacing w:after="0" w:line="235" w:lineRule="auto"/>
        <w:rPr>
          <w:sz w:val="20"/>
          <w:szCs w:val="20"/>
          <w:color w:val="auto"/>
        </w:rPr>
      </w:pPr>
      <w:r>
        <w:rPr>
          <w:rFonts w:ascii="Arial" w:cs="Arial" w:eastAsia="Arial" w:hAnsi="Arial"/>
          <w:sz w:val="18"/>
          <w:szCs w:val="18"/>
          <w:color w:val="auto"/>
        </w:rPr>
        <w:t>(2)The repurchase price for all shares of common stock was equal to the price per share initially paid by the recipient.</w:t>
      </w:r>
    </w:p>
    <w:p>
      <w:pPr>
        <w:spacing w:after="0" w:line="162" w:lineRule="exact"/>
        <w:rPr>
          <w:sz w:val="20"/>
          <w:szCs w:val="20"/>
          <w:color w:val="auto"/>
        </w:rPr>
      </w:pPr>
    </w:p>
    <w:p>
      <w:pPr>
        <w:ind w:left="4440" w:right="2580" w:hanging="3789"/>
        <w:spacing w:after="0" w:line="731" w:lineRule="auto"/>
        <w:tabs>
          <w:tab w:leader="none" w:pos="9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presently have no publicly announced share repurchase plan or program.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40" w:lineRule="exact"/>
        <w:rPr>
          <w:sz w:val="20"/>
          <w:szCs w:val="20"/>
          <w:color w:val="auto"/>
        </w:rPr>
      </w:pPr>
    </w:p>
    <w:p>
      <w:pPr>
        <w:ind w:right="20" w:firstLine="648"/>
        <w:spacing w:after="0" w:line="255" w:lineRule="auto"/>
        <w:rPr>
          <w:sz w:val="20"/>
          <w:szCs w:val="20"/>
          <w:color w:val="auto"/>
        </w:rPr>
      </w:pPr>
      <w:r>
        <w:rPr>
          <w:rFonts w:ascii="Arial" w:cs="Arial" w:eastAsia="Arial" w:hAnsi="Arial"/>
          <w:sz w:val="16"/>
          <w:szCs w:val="16"/>
          <w:color w:val="auto"/>
        </w:rPr>
        <w:t>On May 5,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The offer and sale of all of the shares in our IPO was registered under the Securities Act pursuant to a registration statement on Form S-1 (File No. 333-202938), which was declared effective by the SEC on April 29, 2015. Following the sale of the shares in connection with the closing of our IPO, the offering terminated. The offering did not terminate until the sale of all of the shares offered. Goldman, Sachs &amp; Co. and Cowen and Company acted as joint book-running managers for the offering. JMP Securities acted as a co-manager for the offering. Wedbush PacGrow also acted as a co-manager for the offering.</w:t>
      </w:r>
    </w:p>
    <w:p>
      <w:pPr>
        <w:spacing w:after="0" w:line="30" w:lineRule="exact"/>
        <w:rPr>
          <w:sz w:val="20"/>
          <w:szCs w:val="20"/>
          <w:color w:val="auto"/>
        </w:rPr>
      </w:pPr>
    </w:p>
    <w:p>
      <w:pPr>
        <w:ind w:right="60" w:firstLine="648"/>
        <w:spacing w:after="0" w:line="252" w:lineRule="auto"/>
        <w:rPr>
          <w:sz w:val="20"/>
          <w:szCs w:val="20"/>
          <w:color w:val="auto"/>
        </w:rPr>
      </w:pPr>
      <w:r>
        <w:rPr>
          <w:rFonts w:ascii="Arial" w:cs="Arial" w:eastAsia="Arial" w:hAnsi="Arial"/>
          <w:sz w:val="16"/>
          <w:szCs w:val="16"/>
          <w:color w:val="auto"/>
        </w:rPr>
        <w:t>We received approximately $154.8 million in net proceeds, after deducting underwriting discounts and commissions and offering costs paid by us. As of December 31, 2016, we estimate that we have used approximately $117.8 million of the net proceeds from the offering as follows: approximately $28.4 million of external costs to fund our Phase 1 clinical trials; approximately $30.2 million of external costs for new and ongoing research activities; approximately $22.6 million of internal research and development costs and approximately $36.6 million for working capital and other general corporate purposes.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IPO as described in our final prospectus filed with the SEC on April 30, 2015 pursuant to Rule 424(b)(4) under the Securities Act. We have invested the unused proceeds from the offering in cash equivalents and investments in accordance with our investment policy.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40"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You should read the following selected consolidated financial data together with our financial statements and the related notes appearing at the end of this Annual Report on Form 10-K and Item 7 “Management’s Discussion and Analysis of Financial Condition and Results of Operations” section of this Annual Report on Form 10-K. We have derived the consolidated statement of operations data for the years ended December 31, 2016, 2015 and 2014 and the consolidated balance sheet data as of December 31, 2016 and 2015 from our audited consolidated financial statements included elsewhere in this Annual Report on Form 10-K. We have derived the consolidated statement of operations data for the year ended December 31, 2013 and the consolidated balance sheet data as of December 31, 2014 and 2013 from our audited consolidated financial statements and related notes not included in this Annual Report on Form 10-K. The selected historical financial information in this section is not intended to replace our financial statements and the related notes thereto. Our historical results for any prior period are not necessarily indicative of results to be expected in any future period.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right="231"/>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gridSpan w:val="10"/>
          </w:tcPr>
          <w:p>
            <w:pPr>
              <w:jc w:val="center"/>
              <w:ind w:left="333"/>
              <w:spacing w:after="0"/>
              <w:rPr>
                <w:sz w:val="20"/>
                <w:szCs w:val="20"/>
                <w:color w:val="auto"/>
              </w:rPr>
            </w:pPr>
            <w:r>
              <w:rPr>
                <w:rFonts w:ascii="Arial" w:cs="Arial" w:eastAsia="Arial" w:hAnsi="Arial"/>
                <w:sz w:val="14"/>
                <w:szCs w:val="14"/>
                <w:b w:val="1"/>
                <w:bCs w:val="1"/>
                <w:color w:val="auto"/>
                <w:w w:val="91"/>
              </w:rPr>
              <w:t>(in thousands, except per share data)</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020" w:type="dxa"/>
            <w:vAlign w:val="bottom"/>
            <w:gridSpan w:val="2"/>
          </w:tcPr>
          <w:p>
            <w:pPr>
              <w:spacing w:after="0" w:line="189"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100,349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20" w:type="dxa"/>
            <w:vAlign w:val="bottom"/>
            <w:gridSpan w:val="2"/>
          </w:tcPr>
          <w:p>
            <w:pPr>
              <w:spacing w:after="0" w:line="189" w:lineRule="exact"/>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and other expense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(72,495)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(52,769)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(40,285)</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preferred stock dividends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(72,495)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(55,922)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(46,050)</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020" w:type="dxa"/>
            <w:vAlign w:val="bottom"/>
            <w:gridSpan w:val="2"/>
            <w:shd w:val="clear" w:color="auto" w:fill="CCEEFF"/>
          </w:tcPr>
          <w:p>
            <w:pPr>
              <w:spacing w:after="0" w:line="148" w:lineRule="exact"/>
              <w:rPr>
                <w:sz w:val="20"/>
                <w:szCs w:val="20"/>
                <w:color w:val="auto"/>
              </w:rPr>
            </w:pPr>
            <w:r>
              <w:rPr>
                <w:rFonts w:ascii="Arial" w:cs="Arial" w:eastAsia="Arial" w:hAnsi="Arial"/>
                <w:sz w:val="17"/>
                <w:szCs w:val="17"/>
                <w:color w:val="auto"/>
                <w:w w:val="98"/>
              </w:rPr>
              <w:t>Net loss per share applicable to common stockholders — basic and</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2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diluted(1)</w:t>
            </w:r>
          </w:p>
        </w:tc>
        <w:tc>
          <w:tcPr>
            <w:tcW w:w="32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5020" w:type="dxa"/>
            <w:vAlign w:val="bottom"/>
            <w:tcBorders>
              <w:top w:val="single" w:sz="8" w:color="CCEEFF"/>
            </w:tcBorders>
            <w:gridSpan w:val="2"/>
          </w:tcPr>
          <w:p>
            <w:pPr>
              <w:spacing w:after="0" w:line="135" w:lineRule="exact"/>
              <w:rPr>
                <w:sz w:val="20"/>
                <w:szCs w:val="20"/>
                <w:color w:val="auto"/>
              </w:rPr>
            </w:pPr>
            <w:r>
              <w:rPr>
                <w:rFonts w:ascii="Arial" w:cs="Arial" w:eastAsia="Arial" w:hAnsi="Arial"/>
                <w:sz w:val="15"/>
                <w:szCs w:val="15"/>
                <w:color w:val="auto"/>
              </w:rPr>
              <w:t>Weighted-average number of common shares used in net loss</w:t>
            </w:r>
          </w:p>
        </w:tc>
        <w:tc>
          <w:tcPr>
            <w:tcW w:w="2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2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per share applicable to common stockholders — basic and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27,492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18,236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1,421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diluted(1)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40" w:right="120" w:hanging="213"/>
        <w:spacing w:after="0" w:line="269" w:lineRule="auto"/>
        <w:tabs>
          <w:tab w:leader="none" w:pos="540" w:val="left"/>
        </w:tabs>
        <w:numPr>
          <w:ilvl w:val="0"/>
          <w:numId w:val="50"/>
        </w:numPr>
        <w:rPr>
          <w:rFonts w:ascii="Arial" w:cs="Arial" w:eastAsia="Arial" w:hAnsi="Arial"/>
          <w:sz w:val="13"/>
          <w:szCs w:val="13"/>
          <w:color w:val="auto"/>
        </w:rPr>
      </w:pPr>
      <w:r>
        <w:rPr>
          <w:rFonts w:ascii="Arial" w:cs="Arial" w:eastAsia="Arial" w:hAnsi="Arial"/>
          <w:sz w:val="13"/>
          <w:szCs w:val="13"/>
          <w:color w:val="auto"/>
        </w:rPr>
        <w:t>See Note 12, “Net Loss per Share” in the accompanying notes to our audited consolidated financial statements appearing elsewhere in this Annual Report on Form 10-K for further details on the calculation of basic and diluted net loss per share applicable to common stockholders.</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112" w:right="139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56"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As of</w:t>
      </w:r>
    </w:p>
    <w:p>
      <w:pPr>
        <w:jc w:val="center"/>
        <w:ind w:left="540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54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192"/>
              <w:spacing w:after="0" w:line="136"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93"/>
              <w:spacing w:after="0" w:line="136" w:lineRule="exact"/>
              <w:rPr>
                <w:sz w:val="20"/>
                <w:szCs w:val="20"/>
                <w:color w:val="auto"/>
              </w:rPr>
            </w:pPr>
            <w:r>
              <w:rPr>
                <w:rFonts w:ascii="Arial" w:cs="Arial" w:eastAsia="Arial" w:hAnsi="Arial"/>
                <w:sz w:val="14"/>
                <w:szCs w:val="14"/>
                <w:b w:val="1"/>
                <w:bCs w:val="1"/>
                <w:color w:val="auto"/>
              </w:rPr>
              <w:t>2015 (1)</w:t>
            </w:r>
          </w:p>
        </w:tc>
        <w:tc>
          <w:tcPr>
            <w:tcW w:w="940" w:type="dxa"/>
            <w:vAlign w:val="bottom"/>
            <w:tcBorders>
              <w:top w:val="single" w:sz="8" w:color="auto"/>
              <w:bottom w:val="single" w:sz="8" w:color="auto"/>
            </w:tcBorders>
          </w:tcPr>
          <w:p>
            <w:pPr>
              <w:jc w:val="right"/>
              <w:ind w:right="232"/>
              <w:spacing w:after="0" w:line="136"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auto"/>
            </w:tcBorders>
          </w:tcPr>
          <w:p>
            <w:pPr>
              <w:jc w:val="right"/>
              <w:ind w:right="152"/>
              <w:spacing w:after="0" w:line="136"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1"/>
                <w:szCs w:val="11"/>
                <w:color w:val="auto"/>
              </w:rPr>
            </w:pPr>
          </w:p>
        </w:tc>
      </w:tr>
      <w:tr>
        <w:trPr>
          <w:trHeight w:val="129"/>
        </w:trPr>
        <w:tc>
          <w:tcPr>
            <w:tcW w:w="5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2"/>
          </w:tcPr>
          <w:p>
            <w:pPr>
              <w:jc w:val="right"/>
              <w:ind w:right="412"/>
              <w:spacing w:after="0" w:line="129"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6"/>
        </w:trPr>
        <w:tc>
          <w:tcPr>
            <w:tcW w:w="54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52,069</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$ 162,707</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  47,240</w:t>
            </w:r>
          </w:p>
        </w:tc>
        <w:tc>
          <w:tcPr>
            <w:tcW w:w="820" w:type="dxa"/>
            <w:vAlign w:val="bottom"/>
          </w:tcPr>
          <w:p>
            <w:pPr>
              <w:jc w:val="right"/>
              <w:spacing w:after="0"/>
              <w:rPr>
                <w:sz w:val="20"/>
                <w:szCs w:val="20"/>
                <w:color w:val="auto"/>
              </w:rPr>
            </w:pPr>
            <w:r>
              <w:rPr>
                <w:rFonts w:ascii="Arial" w:cs="Arial" w:eastAsia="Arial" w:hAnsi="Arial"/>
                <w:sz w:val="18"/>
                <w:szCs w:val="18"/>
                <w:color w:val="auto"/>
              </w:rPr>
              <w:t>$  1,987</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216,149</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Working capital(2)</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191,913</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151,776</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41,510</w:t>
            </w:r>
          </w:p>
        </w:tc>
        <w:tc>
          <w:tcPr>
            <w:tcW w:w="820" w:type="dxa"/>
            <w:vAlign w:val="bottom"/>
          </w:tcPr>
          <w:p>
            <w:pPr>
              <w:jc w:val="right"/>
              <w:spacing w:after="0"/>
              <w:rPr>
                <w:sz w:val="20"/>
                <w:szCs w:val="20"/>
                <w:color w:val="auto"/>
              </w:rPr>
            </w:pPr>
            <w:r>
              <w:rPr>
                <w:rFonts w:ascii="Arial" w:cs="Arial" w:eastAsia="Arial" w:hAnsi="Arial"/>
                <w:sz w:val="18"/>
                <w:szCs w:val="18"/>
                <w:color w:val="auto"/>
              </w:rPr>
              <w:t>(705)</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282,795</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178,898</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49,925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Deferred revenue</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47,235</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13,640</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Term loan payable</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4,069</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7,338</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8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Warrant liability</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365</w:t>
            </w: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114,811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39,958</w:t>
            </w:r>
          </w:p>
        </w:tc>
        <w:tc>
          <w:tcPr>
            <w:tcW w:w="80" w:type="dxa"/>
            <w:vAlign w:val="bottom"/>
            <w:shd w:val="clear" w:color="auto" w:fill="CCEEFF"/>
          </w:tcPr>
          <w:p>
            <w:pPr>
              <w:spacing w:after="0"/>
              <w:rPr>
                <w:sz w:val="18"/>
                <w:szCs w:val="18"/>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213,078</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143,979</w:t>
            </w:r>
          </w:p>
        </w:tc>
        <w:tc>
          <w:tcPr>
            <w:tcW w:w="940" w:type="dxa"/>
            <w:vAlign w:val="bottom"/>
          </w:tcPr>
          <w:p>
            <w:pPr>
              <w:jc w:val="right"/>
              <w:spacing w:after="0"/>
              <w:rPr>
                <w:sz w:val="20"/>
                <w:szCs w:val="20"/>
                <w:color w:val="auto"/>
              </w:rPr>
            </w:pPr>
            <w:r>
              <w:rPr>
                <w:rFonts w:ascii="Arial" w:cs="Arial" w:eastAsia="Arial" w:hAnsi="Arial"/>
                <w:sz w:val="18"/>
                <w:szCs w:val="18"/>
                <w:color w:val="auto"/>
              </w:rPr>
              <w:t>(79,382)</w:t>
            </w:r>
          </w:p>
        </w:tc>
        <w:tc>
          <w:tcPr>
            <w:tcW w:w="820" w:type="dxa"/>
            <w:vAlign w:val="bottom"/>
          </w:tcPr>
          <w:p>
            <w:pPr>
              <w:jc w:val="right"/>
              <w:spacing w:after="0"/>
              <w:rPr>
                <w:sz w:val="20"/>
                <w:szCs w:val="20"/>
                <w:color w:val="auto"/>
              </w:rPr>
            </w:pPr>
            <w:r>
              <w:rPr>
                <w:rFonts w:ascii="Arial" w:cs="Arial" w:eastAsia="Arial" w:hAnsi="Arial"/>
                <w:sz w:val="18"/>
                <w:szCs w:val="18"/>
                <w:color w:val="auto"/>
              </w:rPr>
              <w:t>(41,454)</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6" w:lineRule="exact"/>
        <w:rPr>
          <w:sz w:val="20"/>
          <w:szCs w:val="20"/>
          <w:color w:val="auto"/>
        </w:rPr>
      </w:pPr>
    </w:p>
    <w:p>
      <w:pPr>
        <w:ind w:left="540" w:right="140" w:hanging="213"/>
        <w:spacing w:after="0" w:line="224"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Upon the closing of our IPO in May 2015, all outstanding shares of our convertible preferred stock were converted into 15,467,479 shares of common stock, and warrants exercisable for convertible preferred stock were automatically converted into warrants exercisable for 42,423 shares of common stock.</w:t>
      </w:r>
    </w:p>
    <w:p>
      <w:pPr>
        <w:spacing w:after="0" w:line="170" w:lineRule="exact"/>
        <w:rPr>
          <w:rFonts w:ascii="Arial" w:cs="Arial" w:eastAsia="Arial" w:hAnsi="Arial"/>
          <w:sz w:val="14"/>
          <w:szCs w:val="14"/>
          <w:color w:val="auto"/>
        </w:rPr>
      </w:pPr>
    </w:p>
    <w:p>
      <w:pPr>
        <w:ind w:left="740" w:hanging="413"/>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68"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Our most advanced drug candidates are BLU-285, BLU-554 and BLU-667. BLU-285 is an orally available, potent and highly selective inhibitor that targets KIT, including Exon 17 mutations, and targets PDGFRα, including the D842V mutation. These mutations abnormally activate receptor tyrosine kinases that are drivers of cancer and proliferative disorders, including gastrointestinal stromal tumors, or GIST, and systemic mastocytosis, or SM. We are currently evaluating BLU-285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BLU-667 targets RET, a receptor tyrosine kinase that is abnormally activated by mutations or translocations, and RET resistant mutants that we predict will arise from treatment with first generation therapies. RET is a driver of disease in non-small cell lung cancer, or NSCLC, and cancers of the thyroid, including medullary thyroid carcinoma, or MTC, and our research suggests that RET may be a driver of disease in subsets of colon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cancer, breast cancer and other cancers. In December 2016, the U.S. Food and Drug Administration, or FDA, approved our Investigational New Drug, or IND, application for BLU-667 for the treatment of NSCLC, thyroid cancer and other advanced solid tumors, and we expect to initiate a Phase 1 clinical trial for BLU-667 for the treatment of NSCLC, MTC and other advanced solid tumors in the first half of 2017. In September 2015, the FDA granted orphan drug designation to BLU-554 for the treatment of HCC, and in January 2016, the FDA granted orphan drug designation to BLU-285 for the treatment of GIST and SM. In addition, in October 2016, the FDA granted fast track designation to BLU-285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have worldwide development and commercialization rights to BLU-285, BLU-554 and BLU-667.</w:t>
      </w:r>
    </w:p>
    <w:p>
      <w:pPr>
        <w:spacing w:after="0" w:line="168"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also have initiated a discovery program targeting protein kinase cAMP-activated catalytic subunit alpha, or PRKACA, fusions for the treatment of fibrolamellar carcinoma, or FLC, a rare and distinct subtype of liver cancer that typically arises in young adults. PRKACA fusions are the only known recurrent genomic events in FLC and are considered to be the driver gene of the disease. Currently, there are no approved therapies for FLC, and surgery is the only available treatment option for some patients, but most patients inevitably progress. We will continue to leverage our discovery platform to systematically and reproducibly identify kinases that are drivers of diseases in genomically defined patient populations and craft drug candidates that potently and selectively target these kinases. We anticipate nominating at least one additional discovery program in 2017.</w:t>
      </w:r>
    </w:p>
    <w:p>
      <w:pPr>
        <w:spacing w:after="0" w:line="16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In addition to our wholly-owned clinical and pre-clinical programs, we have leveraged our discovery platform to enter into collaboration programs with Alexion Pharma Holding, or Alexion, and F. Hoffmann-La Roche Ltd and Hoffmann-La Roche Inc., which we refer to collectively as Roche.</w:t>
      </w:r>
    </w:p>
    <w:p>
      <w:pPr>
        <w:spacing w:after="0" w:line="163"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including GLP toxicology studies and commencing clinical development activities. We do not have any drugs approved for sale and have not generated any revenue from drug sales.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and a debt financing. Through December 31, 2016, we have received an aggregate of $501.3 million from such transactions, including $312.4 million in aggregate gross proceeds from the sale of common stock in our May 2015 initial public offering, or IPO, and December 2016 follow-on underwritten public offering, $115.1 million in gross proceeds from the issuance of convertible preferred stock, $18.8 million of upfront and milestone payments from Alexion, a $45.0 million upfront payment from Roche and $10.0 million in gross proceeds from the debt financing.</w:t>
      </w:r>
    </w:p>
    <w:p>
      <w:pPr>
        <w:spacing w:after="0" w:line="165"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Since inception, we have incurred significant operating losses. Our net losses were $72.5 million, $52.8 million and $40.3 million for the years ended December 31, 2016, 2015 and 2014. As of December 31, 2016, we had an accumulated deficit of $207.5 million. We expect to continue to incur significant expenses and operating losses over the next several years. We anticipate that our expenses will increase significantly in connection with our ongoing activities, particularly as we:</w:t>
      </w:r>
    </w:p>
    <w:p>
      <w:pPr>
        <w:spacing w:after="0" w:line="155" w:lineRule="exact"/>
        <w:rPr>
          <w:sz w:val="20"/>
          <w:szCs w:val="20"/>
          <w:color w:val="auto"/>
        </w:rPr>
      </w:pPr>
    </w:p>
    <w:p>
      <w:pPr>
        <w:ind w:left="1060" w:right="140" w:hanging="85"/>
        <w:spacing w:after="0" w:line="289" w:lineRule="auto"/>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 the planned clinical development activities for two of our lead drug candidates, BLU-285 and BLU-554, commence the planned clinical development activities for our other lead drug candidate, BLU-667;</w:t>
      </w:r>
    </w:p>
    <w:p>
      <w:pPr>
        <w:spacing w:after="0" w:line="124" w:lineRule="exact"/>
        <w:rPr>
          <w:rFonts w:ascii="Arial" w:cs="Arial" w:eastAsia="Arial" w:hAnsi="Arial"/>
          <w:sz w:val="16"/>
          <w:szCs w:val="16"/>
          <w:color w:val="auto"/>
        </w:rPr>
      </w:pPr>
    </w:p>
    <w:p>
      <w:pPr>
        <w:ind w:left="1060" w:hanging="85"/>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continue to produce drug substance and drug product material for use in pre-clinical studies and clinical trials;</w:t>
      </w:r>
    </w:p>
    <w:p>
      <w:pPr>
        <w:spacing w:after="0" w:line="207" w:lineRule="exact"/>
        <w:rPr>
          <w:rFonts w:ascii="Arial" w:cs="Arial" w:eastAsia="Arial" w:hAnsi="Arial"/>
          <w:sz w:val="16"/>
          <w:szCs w:val="16"/>
          <w:color w:val="auto"/>
        </w:rPr>
      </w:pPr>
    </w:p>
    <w:p>
      <w:pPr>
        <w:ind w:left="1080" w:hanging="105"/>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Alexion and Roche;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120" w:hanging="85"/>
        <w:spacing w:after="0" w:line="224"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including our companion diagnostic tests with Ventana Medical Systems, Inc., or Ventana, for BLU-554 and with QIAGEN Manchester Limited, or Qiagen, for BLU-285;</w:t>
      </w:r>
    </w:p>
    <w:p>
      <w:pPr>
        <w:spacing w:after="0" w:line="163" w:lineRule="exact"/>
        <w:rPr>
          <w:rFonts w:ascii="Arial" w:cs="Arial" w:eastAsia="Arial" w:hAnsi="Arial"/>
          <w:sz w:val="18"/>
          <w:szCs w:val="18"/>
          <w:color w:val="auto"/>
        </w:rPr>
      </w:pPr>
    </w:p>
    <w:p>
      <w:pPr>
        <w:ind w:left="1080" w:hanging="105"/>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hire additional research, development and business personnel; and</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To date, we have not generated any revenue from drug sales and do not expect to generate any revenue from the sale of drugs in the near future. Our revenue consists of collaboration revenue under the Alexion agreement and Roche agreement, including amounts that are recognized related to upfront payments, milestone payments and amounts due to us for research and development services. In the future, revenue may include additional milestone payments and royalties on any net product sales under the respective collaboration agreements.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62" w:lineRule="exact"/>
        <w:rPr>
          <w:sz w:val="20"/>
          <w:szCs w:val="20"/>
          <w:color w:val="auto"/>
        </w:rPr>
      </w:pPr>
    </w:p>
    <w:p>
      <w:pPr>
        <w:ind w:right="920"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drug candidates, which include:</w:t>
      </w:r>
    </w:p>
    <w:p>
      <w:pPr>
        <w:spacing w:after="0" w:line="162" w:lineRule="exact"/>
        <w:rPr>
          <w:sz w:val="20"/>
          <w:szCs w:val="20"/>
          <w:color w:val="auto"/>
        </w:rPr>
      </w:pPr>
    </w:p>
    <w:p>
      <w:pPr>
        <w:ind w:left="1060" w:hanging="85"/>
        <w:spacing w:after="0" w:line="207" w:lineRule="exact"/>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4" w:lineRule="exact"/>
        <w:rPr>
          <w:rFonts w:ascii="Arial" w:cs="Arial" w:eastAsia="Arial" w:hAnsi="Arial"/>
          <w:sz w:val="18"/>
          <w:szCs w:val="18"/>
          <w:color w:val="auto"/>
        </w:rPr>
      </w:pPr>
    </w:p>
    <w:p>
      <w:pPr>
        <w:ind w:left="1060" w:right="360" w:hanging="85"/>
        <w:spacing w:after="0" w:line="235"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Arial" w:cs="Arial" w:eastAsia="Arial" w:hAnsi="Arial"/>
          <w:sz w:val="18"/>
          <w:szCs w:val="18"/>
          <w:color w:val="auto"/>
        </w:rPr>
      </w:pPr>
    </w:p>
    <w:p>
      <w:pPr>
        <w:ind w:left="1240" w:hanging="265"/>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060" w:right="520" w:hanging="85"/>
        <w:spacing w:after="0" w:line="235"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and clinical trial materials; and</w:t>
      </w:r>
    </w:p>
    <w:p>
      <w:pPr>
        <w:spacing w:after="0" w:line="161" w:lineRule="exact"/>
        <w:rPr>
          <w:rFonts w:ascii="Arial" w:cs="Arial" w:eastAsia="Arial" w:hAnsi="Arial"/>
          <w:sz w:val="18"/>
          <w:szCs w:val="18"/>
          <w:color w:val="auto"/>
        </w:rPr>
      </w:pPr>
    </w:p>
    <w:p>
      <w:pPr>
        <w:ind w:left="1060" w:right="800" w:hanging="85"/>
        <w:spacing w:after="0" w:line="235"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63"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hanging="85"/>
        <w:spacing w:after="0" w:line="207" w:lineRule="exact"/>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080" w:hanging="105"/>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1060" w:hanging="85"/>
        <w:spacing w:after="0" w:line="184" w:lineRule="exact"/>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establishing commercial manufacturing capabilities or making arrangements with third</w:t>
      </w:r>
      <w:r>
        <w:rPr>
          <w:rFonts w:ascii="MS PGothic" w:cs="MS PGothic" w:eastAsia="MS PGothic" w:hAnsi="MS PGothic"/>
          <w:sz w:val="16"/>
          <w:szCs w:val="16"/>
          <w:color w:val="auto"/>
        </w:rPr>
        <w:t>‑</w:t>
      </w:r>
      <w:r>
        <w:rPr>
          <w:rFonts w:ascii="Arial" w:cs="Arial" w:eastAsia="Arial" w:hAnsi="Arial"/>
          <w:sz w:val="16"/>
          <w:szCs w:val="16"/>
          <w:color w:val="auto"/>
        </w:rPr>
        <w:t>party manufacturers;</w:t>
      </w:r>
    </w:p>
    <w:p>
      <w:pPr>
        <w:spacing w:after="0" w:line="207" w:lineRule="exact"/>
        <w:rPr>
          <w:rFonts w:ascii="Arial" w:cs="Arial" w:eastAsia="Arial" w:hAnsi="Arial"/>
          <w:sz w:val="16"/>
          <w:szCs w:val="16"/>
          <w:color w:val="auto"/>
        </w:rPr>
      </w:pPr>
    </w:p>
    <w:p>
      <w:pPr>
        <w:ind w:left="1060" w:right="840" w:hanging="85"/>
        <w:spacing w:after="0" w:line="235"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commercializing the drug candidates, if and when approved, whether alone or in collaboration with others; and</w:t>
      </w:r>
    </w:p>
    <w:p>
      <w:pPr>
        <w:spacing w:after="0" w:line="207" w:lineRule="exact"/>
        <w:rPr>
          <w:rFonts w:ascii="Arial" w:cs="Arial" w:eastAsia="Arial" w:hAnsi="Arial"/>
          <w:sz w:val="16"/>
          <w:szCs w:val="16"/>
          <w:color w:val="auto"/>
        </w:rPr>
      </w:pPr>
    </w:p>
    <w:p>
      <w:pPr>
        <w:ind w:left="1080" w:hanging="105"/>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30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200"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7"/>
          <w:szCs w:val="17"/>
          <w:color w:val="auto"/>
        </w:rPr>
        <w:t>‑</w:t>
      </w:r>
      <w:r>
        <w:rPr>
          <w:rFonts w:ascii="Arial" w:cs="Arial" w:eastAsia="Arial" w:hAnsi="Arial"/>
          <w:sz w:val="17"/>
          <w:szCs w:val="17"/>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A significant portion of our research and development expenses have been external expenses, which we track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following nomination as a development candidate. Our internal research and development expenses are primarily personnel</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stock-based compensation expense. We do not track our internal research and development expenses on a program</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program basis as they are deployed across multiple projects under development.</w:t>
      </w:r>
    </w:p>
    <w:p>
      <w:pPr>
        <w:spacing w:after="0" w:line="162" w:lineRule="exact"/>
        <w:rPr>
          <w:sz w:val="20"/>
          <w:szCs w:val="20"/>
          <w:color w:val="auto"/>
        </w:rPr>
      </w:pPr>
    </w:p>
    <w:p>
      <w:pPr>
        <w:ind w:right="260" w:firstLine="648"/>
        <w:spacing w:after="0" w:line="194" w:lineRule="exact"/>
        <w:rPr>
          <w:sz w:val="20"/>
          <w:szCs w:val="20"/>
          <w:color w:val="auto"/>
        </w:rPr>
      </w:pPr>
      <w:r>
        <w:rPr>
          <w:rFonts w:ascii="Arial" w:cs="Arial" w:eastAsia="Arial" w:hAnsi="Arial"/>
          <w:sz w:val="18"/>
          <w:szCs w:val="18"/>
          <w:color w:val="auto"/>
        </w:rPr>
        <w:t>The following table summarizes our external research and development expenses by program for the years ended December 31, 2016 and 2015. Pre</w:t>
      </w:r>
      <w:r>
        <w:rPr>
          <w:rFonts w:ascii="MS PGothic" w:cs="MS PGothic" w:eastAsia="MS PGothic" w:hAnsi="MS PGothic"/>
          <w:sz w:val="18"/>
          <w:szCs w:val="18"/>
          <w:color w:val="auto"/>
        </w:rPr>
        <w:t>‑</w:t>
      </w:r>
      <w:r>
        <w:rPr>
          <w:rFonts w:ascii="Arial" w:cs="Arial" w:eastAsia="Arial" w:hAnsi="Arial"/>
          <w:sz w:val="18"/>
          <w:szCs w:val="18"/>
          <w:color w:val="auto"/>
        </w:rPr>
        <w:t>development candidate expenses, unallocated expenses and internal research and development expenses have been classified separately.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7"/>
              </w:rPr>
              <w:t>Year Ended December 31,</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5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53"/>
              <w:spacing w:after="0" w:line="129"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1"/>
                <w:szCs w:val="11"/>
                <w:color w:val="auto"/>
              </w:rPr>
            </w:pPr>
          </w:p>
        </w:tc>
      </w:tr>
      <w:tr>
        <w:trPr>
          <w:trHeight w:val="129"/>
        </w:trPr>
        <w:tc>
          <w:tcPr>
            <w:tcW w:w="5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BLU-285 external expenses</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BLU-554 external 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3,437</w:t>
            </w:r>
          </w:p>
        </w:tc>
        <w:tc>
          <w:tcPr>
            <w:tcW w:w="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BLU-667 external expenses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w w:val="93"/>
              </w:rPr>
              <w:t>External pre-development candidate expenses and unallocated expenses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32,232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13,855</w:t>
            </w:r>
          </w:p>
        </w:tc>
        <w:tc>
          <w:tcPr>
            <w:tcW w:w="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Internal research and development expenses</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40" w:type="dxa"/>
            <w:vAlign w:val="bottom"/>
            <w:shd w:val="clear" w:color="auto" w:fill="CCEEFF"/>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81,131</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48,588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31,844</w:t>
            </w:r>
          </w:p>
        </w:tc>
        <w:tc>
          <w:tcPr>
            <w:tcW w:w="40" w:type="dxa"/>
            <w:vAlign w:val="bottom"/>
          </w:tcPr>
          <w:p>
            <w:pPr>
              <w:spacing w:after="0"/>
              <w:rPr>
                <w:sz w:val="18"/>
                <w:szCs w:val="18"/>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8"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program management and drug product and drug substance manufacturing expenses. In addition, we expect that our research and development expenses will increase in future periods as we incur additional costs in connection with research and development activities under our collaborations with Alexion and Roche and development activities for companion diagnostic tests, including our companion diagnostic tests with Ventana and Qiagen.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resources functions.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includes expense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 related services. Other significant costs include facility costs not otherwise included in research and development expenses, legal fees relating to patent and corporate matters and fees for accounting and consulting services.</w:t>
      </w:r>
    </w:p>
    <w:p>
      <w:pPr>
        <w:spacing w:after="0" w:line="162"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We expect that our general and administrative expenses will increase in the future to support continued research and development activities, including as we continue our existing clinical trials and initiate additional clinical trials, as well as pre-commercial development activities.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(expense) consists primarily of income earned on cash equivalents and investments and the</w:t>
      </w:r>
    </w:p>
    <w:p>
      <w:pPr>
        <w:spacing w:after="0" w:line="176" w:lineRule="exact"/>
        <w:rPr>
          <w:sz w:val="20"/>
          <w:szCs w:val="20"/>
          <w:color w:val="auto"/>
        </w:rPr>
      </w:pPr>
      <w:r>
        <w:rPr>
          <w:rFonts w:ascii="Arial" w:cs="Arial" w:eastAsia="Arial" w:hAnsi="Arial"/>
          <w:sz w:val="16"/>
          <w:szCs w:val="16"/>
          <w:color w:val="auto"/>
        </w:rPr>
        <w:t>re</w:t>
      </w:r>
      <w:r>
        <w:rPr>
          <w:rFonts w:ascii="MS PGothic" w:cs="MS PGothic" w:eastAsia="MS PGothic" w:hAnsi="MS PGothic"/>
          <w:sz w:val="16"/>
          <w:szCs w:val="16"/>
          <w:color w:val="auto"/>
        </w:rPr>
        <w:t>‑</w:t>
      </w:r>
      <w:r>
        <w:rPr>
          <w:rFonts w:ascii="Arial" w:cs="Arial" w:eastAsia="Arial" w:hAnsi="Arial"/>
          <w:sz w:val="16"/>
          <w:szCs w:val="16"/>
          <w:color w:val="auto"/>
        </w:rPr>
        <w:t>measurement gain or loss associated with the change in the fair value of the convertible preferred stock warrant liability in</w:t>
      </w:r>
    </w:p>
    <w:p>
      <w:pPr>
        <w:spacing w:after="0"/>
        <w:rPr>
          <w:sz w:val="20"/>
          <w:szCs w:val="20"/>
          <w:color w:val="auto"/>
        </w:rPr>
      </w:pPr>
      <w:r>
        <w:rPr>
          <w:rFonts w:ascii="Arial" w:cs="Arial" w:eastAsia="Arial" w:hAnsi="Arial"/>
          <w:sz w:val="18"/>
          <w:szCs w:val="18"/>
          <w:color w:val="auto"/>
        </w:rPr>
        <w:t>periods prior to our IPO.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Interest expense consists primarily of interest expense on amounts outstanding under a loan and security agreement that we entered into with Silicon Valley Bank in May 2013 and amortization of debt discount.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2"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Investments</w:t>
      </w:r>
    </w:p>
    <w:p>
      <w:pPr>
        <w:spacing w:after="0" w:line="18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We classify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we consider all available evidence to evaluate the extent to which the decline is “other-than-temporary” and, if so, mark the investment to market through a charge to our statement of operations and comprehensive loss.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440" w:firstLine="648"/>
        <w:spacing w:after="0" w:line="224" w:lineRule="auto"/>
        <w:rPr>
          <w:sz w:val="20"/>
          <w:szCs w:val="20"/>
          <w:color w:val="auto"/>
        </w:rPr>
      </w:pPr>
      <w:r>
        <w:rPr>
          <w:rFonts w:ascii="Arial" w:cs="Arial" w:eastAsia="Arial" w:hAnsi="Arial"/>
          <w:sz w:val="18"/>
          <w:szCs w:val="18"/>
          <w:color w:val="auto"/>
        </w:rPr>
        <w:t xml:space="preserve">We recognize revenue from license and collaboration agreements in accordance with Financial Accounting Standards Board, or FASB, Accounting Standards Codification, or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or ASC 605. Accordingly, revenue is recognized when all of the following criteria are met:</w:t>
      </w:r>
    </w:p>
    <w:p>
      <w:pPr>
        <w:spacing w:after="0" w:line="163" w:lineRule="exact"/>
        <w:rPr>
          <w:sz w:val="20"/>
          <w:szCs w:val="20"/>
          <w:color w:val="auto"/>
        </w:rPr>
      </w:pPr>
    </w:p>
    <w:p>
      <w:pPr>
        <w:ind w:left="1120" w:hanging="14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32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recognized as deferred revenue in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63"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Our revenue is currently generated through our collaboration agreements with Alexion and Roche. During the year ended December 31, 2016, we recognized revenue under the Alexion agreement of $23.3 million, which represents $14.6 million of reimbursable research and development costs, $1.8 million in milestone payments that were recognized upon achievement, as well as a portion of the $15.0 million upfront payment and the $1.8 million non-substantive milestone payment previously received. During the year ended December 31, 2016, we received $14.2 million related to reimbursable research and development costs under the Alexion agreement. As of December 31, 2016, we have recorded unbilled accounts receivable of $3.6 million related to reimbursable research and development costs under the Alexion agreement for activities performed during the fourth quarter of 2016. During the year ended December 31, 2016, we recognized revenue under the Roche agreement of $4.5 million, which represents a portion of the $45.0 million upfront payment.</w:t>
      </w:r>
    </w:p>
    <w:p>
      <w:pPr>
        <w:spacing w:after="0" w:line="168"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The terms of these agreements contain multiple elements, or deliverables, including exclusive license granted by us to Alexion and Roche to research, develop, manufacture and commercialize the licensed products and the compounds in the field in the territory, as well as research and development activities to be performed by us on behalf of Alexion and Roche related to the licensed product candidates. In addition, the terms of these agreements include payments to us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we have received the upfront payment upon execution of the Alexion agreement, the upfront payment upon execution of the Roche agreement, payments for the achievement of the certain pre-clinical milestones under the Alexion agreement and payments for certain research and development services under the Alexion agreement. We are eligible to earn additional milestone payments under both agreements. We have not earned royalty revenue as a result of product sales.</w:t>
      </w:r>
    </w:p>
    <w:p>
      <w:pPr>
        <w:spacing w:after="0" w:line="166"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When evaluating multiple element arrangements, we consider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our control. In assessing whether an item has stand-alone value, we consider factors such as the research, manufacturing and commercialization capabilities of the collaboration partner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item(s) and whether there are other vendors that can provide the undelivered element(s). Our collaboration agreements with Alexion and Roche do not contain a general right of return relative to the delivered item(s).</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vendor-specific objective evidence, or VSOE, of selling price, if available, third-party evidence, or TPE, of selling price if VSOE is not available, or best estimate of selling price, or BESP, if neither VSOE nor TPE is available. We typically use BESP to estimate the selling price, since it generally does not have VSOE or TPE of selling price for its units of accounting. Determining the BESP for a unit of accounting requires significant judgment. In developing the BESP for a unit of accounting, we consider applicable market conditions and relevant entity-specific factors, including factors that were contemplated in negotiating the agreement with the customer and estimated costs. We validate the BESP for units of accounting by evaluating whether changes in the key assumptions used to determine the BESP will have a significant effect on the allocation of arrangement consideration between multiple units of accounting.</w:t>
      </w:r>
    </w:p>
    <w:p>
      <w:pPr>
        <w:spacing w:after="0" w:line="169" w:lineRule="exact"/>
        <w:rPr>
          <w:sz w:val="20"/>
          <w:szCs w:val="20"/>
          <w:color w:val="auto"/>
        </w:rPr>
      </w:pPr>
    </w:p>
    <w:p>
      <w:pPr>
        <w:ind w:right="120" w:firstLine="648"/>
        <w:spacing w:after="0" w:line="236" w:lineRule="auto"/>
        <w:rPr>
          <w:sz w:val="20"/>
          <w:szCs w:val="20"/>
          <w:color w:val="auto"/>
        </w:rPr>
      </w:pPr>
      <w:r>
        <w:rPr>
          <w:rFonts w:ascii="Arial" w:cs="Arial" w:eastAsia="Arial" w:hAnsi="Arial"/>
          <w:sz w:val="16"/>
          <w:szCs w:val="16"/>
          <w:color w:val="auto"/>
        </w:rPr>
        <w:t>In the event that an element of a multiple element arrangement does not represent a separate unit of accounting, we recognize revenue from the combined element over the period over which we expect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we recognize revenue under the arrangement using the proportional performance method. If there is no discernible pattern of performance and/or objectively measurable performance measures do not exist, then we recognize revenue under the arrangement on a straight-line basis over the period we are expected to complete our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multiple-element revenue arrangements may include the following: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Licenses</w:t>
      </w:r>
    </w:p>
    <w:p>
      <w:pPr>
        <w:spacing w:after="0" w:line="18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The deliverables under our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We may recognize the arrangement consideration allocated to licenses upon delivery of the license if facts and circumstances indicate that the license has stand-alone value from the undelivered elements, which generally include research and development services. We defer arrangement consideration allocated to licenses if facts and circumstances indicate that the delivered license does not have stand-alone value from the undelivered elements.</w:t>
      </w:r>
    </w:p>
    <w:p>
      <w:pPr>
        <w:spacing w:after="0" w:line="167"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When management believes a license does not have stand-alone value from the other deliverables to be provided in the arrangement, we recognize revenue attributed to the license on a proportional basis over our contractual or estimated performance period, which is typically the term of our research and development obligations. If management cannot reasonably estimate when our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Services</w:t>
      </w:r>
    </w:p>
    <w:p>
      <w:pPr>
        <w:spacing w:after="0" w:line="185"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The deliverables under our collaboration agreements may include research and development services to be performed by us on behalf of the partner. Payments or reimbursements resulting from our research and development efforts are recognized as the services are performed and presented on a gross basis because we are the principal for such efforts, so long as there is persuasive evidence of an arrangement, the fee is fixed or determinable, and collection of the related amount is reasonably assured.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 Revenue</w:t>
      </w:r>
    </w:p>
    <w:p>
      <w:pPr>
        <w:spacing w:after="0" w:line="185" w:lineRule="exact"/>
        <w:rPr>
          <w:sz w:val="20"/>
          <w:szCs w:val="20"/>
          <w:color w:val="auto"/>
        </w:rPr>
      </w:pPr>
    </w:p>
    <w:p>
      <w:pPr>
        <w:ind w:right="780" w:firstLine="648"/>
        <w:spacing w:after="0" w:line="235" w:lineRule="auto"/>
        <w:rPr>
          <w:sz w:val="20"/>
          <w:szCs w:val="20"/>
          <w:color w:val="auto"/>
        </w:rPr>
      </w:pPr>
      <w:r>
        <w:rPr>
          <w:rFonts w:ascii="Arial" w:cs="Arial" w:eastAsia="Arial" w:hAnsi="Arial"/>
          <w:sz w:val="18"/>
          <w:szCs w:val="18"/>
          <w:color w:val="auto"/>
        </w:rPr>
        <w:t>Our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ind w:right="460" w:firstLine="648"/>
        <w:spacing w:after="0" w:line="224" w:lineRule="auto"/>
        <w:rPr>
          <w:sz w:val="20"/>
          <w:szCs w:val="20"/>
          <w:color w:val="auto"/>
        </w:rPr>
      </w:pPr>
      <w:r>
        <w:rPr>
          <w:rFonts w:ascii="Arial" w:cs="Arial" w:eastAsia="Arial" w:hAnsi="Arial"/>
          <w:sz w:val="18"/>
          <w:szCs w:val="18"/>
          <w:color w:val="auto"/>
        </w:rPr>
        <w:t>At the inception of an arrangement that includes milestone payments, we evaluate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1060" w:right="20" w:hanging="85"/>
        <w:spacing w:after="0" w:line="22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consideration is commensurate with either our performance to achieve the milestone or the enhancement of the value of the delivered item(s) as a result of a specific outcome resulting from the our performance to achieve the milestone;</w:t>
      </w:r>
    </w:p>
    <w:p>
      <w:pPr>
        <w:spacing w:after="0" w:line="163" w:lineRule="exact"/>
        <w:rPr>
          <w:rFonts w:ascii="Arial" w:cs="Arial" w:eastAsia="Arial" w:hAnsi="Arial"/>
          <w:sz w:val="18"/>
          <w:szCs w:val="18"/>
          <w:color w:val="auto"/>
        </w:rPr>
      </w:pPr>
    </w:p>
    <w:p>
      <w:pPr>
        <w:ind w:left="1100" w:hanging="125"/>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consideration is reasonable relative to all of the deliverables and payment terms within the arrangement.</w:t>
      </w:r>
    </w:p>
    <w:p>
      <w:pPr>
        <w:spacing w:after="0" w:line="208"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 milestone. Milestones that are considered substantive will be recognized in their entirety upon successful accomplishment of the milestone, assuming all other revenue recognition criteria are met.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Royalty Revenue</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We will recognize royalty revenue in the period of sale of the related product(s), based on the underlying contract terms, provided that the reported sales are reliably measurable, and we have no remaining performance obligations, assuming all other revenue recognition criteria are met.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68" w:lineRule="exact"/>
        <w:rPr>
          <w:sz w:val="20"/>
          <w:szCs w:val="20"/>
          <w:color w:val="auto"/>
        </w:rPr>
      </w:pPr>
    </w:p>
    <w:p>
      <w:pPr>
        <w:ind w:right="220" w:firstLine="648"/>
        <w:spacing w:after="0" w:line="249"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62"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We expense the fair value of employee stock awards, net of estimated forfeitures, adjusted to reflect actual forfeitures, over the requisite service period, which is typically the vesting period. Compensation cost for restricted stock awards issued to employees is measured using the grant date intrinsic value of the award, net of estimated forfeitures, and is adjusted to reflect actual forfeitures. We estimate the fair value of options granted to employees at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w:t>
      </w:r>
      <w:r>
        <w:rPr>
          <w:rFonts w:ascii="MS PGothic" w:cs="MS PGothic" w:eastAsia="MS PGothic" w:hAnsi="MS PGothic"/>
          <w:sz w:val="16"/>
          <w:szCs w:val="16"/>
          <w:color w:val="auto"/>
        </w:rPr>
        <w:t>‑</w:t>
      </w:r>
      <w:r>
        <w:rPr>
          <w:rFonts w:ascii="Arial" w:cs="Arial" w:eastAsia="Arial" w:hAnsi="Arial"/>
          <w:sz w:val="16"/>
          <w:szCs w:val="16"/>
          <w:color w:val="auto"/>
        </w:rPr>
        <w:t>pricing model that requires management to apply judgment and make estimates, including:</w:t>
      </w:r>
    </w:p>
    <w:p>
      <w:pPr>
        <w:spacing w:after="0" w:line="162" w:lineRule="exact"/>
        <w:rPr>
          <w:sz w:val="20"/>
          <w:szCs w:val="20"/>
          <w:color w:val="auto"/>
        </w:rPr>
      </w:pPr>
    </w:p>
    <w:p>
      <w:pPr>
        <w:ind w:left="1060" w:hanging="85"/>
        <w:spacing w:after="0" w:line="236"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expected volatility, which is calculated based on reported volatility data for a representative group of publicly traded companies for which historical information is available. Prior to April 30, 2015, we were a privately-held company and lacked company-specific historical and implied volatility information. As such, we have used an average of expected volatility based on the volatilities of a representative group of publicly traded biopharmaceutical companies for a period equal to the expected term of the option grant. Beginning in the fourth quarter of 2015, we began to include our own volatility into the average calculation. We intend to consistently apply this process using the same representative companies until a sufficient amount of historical information regarding the volatility of our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162" w:lineRule="exact"/>
        <w:rPr>
          <w:rFonts w:ascii="Arial" w:cs="Arial" w:eastAsia="Arial" w:hAnsi="Arial"/>
          <w:sz w:val="16"/>
          <w:szCs w:val="16"/>
          <w:color w:val="auto"/>
        </w:rPr>
      </w:pPr>
    </w:p>
    <w:p>
      <w:pPr>
        <w:ind w:left="1060" w:right="920" w:hanging="85"/>
        <w:spacing w:after="0" w:line="203" w:lineRule="exact"/>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which is based on the U.S. Treasury yield curve in effect at the time of grant commensurate with the expected life assumption;</w:t>
      </w:r>
    </w:p>
    <w:p>
      <w:pPr>
        <w:spacing w:after="0" w:line="161" w:lineRule="exact"/>
        <w:rPr>
          <w:rFonts w:ascii="Arial" w:cs="Arial" w:eastAsia="Arial" w:hAnsi="Arial"/>
          <w:sz w:val="18"/>
          <w:szCs w:val="18"/>
          <w:color w:val="auto"/>
        </w:rPr>
      </w:pPr>
    </w:p>
    <w:p>
      <w:pPr>
        <w:ind w:left="1060" w:right="120" w:hanging="85"/>
        <w:spacing w:after="0" w:line="194" w:lineRule="exact"/>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expected term, which we calculate using the simplified method, as prescribed by the Securities and Exchange Commission Staff Accounting Bulletin No. 107, </w:t>
      </w:r>
      <w:r>
        <w:rPr>
          <w:rFonts w:ascii="Arial" w:cs="Arial" w:eastAsia="Arial" w:hAnsi="Arial"/>
          <w:sz w:val="18"/>
          <w:szCs w:val="18"/>
          <w:i w:val="1"/>
          <w:iCs w:val="1"/>
          <w:color w:val="auto"/>
        </w:rPr>
        <w:t>Share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Payment,</w:t>
      </w:r>
      <w:r>
        <w:rPr>
          <w:rFonts w:ascii="Arial" w:cs="Arial" w:eastAsia="Arial" w:hAnsi="Arial"/>
          <w:sz w:val="18"/>
          <w:szCs w:val="18"/>
          <w:color w:val="auto"/>
        </w:rPr>
        <w:t xml:space="preserve"> as we have insufficient historical information regarding our stock options to provide a basis for an estimate;</w:t>
      </w:r>
    </w:p>
    <w:p>
      <w:pPr>
        <w:spacing w:after="0" w:line="163" w:lineRule="exact"/>
        <w:rPr>
          <w:rFonts w:ascii="Arial" w:cs="Arial" w:eastAsia="Arial" w:hAnsi="Arial"/>
          <w:sz w:val="18"/>
          <w:szCs w:val="18"/>
          <w:color w:val="auto"/>
        </w:rPr>
      </w:pPr>
    </w:p>
    <w:p>
      <w:pPr>
        <w:ind w:left="1060" w:right="140" w:hanging="85"/>
        <w:spacing w:after="0" w:line="187" w:lineRule="exact"/>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prior to becoming a public company, fair value estimates of the underlying shares of common stock, which were determined using the option</w:t>
      </w:r>
      <w:r>
        <w:rPr>
          <w:rFonts w:ascii="MS PGothic" w:cs="MS PGothic" w:eastAsia="MS PGothic" w:hAnsi="MS PGothic"/>
          <w:sz w:val="17"/>
          <w:szCs w:val="17"/>
          <w:color w:val="auto"/>
        </w:rPr>
        <w:t>‑</w:t>
      </w:r>
      <w:r>
        <w:rPr>
          <w:rFonts w:ascii="Arial" w:cs="Arial" w:eastAsia="Arial" w:hAnsi="Arial"/>
          <w:sz w:val="17"/>
          <w:szCs w:val="17"/>
          <w:color w:val="auto"/>
        </w:rPr>
        <w:t>pricing method, or OPM, or a hybrid of the probability</w:t>
      </w:r>
      <w:r>
        <w:rPr>
          <w:rFonts w:ascii="MS PGothic" w:cs="MS PGothic" w:eastAsia="MS PGothic" w:hAnsi="MS PGothic"/>
          <w:sz w:val="17"/>
          <w:szCs w:val="17"/>
          <w:color w:val="auto"/>
        </w:rPr>
        <w:t>‑</w:t>
      </w:r>
      <w:r>
        <w:rPr>
          <w:rFonts w:ascii="Arial" w:cs="Arial" w:eastAsia="Arial" w:hAnsi="Arial"/>
          <w:sz w:val="17"/>
          <w:szCs w:val="17"/>
          <w:color w:val="auto"/>
        </w:rPr>
        <w:t>weighted expected return method and the OPM and were approved by our board of directors. Upon becoming a public company, the fair value of the underlying shares of common stock equals the closing price of our stock on The NASDAQ Global Select Market on the date of grant; and</w:t>
      </w:r>
    </w:p>
    <w:p>
      <w:pPr>
        <w:spacing w:after="0" w:line="161" w:lineRule="exact"/>
        <w:rPr>
          <w:rFonts w:ascii="Arial" w:cs="Arial" w:eastAsia="Arial" w:hAnsi="Arial"/>
          <w:sz w:val="17"/>
          <w:szCs w:val="17"/>
          <w:color w:val="auto"/>
        </w:rPr>
      </w:pPr>
    </w:p>
    <w:p>
      <w:pPr>
        <w:ind w:left="1060" w:right="60" w:hanging="85"/>
        <w:spacing w:after="0" w:line="235"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we never paid cash dividends and do not expect to pay any cash dividends in the foreseeable future.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680" w:firstLine="648"/>
        <w:spacing w:after="0" w:line="203" w:lineRule="exact"/>
        <w:rPr>
          <w:sz w:val="20"/>
          <w:szCs w:val="20"/>
          <w:color w:val="auto"/>
        </w:rPr>
      </w:pPr>
      <w:r>
        <w:rPr>
          <w:rFonts w:ascii="Arial" w:cs="Arial" w:eastAsia="Arial" w:hAnsi="Arial"/>
          <w:sz w:val="18"/>
          <w:szCs w:val="18"/>
          <w:color w:val="auto"/>
        </w:rPr>
        <w:t>We have computed the fair value of stock options at the date of grant using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40" w:type="dxa"/>
            <w:vAlign w:val="bottom"/>
            <w:gridSpan w:val="2"/>
          </w:tcPr>
          <w:p>
            <w:pPr>
              <w:jc w:val="right"/>
              <w:ind w:right="190"/>
              <w:spacing w:after="0" w:line="129" w:lineRule="exact"/>
              <w:rPr>
                <w:sz w:val="20"/>
                <w:szCs w:val="20"/>
                <w:color w:val="auto"/>
              </w:rPr>
            </w:pPr>
            <w:r>
              <w:rPr>
                <w:rFonts w:ascii="Arial" w:cs="Arial" w:eastAsia="Arial" w:hAnsi="Arial"/>
                <w:sz w:val="14"/>
                <w:szCs w:val="14"/>
                <w:b w:val="1"/>
                <w:bCs w:val="1"/>
                <w:color w:val="auto"/>
                <w:w w:val="90"/>
              </w:rPr>
              <w:t>December 31, 2016</w:t>
            </w:r>
          </w:p>
        </w:tc>
        <w:tc>
          <w:tcPr>
            <w:tcW w:w="136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w w:val="91"/>
              </w:rPr>
              <w:t>December 31, 2015</w:t>
            </w: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December 31, 2014</w:t>
            </w:r>
          </w:p>
        </w:tc>
        <w:tc>
          <w:tcPr>
            <w:tcW w:w="160" w:type="dxa"/>
            <w:vAlign w:val="bottom"/>
          </w:tcPr>
          <w:p>
            <w:pPr>
              <w:spacing w:after="0"/>
              <w:rPr>
                <w:sz w:val="11"/>
                <w:szCs w:val="1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360" w:type="dxa"/>
            <w:vAlign w:val="bottom"/>
          </w:tcPr>
          <w:p>
            <w:pPr>
              <w:spacing w:after="0"/>
              <w:rPr>
                <w:sz w:val="15"/>
                <w:szCs w:val="15"/>
                <w:color w:val="auto"/>
              </w:rPr>
            </w:pPr>
          </w:p>
        </w:tc>
        <w:tc>
          <w:tcPr>
            <w:tcW w:w="14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800" w:type="dxa"/>
            <w:vAlign w:val="bottom"/>
            <w:gridSpan w:val="3"/>
          </w:tcPr>
          <w:p>
            <w:pPr>
              <w:jc w:val="right"/>
              <w:ind w:right="10"/>
              <w:spacing w:after="0"/>
              <w:rPr>
                <w:sz w:val="20"/>
                <w:szCs w:val="20"/>
                <w:color w:val="auto"/>
              </w:rPr>
            </w:pPr>
            <w:r>
              <w:rPr>
                <w:rFonts w:ascii="Arial" w:cs="Arial" w:eastAsia="Arial" w:hAnsi="Arial"/>
                <w:sz w:val="18"/>
                <w:szCs w:val="18"/>
                <w:color w:val="auto"/>
              </w:rPr>
              <w:t>75.94 %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85.43 %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92.99 %</w:t>
            </w:r>
          </w:p>
        </w:tc>
      </w:tr>
    </w:tbl>
    <w:p>
      <w:pPr>
        <w:spacing w:after="0" w:line="161"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 including directors for non</w:t>
      </w:r>
      <w:r>
        <w:rPr>
          <w:rFonts w:ascii="MS PGothic" w:cs="MS PGothic" w:eastAsia="MS PGothic" w:hAnsi="MS PGothic"/>
          <w:sz w:val="17"/>
          <w:szCs w:val="17"/>
          <w:color w:val="auto"/>
        </w:rPr>
        <w:t>‑</w:t>
      </w:r>
      <w:r>
        <w:rPr>
          <w:rFonts w:ascii="Arial" w:cs="Arial" w:eastAsia="Arial" w:hAnsi="Arial"/>
          <w:sz w:val="17"/>
          <w:szCs w:val="17"/>
          <w:color w:val="auto"/>
        </w:rPr>
        <w:t>board related services, are accounted for based on the fair value of such services received or of the intrinsic value of equity instruments issued, whichever is more reliably measured. These stock</w:t>
      </w:r>
      <w:r>
        <w:rPr>
          <w:rFonts w:ascii="MS PGothic" w:cs="MS PGothic" w:eastAsia="MS PGothic" w:hAnsi="MS PGothic"/>
          <w:sz w:val="17"/>
          <w:szCs w:val="17"/>
          <w:color w:val="auto"/>
        </w:rPr>
        <w:t>‑</w:t>
      </w:r>
      <w:r>
        <w:rPr>
          <w:rFonts w:ascii="Arial" w:cs="Arial" w:eastAsia="Arial" w:hAnsi="Arial"/>
          <w:sz w:val="17"/>
          <w:szCs w:val="17"/>
          <w:color w:val="auto"/>
        </w:rPr>
        <w:t>based awards are revalued at each vesting date and period</w:t>
      </w:r>
      <w:r>
        <w:rPr>
          <w:rFonts w:ascii="MS PGothic" w:cs="MS PGothic" w:eastAsia="MS PGothic" w:hAnsi="MS PGothic"/>
          <w:sz w:val="17"/>
          <w:szCs w:val="17"/>
          <w:color w:val="auto"/>
        </w:rPr>
        <w:t>‑</w:t>
      </w:r>
      <w:r>
        <w:rPr>
          <w:rFonts w:ascii="Arial" w:cs="Arial" w:eastAsia="Arial" w:hAnsi="Arial"/>
          <w:sz w:val="17"/>
          <w:szCs w:val="17"/>
          <w:color w:val="auto"/>
        </w:rPr>
        <w:t>end. Stock</w:t>
      </w:r>
      <w:r>
        <w:rPr>
          <w:rFonts w:ascii="MS PGothic" w:cs="MS PGothic" w:eastAsia="MS PGothic" w:hAnsi="MS PGothic"/>
          <w:sz w:val="17"/>
          <w:szCs w:val="17"/>
          <w:color w:val="auto"/>
        </w:rPr>
        <w:t>‑</w:t>
      </w:r>
      <w:r>
        <w:rPr>
          <w:rFonts w:ascii="Arial" w:cs="Arial" w:eastAsia="Arial" w:hAnsi="Arial"/>
          <w:sz w:val="17"/>
          <w:szCs w:val="17"/>
          <w:color w:val="auto"/>
        </w:rPr>
        <w:t>based awards subject to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are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vesting period. In accordance with the Accounting Standards Codification, or ASC, 718, stock</w:t>
      </w:r>
      <w:r>
        <w:rPr>
          <w:rFonts w:ascii="MS PGothic" w:cs="MS PGothic" w:eastAsia="MS PGothic" w:hAnsi="MS PGothic"/>
          <w:sz w:val="17"/>
          <w:szCs w:val="17"/>
          <w:color w:val="auto"/>
        </w:rPr>
        <w:t>‑</w:t>
      </w:r>
      <w:r>
        <w:rPr>
          <w:rFonts w:ascii="Arial" w:cs="Arial" w:eastAsia="Arial" w:hAnsi="Arial"/>
          <w:sz w:val="17"/>
          <w:szCs w:val="17"/>
          <w:color w:val="auto"/>
        </w:rPr>
        <w:t>based awards subject to both performance</w:t>
      </w:r>
      <w:r>
        <w:rPr>
          <w:rFonts w:ascii="MS PGothic" w:cs="MS PGothic" w:eastAsia="MS PGothic" w:hAnsi="MS PGothic"/>
          <w:sz w:val="17"/>
          <w:szCs w:val="17"/>
          <w:color w:val="auto"/>
        </w:rPr>
        <w:t>‑</w:t>
      </w:r>
      <w:r>
        <w:rPr>
          <w:rFonts w:ascii="Arial" w:cs="Arial" w:eastAsia="Arial" w:hAnsi="Arial"/>
          <w:sz w:val="17"/>
          <w:szCs w:val="17"/>
          <w:color w:val="auto"/>
        </w:rPr>
        <w:t>and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are recognized using an accelerated attribution model.</w:t>
      </w:r>
    </w:p>
    <w:p>
      <w:pPr>
        <w:spacing w:after="0" w:line="125"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The amount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recognized during a period is based on the value of the portion of the awards that are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We evaluate our forfeiture rate at each reporting period. Ultimately, the actual expense recognized over the vesting period will be for only those options that vest.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JOBS Act</w:t>
      </w:r>
    </w:p>
    <w:p>
      <w:pPr>
        <w:spacing w:after="0" w:line="185" w:lineRule="exact"/>
        <w:rPr>
          <w:sz w:val="20"/>
          <w:szCs w:val="20"/>
          <w:color w:val="auto"/>
        </w:rPr>
      </w:pPr>
    </w:p>
    <w:p>
      <w:pPr>
        <w:ind w:right="180" w:firstLine="648"/>
        <w:spacing w:after="0" w:line="225"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2"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Subject to certain conditions, as an EGC, we intend to rely on certain exemptions and reduced reporting requirements available under the JOBS Act,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Securities and Exchange Commission.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185"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2016 and 2015, together with the changes in those items in dollars and as a percentage: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 Change</w:t>
            </w:r>
          </w:p>
        </w:tc>
        <w:tc>
          <w:tcPr>
            <w:tcW w:w="8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6"/>
          </w:tcPr>
          <w:p>
            <w:pPr>
              <w:ind w:left="280"/>
              <w:spacing w:after="0" w:line="129"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176"/>
        </w:trPr>
        <w:tc>
          <w:tcPr>
            <w:tcW w:w="358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100,349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8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(72,495)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(52,769)</w:t>
            </w:r>
          </w:p>
        </w:tc>
        <w:tc>
          <w:tcPr>
            <w:tcW w:w="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(19,726)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Collaboration revenue increased by $16.4 million from $11.4 million for the year ended December 31, 2015 to $27.8 million for the year ended December 31, 2016. Collaboration revenue for the year ended December 31, 2016 was related to the Alexion and Roche agreements. Collaboration revenue under the Alexion agreement began in March 2015 upon the execution of the Alexion agreement, and we recorded $23.3 million in collaboration revenue under the Alexion agreement for the year ended December 31, 2016. The increase in collaboration revenue from the year ended December 31, 2015 under the Alexion agreement of $11.9 million was primarily related to increased reimbursable research and development costs, increased recognition of portions of the $15.0 million upfront payment and $1.8 million in milestone payments received from Alexion and increased milestone payments recognized upon achievement during the year ended December 31, 2016. We entered into the Roche agreement in March 2016 and recorded $4.5 million in collaboration revenue under the Roche agreement for the year ended December 31, 2016.</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Research and development expense increased by $32.5 million from $48.6 million for the year ended December 31, 2015 to $81.1 million for the year ended December 31, 2016. The increase in research and development expense was primarily related to the following:</w:t>
      </w:r>
    </w:p>
    <w:p>
      <w:pPr>
        <w:spacing w:after="0" w:line="163" w:lineRule="exact"/>
        <w:rPr>
          <w:sz w:val="20"/>
          <w:szCs w:val="20"/>
          <w:color w:val="auto"/>
        </w:rPr>
      </w:pPr>
    </w:p>
    <w:p>
      <w:pPr>
        <w:ind w:left="1060" w:right="220" w:hanging="85"/>
        <w:spacing w:after="0" w:line="235"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$10.3 million in increased expenses for external clinical activities as we advanced two of our lead drug candidates, BLU-285 and BLU-554, in Phase 1 clinical trials;</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$9.5 million in increased expenses associated with clinical manufacturing activities;</w:t>
      </w:r>
    </w:p>
    <w:p>
      <w:pPr>
        <w:spacing w:after="0" w:line="184" w:lineRule="exact"/>
        <w:rPr>
          <w:rFonts w:ascii="Arial" w:cs="Arial" w:eastAsia="Arial" w:hAnsi="Arial"/>
          <w:sz w:val="18"/>
          <w:szCs w:val="18"/>
          <w:color w:val="auto"/>
        </w:rPr>
      </w:pPr>
    </w:p>
    <w:p>
      <w:pPr>
        <w:ind w:left="1060" w:right="20" w:hanging="85"/>
        <w:spacing w:after="0" w:line="219"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$6.5 million in increased personnel expense primarily due to a 33% increase in headcount, which was primarily driven by growth in the clinical and non-clinical organizations as we advanced two of our lead drug candidates, BLU-285 and BLU-554, in Phase 1 clinical trials, including an increase in stock-based compensation expense;</w:t>
      </w:r>
    </w:p>
    <w:p>
      <w:pPr>
        <w:spacing w:after="0" w:line="162" w:lineRule="exact"/>
        <w:rPr>
          <w:rFonts w:ascii="Arial" w:cs="Arial" w:eastAsia="Arial" w:hAnsi="Arial"/>
          <w:sz w:val="18"/>
          <w:szCs w:val="18"/>
          <w:color w:val="auto"/>
        </w:rPr>
      </w:pPr>
    </w:p>
    <w:p>
      <w:pPr>
        <w:ind w:left="1060" w:right="180" w:hanging="85"/>
        <w:spacing w:after="0" w:line="258" w:lineRule="auto"/>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approximately $4.4 million in increased expenses associated with continuing to build our discovery platform and advance our discovery pipeline, including expenses related to the Alexion agreement; and</w:t>
      </w:r>
    </w:p>
    <w:p>
      <w:pPr>
        <w:spacing w:after="0" w:line="146" w:lineRule="exact"/>
        <w:rPr>
          <w:rFonts w:ascii="Arial" w:cs="Arial" w:eastAsia="Arial" w:hAnsi="Arial"/>
          <w:sz w:val="17"/>
          <w:szCs w:val="17"/>
          <w:color w:val="auto"/>
        </w:rPr>
      </w:pPr>
    </w:p>
    <w:p>
      <w:pPr>
        <w:ind w:left="1060" w:right="560" w:hanging="85"/>
        <w:spacing w:after="0" w:line="235"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approximately $1.8 million in increased expenses associated with IND-enabling pre-clinical toxicology studies, primarily related to BLU-667 and the Alexion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General and administrative expense increased by $4.7 million from $14.5 million for the year ended December 31, 2015 to $19.2 million for the year ended December 31, 2016. The increase in general and administrative expense was primarily related to the following:</w:t>
      </w:r>
    </w:p>
    <w:p>
      <w:pPr>
        <w:spacing w:after="0" w:line="163" w:lineRule="exact"/>
        <w:rPr>
          <w:sz w:val="20"/>
          <w:szCs w:val="20"/>
          <w:color w:val="auto"/>
        </w:rPr>
      </w:pPr>
    </w:p>
    <w:p>
      <w:pPr>
        <w:ind w:left="1060" w:hanging="85"/>
        <w:spacing w:after="0" w:line="224"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$2.7 million in increased personnel expenses primarily due to an increase of 57% in general and administrative headcount to support our overall growth as a publicly traded company, including an increase in stock-based compensation expense; and</w:t>
      </w:r>
    </w:p>
    <w:p>
      <w:pPr>
        <w:spacing w:after="0" w:line="163" w:lineRule="exact"/>
        <w:rPr>
          <w:rFonts w:ascii="Arial" w:cs="Arial" w:eastAsia="Arial" w:hAnsi="Arial"/>
          <w:sz w:val="18"/>
          <w:szCs w:val="18"/>
          <w:color w:val="auto"/>
        </w:rPr>
      </w:pPr>
    </w:p>
    <w:p>
      <w:pPr>
        <w:ind w:left="1060" w:right="200" w:hanging="85"/>
        <w:spacing w:after="0" w:line="235"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approximately $1.6 million in increased professional fees, including external legal fees, insurance premiums and market research expenses.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6"/>
          <w:szCs w:val="16"/>
          <w:color w:val="auto"/>
        </w:rPr>
        <w:t>Other income (expense), net, increased by $1.0 million from $0.4 million of expense for the year ended December 31, 2015 to $0.6 million of income for the year ended December 31, 2016. The increase in other income (expense), net, was primarily related to an increase in investment income during the year ended December 31, 2016 due to our investing in marketable securities beginning in 2016. Also contributing to the increase in other income (expense) was the impact of the re</w:t>
      </w:r>
      <w:r>
        <w:rPr>
          <w:rFonts w:ascii="MS PGothic" w:cs="MS PGothic" w:eastAsia="MS PGothic" w:hAnsi="MS PGothic"/>
          <w:sz w:val="16"/>
          <w:szCs w:val="16"/>
          <w:color w:val="auto"/>
        </w:rPr>
        <w:t>‑</w:t>
      </w:r>
      <w:r>
        <w:rPr>
          <w:rFonts w:ascii="Arial" w:cs="Arial" w:eastAsia="Arial" w:hAnsi="Arial"/>
          <w:sz w:val="16"/>
          <w:szCs w:val="16"/>
          <w:color w:val="auto"/>
        </w:rPr>
        <w:t>measurement associated with the change in the fair value of the convertible preferred stock warrant liability included in the year ended December 31, 2015. Upon the closing of our IPO, all outstanding warrants exercisable for convertible preferred stock were automatically converted into warrants exercisable for shares of common stock, and we reclassified the warrants as an equity instrument. Accordingly, there were no related fair value adjustments in 2016.</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Interest expense decreased by $0.2 million from $0.7 million for the year ended December 31, 2015 to $0.5 million for the year ended December 31, 2016. The decrease was primarily related to a decrease in the average outstanding principle balance for the year ended December 31, 2016 under the loan and security agreement with Silicon Valley Bank. We expect that interest expense will continue to decrease in subsequent periods as the principal amount under the loan decreases.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185"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years ended December 31, 2015 and 2014, together with the changes in those items in dollars and as a percentage: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86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95"/>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80" w:type="dxa"/>
            <w:vAlign w:val="bottom"/>
            <w:gridSpan w:val="5"/>
            <w:shd w:val="clear" w:color="auto" w:fill="CCEEFF"/>
          </w:tcPr>
          <w:p>
            <w:pPr>
              <w:ind w:left="280"/>
              <w:spacing w:after="0" w:line="135" w:lineRule="exact"/>
              <w:rPr>
                <w:sz w:val="20"/>
                <w:szCs w:val="20"/>
                <w:color w:val="auto"/>
              </w:rPr>
            </w:pPr>
            <w:r>
              <w:rPr>
                <w:rFonts w:ascii="Arial" w:cs="Arial" w:eastAsia="Arial" w:hAnsi="Arial"/>
                <w:sz w:val="14"/>
                <w:szCs w:val="14"/>
                <w:b w:val="1"/>
                <w:bCs w:val="1"/>
                <w:color w:val="auto"/>
              </w:rPr>
              <w:t>(in thousands)</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Collaboration revenue</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11,400</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31,844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16,744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63,044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39,734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23,310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w:t>
            </w: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w:t>
            </w:r>
          </w:p>
        </w:tc>
        <w:tc>
          <w:tcPr>
            <w:tcW w:w="15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(52,769)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(40,285)</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7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Collaboration revenue was $11.4 million for the year ended December 31, 2015 under the Alexion agreement. We did not record any collaboration revenue during the year ended December 31, 2014.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Research and development expense increased by $16.7 million from $31.8 million for the year ended December 31, 2014 to $48.6 million for the year ended December 31, 2015. The increase in research and development expense was primarily related to the following:</w:t>
      </w:r>
    </w:p>
    <w:p>
      <w:pPr>
        <w:spacing w:after="0" w:line="163" w:lineRule="exact"/>
        <w:rPr>
          <w:sz w:val="20"/>
          <w:szCs w:val="20"/>
          <w:color w:val="auto"/>
        </w:rPr>
      </w:pPr>
    </w:p>
    <w:p>
      <w:pPr>
        <w:ind w:left="1060" w:right="220" w:hanging="85"/>
        <w:spacing w:after="0" w:line="194" w:lineRule="exact"/>
        <w:tabs>
          <w:tab w:leader="none" w:pos="10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approximately $6.0 million in increased personnel expense primarily due to a 49% increase in headcount, largely driven by growth in the clinical and non-clinical organizations as we advanced two of our lead drug candidates, BLU-285 and BLU-554, into clinical trials, as well as higher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w:t>
      </w:r>
    </w:p>
    <w:p>
      <w:pPr>
        <w:spacing w:after="0" w:line="163" w:lineRule="exact"/>
        <w:rPr>
          <w:rFonts w:ascii="Arial" w:cs="Arial" w:eastAsia="Arial" w:hAnsi="Arial"/>
          <w:sz w:val="16"/>
          <w:szCs w:val="16"/>
          <w:color w:val="auto"/>
        </w:rPr>
      </w:pPr>
    </w:p>
    <w:p>
      <w:pPr>
        <w:ind w:left="1060" w:right="480" w:hanging="85"/>
        <w:spacing w:after="0" w:line="235"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$6.0 million in external clinical activities as we advanced two of our lead drug candidates, BLU-285 and BLU-554, into clinical trials; and</w:t>
      </w:r>
    </w:p>
    <w:p>
      <w:pPr>
        <w:spacing w:after="0" w:line="161" w:lineRule="exact"/>
        <w:rPr>
          <w:rFonts w:ascii="Arial" w:cs="Arial" w:eastAsia="Arial" w:hAnsi="Arial"/>
          <w:sz w:val="18"/>
          <w:szCs w:val="18"/>
          <w:color w:val="auto"/>
        </w:rPr>
      </w:pPr>
    </w:p>
    <w:p>
      <w:pPr>
        <w:ind w:left="1060" w:right="360" w:hanging="85"/>
        <w:spacing w:after="0" w:line="224"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approximately $5.4 million as we continued to build our discovery platform and advance our discovery pipeline forward, including expenses associated with development of BLU-667 and expenses related to the Alexion agreement.</w:t>
      </w:r>
    </w:p>
    <w:p>
      <w:pPr>
        <w:spacing w:after="0" w:line="163"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8"/>
          <w:szCs w:val="18"/>
          <w:color w:val="auto"/>
        </w:rPr>
        <w:t>These increases were partially offset by $0.7 million of lower external IND</w:t>
      </w:r>
      <w:r>
        <w:rPr>
          <w:rFonts w:ascii="MS PGothic" w:cs="MS PGothic" w:eastAsia="MS PGothic" w:hAnsi="MS PGothic"/>
          <w:sz w:val="18"/>
          <w:szCs w:val="18"/>
          <w:color w:val="auto"/>
        </w:rPr>
        <w:t>‑</w:t>
      </w:r>
      <w:r>
        <w:rPr>
          <w:rFonts w:ascii="Arial" w:cs="Arial" w:eastAsia="Arial" w:hAnsi="Arial"/>
          <w:sz w:val="18"/>
          <w:szCs w:val="18"/>
          <w:color w:val="auto"/>
        </w:rPr>
        <w:t>enabling pre-clinical and toxicology studies as well as manufacturing activities primarily due to timing associated with toxicology studies for BLU-285 and BLU-554 during the year ended December 31, 2014.</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12" w:right="135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General and administrative expense increased by $6.6 million from $7.9 million for the year ended December 31, 2014 to $14.5 million for the year ended December 31, 2015. The increase in general and administrative expense was primarily related to the following:</w:t>
      </w:r>
    </w:p>
    <w:p>
      <w:pPr>
        <w:spacing w:after="0" w:line="163" w:lineRule="exact"/>
        <w:rPr>
          <w:sz w:val="20"/>
          <w:szCs w:val="20"/>
          <w:color w:val="auto"/>
        </w:rPr>
      </w:pPr>
    </w:p>
    <w:p>
      <w:pPr>
        <w:ind w:left="1060" w:right="220" w:hanging="85"/>
        <w:spacing w:after="0" w:line="224"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$3.5 million in increased personnel expenses primarily due to an increase of 113% in general and administrative headcount to support our overall growth as a publicly traded company as well as an increase in stock-based compensation expense; and</w:t>
      </w:r>
    </w:p>
    <w:p>
      <w:pPr>
        <w:spacing w:after="0" w:line="163" w:lineRule="exact"/>
        <w:rPr>
          <w:rFonts w:ascii="Arial" w:cs="Arial" w:eastAsia="Arial" w:hAnsi="Arial"/>
          <w:sz w:val="18"/>
          <w:szCs w:val="18"/>
          <w:color w:val="auto"/>
        </w:rPr>
      </w:pPr>
    </w:p>
    <w:p>
      <w:pPr>
        <w:ind w:left="1060" w:right="340" w:hanging="85"/>
        <w:spacing w:after="0" w:line="289"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approximately $2.5 million increase in professional fees, including external legal and audit fees, insurance premiums, public relations fees and recruiting costs and fees paid to members of our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jc w:val="both"/>
        <w:ind w:right="60" w:firstLine="648"/>
        <w:spacing w:after="0" w:line="194" w:lineRule="exact"/>
        <w:rPr>
          <w:sz w:val="20"/>
          <w:szCs w:val="20"/>
          <w:color w:val="auto"/>
        </w:rPr>
      </w:pPr>
      <w:r>
        <w:rPr>
          <w:rFonts w:ascii="Arial" w:cs="Arial" w:eastAsia="Arial" w:hAnsi="Arial"/>
          <w:sz w:val="16"/>
          <w:szCs w:val="16"/>
          <w:color w:val="auto"/>
        </w:rPr>
        <w:t>Other income (expense), net, increased by $0.3 million from $0.1 million for the year ended December 31, 2014 to $0.4 million for the year ended December 31, 2015. The increase in other income (expense), net, was primarily related to the impact of the re</w:t>
      </w:r>
      <w:r>
        <w:rPr>
          <w:rFonts w:ascii="MS PGothic" w:cs="MS PGothic" w:eastAsia="MS PGothic" w:hAnsi="MS PGothic"/>
          <w:sz w:val="16"/>
          <w:szCs w:val="16"/>
          <w:color w:val="auto"/>
        </w:rPr>
        <w:t>‑</w:t>
      </w:r>
      <w:r>
        <w:rPr>
          <w:rFonts w:ascii="Arial" w:cs="Arial" w:eastAsia="Arial" w:hAnsi="Arial"/>
          <w:sz w:val="16"/>
          <w:szCs w:val="16"/>
          <w:color w:val="auto"/>
        </w:rPr>
        <w:t>measurement associated with the change in the fair value of the convertible preferred stock warrant liability.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6"/>
          <w:szCs w:val="16"/>
          <w:color w:val="auto"/>
        </w:rPr>
        <w:t>Interest expense increased by $0.2 million from $0.5 million for the year ended December 31, 2014 to $0.7 million for the year ended December 31, 2015. The increase in interest expense was primarily related to a higher outstanding principal balance under the loan and security agreement with Silicon Valley Bank for the year ended December 31,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stock, collaborations and a debt financing. Through December 31, 2016, we have received an aggregate of $501.3 million from such transactions, including $312.4 million in aggregate gross proceeds from the sale of common stock in our May 2015 IPO and December 2016 follow-on underwritten public offering, $115.1 million in gross proceeds from the issuance of convertible preferred stock, $18.8 million of upfront and milestone payments from Alexion, a $45.0 million upfront payment from Roche and $10.0 million in gross proceeds from the debt financing.</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we had cash, cash equivalents and investments of $268.2 million.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2016, 2015 and 2014: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80" w:type="dxa"/>
            <w:vAlign w:val="bottom"/>
            <w:tcBorders>
              <w:bottom w:val="single" w:sz="8" w:color="CCEEFF"/>
            </w:tcBorders>
            <w:vMerge w:val="continue"/>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(218,702)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132,577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153,222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(110,638)</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115,467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Net cash used in operating activities was $24.5 million during the year ended</w:t>
      </w:r>
    </w:p>
    <w:p>
      <w:pPr>
        <w:spacing w:after="0"/>
        <w:rPr>
          <w:sz w:val="20"/>
          <w:szCs w:val="20"/>
          <w:color w:val="auto"/>
        </w:rPr>
      </w:pPr>
      <w:r>
        <w:rPr>
          <w:rFonts w:ascii="Arial" w:cs="Arial" w:eastAsia="Arial" w:hAnsi="Arial"/>
          <w:sz w:val="16"/>
          <w:szCs w:val="16"/>
          <w:color w:val="auto"/>
        </w:rPr>
        <w:t>December 31, 2016 compared to net cash used in operating activities of $31.7 million during year ended December 31, 2015.</w:t>
      </w:r>
    </w:p>
    <w:p>
      <w:pPr>
        <w:spacing w:after="0"/>
        <w:rPr>
          <w:sz w:val="20"/>
          <w:szCs w:val="20"/>
          <w:color w:val="auto"/>
        </w:rPr>
      </w:pPr>
      <w:r>
        <w:rPr>
          <w:rFonts w:ascii="Arial" w:cs="Arial" w:eastAsia="Arial" w:hAnsi="Arial"/>
          <w:sz w:val="18"/>
          <w:szCs w:val="18"/>
          <w:color w:val="auto"/>
        </w:rPr>
        <w:t>The decrease in net cash used in operating activities was primarily due to changes in deferred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revenue related to the timing and amount of upfront payments from Alexion and Roche, partially offset by an increase in net loss of $19.7 million for the year end December 31, 2016 as compared to the year ended December 31, 2015. In the year ended December 31, 2016, we received a $45.0 million upfront payment from Roche, and in the year ended December 31, 2015, we received a $15.0 million upfront payment from Alexion.</w:t>
      </w:r>
    </w:p>
    <w:p>
      <w:pPr>
        <w:spacing w:after="0" w:line="109"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Net cash used in operating activities was $31.7 million during the year ended December 31, 2015 compared to net cash used in operating activities of $35.4 million during year ended December 31, 2014. The decrease in cash used in operating activities was primarily due to the receipt of a $15.0 million upfront payment from Alexion, partially offset by an increase in net loss of $12.5 million for the year end December 31, 2015 as compared to the year ended December 31, 2014.</w:t>
      </w:r>
    </w:p>
    <w:p>
      <w:pPr>
        <w:spacing w:after="0" w:line="114"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Net cash used in investing activities was $218.7 million during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compared to net cash used in investing activities of $6.1 million during the year ended December 31, 2015. Net cash used in investing activities for the year ended December 31, 2016 consisted primarily of purchases and maturities of investments. We classify these investments as available-for-sale and record them at fair value in the accompanying condensed consolidated balance sheets. Net cash used in investing activities for the year ended December 31, 2015 consisted primarily of purchases of property and equipment.</w:t>
      </w:r>
    </w:p>
    <w:p>
      <w:pPr>
        <w:spacing w:after="0" w:line="165" w:lineRule="exact"/>
        <w:rPr>
          <w:sz w:val="20"/>
          <w:szCs w:val="20"/>
          <w:color w:val="auto"/>
        </w:rPr>
      </w:pPr>
    </w:p>
    <w:p>
      <w:pPr>
        <w:ind w:right="240" w:firstLine="648"/>
        <w:spacing w:after="0" w:line="216" w:lineRule="auto"/>
        <w:rPr>
          <w:sz w:val="20"/>
          <w:szCs w:val="20"/>
          <w:color w:val="auto"/>
        </w:rPr>
      </w:pPr>
      <w:r>
        <w:rPr>
          <w:rFonts w:ascii="Arial" w:cs="Arial" w:eastAsia="Arial" w:hAnsi="Arial"/>
          <w:sz w:val="18"/>
          <w:szCs w:val="18"/>
          <w:color w:val="auto"/>
        </w:rPr>
        <w:t>Net cash used in investing activities was $6.1 million during the year ended December 31, 2015 compared to net cash used in investing activities of $0.7 million during the year ended December 31, 2014. Net cash used in investing activities for the year ended December 31, 2015 consisted of purchases of property and equipment as well as a security deposit payment for our new office lease agreement. Net cash used in investing activities for the year ended December 31, 2014 consisted of purchases of property and equipment.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Net Cash Provided by Financing Activities. </w:t>
      </w:r>
      <w:r>
        <w:rPr>
          <w:rFonts w:ascii="Arial" w:cs="Arial" w:eastAsia="Arial" w:hAnsi="Arial"/>
          <w:sz w:val="16"/>
          <w:szCs w:val="16"/>
          <w:color w:val="auto"/>
        </w:rPr>
        <w:t>Net cash provided by financing activities was $132.6 million during the</w:t>
      </w:r>
    </w:p>
    <w:p>
      <w:pPr>
        <w:spacing w:after="0"/>
        <w:rPr>
          <w:sz w:val="20"/>
          <w:szCs w:val="20"/>
          <w:color w:val="auto"/>
        </w:rPr>
      </w:pPr>
      <w:r>
        <w:rPr>
          <w:rFonts w:ascii="Arial" w:cs="Arial" w:eastAsia="Arial" w:hAnsi="Arial"/>
          <w:sz w:val="16"/>
          <w:szCs w:val="16"/>
          <w:color w:val="auto"/>
        </w:rPr>
        <w:t>year ended December 31, 2016 compared to net cash provided by financing activities of $153.2 million during the year ended</w:t>
      </w:r>
    </w:p>
    <w:p>
      <w:pPr>
        <w:spacing w:after="0" w:line="229" w:lineRule="auto"/>
        <w:rPr>
          <w:sz w:val="20"/>
          <w:szCs w:val="20"/>
          <w:color w:val="auto"/>
        </w:rPr>
      </w:pPr>
      <w:r>
        <w:rPr>
          <w:rFonts w:ascii="Arial" w:cs="Arial" w:eastAsia="Arial" w:hAnsi="Arial"/>
          <w:sz w:val="16"/>
          <w:szCs w:val="16"/>
          <w:color w:val="auto"/>
        </w:rPr>
        <w:t>December 31, 2015. Net cash provided by financing activities for the year ended December 31, 2016 was primarily due to</w:t>
      </w:r>
    </w:p>
    <w:p>
      <w:pPr>
        <w:spacing w:after="0" w:line="229" w:lineRule="auto"/>
        <w:rPr>
          <w:sz w:val="20"/>
          <w:szCs w:val="20"/>
          <w:color w:val="auto"/>
        </w:rPr>
      </w:pPr>
      <w:r>
        <w:rPr>
          <w:rFonts w:ascii="Arial" w:cs="Arial" w:eastAsia="Arial" w:hAnsi="Arial"/>
          <w:sz w:val="16"/>
          <w:szCs w:val="16"/>
          <w:color w:val="auto"/>
        </w:rPr>
        <w:t>$135.0 million in net proceeds from our December 2016 follow-on underwritten public offering, after deducting underwriting</w:t>
      </w:r>
    </w:p>
    <w:p>
      <w:pPr>
        <w:spacing w:after="0" w:line="215" w:lineRule="auto"/>
        <w:rPr>
          <w:sz w:val="20"/>
          <w:szCs w:val="20"/>
          <w:color w:val="auto"/>
        </w:rPr>
      </w:pPr>
      <w:r>
        <w:rPr>
          <w:rFonts w:ascii="Arial" w:cs="Arial" w:eastAsia="Arial" w:hAnsi="Arial"/>
          <w:sz w:val="17"/>
          <w:szCs w:val="17"/>
          <w:color w:val="auto"/>
        </w:rPr>
        <w:t>discounts and commissions and estimated offering expenses payable by us, partially offset by $3.3 million of principal</w:t>
      </w:r>
    </w:p>
    <w:p>
      <w:pPr>
        <w:spacing w:after="0" w:line="216" w:lineRule="auto"/>
        <w:rPr>
          <w:sz w:val="20"/>
          <w:szCs w:val="20"/>
          <w:color w:val="auto"/>
        </w:rPr>
      </w:pPr>
      <w:r>
        <w:rPr>
          <w:rFonts w:ascii="Arial" w:cs="Arial" w:eastAsia="Arial" w:hAnsi="Arial"/>
          <w:sz w:val="17"/>
          <w:szCs w:val="17"/>
          <w:color w:val="auto"/>
        </w:rPr>
        <w:t>payments on term loan payable. Net cash provided by financing activities for the year ended December 31, 2015 was</w:t>
      </w:r>
    </w:p>
    <w:p>
      <w:pPr>
        <w:spacing w:after="0" w:line="229" w:lineRule="auto"/>
        <w:rPr>
          <w:sz w:val="20"/>
          <w:szCs w:val="20"/>
          <w:color w:val="auto"/>
        </w:rPr>
      </w:pPr>
      <w:r>
        <w:rPr>
          <w:rFonts w:ascii="Arial" w:cs="Arial" w:eastAsia="Arial" w:hAnsi="Arial"/>
          <w:sz w:val="16"/>
          <w:szCs w:val="16"/>
          <w:color w:val="auto"/>
        </w:rPr>
        <w:t>primarily due to $154.8 million of net proceeds from our IPO, after deducting underwriting discounts and commissions and</w:t>
      </w:r>
    </w:p>
    <w:p>
      <w:pPr>
        <w:spacing w:after="0"/>
        <w:rPr>
          <w:sz w:val="20"/>
          <w:szCs w:val="20"/>
          <w:color w:val="auto"/>
        </w:rPr>
      </w:pPr>
      <w:r>
        <w:rPr>
          <w:rFonts w:ascii="Arial" w:cs="Arial" w:eastAsia="Arial" w:hAnsi="Arial"/>
          <w:sz w:val="18"/>
          <w:szCs w:val="18"/>
          <w:color w:val="auto"/>
        </w:rPr>
        <w:t>offering expenses payable by us, partially offset by $1.8 million of principal payments on term loan payable.</w:t>
      </w:r>
    </w:p>
    <w:p>
      <w:pPr>
        <w:spacing w:after="0" w:line="169"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Net cash provided by financing activities was $153.2 million during the year ended December 31, 2015 compared to net cash provided by financing activities of $81.4 million during the year ended December 31, 2014. Net cash provided by financing activities for the year ended December 31, 2015 was primarily due to $154.8 million in net proceeds from our IPO, after deducting underwriting discounts and commissions and offering expenses payable by us, partially offset by $1.8 million of principal payments on term loan payable. The cash provided by financing activities for the year ended December 31, 2014 was primarily due to $74.9 million of net proceeds received from the private placement of our Series B and Series C convertible preferred stock and $6.3 million of proceeds from our term loan, net of principal payments.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In May 2013, we entered into the loan and security agreement with Silicon Valley Bank.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During 2014, we paid principal payments of $0.7 million on the first $3.0 million of advances. During the year ended December 31, 2015, we paid principal payments of $1.8 million on the first $10.0 million of advances and during the year ended December 31, 2016, we paid principal payments of $3.3 million. We are required to pay a fee of 4% of the total loan advances at the end of the term of the loan. There are no financial covenants associated with the loan and security agreement. As of December 31, 2016, we had $4.1 million in outstanding principal under the loan and security agreement.</w:t>
      </w:r>
    </w:p>
    <w:p>
      <w:pPr>
        <w:spacing w:after="0" w:line="162" w:lineRule="exact"/>
        <w:rPr>
          <w:sz w:val="20"/>
          <w:szCs w:val="20"/>
          <w:color w:val="auto"/>
        </w:rPr>
      </w:pPr>
    </w:p>
    <w:p>
      <w:pPr>
        <w:ind w:right="360" w:firstLine="648"/>
        <w:spacing w:after="0" w:line="28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9"/>
        <w:spacing w:after="0" w:line="224" w:lineRule="auto"/>
        <w:rPr>
          <w:sz w:val="20"/>
          <w:szCs w:val="20"/>
          <w:color w:val="auto"/>
        </w:rPr>
      </w:pPr>
      <w:r>
        <w:rPr>
          <w:rFonts w:ascii="Arial" w:cs="Arial" w:eastAsia="Arial" w:hAnsi="Arial"/>
          <w:sz w:val="18"/>
          <w:szCs w:val="18"/>
          <w:color w:val="auto"/>
        </w:rPr>
        <w:t>default provisions. We have determined that the risk of subjective acceleration under the material adverse events clause is remote and therefore has classified the outstanding principal in current and long term liabilities based on scheduled principal payments.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8"/>
          <w:szCs w:val="18"/>
          <w:color w:val="auto"/>
        </w:rPr>
        <w:t>See Note 9, “Term Loan,” in the accompanying notes to our audited consolidated financial statements for additional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59"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67" w:lineRule="exact"/>
        <w:rPr>
          <w:sz w:val="20"/>
          <w:szCs w:val="20"/>
          <w:color w:val="auto"/>
        </w:rPr>
      </w:pPr>
    </w:p>
    <w:p>
      <w:pPr>
        <w:ind w:right="99" w:firstLine="648"/>
        <w:spacing w:after="0" w:line="249" w:lineRule="auto"/>
        <w:rPr>
          <w:sz w:val="20"/>
          <w:szCs w:val="20"/>
          <w:color w:val="auto"/>
        </w:rPr>
      </w:pPr>
      <w:r>
        <w:rPr>
          <w:rFonts w:ascii="Arial" w:cs="Arial" w:eastAsia="Arial" w:hAnsi="Arial"/>
          <w:sz w:val="16"/>
          <w:szCs w:val="16"/>
          <w:color w:val="auto"/>
        </w:rPr>
        <w:t>As of December 31, 2016, we had cash, cash equivalents and investments of $268.2 million. Based on our current plans, we expect that our existing cash, cash equivalents and investments, excluding any potential option fees and milestone payments under our existing collaborations, will be sufficient to enable us to fund our operating expenses and capital expenditure requirements into at least late 2018. Our future capital requirements will depend on many factors, including:</w:t>
      </w:r>
    </w:p>
    <w:p>
      <w:pPr>
        <w:spacing w:after="0" w:line="155" w:lineRule="exact"/>
        <w:rPr>
          <w:sz w:val="20"/>
          <w:szCs w:val="20"/>
          <w:color w:val="auto"/>
        </w:rPr>
      </w:pPr>
    </w:p>
    <w:p>
      <w:pPr>
        <w:ind w:left="1060" w:right="499" w:hanging="85"/>
        <w:spacing w:after="0" w:line="235"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060" w:right="199" w:hanging="85"/>
        <w:spacing w:after="0" w:line="235"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060" w:hanging="85"/>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success of our collaborations with Alexion and Roche;</w:t>
      </w:r>
    </w:p>
    <w:p>
      <w:pPr>
        <w:spacing w:after="0" w:line="184" w:lineRule="exact"/>
        <w:rPr>
          <w:rFonts w:ascii="Arial" w:cs="Arial" w:eastAsia="Arial" w:hAnsi="Arial"/>
          <w:sz w:val="18"/>
          <w:szCs w:val="18"/>
          <w:color w:val="auto"/>
        </w:rPr>
      </w:pPr>
    </w:p>
    <w:p>
      <w:pPr>
        <w:ind w:left="1060" w:right="479" w:hanging="85"/>
        <w:spacing w:after="0" w:line="289" w:lineRule="auto"/>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success of our current or future companion diagnostic test collaborations, including our companion diagnostic test with Ventana for BLU-554 and our companion diagnostic test with Qiagen for BLU-285;</w:t>
      </w:r>
    </w:p>
    <w:p>
      <w:pPr>
        <w:spacing w:after="0" w:line="124" w:lineRule="exact"/>
        <w:rPr>
          <w:rFonts w:ascii="Arial" w:cs="Arial" w:eastAsia="Arial" w:hAnsi="Arial"/>
          <w:sz w:val="16"/>
          <w:szCs w:val="16"/>
          <w:color w:val="auto"/>
        </w:rPr>
      </w:pPr>
    </w:p>
    <w:p>
      <w:pPr>
        <w:ind w:left="1060" w:hanging="85"/>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4" w:lineRule="exact"/>
        <w:rPr>
          <w:rFonts w:ascii="Arial" w:cs="Arial" w:eastAsia="Arial" w:hAnsi="Arial"/>
          <w:sz w:val="18"/>
          <w:szCs w:val="18"/>
          <w:color w:val="auto"/>
        </w:rPr>
      </w:pPr>
    </w:p>
    <w:p>
      <w:pPr>
        <w:ind w:left="1060" w:right="779" w:hanging="85"/>
        <w:spacing w:after="0" w:line="235"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obtain;</w:t>
      </w:r>
    </w:p>
    <w:p>
      <w:pPr>
        <w:spacing w:after="0" w:line="161" w:lineRule="exact"/>
        <w:rPr>
          <w:rFonts w:ascii="Arial" w:cs="Arial" w:eastAsia="Arial" w:hAnsi="Arial"/>
          <w:sz w:val="18"/>
          <w:szCs w:val="18"/>
          <w:color w:val="auto"/>
        </w:rPr>
      </w:pPr>
    </w:p>
    <w:p>
      <w:pPr>
        <w:ind w:left="1060" w:right="279" w:hanging="85"/>
        <w:spacing w:after="0" w:line="235"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060" w:right="239" w:hanging="85"/>
        <w:spacing w:after="0" w:line="203" w:lineRule="exact"/>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1" w:lineRule="exact"/>
        <w:rPr>
          <w:rFonts w:ascii="Arial" w:cs="Arial" w:eastAsia="Arial" w:hAnsi="Arial"/>
          <w:sz w:val="18"/>
          <w:szCs w:val="18"/>
          <w:color w:val="auto"/>
        </w:rPr>
      </w:pPr>
    </w:p>
    <w:p>
      <w:pPr>
        <w:ind w:left="1060" w:hanging="85"/>
        <w:spacing w:after="0" w:line="207" w:lineRule="exact"/>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acquire or in</w:t>
      </w:r>
      <w:r>
        <w:rPr>
          <w:rFonts w:ascii="MS PGothic" w:cs="MS PGothic" w:eastAsia="MS PGothic" w:hAnsi="MS PGothic"/>
          <w:sz w:val="18"/>
          <w:szCs w:val="18"/>
          <w:color w:val="auto"/>
        </w:rPr>
        <w:t>‑</w:t>
      </w:r>
      <w:r>
        <w:rPr>
          <w:rFonts w:ascii="Arial" w:cs="Arial" w:eastAsia="Arial" w:hAnsi="Arial"/>
          <w:sz w:val="18"/>
          <w:szCs w:val="18"/>
          <w:color w:val="auto"/>
        </w:rPr>
        <w:t>license other drug candidates and technologies;</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 and</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1060" w:right="20" w:hanging="85"/>
        <w:spacing w:after="0" w:line="235"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drug candidates.</w:t>
      </w:r>
    </w:p>
    <w:p>
      <w:pPr>
        <w:spacing w:after="0" w:line="162"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Identifying potential drug candidates and conducting pre-clinical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6"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agreements with Alexion and Roche.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our significant contractual obligations as of payment due date by period at</w:t>
      </w:r>
    </w:p>
    <w:p>
      <w:pPr>
        <w:spacing w:after="0"/>
        <w:rPr>
          <w:sz w:val="20"/>
          <w:szCs w:val="20"/>
          <w:color w:val="auto"/>
        </w:rPr>
      </w:pPr>
      <w:r>
        <w:rPr>
          <w:rFonts w:ascii="Arial" w:cs="Arial" w:eastAsia="Arial" w:hAnsi="Arial"/>
          <w:sz w:val="18"/>
          <w:szCs w:val="18"/>
          <w:color w:val="auto"/>
        </w:rPr>
        <w:t>December 31,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4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3480" w:type="dxa"/>
            <w:vAlign w:val="bottom"/>
            <w:tcBorders>
              <w:top w:val="single" w:sz="8" w:color="auto"/>
              <w:bottom w:val="single" w:sz="8" w:color="auto"/>
            </w:tcBorders>
            <w:gridSpan w:val="8"/>
          </w:tcPr>
          <w:p>
            <w:pPr>
              <w:jc w:val="center"/>
              <w:ind w:left="92"/>
              <w:spacing w:after="0" w:line="189" w:lineRule="exact"/>
              <w:rPr>
                <w:sz w:val="20"/>
                <w:szCs w:val="20"/>
                <w:color w:val="auto"/>
              </w:rPr>
            </w:pPr>
            <w:r>
              <w:rPr>
                <w:rFonts w:ascii="Arial" w:cs="Arial" w:eastAsia="Arial" w:hAnsi="Arial"/>
                <w:sz w:val="18"/>
                <w:szCs w:val="18"/>
                <w:b w:val="1"/>
                <w:bCs w:val="1"/>
                <w:color w:val="auto"/>
                <w:w w:val="89"/>
              </w:rPr>
              <w:t>Payments Due by Period</w:t>
            </w:r>
          </w:p>
        </w:tc>
        <w:tc>
          <w:tcPr>
            <w:tcW w:w="1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320"/>
              <w:spacing w:after="0" w:line="155"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6"/>
                <w:szCs w:val="16"/>
                <w:b w:val="1"/>
                <w:bCs w:val="1"/>
                <w:color w:val="auto"/>
                <w:w w:val="94"/>
              </w:rPr>
              <w:t>Less than 1 Year</w:t>
            </w:r>
          </w:p>
        </w:tc>
        <w:tc>
          <w:tcPr>
            <w:tcW w:w="100" w:type="dxa"/>
            <w:vAlign w:val="bottom"/>
          </w:tcPr>
          <w:p>
            <w:pPr>
              <w:spacing w:after="0"/>
              <w:rPr>
                <w:sz w:val="13"/>
                <w:szCs w:val="13"/>
                <w:color w:val="auto"/>
              </w:rPr>
            </w:pPr>
          </w:p>
        </w:tc>
        <w:tc>
          <w:tcPr>
            <w:tcW w:w="1020" w:type="dxa"/>
            <w:vAlign w:val="bottom"/>
            <w:gridSpan w:val="2"/>
          </w:tcPr>
          <w:p>
            <w:pPr>
              <w:jc w:val="center"/>
              <w:ind w:right="60"/>
              <w:spacing w:after="0" w:line="155" w:lineRule="exact"/>
              <w:rPr>
                <w:sz w:val="20"/>
                <w:szCs w:val="20"/>
                <w:color w:val="auto"/>
              </w:rPr>
            </w:pPr>
            <w:r>
              <w:rPr>
                <w:rFonts w:ascii="Arial" w:cs="Arial" w:eastAsia="Arial" w:hAnsi="Arial"/>
                <w:sz w:val="16"/>
                <w:szCs w:val="16"/>
                <w:b w:val="1"/>
                <w:bCs w:val="1"/>
                <w:color w:val="auto"/>
                <w:w w:val="89"/>
              </w:rPr>
              <w:t>1 to 3 Years</w:t>
            </w:r>
          </w:p>
        </w:tc>
        <w:tc>
          <w:tcPr>
            <w:tcW w:w="100" w:type="dxa"/>
            <w:vAlign w:val="bottom"/>
          </w:tcPr>
          <w:p>
            <w:pPr>
              <w:spacing w:after="0"/>
              <w:rPr>
                <w:sz w:val="13"/>
                <w:szCs w:val="13"/>
                <w:color w:val="auto"/>
              </w:rPr>
            </w:pPr>
          </w:p>
        </w:tc>
        <w:tc>
          <w:tcPr>
            <w:tcW w:w="1020" w:type="dxa"/>
            <w:vAlign w:val="bottom"/>
            <w:gridSpan w:val="2"/>
          </w:tcPr>
          <w:p>
            <w:pPr>
              <w:ind w:left="80"/>
              <w:spacing w:after="0" w:line="155" w:lineRule="exact"/>
              <w:rPr>
                <w:sz w:val="20"/>
                <w:szCs w:val="20"/>
                <w:color w:val="auto"/>
              </w:rPr>
            </w:pPr>
            <w:r>
              <w:rPr>
                <w:rFonts w:ascii="Arial" w:cs="Arial" w:eastAsia="Arial" w:hAnsi="Arial"/>
                <w:sz w:val="16"/>
                <w:szCs w:val="16"/>
                <w:b w:val="1"/>
                <w:bCs w:val="1"/>
                <w:color w:val="auto"/>
              </w:rPr>
              <w:t>3 to 5 Years</w:t>
            </w:r>
          </w:p>
        </w:tc>
        <w:tc>
          <w:tcPr>
            <w:tcW w:w="100" w:type="dxa"/>
            <w:vAlign w:val="bottom"/>
          </w:tcPr>
          <w:p>
            <w:pPr>
              <w:spacing w:after="0"/>
              <w:rPr>
                <w:sz w:val="13"/>
                <w:szCs w:val="13"/>
                <w:color w:val="auto"/>
              </w:rPr>
            </w:pPr>
          </w:p>
        </w:tc>
        <w:tc>
          <w:tcPr>
            <w:tcW w:w="13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w w:val="94"/>
              </w:rPr>
              <w:t>More than 5 Years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Operating lease commitments (1)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Debt repayments (2)</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19,326</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3" w:lineRule="exact"/>
        <w:rPr>
          <w:sz w:val="20"/>
          <w:szCs w:val="20"/>
          <w:color w:val="auto"/>
        </w:rPr>
      </w:pPr>
    </w:p>
    <w:p>
      <w:pPr>
        <w:ind w:left="860" w:right="80" w:hanging="209"/>
        <w:spacing w:after="0" w:line="224" w:lineRule="auto"/>
        <w:tabs>
          <w:tab w:leader="none" w:pos="8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future minimum lease payments under our non-cancelable operating lease, which expires in October 2022, for our offices located at 38 Sidney Street, Cambridge, MA. The minimum lease payments above do not include any related common area maintenance charges or real estate taxes.</w:t>
      </w:r>
    </w:p>
    <w:p>
      <w:pPr>
        <w:spacing w:after="0" w:line="62" w:lineRule="exact"/>
        <w:rPr>
          <w:rFonts w:ascii="Arial" w:cs="Arial" w:eastAsia="Arial" w:hAnsi="Arial"/>
          <w:sz w:val="14"/>
          <w:szCs w:val="14"/>
          <w:color w:val="auto"/>
        </w:rPr>
      </w:pPr>
    </w:p>
    <w:p>
      <w:pPr>
        <w:ind w:left="860" w:right="160" w:hanging="209"/>
        <w:spacing w:after="0" w:line="236" w:lineRule="auto"/>
        <w:tabs>
          <w:tab w:leader="none" w:pos="8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Consists of payment obligations for principal and interest under the loan and security agreement with Silicon Valley Bank. As of December 31, 2016, we had $4.1 million in outstanding principal under the loan and security agreement with Silicon Valley Bank.</w:t>
      </w:r>
    </w:p>
    <w:p>
      <w:pPr>
        <w:spacing w:after="0" w:line="66"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enter into agreements in the normal course of business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16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also have obligations to make future payments to third parties that become due and payable on the achievement of certain milestones. We have not included these commitments on our balance sheet or in the table above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because the achievement and timing of these milestones is not fixed and determinable. These commitments include the following:</w:t>
      </w:r>
    </w:p>
    <w:p>
      <w:pPr>
        <w:spacing w:after="0" w:line="162" w:lineRule="exact"/>
        <w:rPr>
          <w:sz w:val="20"/>
          <w:szCs w:val="20"/>
          <w:color w:val="auto"/>
        </w:rPr>
      </w:pPr>
    </w:p>
    <w:p>
      <w:pPr>
        <w:ind w:left="1060" w:right="80" w:hanging="85"/>
        <w:spacing w:after="0" w:line="239"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March 2016, we entered into the Ventana agreement pursuant to which Ventana has agreed to develop and commercialize the companion diagnostic for BLU-554 that we expect to use to identify HCC patients with aberrantly active FGFR4 signaling as indicated by FGF19 overexpression. Subject to the terms of the Ventana agreement, we will pay Ventana an aggregate amount of up to approximately $12.3 million over the term of the development program for the companion diagnostic test for BLU-554 plus pass-through costs and certain other specified amounts. See “Item 1. Business—Collaborations and Partnerships—Ventana” of this Annual Report on Form 10-K for additional information on the Ventana agreement.</w:t>
      </w:r>
    </w:p>
    <w:p>
      <w:pPr>
        <w:spacing w:after="0" w:line="162" w:lineRule="exact"/>
        <w:rPr>
          <w:rFonts w:ascii="Arial" w:cs="Arial" w:eastAsia="Arial" w:hAnsi="Arial"/>
          <w:sz w:val="16"/>
          <w:szCs w:val="16"/>
          <w:color w:val="auto"/>
        </w:rPr>
      </w:pPr>
    </w:p>
    <w:p>
      <w:pPr>
        <w:ind w:left="1060" w:hanging="85"/>
        <w:spacing w:after="0" w:line="237"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August 2016, we entered into the Qiagen agreement pursuant to which Qiagen has agreed to develop and commercialize the companion diagnostic for BLU-285 that we expect to use to identify GIST patients with the PDGFRα D842V mutation. Subject to the terms of the Qiagen agreement and upon achievement of specified technical and development milestones, we will pay QIAGEN an aggregate amount of up to approximately $6.1 million over the term of the development program for the companion diagnostic test for BLU-285 plus pass-through costs. These amounts are subject to adjustment if the parties determine that changes in the scope of the development program are required. See “Item 1. Business—Collaborations and Partnerships—Qiagen” of this Annual Report on Form 10-K for additional information on the Qiagen agreement.</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48" w:lineRule="exact"/>
        <w:rPr>
          <w:sz w:val="20"/>
          <w:szCs w:val="20"/>
          <w:color w:val="auto"/>
        </w:rPr>
      </w:pPr>
    </w:p>
    <w:p>
      <w:pPr>
        <w:ind w:right="4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2" w:lineRule="exact"/>
        <w:rPr>
          <w:sz w:val="20"/>
          <w:szCs w:val="20"/>
          <w:color w:val="auto"/>
        </w:rPr>
      </w:pPr>
    </w:p>
    <w:p>
      <w:pPr>
        <w:ind w:right="140" w:firstLine="648"/>
        <w:spacing w:after="0" w:line="258" w:lineRule="auto"/>
        <w:rPr>
          <w:sz w:val="20"/>
          <w:szCs w:val="20"/>
          <w:color w:val="auto"/>
        </w:rPr>
      </w:pPr>
      <w:r>
        <w:rPr>
          <w:rFonts w:ascii="Arial" w:cs="Arial" w:eastAsia="Arial" w:hAnsi="Arial"/>
          <w:sz w:val="17"/>
          <w:szCs w:val="17"/>
          <w:color w:val="auto"/>
        </w:rPr>
        <w:t>As of December 31, 2016 and 2015, respectively, we had cash, cash equivalents and investments of $268.2 million and $162.7 million, consisting primarily of money market funds and investments in U.S. treasury obligations.</w:t>
      </w:r>
    </w:p>
    <w:p>
      <w:pPr>
        <w:spacing w:after="0" w:line="106" w:lineRule="exact"/>
        <w:rPr>
          <w:sz w:val="20"/>
          <w:szCs w:val="20"/>
          <w:color w:val="auto"/>
        </w:rPr>
      </w:pPr>
    </w:p>
    <w:p>
      <w:pPr>
        <w:ind w:right="160" w:firstLine="648"/>
        <w:spacing w:after="0" w:line="241"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0"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December 31, 2016 and December 31, 2015, we had minimal or no liabilities denominated in foreign currencies.</w:t>
      </w:r>
    </w:p>
    <w:p>
      <w:pPr>
        <w:spacing w:after="0" w:line="135"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2016 and 2015.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8"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Item 15 of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89"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8"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Our management, with the participation of our Chief Executive Officer and Vice President of Finance (our principal executive officer and principal financial officer, respectively), evaluated the effectiveness of our disclosure controls and procedures as of December 31, 2016. Based upon such evaluation, our Chief Executive Officer and Vice President of Finance have concluded that, as of December 31, 2016,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ind w:right="140" w:firstLine="648"/>
        <w:spacing w:after="0" w:line="24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1" w:lineRule="exact"/>
        <w:rPr>
          <w:sz w:val="20"/>
          <w:szCs w:val="20"/>
          <w:color w:val="auto"/>
        </w:rPr>
      </w:pPr>
    </w:p>
    <w:p>
      <w:pPr>
        <w:ind w:left="740" w:right="400" w:hanging="89"/>
        <w:spacing w:after="0" w:line="235" w:lineRule="auto"/>
        <w:tabs>
          <w:tab w:leader="none" w:pos="74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161" w:lineRule="exact"/>
        <w:rPr>
          <w:rFonts w:ascii="Arial" w:cs="Arial" w:eastAsia="Arial" w:hAnsi="Arial"/>
          <w:sz w:val="18"/>
          <w:szCs w:val="18"/>
          <w:b w:val="1"/>
          <w:bCs w:val="1"/>
          <w:color w:val="auto"/>
        </w:rPr>
      </w:pPr>
    </w:p>
    <w:p>
      <w:pPr>
        <w:ind w:left="740" w:right="160" w:hanging="89"/>
        <w:spacing w:after="0" w:line="219" w:lineRule="auto"/>
        <w:tabs>
          <w:tab w:leader="none" w:pos="74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62" w:lineRule="exact"/>
        <w:rPr>
          <w:rFonts w:ascii="Arial" w:cs="Arial" w:eastAsia="Arial" w:hAnsi="Arial"/>
          <w:sz w:val="18"/>
          <w:szCs w:val="18"/>
          <w:b w:val="1"/>
          <w:bCs w:val="1"/>
          <w:color w:val="auto"/>
        </w:rPr>
      </w:pPr>
    </w:p>
    <w:p>
      <w:pPr>
        <w:ind w:left="740" w:right="720" w:hanging="89"/>
        <w:spacing w:after="0" w:line="258" w:lineRule="auto"/>
        <w:tabs>
          <w:tab w:leader="none" w:pos="740"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2016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2016.</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right="279" w:firstLine="648"/>
        <w:spacing w:after="0" w:line="224"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three months ended December 31, 2016 that has materially affected, or is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 with respect to our 2017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2017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00"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2017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2017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2017 Annual Meeting of Stockholders and is incorporated herein by reference.</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ind w:left="1220" w:hanging="569"/>
        <w:spacing w:after="0"/>
        <w:tabs>
          <w:tab w:leader="none" w:pos="1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documents are included on pages F-1 through F-27 attached hereto and are filed as part of this</w:t>
      </w:r>
    </w:p>
    <w:tbl>
      <w:tblPr>
        <w:tblLayout w:type="fixed"/>
        <w:tblInd w:w="0" w:type="dxa"/>
        <w:tblCellMar>
          <w:top w:w="0" w:type="dxa"/>
          <w:left w:w="0" w:type="dxa"/>
          <w:bottom w:w="0" w:type="dxa"/>
          <w:right w:w="0" w:type="dxa"/>
        </w:tblCellMar>
      </w:tblPr>
      <w:tr>
        <w:trPr>
          <w:trHeight w:val="230"/>
        </w:trPr>
        <w:tc>
          <w:tcPr>
            <w:tcW w:w="8560" w:type="dxa"/>
            <w:vAlign w:val="bottom"/>
            <w:gridSpan w:val="11"/>
          </w:tcPr>
          <w:p>
            <w:pPr>
              <w:spacing w:after="0"/>
              <w:rPr>
                <w:sz w:val="20"/>
                <w:szCs w:val="20"/>
                <w:color w:val="auto"/>
              </w:rPr>
            </w:pPr>
            <w:r>
              <w:rPr>
                <w:rFonts w:ascii="Arial" w:cs="Arial" w:eastAsia="Arial" w:hAnsi="Arial"/>
                <w:sz w:val="18"/>
                <w:szCs w:val="18"/>
                <w:color w:val="auto"/>
              </w:rPr>
              <w:t>Annual Report on Form 10-K.</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8560" w:type="dxa"/>
            <w:vAlign w:val="bottom"/>
            <w:gridSpan w:val="1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Report of Independent Registered Public Accounting Firm</w:t>
              </w:r>
            </w:hyperlink>
          </w:p>
        </w:tc>
        <w:tc>
          <w:tcPr>
            <w:tcW w:w="500" w:type="dxa"/>
            <w:vAlign w:val="bottom"/>
          </w:tcPr>
          <w:p>
            <w:pPr>
              <w:ind w:left="26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6"/>
          </w:tcPr>
          <w:p>
            <w:pPr>
              <w:spacing w:after="0" w:line="156"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Consolidated Balance Sheets as of December 31, 2016 and</w:t>
              </w:r>
            </w:hyperlink>
          </w:p>
        </w:tc>
        <w:tc>
          <w:tcPr>
            <w:tcW w:w="4340" w:type="dxa"/>
            <w:vAlign w:val="bottom"/>
            <w:gridSpan w:val="5"/>
          </w:tcPr>
          <w:p>
            <w:pPr>
              <w:ind w:left="80"/>
              <w:spacing w:after="0" w:line="156" w:lineRule="exact"/>
              <w:rPr>
                <w:rFonts w:ascii="Arial" w:cs="Arial" w:eastAsia="Arial" w:hAnsi="Arial"/>
                <w:sz w:val="18"/>
                <w:szCs w:val="18"/>
                <w:color w:val="0000EE"/>
              </w:rPr>
            </w:pPr>
            <w:hyperlink w:anchor="page112">
              <w:r>
                <w:rPr>
                  <w:rFonts w:ascii="Arial" w:cs="Arial" w:eastAsia="Arial" w:hAnsi="Arial"/>
                  <w:sz w:val="18"/>
                  <w:szCs w:val="18"/>
                  <w:color w:val="0000EE"/>
                </w:rPr>
                <w:t>December 31, 2015</w:t>
              </w:r>
            </w:hyperlink>
          </w:p>
        </w:tc>
        <w:tc>
          <w:tcPr>
            <w:tcW w:w="500" w:type="dxa"/>
            <w:vAlign w:val="bottom"/>
          </w:tcPr>
          <w:p>
            <w:pPr>
              <w:ind w:left="260"/>
              <w:spacing w:after="0" w:line="156"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156"/>
        </w:trPr>
        <w:tc>
          <w:tcPr>
            <w:tcW w:w="5700" w:type="dxa"/>
            <w:vAlign w:val="bottom"/>
            <w:tcBorders>
              <w:top w:val="single" w:sz="8" w:color="0000EE"/>
            </w:tcBorders>
            <w:gridSpan w:val="7"/>
          </w:tcPr>
          <w:p>
            <w:pPr>
              <w:spacing w:after="0" w:line="15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Consolidated Statements of Operations and Comprehensive Loss for the years</w:t>
              </w:r>
            </w:hyperlink>
          </w:p>
        </w:tc>
        <w:tc>
          <w:tcPr>
            <w:tcW w:w="2860" w:type="dxa"/>
            <w:vAlign w:val="bottom"/>
            <w:gridSpan w:val="4"/>
          </w:tcPr>
          <w:p>
            <w:pPr>
              <w:spacing w:after="0" w:line="15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ended December 31, 2016, 2015 and</w:t>
              </w:r>
            </w:hyperlink>
          </w:p>
        </w:tc>
        <w:tc>
          <w:tcPr>
            <w:tcW w:w="500" w:type="dxa"/>
            <w:vAlign w:val="bottom"/>
          </w:tcPr>
          <w:p>
            <w:pPr>
              <w:ind w:left="260"/>
              <w:spacing w:after="0" w:line="15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EE"/>
            </w:tcBorders>
          </w:tcPr>
          <w:p>
            <w:pPr>
              <w:spacing w:after="0"/>
              <w:rPr>
                <w:sz w:val="13"/>
                <w:szCs w:val="13"/>
                <w:color w:val="auto"/>
              </w:rPr>
            </w:pPr>
          </w:p>
        </w:tc>
        <w:tc>
          <w:tcPr>
            <w:tcW w:w="3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4"/>
              </w:rPr>
            </w:pPr>
            <w:hyperlink w:anchor="page113">
              <w:r>
                <w:rPr>
                  <w:rFonts w:ascii="Arial" w:cs="Arial" w:eastAsia="Arial" w:hAnsi="Arial"/>
                  <w:sz w:val="18"/>
                  <w:szCs w:val="18"/>
                  <w:color w:val="0000EE"/>
                  <w:w w:val="84"/>
                </w:rPr>
                <w:t>2014</w:t>
              </w:r>
            </w:hyperlink>
          </w:p>
        </w:tc>
        <w:tc>
          <w:tcPr>
            <w:tcW w:w="360" w:type="dxa"/>
            <w:vAlign w:val="bottom"/>
            <w:tcBorders>
              <w:top w:val="single" w:sz="8" w:color="0000EE"/>
            </w:tcBorders>
          </w:tcPr>
          <w:p>
            <w:pPr>
              <w:spacing w:after="0"/>
              <w:rPr>
                <w:sz w:val="13"/>
                <w:szCs w:val="13"/>
                <w:color w:val="auto"/>
              </w:rPr>
            </w:pPr>
          </w:p>
        </w:tc>
        <w:tc>
          <w:tcPr>
            <w:tcW w:w="18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060" w:type="dxa"/>
            <w:vAlign w:val="bottom"/>
            <w:tcBorders>
              <w:top w:val="single" w:sz="8" w:color="0000EE"/>
            </w:tcBorders>
          </w:tcPr>
          <w:p>
            <w:pPr>
              <w:spacing w:after="0"/>
              <w:rPr>
                <w:sz w:val="13"/>
                <w:szCs w:val="13"/>
                <w:color w:val="auto"/>
              </w:rPr>
            </w:pPr>
          </w:p>
        </w:tc>
        <w:tc>
          <w:tcPr>
            <w:tcW w:w="1480" w:type="dxa"/>
            <w:vAlign w:val="bottom"/>
            <w:tcBorders>
              <w:top w:val="single" w:sz="8" w:color="0000EE"/>
            </w:tcBorders>
          </w:tcPr>
          <w:p>
            <w:pPr>
              <w:spacing w:after="0"/>
              <w:rPr>
                <w:sz w:val="13"/>
                <w:szCs w:val="13"/>
                <w:color w:val="auto"/>
              </w:rPr>
            </w:pPr>
          </w:p>
        </w:tc>
        <w:tc>
          <w:tcPr>
            <w:tcW w:w="1220" w:type="dxa"/>
            <w:vAlign w:val="bottom"/>
            <w:tcBorders>
              <w:top w:val="single" w:sz="8" w:color="0000EE"/>
            </w:tcBorders>
          </w:tcPr>
          <w:p>
            <w:pPr>
              <w:spacing w:after="0"/>
              <w:rPr>
                <w:sz w:val="13"/>
                <w:szCs w:val="13"/>
                <w:color w:val="auto"/>
              </w:rPr>
            </w:pPr>
          </w:p>
        </w:tc>
        <w:tc>
          <w:tcPr>
            <w:tcW w:w="10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vMerge w:val="restart"/>
          </w:tcPr>
          <w:p>
            <w:pPr>
              <w:ind w:left="260"/>
              <w:spacing w:after="0"/>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56"/>
        </w:trPr>
        <w:tc>
          <w:tcPr>
            <w:tcW w:w="8560" w:type="dxa"/>
            <w:vAlign w:val="bottom"/>
            <w:gridSpan w:val="11"/>
          </w:tcPr>
          <w:p>
            <w:pPr>
              <w:spacing w:after="0" w:line="156" w:lineRule="exact"/>
              <w:rPr>
                <w:rFonts w:ascii="Arial" w:cs="Arial" w:eastAsia="Arial" w:hAnsi="Arial"/>
                <w:sz w:val="18"/>
                <w:szCs w:val="18"/>
                <w:color w:val="0000EE"/>
                <w:w w:val="97"/>
              </w:rPr>
            </w:pPr>
            <w:hyperlink w:anchor="page114">
              <w:r>
                <w:rPr>
                  <w:rFonts w:ascii="Arial" w:cs="Arial" w:eastAsia="Arial" w:hAnsi="Arial"/>
                  <w:sz w:val="18"/>
                  <w:szCs w:val="18"/>
                  <w:color w:val="0000EE"/>
                  <w:w w:val="97"/>
                </w:rPr>
                <w:t>Consolidated Statements of Convertible Preferred Stock and Stockholders’ (Deficit) Equity for the years ended</w:t>
              </w:r>
            </w:hyperlink>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Borders>
              <w:top w:val="single" w:sz="8" w:color="0000EE"/>
            </w:tcBorders>
          </w:tcPr>
          <w:p>
            <w:pPr>
              <w:spacing w:after="0"/>
              <w:rPr>
                <w:sz w:val="13"/>
                <w:szCs w:val="13"/>
                <w:color w:val="auto"/>
              </w:rPr>
            </w:pPr>
          </w:p>
        </w:tc>
        <w:tc>
          <w:tcPr>
            <w:tcW w:w="768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114">
              <w:r>
                <w:rPr>
                  <w:rFonts w:ascii="Arial" w:cs="Arial" w:eastAsia="Arial" w:hAnsi="Arial"/>
                  <w:sz w:val="18"/>
                  <w:szCs w:val="18"/>
                  <w:color w:val="0000EE"/>
                </w:rPr>
                <w:t>December 31, 2016, 2015 and 2014</w:t>
              </w:r>
            </w:hyperlink>
          </w:p>
        </w:tc>
        <w:tc>
          <w:tcPr>
            <w:tcW w:w="56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5660" w:type="dxa"/>
            <w:vAlign w:val="bottom"/>
            <w:gridSpan w:val="7"/>
            <w:vMerge w:val="restart"/>
          </w:tcPr>
          <w:p>
            <w:pPr>
              <w:ind w:left="20"/>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for the years ended December 31, 2016, 2015 and 2014</w:t>
              </w:r>
            </w:hyperlink>
          </w:p>
        </w:tc>
        <w:tc>
          <w:tcPr>
            <w:tcW w:w="500" w:type="dxa"/>
            <w:vAlign w:val="bottom"/>
            <w:vMerge w:val="restart"/>
          </w:tcPr>
          <w:p>
            <w:pPr>
              <w:ind w:left="260"/>
              <w:spacing w:after="0" w:line="176" w:lineRule="exact"/>
              <w:rPr>
                <w:sz w:val="20"/>
                <w:szCs w:val="20"/>
                <w:color w:val="auto"/>
              </w:rPr>
            </w:pPr>
            <w:r>
              <w:rPr>
                <w:rFonts w:ascii="Arial" w:cs="Arial" w:eastAsia="Arial" w:hAnsi="Arial"/>
                <w:sz w:val="18"/>
                <w:szCs w:val="18"/>
                <w:color w:val="auto"/>
                <w:w w:val="81"/>
              </w:rPr>
              <w:t>F-6</w:t>
            </w:r>
          </w:p>
        </w:tc>
        <w:tc>
          <w:tcPr>
            <w:tcW w:w="0" w:type="dxa"/>
            <w:vAlign w:val="bottom"/>
          </w:tcPr>
          <w:p>
            <w:pPr>
              <w:spacing w:after="0" w:line="20" w:lineRule="exact"/>
              <w:rPr>
                <w:sz w:val="1"/>
                <w:szCs w:val="1"/>
                <w:color w:val="auto"/>
              </w:rPr>
            </w:pPr>
          </w:p>
        </w:tc>
      </w:tr>
      <w:tr>
        <w:trPr>
          <w:trHeight w:val="156"/>
        </w:trPr>
        <w:tc>
          <w:tcPr>
            <w:tcW w:w="2900" w:type="dxa"/>
            <w:vAlign w:val="bottom"/>
            <w:gridSpan w:val="4"/>
          </w:tcPr>
          <w:p>
            <w:pPr>
              <w:spacing w:after="0" w:line="156" w:lineRule="exact"/>
              <w:rPr>
                <w:rFonts w:ascii="Arial" w:cs="Arial" w:eastAsia="Arial" w:hAnsi="Arial"/>
                <w:sz w:val="18"/>
                <w:szCs w:val="18"/>
                <w:color w:val="0000EE"/>
                <w:w w:val="89"/>
              </w:rPr>
            </w:pPr>
            <w:hyperlink w:anchor="page115">
              <w:r>
                <w:rPr>
                  <w:rFonts w:ascii="Arial" w:cs="Arial" w:eastAsia="Arial" w:hAnsi="Arial"/>
                  <w:sz w:val="18"/>
                  <w:szCs w:val="18"/>
                  <w:color w:val="0000EE"/>
                  <w:w w:val="89"/>
                </w:rPr>
                <w:t>Consolidated Statements of Cash Flows</w:t>
              </w:r>
            </w:hyperlink>
          </w:p>
        </w:tc>
        <w:tc>
          <w:tcPr>
            <w:tcW w:w="5660" w:type="dxa"/>
            <w:vAlign w:val="bottom"/>
            <w:gridSpan w:val="7"/>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Notes to Consolidated Financial Statements</w:t>
              </w:r>
            </w:hyperlink>
          </w:p>
        </w:tc>
        <w:tc>
          <w:tcPr>
            <w:tcW w:w="3760" w:type="dxa"/>
            <w:vAlign w:val="bottom"/>
            <w:tcBorders>
              <w:top w:val="single" w:sz="8" w:color="0000EE"/>
            </w:tcBorders>
            <w:gridSpan w:val="3"/>
          </w:tcPr>
          <w:p>
            <w:pPr>
              <w:spacing w:after="0"/>
              <w:rPr>
                <w:sz w:val="13"/>
                <w:szCs w:val="13"/>
                <w:color w:val="auto"/>
              </w:rPr>
            </w:pPr>
          </w:p>
        </w:tc>
        <w:tc>
          <w:tcPr>
            <w:tcW w:w="1640" w:type="dxa"/>
            <w:vAlign w:val="bottom"/>
            <w:gridSpan w:val="3"/>
          </w:tcPr>
          <w:p>
            <w:pPr>
              <w:spacing w:after="0"/>
              <w:rPr>
                <w:sz w:val="13"/>
                <w:szCs w:val="13"/>
                <w:color w:val="auto"/>
              </w:rPr>
            </w:pPr>
          </w:p>
        </w:tc>
        <w:tc>
          <w:tcPr>
            <w:tcW w:w="500" w:type="dxa"/>
            <w:vAlign w:val="bottom"/>
          </w:tcPr>
          <w:p>
            <w:pPr>
              <w:ind w:left="260"/>
              <w:spacing w:after="0" w:line="15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372"/>
        </w:trPr>
        <w:tc>
          <w:tcPr>
            <w:tcW w:w="1040" w:type="dxa"/>
            <w:vAlign w:val="bottom"/>
            <w:gridSpan w:val="3"/>
          </w:tcPr>
          <w:p>
            <w:pPr>
              <w:ind w:left="660"/>
              <w:spacing w:after="0"/>
              <w:rPr>
                <w:sz w:val="20"/>
                <w:szCs w:val="20"/>
                <w:color w:val="auto"/>
              </w:rPr>
            </w:pPr>
            <w:r>
              <w:rPr>
                <w:rFonts w:ascii="Arial" w:cs="Arial" w:eastAsia="Arial" w:hAnsi="Arial"/>
                <w:sz w:val="18"/>
                <w:szCs w:val="18"/>
                <w:color w:val="auto"/>
              </w:rPr>
              <w:t>(2)</w:t>
            </w:r>
          </w:p>
        </w:tc>
        <w:tc>
          <w:tcPr>
            <w:tcW w:w="7520" w:type="dxa"/>
            <w:vAlign w:val="bottom"/>
            <w:gridSpan w:val="8"/>
          </w:tcPr>
          <w:p>
            <w:pPr>
              <w:ind w:left="180"/>
              <w:spacing w:after="0"/>
              <w:rPr>
                <w:sz w:val="20"/>
                <w:szCs w:val="20"/>
                <w:color w:val="auto"/>
              </w:rPr>
            </w:pPr>
            <w:r>
              <w:rPr>
                <w:rFonts w:ascii="Arial" w:cs="Arial" w:eastAsia="Arial" w:hAnsi="Arial"/>
                <w:sz w:val="18"/>
                <w:szCs w:val="18"/>
                <w:color w:val="auto"/>
              </w:rPr>
              <w:t>Financial Statement Schedules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121" w:lineRule="exact"/>
        <w:rPr>
          <w:sz w:val="20"/>
          <w:szCs w:val="20"/>
          <w:color w:val="auto"/>
        </w:rPr>
      </w:pPr>
    </w:p>
    <w:p>
      <w:pPr>
        <w:ind w:left="1220" w:hanging="569"/>
        <w:spacing w:after="0"/>
        <w:tabs>
          <w:tab w:leader="none" w:pos="12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Exhibits</w:t>
      </w:r>
    </w:p>
    <w:p>
      <w:pPr>
        <w:spacing w:after="0" w:line="144" w:lineRule="exact"/>
        <w:rPr>
          <w:sz w:val="20"/>
          <w:szCs w:val="20"/>
          <w:color w:val="auto"/>
        </w:rPr>
      </w:pPr>
    </w:p>
    <w:p>
      <w:pPr>
        <w:ind w:right="840" w:firstLine="648"/>
        <w:spacing w:after="0" w:line="258" w:lineRule="auto"/>
        <w:rPr>
          <w:sz w:val="20"/>
          <w:szCs w:val="20"/>
          <w:color w:val="auto"/>
        </w:rPr>
      </w:pPr>
      <w:r>
        <w:rPr>
          <w:rFonts w:ascii="Arial" w:cs="Arial" w:eastAsia="Arial" w:hAnsi="Arial"/>
          <w:sz w:val="17"/>
          <w:szCs w:val="17"/>
          <w:color w:val="auto"/>
        </w:rPr>
        <w:t>The exhibits filed or furnished as part of this Annual Report on Form 10-K are listed in the Exhibit Index immediately preceding such Exhibits, which Exhibit Index is incorporated herein by reference.</w:t>
      </w:r>
    </w:p>
    <w:p>
      <w:pPr>
        <w:spacing w:after="0" w:line="210" w:lineRule="exact"/>
        <w:rPr>
          <w:sz w:val="20"/>
          <w:szCs w:val="20"/>
          <w:color w:val="auto"/>
        </w:rPr>
      </w:pPr>
    </w:p>
    <w:p>
      <w:pPr>
        <w:jc w:val="center"/>
        <w:ind w:right="6680"/>
        <w:spacing w:after="0"/>
        <w:rPr>
          <w:sz w:val="20"/>
          <w:szCs w:val="20"/>
          <w:color w:val="auto"/>
        </w:rPr>
      </w:pPr>
      <w:r>
        <w:rPr>
          <w:rFonts w:ascii="Arial" w:cs="Arial" w:eastAsia="Arial" w:hAnsi="Arial"/>
          <w:sz w:val="16"/>
          <w:szCs w:val="16"/>
          <w:b w:val="1"/>
          <w:bCs w:val="1"/>
          <w:color w:val="auto"/>
        </w:rPr>
        <w:t>Item 16. Form 10-K Summary.</w:t>
      </w:r>
    </w:p>
    <w:p>
      <w:pPr>
        <w:spacing w:after="0" w:line="104" w:lineRule="exact"/>
        <w:rPr>
          <w:sz w:val="20"/>
          <w:szCs w:val="20"/>
          <w:color w:val="auto"/>
        </w:rPr>
      </w:pPr>
    </w:p>
    <w:p>
      <w:pPr>
        <w:jc w:val="center"/>
        <w:ind w:right="6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860" w:val="left"/>
          <w:tab w:leader="none" w:pos="538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3432175</wp:posOffset>
            </wp:positionH>
            <wp:positionV relativeFrom="paragraph">
              <wp:posOffset>6350</wp:posOffset>
            </wp:positionV>
            <wp:extent cx="23241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4"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Jeffrey W. Albers</w:t>
      </w:r>
    </w:p>
    <w:p>
      <w:pPr>
        <w:ind w:left="5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44" w:lineRule="exact"/>
        <w:rPr>
          <w:sz w:val="20"/>
          <w:szCs w:val="20"/>
          <w:color w:val="auto"/>
        </w:rPr>
      </w:pPr>
    </w:p>
    <w:p>
      <w:pPr>
        <w:ind w:right="4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24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4"/>
                <w:szCs w:val="14"/>
                <w:color w:val="auto"/>
              </w:rPr>
            </w:pPr>
          </w:p>
        </w:tc>
        <w:tc>
          <w:tcPr>
            <w:tcW w:w="35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18"/>
        </w:trPr>
        <w:tc>
          <w:tcPr>
            <w:tcW w:w="3240" w:type="dxa"/>
            <w:vAlign w:val="bottom"/>
          </w:tcPr>
          <w:p>
            <w:pPr>
              <w:spacing w:after="0"/>
              <w:rPr>
                <w:sz w:val="20"/>
                <w:szCs w:val="20"/>
                <w:color w:val="auto"/>
              </w:rPr>
            </w:pPr>
            <w:r>
              <w:rPr>
                <w:rFonts w:ascii="Arial" w:cs="Arial" w:eastAsia="Arial" w:hAnsi="Arial"/>
                <w:sz w:val="18"/>
                <w:szCs w:val="18"/>
                <w:color w:val="auto"/>
              </w:rPr>
              <w:t>/s/ Jeffrey W. Albers</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5"/>
              </w:rPr>
              <w:t>President, Chief Executive Officer and 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i w:val="1"/>
                <w:iCs w:val="1"/>
                <w:color w:val="auto"/>
              </w:rPr>
              <w:t>(Principal Executive Officer)</w:t>
            </w: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Jeffrey W. Albers</w:t>
            </w:r>
          </w:p>
        </w:tc>
        <w:tc>
          <w:tcPr>
            <w:tcW w:w="3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3240" w:type="dxa"/>
            <w:vAlign w:val="bottom"/>
          </w:tcPr>
          <w:p>
            <w:pPr>
              <w:spacing w:after="0"/>
              <w:rPr>
                <w:sz w:val="20"/>
                <w:szCs w:val="20"/>
                <w:color w:val="auto"/>
              </w:rPr>
            </w:pPr>
            <w:r>
              <w:rPr>
                <w:rFonts w:ascii="Arial" w:cs="Arial" w:eastAsia="Arial" w:hAnsi="Arial"/>
                <w:sz w:val="18"/>
                <w:szCs w:val="18"/>
                <w:color w:val="auto"/>
              </w:rPr>
              <w:t>/s/ Michael Landsittel</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Vice President of Finance</w:t>
            </w:r>
          </w:p>
        </w:tc>
        <w:tc>
          <w:tcPr>
            <w:tcW w:w="16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3740" w:type="dxa"/>
            <w:vAlign w:val="bottom"/>
            <w:gridSpan w:val="2"/>
            <w:vMerge w:val="restart"/>
          </w:tcPr>
          <w:p>
            <w:pPr>
              <w:ind w:left="160"/>
              <w:spacing w:after="0"/>
              <w:rPr>
                <w:sz w:val="20"/>
                <w:szCs w:val="20"/>
                <w:color w:val="auto"/>
              </w:rPr>
            </w:pPr>
            <w:r>
              <w:rPr>
                <w:rFonts w:ascii="Arial" w:cs="Arial" w:eastAsia="Arial" w:hAnsi="Arial"/>
                <w:sz w:val="18"/>
                <w:szCs w:val="18"/>
                <w:i w:val="1"/>
                <w:iCs w:val="1"/>
                <w:color w:val="auto"/>
              </w:rPr>
              <w:t>(Principal Financial and Accounting Officer)</w:t>
            </w: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Michael Landsittel</w:t>
            </w:r>
          </w:p>
        </w:tc>
        <w:tc>
          <w:tcPr>
            <w:tcW w:w="3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Chairman of the Board</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Daniel S. Lynch</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Nicholas Lydon, Ph.D.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Alexis Borisy</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Mark Goldberg,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Charles A. Rowland, Jr.</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George Demetri,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Lonnel Coats</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March 9, 2017</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8"/>
                <w:szCs w:val="18"/>
                <w:color w:val="auto"/>
              </w:rPr>
              <w:t>Lynn Seely, M.D.</w:t>
            </w:r>
          </w:p>
        </w:tc>
        <w:tc>
          <w:tcPr>
            <w:tcW w:w="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8560" w:type="dxa"/>
            <w:vAlign w:val="bottom"/>
            <w:gridSpan w:val="10"/>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60" w:type="dxa"/>
            <w:vAlign w:val="bottom"/>
            <w:tcBorders>
              <w:top w:val="single" w:sz="8" w:color="0563C1"/>
            </w:tcBorders>
          </w:tcPr>
          <w:p>
            <w:pPr>
              <w:spacing w:after="0"/>
              <w:rPr>
                <w:sz w:val="24"/>
                <w:szCs w:val="24"/>
                <w:color w:val="auto"/>
              </w:rPr>
            </w:pPr>
          </w:p>
        </w:tc>
        <w:tc>
          <w:tcPr>
            <w:tcW w:w="920" w:type="dxa"/>
            <w:vAlign w:val="bottom"/>
            <w:tcBorders>
              <w:top w:val="single" w:sz="8" w:color="0563C1"/>
            </w:tcBorders>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w w:val="92"/>
              </w:rPr>
              <w:t>Blueprint Medicines Corporation</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80" w:type="dxa"/>
            <w:vAlign w:val="bottom"/>
            <w:gridSpan w:val="7"/>
          </w:tcPr>
          <w:p>
            <w:pPr>
              <w:jc w:val="center"/>
              <w:ind w:right="208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60" w:type="dxa"/>
            <w:vAlign w:val="bottom"/>
            <w:gridSpan w:val="1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Report of Independent Registered Public Accounting Firm</w:t>
              </w:r>
            </w:hyperlink>
          </w:p>
        </w:tc>
        <w:tc>
          <w:tcPr>
            <w:tcW w:w="500" w:type="dxa"/>
            <w:vAlign w:val="bottom"/>
          </w:tcPr>
          <w:p>
            <w:pPr>
              <w:ind w:left="26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156"/>
        </w:trPr>
        <w:tc>
          <w:tcPr>
            <w:tcW w:w="4220" w:type="dxa"/>
            <w:vAlign w:val="bottom"/>
            <w:tcBorders>
              <w:top w:val="single" w:sz="8" w:color="0000EE"/>
            </w:tcBorders>
            <w:gridSpan w:val="5"/>
          </w:tcPr>
          <w:p>
            <w:pPr>
              <w:spacing w:after="0" w:line="156"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Consolidated Balance Sheets as of December 31, 2016 and</w:t>
              </w:r>
            </w:hyperlink>
          </w:p>
        </w:tc>
        <w:tc>
          <w:tcPr>
            <w:tcW w:w="4340" w:type="dxa"/>
            <w:vAlign w:val="bottom"/>
            <w:gridSpan w:val="5"/>
          </w:tcPr>
          <w:p>
            <w:pPr>
              <w:ind w:left="80"/>
              <w:spacing w:after="0" w:line="156" w:lineRule="exact"/>
              <w:rPr>
                <w:rFonts w:ascii="Arial" w:cs="Arial" w:eastAsia="Arial" w:hAnsi="Arial"/>
                <w:sz w:val="18"/>
                <w:szCs w:val="18"/>
                <w:color w:val="0000EE"/>
              </w:rPr>
            </w:pPr>
            <w:hyperlink w:anchor="page112">
              <w:r>
                <w:rPr>
                  <w:rFonts w:ascii="Arial" w:cs="Arial" w:eastAsia="Arial" w:hAnsi="Arial"/>
                  <w:sz w:val="18"/>
                  <w:szCs w:val="18"/>
                  <w:color w:val="0000EE"/>
                </w:rPr>
                <w:t>December 31, 2015</w:t>
              </w:r>
            </w:hyperlink>
          </w:p>
        </w:tc>
        <w:tc>
          <w:tcPr>
            <w:tcW w:w="500" w:type="dxa"/>
            <w:vAlign w:val="bottom"/>
          </w:tcPr>
          <w:p>
            <w:pPr>
              <w:ind w:left="260"/>
              <w:spacing w:after="0" w:line="156"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156"/>
        </w:trPr>
        <w:tc>
          <w:tcPr>
            <w:tcW w:w="5700" w:type="dxa"/>
            <w:vAlign w:val="bottom"/>
            <w:tcBorders>
              <w:top w:val="single" w:sz="8" w:color="0000EE"/>
            </w:tcBorders>
            <w:gridSpan w:val="6"/>
          </w:tcPr>
          <w:p>
            <w:pPr>
              <w:spacing w:after="0" w:line="15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Consolidated Statements of Operations and Comprehensive Loss for the years</w:t>
              </w:r>
            </w:hyperlink>
          </w:p>
        </w:tc>
        <w:tc>
          <w:tcPr>
            <w:tcW w:w="2860" w:type="dxa"/>
            <w:vAlign w:val="bottom"/>
            <w:gridSpan w:val="4"/>
          </w:tcPr>
          <w:p>
            <w:pPr>
              <w:spacing w:after="0" w:line="156" w:lineRule="exact"/>
              <w:rPr>
                <w:rFonts w:ascii="Arial" w:cs="Arial" w:eastAsia="Arial" w:hAnsi="Arial"/>
                <w:sz w:val="18"/>
                <w:szCs w:val="18"/>
                <w:color w:val="0000EE"/>
                <w:w w:val="95"/>
              </w:rPr>
            </w:pPr>
            <w:hyperlink w:anchor="page113">
              <w:r>
                <w:rPr>
                  <w:rFonts w:ascii="Arial" w:cs="Arial" w:eastAsia="Arial" w:hAnsi="Arial"/>
                  <w:sz w:val="18"/>
                  <w:szCs w:val="18"/>
                  <w:color w:val="0000EE"/>
                  <w:w w:val="95"/>
                </w:rPr>
                <w:t>ended December 31, 2016, 2015 and</w:t>
              </w:r>
            </w:hyperlink>
          </w:p>
        </w:tc>
        <w:tc>
          <w:tcPr>
            <w:tcW w:w="500" w:type="dxa"/>
            <w:vAlign w:val="bottom"/>
          </w:tcPr>
          <w:p>
            <w:pPr>
              <w:ind w:left="260"/>
              <w:spacing w:after="0" w:line="15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156"/>
        </w:trPr>
        <w:tc>
          <w:tcPr>
            <w:tcW w:w="3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4"/>
              </w:rPr>
            </w:pPr>
            <w:hyperlink w:anchor="page113">
              <w:r>
                <w:rPr>
                  <w:rFonts w:ascii="Arial" w:cs="Arial" w:eastAsia="Arial" w:hAnsi="Arial"/>
                  <w:sz w:val="18"/>
                  <w:szCs w:val="18"/>
                  <w:color w:val="0000EE"/>
                  <w:w w:val="84"/>
                </w:rPr>
                <w:t>2014</w:t>
              </w:r>
            </w:hyperlink>
          </w:p>
        </w:tc>
        <w:tc>
          <w:tcPr>
            <w:tcW w:w="920" w:type="dxa"/>
            <w:vAlign w:val="bottom"/>
            <w:tcBorders>
              <w:top w:val="single" w:sz="8" w:color="0000EE"/>
            </w:tcBorders>
          </w:tcPr>
          <w:p>
            <w:pPr>
              <w:spacing w:after="0"/>
              <w:rPr>
                <w:sz w:val="13"/>
                <w:szCs w:val="13"/>
                <w:color w:val="auto"/>
              </w:rPr>
            </w:pPr>
          </w:p>
        </w:tc>
        <w:tc>
          <w:tcPr>
            <w:tcW w:w="130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1060" w:type="dxa"/>
            <w:vAlign w:val="bottom"/>
            <w:tcBorders>
              <w:top w:val="single" w:sz="8" w:color="0000EE"/>
            </w:tcBorders>
          </w:tcPr>
          <w:p>
            <w:pPr>
              <w:spacing w:after="0"/>
              <w:rPr>
                <w:sz w:val="13"/>
                <w:szCs w:val="13"/>
                <w:color w:val="auto"/>
              </w:rPr>
            </w:pPr>
          </w:p>
        </w:tc>
        <w:tc>
          <w:tcPr>
            <w:tcW w:w="1480" w:type="dxa"/>
            <w:vAlign w:val="bottom"/>
            <w:tcBorders>
              <w:top w:val="single" w:sz="8" w:color="0000EE"/>
            </w:tcBorders>
          </w:tcPr>
          <w:p>
            <w:pPr>
              <w:spacing w:after="0"/>
              <w:rPr>
                <w:sz w:val="13"/>
                <w:szCs w:val="13"/>
                <w:color w:val="auto"/>
              </w:rPr>
            </w:pPr>
          </w:p>
        </w:tc>
        <w:tc>
          <w:tcPr>
            <w:tcW w:w="1220" w:type="dxa"/>
            <w:vAlign w:val="bottom"/>
            <w:tcBorders>
              <w:top w:val="single" w:sz="8" w:color="0000EE"/>
            </w:tcBorders>
          </w:tcPr>
          <w:p>
            <w:pPr>
              <w:spacing w:after="0"/>
              <w:rPr>
                <w:sz w:val="13"/>
                <w:szCs w:val="13"/>
                <w:color w:val="auto"/>
              </w:rPr>
            </w:pPr>
          </w:p>
        </w:tc>
        <w:tc>
          <w:tcPr>
            <w:tcW w:w="10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vMerge w:val="restart"/>
          </w:tcPr>
          <w:p>
            <w:pPr>
              <w:ind w:left="260"/>
              <w:spacing w:after="0"/>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56"/>
        </w:trPr>
        <w:tc>
          <w:tcPr>
            <w:tcW w:w="8560" w:type="dxa"/>
            <w:vAlign w:val="bottom"/>
            <w:gridSpan w:val="10"/>
          </w:tcPr>
          <w:p>
            <w:pPr>
              <w:spacing w:after="0" w:line="156" w:lineRule="exact"/>
              <w:rPr>
                <w:rFonts w:ascii="Arial" w:cs="Arial" w:eastAsia="Arial" w:hAnsi="Arial"/>
                <w:sz w:val="18"/>
                <w:szCs w:val="18"/>
                <w:color w:val="0000EE"/>
                <w:w w:val="97"/>
              </w:rPr>
            </w:pPr>
            <w:hyperlink w:anchor="page114">
              <w:r>
                <w:rPr>
                  <w:rFonts w:ascii="Arial" w:cs="Arial" w:eastAsia="Arial" w:hAnsi="Arial"/>
                  <w:sz w:val="18"/>
                  <w:szCs w:val="18"/>
                  <w:color w:val="0000EE"/>
                  <w:w w:val="97"/>
                </w:rPr>
                <w:t>Consolidated Statements of Convertible Preferred Stock and Stockholders’ Equity (Deficit) for the years ended</w:t>
              </w:r>
            </w:hyperlink>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8"/>
              </w:rPr>
            </w:pPr>
            <w:hyperlink w:anchor="page114">
              <w:r>
                <w:rPr>
                  <w:rFonts w:ascii="Arial" w:cs="Arial" w:eastAsia="Arial" w:hAnsi="Arial"/>
                  <w:sz w:val="18"/>
                  <w:szCs w:val="18"/>
                  <w:color w:val="0000EE"/>
                  <w:w w:val="88"/>
                </w:rPr>
                <w:t>December 31, 2016, 2015 and 2014</w:t>
              </w:r>
            </w:hyperlink>
          </w:p>
        </w:tc>
        <w:tc>
          <w:tcPr>
            <w:tcW w:w="5420" w:type="dxa"/>
            <w:vAlign w:val="bottom"/>
            <w:tcBorders>
              <w:top w:val="single" w:sz="8" w:color="0000EE"/>
            </w:tcBorders>
            <w:gridSpan w:val="5"/>
          </w:tcPr>
          <w:p>
            <w:pPr>
              <w:spacing w:after="0"/>
              <w:rPr>
                <w:sz w:val="13"/>
                <w:szCs w:val="13"/>
                <w:color w:val="auto"/>
              </w:rPr>
            </w:pPr>
          </w:p>
        </w:tc>
        <w:tc>
          <w:tcPr>
            <w:tcW w:w="560" w:type="dxa"/>
            <w:vAlign w:val="bottom"/>
            <w:gridSpan w:val="2"/>
          </w:tcPr>
          <w:p>
            <w:pPr>
              <w:spacing w:after="0"/>
              <w:rPr>
                <w:sz w:val="13"/>
                <w:szCs w:val="13"/>
                <w:color w:val="auto"/>
              </w:rPr>
            </w:pPr>
          </w:p>
        </w:tc>
        <w:tc>
          <w:tcPr>
            <w:tcW w:w="500" w:type="dxa"/>
            <w:vAlign w:val="bottom"/>
            <w:vMerge w:val="restart"/>
          </w:tcPr>
          <w:p>
            <w:pPr>
              <w:ind w:left="260"/>
              <w:spacing w:after="0"/>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156"/>
        </w:trPr>
        <w:tc>
          <w:tcPr>
            <w:tcW w:w="8560" w:type="dxa"/>
            <w:vAlign w:val="bottom"/>
            <w:gridSpan w:val="10"/>
          </w:tcPr>
          <w:p>
            <w:pPr>
              <w:spacing w:after="0" w:line="156" w:lineRule="exact"/>
              <w:rPr>
                <w:rFonts w:ascii="Arial" w:cs="Arial" w:eastAsia="Arial" w:hAnsi="Arial"/>
                <w:sz w:val="18"/>
                <w:szCs w:val="18"/>
                <w:color w:val="0000EE"/>
              </w:rPr>
            </w:pPr>
            <w:hyperlink w:anchor="page115">
              <w:r>
                <w:rPr>
                  <w:rFonts w:ascii="Arial" w:cs="Arial" w:eastAsia="Arial" w:hAnsi="Arial"/>
                  <w:sz w:val="18"/>
                  <w:szCs w:val="18"/>
                  <w:color w:val="0000EE"/>
                </w:rPr>
                <w:t>Consolidated Statements of Cash Flows for the years ended December 31, 2016, 2015 and 2014</w:t>
              </w:r>
            </w:hyperlink>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2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116">
              <w:r>
                <w:rPr>
                  <w:rFonts w:ascii="Arial" w:cs="Arial" w:eastAsia="Arial" w:hAnsi="Arial"/>
                  <w:sz w:val="18"/>
                  <w:szCs w:val="18"/>
                  <w:color w:val="0000EE"/>
                </w:rPr>
                <w:t>Notes to Consolidated Financial Statements</w:t>
              </w:r>
            </w:hyperlink>
          </w:p>
        </w:tc>
        <w:tc>
          <w:tcPr>
            <w:tcW w:w="1640" w:type="dxa"/>
            <w:vAlign w:val="bottom"/>
            <w:gridSpan w:val="3"/>
          </w:tcPr>
          <w:p>
            <w:pPr>
              <w:spacing w:after="0"/>
              <w:rPr>
                <w:sz w:val="13"/>
                <w:szCs w:val="13"/>
                <w:color w:val="auto"/>
              </w:rPr>
            </w:pPr>
          </w:p>
        </w:tc>
        <w:tc>
          <w:tcPr>
            <w:tcW w:w="500" w:type="dxa"/>
            <w:vAlign w:val="bottom"/>
          </w:tcPr>
          <w:p>
            <w:pPr>
              <w:ind w:left="260"/>
              <w:spacing w:after="0" w:line="15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601"/>
        </w:trPr>
        <w:tc>
          <w:tcPr>
            <w:tcW w:w="3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340" w:type="dxa"/>
            <w:vAlign w:val="bottom"/>
            <w:gridSpan w:val="5"/>
          </w:tcPr>
          <w:p>
            <w:pPr>
              <w:jc w:val="center"/>
              <w:ind w:right="3720"/>
              <w:spacing w:after="0"/>
              <w:rPr>
                <w:sz w:val="20"/>
                <w:szCs w:val="20"/>
                <w:color w:val="auto"/>
              </w:rPr>
            </w:pPr>
            <w:r>
              <w:rPr>
                <w:rFonts w:ascii="Arial" w:cs="Arial" w:eastAsia="Arial" w:hAnsi="Arial"/>
                <w:sz w:val="18"/>
                <w:szCs w:val="18"/>
                <w:color w:val="auto"/>
                <w:w w:val="96"/>
              </w:rPr>
              <w:t>F-1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95" w:right="141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rPr>
          <w:sz w:val="20"/>
          <w:szCs w:val="20"/>
          <w:color w:val="auto"/>
        </w:rPr>
      </w:pPr>
      <w:r>
        <w:rPr>
          <w:rFonts w:ascii="Arial" w:cs="Arial" w:eastAsia="Arial" w:hAnsi="Arial"/>
          <w:sz w:val="18"/>
          <w:szCs w:val="18"/>
          <w:color w:val="auto"/>
        </w:rPr>
        <w:t>Blueprint Medicines Corporation</w:t>
      </w:r>
    </w:p>
    <w:p>
      <w:pPr>
        <w:spacing w:after="0" w:line="169"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We have audited the accompanying consolidated balance sheets of Blueprint Medicines Corporation as of December 31, 2016 and 2015 and the related consolidated statements of operations and comprehensive loss, convertible preferred stock and stockholders’ equity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62"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Blueprint Medicines Corporation at December 31, 2016 and 2015, and the consolidated results of its operations and its cash flows for each of the three years in the period ended December 31, 2016, in conformity with U.S. generally accepted accounting principles.</w:t>
      </w:r>
    </w:p>
    <w:p>
      <w:pPr>
        <w:spacing w:after="0" w:line="1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Ernst &amp; Young LLP</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9, 2017</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7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7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4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52,069</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162,707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Investments, available-for-sale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162,090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Unbilled accounts receivable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3,577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3,414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2,689</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220,425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170,416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available-for-sale</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54,059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6,188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6,661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1,267</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7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282,795</w:t>
            </w: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178,898</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740" w:type="dxa"/>
            <w:vAlign w:val="bottom"/>
          </w:tcPr>
          <w:p>
            <w:pPr>
              <w:spacing w:after="0" w:line="122" w:lineRule="exact"/>
              <w:rPr>
                <w:sz w:val="20"/>
                <w:szCs w:val="20"/>
                <w:color w:val="auto"/>
              </w:rPr>
            </w:pPr>
            <w:r>
              <w:rPr>
                <w:rFonts w:ascii="Arial" w:cs="Arial" w:eastAsia="Arial" w:hAnsi="Arial"/>
                <w:sz w:val="14"/>
                <w:szCs w:val="14"/>
                <w:color w:val="auto"/>
              </w:rPr>
              <w:t>Liabilities and stockholders’ equity</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7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220"/>
              <w:spacing w:after="0" w:line="149" w:lineRule="exact"/>
              <w:rPr>
                <w:sz w:val="20"/>
                <w:szCs w:val="20"/>
                <w:color w:val="auto"/>
              </w:rPr>
            </w:pPr>
            <w:r>
              <w:rPr>
                <w:rFonts w:ascii="Arial" w:cs="Arial" w:eastAsia="Arial" w:hAnsi="Arial"/>
                <w:sz w:val="14"/>
                <w:szCs w:val="14"/>
                <w:color w:val="auto"/>
              </w:rPr>
              <w:t>Current portion of deferred revenue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11,426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5,898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lease incentive obligation</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Current portion of term loan payable</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3,266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28,512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18,640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Deferred rent, net of current portion</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932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 net of current portion</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35,809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Lease incentive obligation, net of current portion</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2,792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payable, net of current portion</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Other long term liabilities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7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Commitments (Note 11)</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line="135" w:lineRule="exact"/>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6740" w:type="dxa"/>
            <w:vAlign w:val="bottom"/>
          </w:tcPr>
          <w:p>
            <w:pPr>
              <w:spacing w:after="0" w:line="108" w:lineRule="exact"/>
              <w:rPr>
                <w:sz w:val="20"/>
                <w:szCs w:val="20"/>
                <w:color w:val="auto"/>
              </w:rPr>
            </w:pPr>
            <w:r>
              <w:rPr>
                <w:rFonts w:ascii="Arial" w:cs="Arial" w:eastAsia="Arial" w:hAnsi="Arial"/>
                <w:sz w:val="12"/>
                <w:szCs w:val="12"/>
                <w:color w:val="auto"/>
              </w:rPr>
              <w:t>Common stock, $0.001 par value; 120,000,000 shares authorized; 33,125,479 and 27,196,053 shares issued at</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40" w:type="dxa"/>
            <w:vAlign w:val="bottom"/>
          </w:tcPr>
          <w:p>
            <w:pPr>
              <w:spacing w:after="0" w:line="135" w:lineRule="exact"/>
              <w:rPr>
                <w:sz w:val="20"/>
                <w:szCs w:val="20"/>
                <w:color w:val="auto"/>
              </w:rPr>
            </w:pPr>
            <w:r>
              <w:rPr>
                <w:rFonts w:ascii="Arial" w:cs="Arial" w:eastAsia="Arial" w:hAnsi="Arial"/>
                <w:sz w:val="14"/>
                <w:szCs w:val="14"/>
                <w:color w:val="auto"/>
                <w:w w:val="95"/>
              </w:rPr>
              <w:t>December 31, 2016 and December 31, 2015, respectively, and 33,123,354 and 27,065,558 shares outstanding at</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20"/>
                <w:szCs w:val="20"/>
                <w:color w:val="auto"/>
              </w:rPr>
            </w:pPr>
            <w:r>
              <w:rPr>
                <w:rFonts w:ascii="Arial" w:cs="Arial" w:eastAsia="Arial" w:hAnsi="Arial"/>
                <w:sz w:val="14"/>
                <w:szCs w:val="14"/>
                <w:color w:val="auto"/>
              </w:rPr>
              <w:t>December 31, 2016 and December 31, 2015, respectively</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420,533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278,927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3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(207,470)</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213,078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143,979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282,795</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178,898</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spacing w:after="0" w:line="213" w:lineRule="auto"/>
        <w:rPr>
          <w:sz w:val="20"/>
          <w:szCs w:val="20"/>
          <w:color w:val="auto"/>
        </w:rPr>
      </w:pPr>
      <w:r>
        <w:rPr>
          <w:rFonts w:ascii="Arial" w:cs="Arial" w:eastAsia="Arial" w:hAnsi="Arial"/>
          <w:sz w:val="18"/>
          <w:szCs w:val="18"/>
          <w:b w:val="1"/>
          <w:bCs w:val="1"/>
          <w:color w:val="auto"/>
        </w:rPr>
        <w:t>Blueprint Medicines Corporation Consolidated Statements of Operations and Comprehensive Loss (in thousands, except per share data)</w:t>
      </w:r>
    </w:p>
    <w:tbl>
      <w:tblPr>
        <w:tblLayout w:type="fixed"/>
        <w:tblInd w:w="0" w:type="dxa"/>
        <w:tblCellMar>
          <w:top w:w="0" w:type="dxa"/>
          <w:left w:w="0" w:type="dxa"/>
          <w:bottom w:w="0" w:type="dxa"/>
          <w:right w:w="0" w:type="dxa"/>
        </w:tblCellMar>
      </w:tblPr>
      <w:tr>
        <w:trPr>
          <w:trHeight w:val="129"/>
        </w:trPr>
        <w:tc>
          <w:tcPr>
            <w:tcW w:w="6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1"/>
                <w:szCs w:val="11"/>
                <w:color w:val="auto"/>
              </w:rPr>
            </w:pPr>
          </w:p>
        </w:tc>
        <w:tc>
          <w:tcPr>
            <w:tcW w:w="92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27,772</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0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100,349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(72,495)</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(52,769)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(40,285)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Unrealized loss on investments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(72,513)</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(52,769)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(40,285)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606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Reconciliation of net loss applicable to common stockholders:</w:t>
            </w: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(52,769)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(40,285)</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Convertible preferred stock dividends</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(72,495)</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(55,922)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(46,050)</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line="203" w:lineRule="exact"/>
              <w:rPr>
                <w:sz w:val="20"/>
                <w:szCs w:val="20"/>
                <w:color w:val="auto"/>
              </w:rPr>
            </w:pPr>
            <w:r>
              <w:rPr>
                <w:rFonts w:ascii="Arial" w:cs="Arial" w:eastAsia="Arial" w:hAnsi="Arial"/>
                <w:sz w:val="18"/>
                <w:szCs w:val="18"/>
                <w:color w:val="auto"/>
              </w:rPr>
              <w:t>Net loss per share applicable to common stockholders — basic and diluted</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(3.07)</w:t>
            </w:r>
          </w:p>
        </w:tc>
        <w:tc>
          <w:tcPr>
            <w:tcW w:w="3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Weighted-average number of common shares used in net loss per share applicable</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27,492</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 common stockholders — basic 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3" w:name="page114"/>
    <w:bookmarkEnd w:id="113"/>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Blueprint Medicines Corporation</w:t>
      </w:r>
    </w:p>
    <w:p>
      <w:pPr>
        <w:jc w:val="center"/>
        <w:ind w:right="40"/>
        <w:spacing w:after="0" w:line="203" w:lineRule="auto"/>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jc w:val="center"/>
        <w:ind w:right="40"/>
        <w:spacing w:after="0" w:line="231" w:lineRule="auto"/>
        <w:rPr>
          <w:sz w:val="20"/>
          <w:szCs w:val="20"/>
          <w:color w:val="auto"/>
        </w:rPr>
      </w:pPr>
      <w:r>
        <w:rPr>
          <w:rFonts w:ascii="Arial" w:cs="Arial" w:eastAsia="Arial" w:hAnsi="Arial"/>
          <w:sz w:val="18"/>
          <w:szCs w:val="18"/>
          <w:b w:val="1"/>
          <w:bCs w:val="1"/>
          <w:color w:val="auto"/>
        </w:rPr>
        <w:t>(in thousands, except per share data)</w:t>
      </w:r>
    </w:p>
    <w:tbl>
      <w:tblPr>
        <w:tblLayout w:type="fixed"/>
        <w:tblInd w:w="0" w:type="dxa"/>
        <w:tblCellMar>
          <w:top w:w="0" w:type="dxa"/>
          <w:left w:w="0" w:type="dxa"/>
          <w:bottom w:w="0" w:type="dxa"/>
          <w:right w:w="0" w:type="dxa"/>
        </w:tblCellMar>
      </w:tblPr>
      <w:tr>
        <w:trPr>
          <w:trHeight w:val="97"/>
        </w:trPr>
        <w:tc>
          <w:tcPr>
            <w:tcW w:w="2500" w:type="dxa"/>
            <w:vAlign w:val="bottom"/>
          </w:tcPr>
          <w:p>
            <w:pPr>
              <w:spacing w:after="0"/>
              <w:rPr>
                <w:sz w:val="8"/>
                <w:szCs w:val="8"/>
                <w:color w:val="auto"/>
              </w:rPr>
            </w:pPr>
          </w:p>
        </w:tc>
        <w:tc>
          <w:tcPr>
            <w:tcW w:w="820" w:type="dxa"/>
            <w:vAlign w:val="bottom"/>
            <w:gridSpan w:val="3"/>
          </w:tcPr>
          <w:p>
            <w:pPr>
              <w:jc w:val="center"/>
              <w:ind w:left="386"/>
              <w:spacing w:after="0" w:line="97" w:lineRule="exact"/>
              <w:rPr>
                <w:sz w:val="20"/>
                <w:szCs w:val="20"/>
                <w:color w:val="auto"/>
              </w:rPr>
            </w:pPr>
            <w:r>
              <w:rPr>
                <w:rFonts w:ascii="Arial" w:cs="Arial" w:eastAsia="Arial" w:hAnsi="Arial"/>
                <w:sz w:val="11"/>
                <w:szCs w:val="11"/>
                <w:b w:val="1"/>
                <w:bCs w:val="1"/>
                <w:color w:val="auto"/>
                <w:w w:val="86"/>
              </w:rPr>
              <w:t>Series A</w:t>
            </w: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5"/>
          </w:tcPr>
          <w:p>
            <w:pPr>
              <w:jc w:val="center"/>
              <w:ind w:right="100"/>
              <w:spacing w:after="0" w:line="97" w:lineRule="exact"/>
              <w:rPr>
                <w:sz w:val="20"/>
                <w:szCs w:val="20"/>
                <w:color w:val="auto"/>
              </w:rPr>
            </w:pPr>
            <w:r>
              <w:rPr>
                <w:rFonts w:ascii="Arial" w:cs="Arial" w:eastAsia="Arial" w:hAnsi="Arial"/>
                <w:sz w:val="11"/>
                <w:szCs w:val="11"/>
                <w:b w:val="1"/>
                <w:bCs w:val="1"/>
                <w:color w:val="auto"/>
                <w:w w:val="81"/>
              </w:rPr>
              <w:t>Series B</w:t>
            </w:r>
          </w:p>
        </w:tc>
        <w:tc>
          <w:tcPr>
            <w:tcW w:w="1320" w:type="dxa"/>
            <w:vAlign w:val="bottom"/>
            <w:gridSpan w:val="5"/>
          </w:tcPr>
          <w:p>
            <w:pPr>
              <w:jc w:val="center"/>
              <w:ind w:right="100"/>
              <w:spacing w:after="0" w:line="97" w:lineRule="exact"/>
              <w:rPr>
                <w:sz w:val="20"/>
                <w:szCs w:val="20"/>
                <w:color w:val="auto"/>
              </w:rPr>
            </w:pPr>
            <w:r>
              <w:rPr>
                <w:rFonts w:ascii="Arial" w:cs="Arial" w:eastAsia="Arial" w:hAnsi="Arial"/>
                <w:sz w:val="11"/>
                <w:szCs w:val="11"/>
                <w:b w:val="1"/>
                <w:bCs w:val="1"/>
                <w:color w:val="auto"/>
                <w:w w:val="86"/>
              </w:rPr>
              <w:t>Series C</w:t>
            </w: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Additional</w:t>
            </w:r>
          </w:p>
        </w:tc>
        <w:tc>
          <w:tcPr>
            <w:tcW w:w="60" w:type="dxa"/>
            <w:vAlign w:val="bottom"/>
          </w:tcPr>
          <w:p>
            <w:pPr>
              <w:spacing w:after="0"/>
              <w:rPr>
                <w:sz w:val="8"/>
                <w:szCs w:val="8"/>
                <w:color w:val="auto"/>
              </w:rPr>
            </w:pPr>
          </w:p>
        </w:tc>
        <w:tc>
          <w:tcPr>
            <w:tcW w:w="680" w:type="dxa"/>
            <w:vAlign w:val="bottom"/>
          </w:tcPr>
          <w:p>
            <w:pPr>
              <w:jc w:val="center"/>
              <w:ind w:right="26"/>
              <w:spacing w:after="0" w:line="97" w:lineRule="exact"/>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3"/>
            <w:vMerge w:val="restart"/>
          </w:tcPr>
          <w:p>
            <w:pPr>
              <w:spacing w:after="0"/>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380" w:type="dxa"/>
            <w:vAlign w:val="bottom"/>
            <w:gridSpan w:val="5"/>
          </w:tcPr>
          <w:p>
            <w:pPr>
              <w:jc w:val="center"/>
              <w:ind w:right="120"/>
              <w:spacing w:after="0" w:line="109" w:lineRule="exact"/>
              <w:rPr>
                <w:sz w:val="20"/>
                <w:szCs w:val="20"/>
                <w:color w:val="auto"/>
              </w:rPr>
            </w:pPr>
            <w:r>
              <w:rPr>
                <w:rFonts w:ascii="Arial" w:cs="Arial" w:eastAsia="Arial" w:hAnsi="Arial"/>
                <w:sz w:val="11"/>
                <w:szCs w:val="11"/>
                <w:b w:val="1"/>
                <w:bCs w:val="1"/>
                <w:color w:val="auto"/>
                <w:w w:val="89"/>
              </w:rPr>
              <w:t>Convertible</w:t>
            </w:r>
          </w:p>
        </w:tc>
        <w:tc>
          <w:tcPr>
            <w:tcW w:w="1340" w:type="dxa"/>
            <w:vAlign w:val="bottom"/>
            <w:gridSpan w:val="5"/>
          </w:tcPr>
          <w:p>
            <w:pPr>
              <w:jc w:val="center"/>
              <w:ind w:right="100"/>
              <w:spacing w:after="0" w:line="109" w:lineRule="exact"/>
              <w:rPr>
                <w:sz w:val="20"/>
                <w:szCs w:val="20"/>
                <w:color w:val="auto"/>
              </w:rPr>
            </w:pPr>
            <w:r>
              <w:rPr>
                <w:rFonts w:ascii="Arial" w:cs="Arial" w:eastAsia="Arial" w:hAnsi="Arial"/>
                <w:sz w:val="11"/>
                <w:szCs w:val="11"/>
                <w:b w:val="1"/>
                <w:bCs w:val="1"/>
                <w:color w:val="auto"/>
                <w:w w:val="92"/>
              </w:rPr>
              <w:t>Convertible</w:t>
            </w:r>
          </w:p>
        </w:tc>
        <w:tc>
          <w:tcPr>
            <w:tcW w:w="1320" w:type="dxa"/>
            <w:vAlign w:val="bottom"/>
            <w:gridSpan w:val="5"/>
          </w:tcPr>
          <w:p>
            <w:pPr>
              <w:jc w:val="center"/>
              <w:ind w:right="100"/>
              <w:spacing w:after="0" w:line="109" w:lineRule="exact"/>
              <w:rPr>
                <w:sz w:val="20"/>
                <w:szCs w:val="20"/>
                <w:color w:val="auto"/>
              </w:rPr>
            </w:pPr>
            <w:r>
              <w:rPr>
                <w:rFonts w:ascii="Arial" w:cs="Arial" w:eastAsia="Arial" w:hAnsi="Arial"/>
                <w:sz w:val="11"/>
                <w:szCs w:val="11"/>
                <w:b w:val="1"/>
                <w:bCs w:val="1"/>
                <w:color w:val="auto"/>
                <w:w w:val="89"/>
              </w:rPr>
              <w:t>Convertible</w:t>
            </w:r>
          </w:p>
        </w:tc>
        <w:tc>
          <w:tcPr>
            <w:tcW w:w="92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w w:val="86"/>
              </w:rPr>
              <w:t>Common Stock</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center"/>
              <w:ind w:right="46"/>
              <w:spacing w:after="0" w:line="109" w:lineRule="exact"/>
              <w:rPr>
                <w:sz w:val="20"/>
                <w:szCs w:val="20"/>
                <w:color w:val="auto"/>
              </w:rPr>
            </w:pPr>
            <w:r>
              <w:rPr>
                <w:rFonts w:ascii="Arial" w:cs="Arial" w:eastAsia="Arial" w:hAnsi="Arial"/>
                <w:sz w:val="11"/>
                <w:szCs w:val="11"/>
                <w:b w:val="1"/>
                <w:bCs w:val="1"/>
                <w:color w:val="auto"/>
                <w:w w:val="88"/>
              </w:rPr>
              <w:t>Other</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380" w:type="dxa"/>
            <w:vAlign w:val="bottom"/>
            <w:gridSpan w:val="5"/>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Preferred Stock</w:t>
            </w:r>
          </w:p>
        </w:tc>
        <w:tc>
          <w:tcPr>
            <w:tcW w:w="1340" w:type="dxa"/>
            <w:vAlign w:val="bottom"/>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Preferred Stock</w:t>
            </w:r>
          </w:p>
        </w:tc>
        <w:tc>
          <w:tcPr>
            <w:tcW w:w="1320" w:type="dxa"/>
            <w:vAlign w:val="bottom"/>
            <w:gridSpan w:val="5"/>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Preferred Stock</w:t>
            </w:r>
          </w:p>
        </w:tc>
        <w:tc>
          <w:tcPr>
            <w:tcW w:w="9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Paid-in</w:t>
            </w:r>
          </w:p>
        </w:tc>
        <w:tc>
          <w:tcPr>
            <w:tcW w:w="140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w w:val="89"/>
              </w:rPr>
              <w:t>Comprehensive Accumulated</w:t>
            </w: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22" w:lineRule="exact"/>
              <w:rPr>
                <w:sz w:val="20"/>
                <w:szCs w:val="20"/>
                <w:color w:val="auto"/>
              </w:rPr>
            </w:pPr>
            <w:r>
              <w:rPr>
                <w:rFonts w:ascii="Arial" w:cs="Arial" w:eastAsia="Arial" w:hAnsi="Arial"/>
                <w:sz w:val="11"/>
                <w:szCs w:val="11"/>
                <w:b w:val="1"/>
                <w:bCs w:val="1"/>
                <w:color w:val="auto"/>
                <w:w w:val="97"/>
              </w:rPr>
              <w:t>(Deficit)</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740" w:type="dxa"/>
            <w:vAlign w:val="bottom"/>
            <w:tcBorders>
              <w:top w:val="single" w:sz="8" w:color="auto"/>
            </w:tcBorders>
            <w:gridSpan w:val="2"/>
          </w:tcPr>
          <w:p>
            <w:pPr>
              <w:jc w:val="right"/>
              <w:ind w:right="280"/>
              <w:spacing w:after="0" w:line="109" w:lineRule="exact"/>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6"/>
              <w:spacing w:after="0" w:line="109" w:lineRule="exact"/>
              <w:rPr>
                <w:sz w:val="20"/>
                <w:szCs w:val="20"/>
                <w:color w:val="auto"/>
              </w:rPr>
            </w:pPr>
            <w:r>
              <w:rPr>
                <w:rFonts w:ascii="Arial" w:cs="Arial" w:eastAsia="Arial" w:hAnsi="Arial"/>
                <w:sz w:val="11"/>
                <w:szCs w:val="11"/>
                <w:b w:val="1"/>
                <w:bCs w:val="1"/>
                <w:color w:val="auto"/>
                <w:w w:val="86"/>
              </w:rPr>
              <w:t>Amount</w:t>
            </w:r>
          </w:p>
        </w:tc>
        <w:tc>
          <w:tcPr>
            <w:tcW w:w="120" w:type="dxa"/>
            <w:vAlign w:val="bottom"/>
          </w:tcPr>
          <w:p>
            <w:pPr>
              <w:spacing w:after="0"/>
              <w:rPr>
                <w:sz w:val="9"/>
                <w:szCs w:val="9"/>
                <w:color w:val="auto"/>
              </w:rPr>
            </w:pPr>
          </w:p>
        </w:tc>
        <w:tc>
          <w:tcPr>
            <w:tcW w:w="740" w:type="dxa"/>
            <w:vAlign w:val="bottom"/>
            <w:tcBorders>
              <w:top w:val="single" w:sz="8" w:color="auto"/>
            </w:tcBorders>
            <w:gridSpan w:val="2"/>
          </w:tcPr>
          <w:p>
            <w:pPr>
              <w:jc w:val="right"/>
              <w:ind w:right="260"/>
              <w:spacing w:after="0" w:line="109" w:lineRule="exact"/>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6"/>
              <w:spacing w:after="0" w:line="109"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9"/>
                <w:szCs w:val="9"/>
                <w:color w:val="auto"/>
              </w:rPr>
            </w:pPr>
          </w:p>
        </w:tc>
        <w:tc>
          <w:tcPr>
            <w:tcW w:w="740" w:type="dxa"/>
            <w:vAlign w:val="bottom"/>
            <w:tcBorders>
              <w:top w:val="single" w:sz="8" w:color="auto"/>
            </w:tcBorders>
            <w:gridSpan w:val="2"/>
          </w:tcPr>
          <w:p>
            <w:pPr>
              <w:jc w:val="right"/>
              <w:ind w:right="260"/>
              <w:spacing w:after="0" w:line="109" w:lineRule="exact"/>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ind w:right="6"/>
              <w:spacing w:after="0" w:line="109"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9"/>
                <w:szCs w:val="9"/>
                <w:color w:val="auto"/>
              </w:rPr>
            </w:pPr>
          </w:p>
        </w:tc>
        <w:tc>
          <w:tcPr>
            <w:tcW w:w="700" w:type="dxa"/>
            <w:vAlign w:val="bottom"/>
            <w:tcBorders>
              <w:top w:val="single" w:sz="8" w:color="auto"/>
            </w:tcBorders>
            <w:gridSpan w:val="2"/>
          </w:tcPr>
          <w:p>
            <w:pPr>
              <w:ind w:left="140"/>
              <w:spacing w:after="0" w:line="109" w:lineRule="exact"/>
              <w:rPr>
                <w:sz w:val="20"/>
                <w:szCs w:val="20"/>
                <w:color w:val="auto"/>
              </w:rPr>
            </w:pPr>
            <w:r>
              <w:rPr>
                <w:rFonts w:ascii="Arial" w:cs="Arial" w:eastAsia="Arial" w:hAnsi="Arial"/>
                <w:sz w:val="11"/>
                <w:szCs w:val="11"/>
                <w:b w:val="1"/>
                <w:bCs w:val="1"/>
                <w:color w:val="auto"/>
              </w:rPr>
              <w:t>Shares</w:t>
            </w:r>
          </w:p>
        </w:tc>
        <w:tc>
          <w:tcPr>
            <w:tcW w:w="380" w:type="dxa"/>
            <w:vAlign w:val="bottom"/>
            <w:tcBorders>
              <w:top w:val="single" w:sz="8" w:color="auto"/>
            </w:tcBorders>
            <w:gridSpan w:val="2"/>
          </w:tcPr>
          <w:p>
            <w:pPr>
              <w:ind w:left="20"/>
              <w:spacing w:after="0" w:line="109" w:lineRule="exact"/>
              <w:rPr>
                <w:sz w:val="20"/>
                <w:szCs w:val="20"/>
                <w:color w:val="auto"/>
              </w:rPr>
            </w:pPr>
            <w:r>
              <w:rPr>
                <w:rFonts w:ascii="Arial" w:cs="Arial" w:eastAsia="Arial" w:hAnsi="Arial"/>
                <w:sz w:val="11"/>
                <w:szCs w:val="11"/>
                <w:b w:val="1"/>
                <w:bCs w:val="1"/>
                <w:color w:val="auto"/>
                <w:w w:val="81"/>
              </w:rPr>
              <w:t>Amount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ind w:left="20"/>
              <w:spacing w:after="0" w:line="109" w:lineRule="exact"/>
              <w:rPr>
                <w:sz w:val="20"/>
                <w:szCs w:val="20"/>
                <w:color w:val="auto"/>
              </w:rPr>
            </w:pPr>
            <w:r>
              <w:rPr>
                <w:rFonts w:ascii="Arial" w:cs="Arial" w:eastAsia="Arial" w:hAnsi="Arial"/>
                <w:sz w:val="11"/>
                <w:szCs w:val="11"/>
                <w:b w:val="1"/>
                <w:bCs w:val="1"/>
                <w:color w:val="auto"/>
              </w:rPr>
              <w:t>Capital</w:t>
            </w:r>
          </w:p>
        </w:tc>
        <w:tc>
          <w:tcPr>
            <w:tcW w:w="60" w:type="dxa"/>
            <w:vAlign w:val="bottom"/>
          </w:tcPr>
          <w:p>
            <w:pPr>
              <w:spacing w:after="0"/>
              <w:rPr>
                <w:sz w:val="9"/>
                <w:szCs w:val="9"/>
                <w:color w:val="auto"/>
              </w:rPr>
            </w:pPr>
          </w:p>
        </w:tc>
        <w:tc>
          <w:tcPr>
            <w:tcW w:w="680" w:type="dxa"/>
            <w:vAlign w:val="bottom"/>
          </w:tcPr>
          <w:p>
            <w:pPr>
              <w:jc w:val="center"/>
              <w:ind w:right="26"/>
              <w:spacing w:after="0" w:line="109" w:lineRule="exact"/>
              <w:rPr>
                <w:sz w:val="20"/>
                <w:szCs w:val="20"/>
                <w:color w:val="auto"/>
              </w:rPr>
            </w:pPr>
            <w:r>
              <w:rPr>
                <w:rFonts w:ascii="Arial" w:cs="Arial" w:eastAsia="Arial" w:hAnsi="Arial"/>
                <w:sz w:val="11"/>
                <w:szCs w:val="11"/>
                <w:b w:val="1"/>
                <w:bCs w:val="1"/>
                <w:color w:val="auto"/>
                <w:w w:val="77"/>
              </w:rPr>
              <w:t>Loss</w:t>
            </w:r>
          </w:p>
        </w:tc>
        <w:tc>
          <w:tcPr>
            <w:tcW w:w="120" w:type="dxa"/>
            <w:vAlign w:val="bottom"/>
          </w:tcPr>
          <w:p>
            <w:pPr>
              <w:spacing w:after="0"/>
              <w:rPr>
                <w:sz w:val="9"/>
                <w:szCs w:val="9"/>
                <w:color w:val="auto"/>
              </w:rPr>
            </w:pPr>
          </w:p>
        </w:tc>
        <w:tc>
          <w:tcPr>
            <w:tcW w:w="540" w:type="dxa"/>
            <w:vAlign w:val="bottom"/>
            <w:gridSpan w:val="2"/>
          </w:tcPr>
          <w:p>
            <w:pPr>
              <w:ind w:left="60"/>
              <w:spacing w:after="0" w:line="109" w:lineRule="exact"/>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9"/>
                <w:szCs w:val="9"/>
                <w:color w:val="auto"/>
              </w:rPr>
            </w:pPr>
          </w:p>
        </w:tc>
        <w:tc>
          <w:tcPr>
            <w:tcW w:w="600" w:type="dxa"/>
            <w:vAlign w:val="bottom"/>
            <w:gridSpan w:val="2"/>
          </w:tcPr>
          <w:p>
            <w:pPr>
              <w:jc w:val="right"/>
              <w:ind w:right="220"/>
              <w:spacing w:after="0" w:line="109" w:lineRule="exact"/>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15"/>
        </w:trPr>
        <w:tc>
          <w:tcPr>
            <w:tcW w:w="25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December 31, 2013</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40,000,000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39,958</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1,221,330</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(41,921)</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(41,454)</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500" w:type="dxa"/>
            <w:vAlign w:val="bottom"/>
          </w:tcPr>
          <w:p>
            <w:pPr>
              <w:ind w:left="20"/>
              <w:spacing w:after="0" w:line="85" w:lineRule="exact"/>
              <w:rPr>
                <w:sz w:val="20"/>
                <w:szCs w:val="20"/>
                <w:color w:val="auto"/>
              </w:rPr>
            </w:pPr>
            <w:r>
              <w:rPr>
                <w:rFonts w:ascii="Arial" w:cs="Arial" w:eastAsia="Arial" w:hAnsi="Arial"/>
                <w:sz w:val="9"/>
                <w:szCs w:val="9"/>
                <w:color w:val="auto"/>
              </w:rPr>
              <w:t>Issuance of Series B convertible preferred stock at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20,916,663</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restart"/>
          </w:tcPr>
          <w:p>
            <w:pPr>
              <w:jc w:val="right"/>
              <w:spacing w:after="0"/>
              <w:rPr>
                <w:sz w:val="20"/>
                <w:szCs w:val="20"/>
                <w:color w:val="auto"/>
              </w:rPr>
            </w:pPr>
            <w:r>
              <w:rPr>
                <w:rFonts w:ascii="Arial" w:cs="Arial" w:eastAsia="Arial" w:hAnsi="Arial"/>
                <w:sz w:val="11"/>
                <w:szCs w:val="11"/>
                <w:color w:val="auto"/>
              </w:rPr>
              <w:t>24,985</w:t>
            </w:r>
          </w:p>
        </w:tc>
        <w:tc>
          <w:tcPr>
            <w:tcW w:w="100" w:type="dxa"/>
            <w:vAlign w:val="bottom"/>
          </w:tcPr>
          <w:p>
            <w:pPr>
              <w:spacing w:after="0"/>
              <w:rPr>
                <w:sz w:val="7"/>
                <w:szCs w:val="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7"/>
                <w:szCs w:val="7"/>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7"/>
                <w:szCs w:val="7"/>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500" w:type="dxa"/>
            <w:vAlign w:val="bottom"/>
          </w:tcPr>
          <w:p>
            <w:pPr>
              <w:ind w:left="20"/>
              <w:spacing w:after="0"/>
              <w:rPr>
                <w:sz w:val="20"/>
                <w:szCs w:val="20"/>
                <w:color w:val="auto"/>
              </w:rPr>
            </w:pPr>
            <w:r>
              <w:rPr>
                <w:rFonts w:ascii="Arial" w:cs="Arial" w:eastAsia="Arial" w:hAnsi="Arial"/>
                <w:sz w:val="11"/>
                <w:szCs w:val="11"/>
                <w:color w:val="auto"/>
              </w:rPr>
              <w:t>$1.20 per share, net of issuance costs of $115</w:t>
            </w: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500" w:type="dxa"/>
            <w:vAlign w:val="bottom"/>
            <w:shd w:val="clear" w:color="auto" w:fill="CCEEFF"/>
          </w:tcPr>
          <w:p>
            <w:pPr>
              <w:ind w:left="20"/>
              <w:spacing w:after="0" w:line="85" w:lineRule="exact"/>
              <w:rPr>
                <w:sz w:val="20"/>
                <w:szCs w:val="20"/>
                <w:color w:val="auto"/>
              </w:rPr>
            </w:pPr>
            <w:r>
              <w:rPr>
                <w:rFonts w:ascii="Arial" w:cs="Arial" w:eastAsia="Arial" w:hAnsi="Arial"/>
                <w:sz w:val="9"/>
                <w:szCs w:val="9"/>
                <w:color w:val="auto"/>
              </w:rPr>
              <w:t>Issuance of Series C convertible preferred stock at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24,154,589</w:t>
            </w: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49,868</w:t>
            </w:r>
          </w:p>
        </w:tc>
        <w:tc>
          <w:tcPr>
            <w:tcW w:w="10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7"/>
                <w:szCs w:val="7"/>
                <w:color w:val="auto"/>
              </w:rPr>
            </w:pPr>
          </w:p>
        </w:tc>
        <w:tc>
          <w:tcPr>
            <w:tcW w:w="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7"/>
                <w:szCs w:val="7"/>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$2.07 per share, net of issuance cost of $131</w:t>
            </w:r>
          </w:p>
        </w:tc>
        <w:tc>
          <w:tcPr>
            <w:tcW w:w="7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Arial" w:cs="Arial" w:eastAsia="Arial" w:hAnsi="Arial"/>
                <w:sz w:val="11"/>
                <w:szCs w:val="11"/>
                <w:color w:val="auto"/>
              </w:rPr>
              <w:t>Issuance of common stock under stock plan</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405,408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Stock based compensation expense</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2,326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2,326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Arial" w:cs="Arial" w:eastAsia="Arial" w:hAnsi="Arial"/>
                <w:sz w:val="11"/>
                <w:szCs w:val="11"/>
                <w:color w:val="auto"/>
              </w:rPr>
              <w:t>Net loss</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2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(40,285)</w:t>
            </w:r>
          </w:p>
        </w:tc>
        <w:tc>
          <w:tcPr>
            <w:tcW w:w="10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(40,285)</w:t>
            </w:r>
          </w:p>
        </w:tc>
        <w:tc>
          <w:tcPr>
            <w:tcW w:w="0" w:type="dxa"/>
            <w:vAlign w:val="bottom"/>
          </w:tcPr>
          <w:p>
            <w:pPr>
              <w:spacing w:after="0"/>
              <w:rPr>
                <w:sz w:val="1"/>
                <w:szCs w:val="1"/>
                <w:color w:val="auto"/>
              </w:rPr>
            </w:pPr>
          </w:p>
        </w:tc>
      </w:tr>
      <w:tr>
        <w:trPr>
          <w:trHeight w:val="115"/>
        </w:trPr>
        <w:tc>
          <w:tcPr>
            <w:tcW w:w="25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December 31, 2014</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40,000,000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39,958</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20,916,663</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24,985</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24,154,589</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49,868</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1,626,738</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2,822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(82,206)</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(79,382)</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Arial" w:cs="Arial" w:eastAsia="Arial" w:hAnsi="Arial"/>
                <w:sz w:val="11"/>
                <w:szCs w:val="11"/>
                <w:color w:val="auto"/>
              </w:rPr>
              <w:t>Conversion of preferred stock into common stock</w:t>
            </w: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9"/>
              </w:rPr>
              <w:t>(40,000,000)</w:t>
            </w:r>
          </w:p>
        </w:tc>
        <w:tc>
          <w:tcPr>
            <w:tcW w:w="80" w:type="dxa"/>
            <w:vAlign w:val="bottom"/>
          </w:tcPr>
          <w:p>
            <w:pPr>
              <w:spacing w:after="0"/>
              <w:rPr>
                <w:sz w:val="10"/>
                <w:szCs w:val="10"/>
                <w:color w:val="auto"/>
              </w:rPr>
            </w:pPr>
          </w:p>
        </w:tc>
        <w:tc>
          <w:tcPr>
            <w:tcW w:w="5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(39,958)</w:t>
            </w: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9"/>
              </w:rPr>
              <w:t>(20,916,663)</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(24,985)</w:t>
            </w: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6"/>
              </w:rPr>
              <w:t>(24,154,589)</w:t>
            </w:r>
          </w:p>
        </w:tc>
        <w:tc>
          <w:tcPr>
            <w:tcW w:w="4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(49,868)</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w w:val="98"/>
              </w:rPr>
              <w:t>15,467,479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81"/>
              </w:rPr>
              <w:t>15</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w w:val="95"/>
              </w:rPr>
              <w:t>114,792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114,807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Initial public offering, net of issuance costs</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9,367,708</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5"/>
              </w:rPr>
              <w:t>154,743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154,752</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Arial" w:cs="Arial" w:eastAsia="Arial" w:hAnsi="Arial"/>
                <w:sz w:val="11"/>
                <w:szCs w:val="11"/>
                <w:color w:val="auto"/>
              </w:rPr>
              <w:t>Reclassification of warrant</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2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810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810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Issuance of common stock upon warrant exercise</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32,438</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Arial" w:cs="Arial" w:eastAsia="Arial" w:hAnsi="Arial"/>
                <w:sz w:val="11"/>
                <w:szCs w:val="11"/>
                <w:color w:val="auto"/>
              </w:rPr>
              <w:t>Issuance of common stock under stock plan</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571,195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580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581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color w:val="auto"/>
              </w:rPr>
              <w:t>Stock based compensation expense</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5,180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5,180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Arial" w:cs="Arial" w:eastAsia="Arial" w:hAnsi="Arial"/>
                <w:sz w:val="11"/>
                <w:szCs w:val="11"/>
                <w:color w:val="auto"/>
              </w:rPr>
              <w:t>Net loss</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2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(52,769)</w:t>
            </w:r>
          </w:p>
        </w:tc>
        <w:tc>
          <w:tcPr>
            <w:tcW w:w="100" w:type="dxa"/>
            <w:vAlign w:val="bottom"/>
          </w:tcPr>
          <w:p>
            <w:pPr>
              <w:spacing w:after="0"/>
              <w:rPr>
                <w:sz w:val="10"/>
                <w:szCs w:val="10"/>
                <w:color w:val="auto"/>
              </w:rPr>
            </w:pPr>
          </w:p>
        </w:tc>
        <w:tc>
          <w:tcPr>
            <w:tcW w:w="6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(52,769)</w:t>
            </w:r>
          </w:p>
        </w:tc>
        <w:tc>
          <w:tcPr>
            <w:tcW w:w="0" w:type="dxa"/>
            <w:vAlign w:val="bottom"/>
          </w:tcPr>
          <w:p>
            <w:pPr>
              <w:spacing w:after="0"/>
              <w:rPr>
                <w:sz w:val="1"/>
                <w:szCs w:val="1"/>
                <w:color w:val="auto"/>
              </w:rPr>
            </w:pPr>
          </w:p>
        </w:tc>
      </w:tr>
      <w:tr>
        <w:trPr>
          <w:trHeight w:val="115"/>
        </w:trPr>
        <w:tc>
          <w:tcPr>
            <w:tcW w:w="25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at December 31, 2015</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8"/>
              </w:rPr>
              <w:t>27,065,558</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1"/>
              </w:rPr>
              <w:t>27</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5"/>
              </w:rPr>
              <w:t>278,927</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(134,975)</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143,979</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00" w:type="dxa"/>
            <w:vAlign w:val="bottom"/>
          </w:tcPr>
          <w:p>
            <w:pPr>
              <w:ind w:left="20"/>
              <w:spacing w:after="0" w:line="122" w:lineRule="exact"/>
              <w:rPr>
                <w:sz w:val="20"/>
                <w:szCs w:val="20"/>
                <w:color w:val="auto"/>
              </w:rPr>
            </w:pPr>
            <w:r>
              <w:rPr>
                <w:rFonts w:ascii="Arial" w:cs="Arial" w:eastAsia="Arial" w:hAnsi="Arial"/>
                <w:sz w:val="11"/>
                <w:szCs w:val="11"/>
                <w:color w:val="auto"/>
              </w:rPr>
              <w:t>Follow on offering, net of issuance costs</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5,750,000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w w:val="95"/>
              </w:rPr>
              <w:t>134,543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134,549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Issuance of common stock under stock plan</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284,471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546</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Arial" w:cs="Arial" w:eastAsia="Arial" w:hAnsi="Arial"/>
                <w:sz w:val="11"/>
                <w:szCs w:val="11"/>
                <w:color w:val="auto"/>
              </w:rPr>
              <w:t>Purchase of common stock under ESPP</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23,325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377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6,140</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500" w:type="dxa"/>
            <w:vAlign w:val="bottom"/>
          </w:tcPr>
          <w:p>
            <w:pPr>
              <w:ind w:left="20"/>
              <w:spacing w:after="0" w:line="85" w:lineRule="exact"/>
              <w:rPr>
                <w:sz w:val="20"/>
                <w:szCs w:val="20"/>
                <w:color w:val="auto"/>
              </w:rPr>
            </w:pPr>
            <w:r>
              <w:rPr>
                <w:rFonts w:ascii="Arial" w:cs="Arial" w:eastAsia="Arial" w:hAnsi="Arial"/>
                <w:sz w:val="9"/>
                <w:szCs w:val="9"/>
                <w:color w:val="auto"/>
              </w:rPr>
              <w:t>Unrealized loss on available-for-sale securities, net of</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7"/>
                <w:szCs w:val="7"/>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7"/>
                <w:szCs w:val="7"/>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7"/>
                <w:szCs w:val="7"/>
                <w:color w:val="auto"/>
              </w:rPr>
            </w:pP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7"/>
                <w:szCs w:val="7"/>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7"/>
                <w:szCs w:val="7"/>
                <w:color w:val="auto"/>
              </w:rPr>
            </w:pPr>
          </w:p>
        </w:tc>
        <w:tc>
          <w:tcPr>
            <w:tcW w:w="54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7"/>
                <w:szCs w:val="7"/>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1"/>
        </w:trPr>
        <w:tc>
          <w:tcPr>
            <w:tcW w:w="2500" w:type="dxa"/>
            <w:vAlign w:val="bottom"/>
          </w:tcPr>
          <w:p>
            <w:pPr>
              <w:ind w:left="20"/>
              <w:spacing w:after="0"/>
              <w:rPr>
                <w:sz w:val="20"/>
                <w:szCs w:val="20"/>
                <w:color w:val="auto"/>
              </w:rPr>
            </w:pPr>
            <w:r>
              <w:rPr>
                <w:rFonts w:ascii="Arial" w:cs="Arial" w:eastAsia="Arial" w:hAnsi="Arial"/>
                <w:sz w:val="11"/>
                <w:szCs w:val="11"/>
                <w:color w:val="auto"/>
              </w:rPr>
              <w:t>tax</w:t>
            </w: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(72,495)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(72,495)</w:t>
            </w:r>
          </w:p>
        </w:tc>
        <w:tc>
          <w:tcPr>
            <w:tcW w:w="0" w:type="dxa"/>
            <w:vAlign w:val="bottom"/>
          </w:tcPr>
          <w:p>
            <w:pPr>
              <w:spacing w:after="0"/>
              <w:rPr>
                <w:sz w:val="1"/>
                <w:szCs w:val="1"/>
                <w:color w:val="auto"/>
              </w:rPr>
            </w:pPr>
          </w:p>
        </w:tc>
      </w:tr>
      <w:tr>
        <w:trPr>
          <w:trHeight w:val="163"/>
        </w:trPr>
        <w:tc>
          <w:tcPr>
            <w:tcW w:w="2500" w:type="dxa"/>
            <w:vAlign w:val="bottom"/>
          </w:tcPr>
          <w:p>
            <w:pPr>
              <w:ind w:left="20"/>
              <w:spacing w:after="0"/>
              <w:rPr>
                <w:sz w:val="20"/>
                <w:szCs w:val="20"/>
                <w:color w:val="auto"/>
              </w:rPr>
            </w:pPr>
            <w:r>
              <w:rPr>
                <w:rFonts w:ascii="Arial" w:cs="Arial" w:eastAsia="Arial" w:hAnsi="Arial"/>
                <w:sz w:val="11"/>
                <w:szCs w:val="11"/>
                <w:color w:val="auto"/>
              </w:rPr>
              <w:t>Balance at December 31, 2016</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8"/>
              </w:rPr>
              <w:t>33,123,354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81"/>
              </w:rPr>
              <w:t>33</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5"/>
              </w:rPr>
              <w:t>420,533</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(207,470)</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213,078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60"/>
          </w:cols>
          <w:pgMar w:left="740" w:top="111" w:right="69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53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9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0"/>
              <w:spacing w:after="0" w:line="129"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0"/>
              <w:spacing w:after="0" w:line="129"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9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(72,495)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(52,769)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(40,285)</w:t>
            </w:r>
          </w:p>
        </w:tc>
        <w:tc>
          <w:tcPr>
            <w:tcW w:w="0" w:type="dxa"/>
            <w:vAlign w:val="bottom"/>
          </w:tcPr>
          <w:p>
            <w:pPr>
              <w:spacing w:after="0"/>
              <w:rPr>
                <w:sz w:val="1"/>
                <w:szCs w:val="1"/>
                <w:color w:val="auto"/>
              </w:rPr>
            </w:pPr>
          </w:p>
        </w:tc>
      </w:tr>
      <w:tr>
        <w:trPr>
          <w:trHeight w:val="176"/>
        </w:trPr>
        <w:tc>
          <w:tcPr>
            <w:tcW w:w="5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220"/>
              <w:spacing w:after="0"/>
              <w:rPr>
                <w:sz w:val="20"/>
                <w:szCs w:val="20"/>
                <w:color w:val="auto"/>
              </w:rPr>
            </w:pPr>
            <w:r>
              <w:rPr>
                <w:rFonts w:ascii="Arial" w:cs="Arial" w:eastAsia="Arial" w:hAnsi="Arial"/>
                <w:sz w:val="18"/>
                <w:szCs w:val="18"/>
                <w:color w:val="auto"/>
              </w:rPr>
              <w:t>Accretion of premiums and discounts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Unbilled accounts receivable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ind w:left="320"/>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Maturities of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(218,702)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20" w:type="dxa"/>
            <w:vAlign w:val="bottom"/>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term loan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Principal payments on loan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Proceeds from public offering of common stock, net of commissions and</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135,125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156,815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underwriting discounts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Proceeds from Issuance of Series B convertible preferred stock, net of issuance</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costs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7"/>
                <w:szCs w:val="17"/>
                <w:color w:val="auto"/>
                <w:w w:val="98"/>
              </w:rPr>
              <w:t>Proceeds from Issuance of Series C convertible preferred stock, net of issuance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49,868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140"/>
              <w:spacing w:after="0" w:line="202" w:lineRule="exact"/>
              <w:rPr>
                <w:sz w:val="20"/>
                <w:szCs w:val="20"/>
                <w:color w:val="auto"/>
              </w:rPr>
            </w:pPr>
            <w:r>
              <w:rPr>
                <w:rFonts w:ascii="Arial" w:cs="Arial" w:eastAsia="Arial" w:hAnsi="Arial"/>
                <w:sz w:val="18"/>
                <w:szCs w:val="18"/>
                <w:color w:val="auto"/>
              </w:rPr>
              <w:t>costs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issuance of common stock, net of repurchases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132,577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(110,638)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52,069</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162,707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20" w:type="dxa"/>
            <w:vAlign w:val="bottom"/>
            <w:tcBorders>
              <w:top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costs incurred but unpaid at period end</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purchases incurred but unpaid at period end</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convertible preferred stock into common stock</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114,808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Reclassification of warrant liability to additional paid-in-capital</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 in connection with term loan</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5920" w:type="dxa"/>
            <w:vAlign w:val="bottom"/>
            <w:tcBorders>
              <w:top w:val="single" w:sz="8" w:color="CCEEFF"/>
            </w:tcBorders>
          </w:tcPr>
          <w:p>
            <w:pPr>
              <w:ind w:left="4400"/>
              <w:spacing w:after="0"/>
              <w:rPr>
                <w:sz w:val="20"/>
                <w:szCs w:val="20"/>
                <w:color w:val="auto"/>
              </w:rPr>
            </w:pPr>
            <w:r>
              <w:rPr>
                <w:rFonts w:ascii="Arial" w:cs="Arial" w:eastAsia="Arial" w:hAnsi="Arial"/>
                <w:sz w:val="18"/>
                <w:szCs w:val="18"/>
                <w:color w:val="auto"/>
              </w:rPr>
              <w:t>F-6</w:t>
            </w: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Blueprint Medicines Corporation (the Company), a Delaware corporation incorporated on October 14, 2008, is a biopharmaceutical company focused on improving the lives of patients with genomically defined diseases driven by abnormal kinase activation. The Company’s approach is to systematically and reproducibly identify kinases that are drivers of diseases in genomically defined patient populations and to craft drug candidates that may provide significant and durable clinical response to patients without adequate treatment options.</w:t>
      </w:r>
    </w:p>
    <w:p>
      <w:pPr>
        <w:spacing w:after="0" w:line="161"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6"/>
          <w:szCs w:val="16"/>
          <w:color w:val="auto"/>
        </w:rPr>
        <w:t>‑</w:t>
      </w:r>
      <w:r>
        <w:rPr>
          <w:rFonts w:ascii="Arial" w:cs="Arial" w:eastAsia="Arial" w:hAnsi="Arial"/>
          <w:sz w:val="16"/>
          <w:szCs w:val="16"/>
          <w:color w:val="auto"/>
        </w:rPr>
        <w:t>license certain of its research and development programs or future commercialization efforts.</w:t>
      </w:r>
    </w:p>
    <w:p>
      <w:pPr>
        <w:spacing w:after="0" w:line="163"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161"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On December 13, 2016, the Company closed its underwritten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approximately $134.5 million, after deducting underwriting discounts and commissions and estimated offering expenses payable by the Company.</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As of December 31, 2016, the Company had cash, cash equivalents and investments of $268.2 million. Based on the Company’s current plans, the Company expects that its existing cash, cash equivalents and investments, excluding any potential option fees and milestone payments under its existing collaborations, will be sufficient to enable it to fund its operating expenses and capital expenditure requirements into at least late 2018.</w:t>
      </w:r>
    </w:p>
    <w:p>
      <w:pPr>
        <w:spacing w:after="0" w:line="159" w:lineRule="exact"/>
        <w:rPr>
          <w:sz w:val="20"/>
          <w:szCs w:val="20"/>
          <w:color w:val="auto"/>
        </w:rPr>
      </w:pPr>
    </w:p>
    <w:p>
      <w:pPr>
        <w:ind w:right="234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audited consolidated financial statements of the Company included herein have been prepared in accordance with accounting principles generally accepted in the United States (GAAP) as found in the Accounting Standards Codification (ASC) and Accounting Standards Update (ASU) of the Financial Accounting Standards Board (FASB) and the rules and regulations of the SEC.</w:t>
      </w:r>
    </w:p>
    <w:p>
      <w:pPr>
        <w:spacing w:after="0" w:line="163" w:lineRule="exact"/>
        <w:rPr>
          <w:sz w:val="20"/>
          <w:szCs w:val="20"/>
          <w:color w:val="auto"/>
        </w:rPr>
      </w:pPr>
    </w:p>
    <w:p>
      <w:pPr>
        <w:ind w:right="300" w:firstLine="648"/>
        <w:spacing w:after="0" w:line="22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Blueprint Medicines Security Corporation, which is a Massachusetts subsidiary created to buy, sell and hold securities. All intercompany transactions and balances have been eliminated.</w:t>
      </w:r>
    </w:p>
    <w:p>
      <w:pPr>
        <w:spacing w:after="0" w:line="163" w:lineRule="exact"/>
        <w:rPr>
          <w:sz w:val="20"/>
          <w:szCs w:val="20"/>
          <w:color w:val="auto"/>
        </w:rPr>
      </w:pPr>
    </w:p>
    <w:p>
      <w:pPr>
        <w:ind w:right="160" w:firstLine="675"/>
        <w:spacing w:after="0" w:line="182" w:lineRule="exact"/>
        <w:rPr>
          <w:sz w:val="20"/>
          <w:szCs w:val="20"/>
          <w:color w:val="auto"/>
        </w:rPr>
      </w:pPr>
      <w:r>
        <w:rPr>
          <w:rFonts w:ascii="Arial" w:cs="Arial" w:eastAsia="Arial" w:hAnsi="Arial"/>
          <w:sz w:val="16"/>
          <w:szCs w:val="16"/>
          <w:color w:val="auto"/>
        </w:rPr>
        <w:t>In connection with preparing for its IPO, the Company effected a 1</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6"/>
          <w:szCs w:val="16"/>
          <w:color w:val="auto"/>
        </w:rPr>
        <w:t>‑</w:t>
      </w:r>
      <w:r>
        <w:rPr>
          <w:rFonts w:ascii="Arial" w:cs="Arial" w:eastAsia="Arial" w:hAnsi="Arial"/>
          <w:sz w:val="16"/>
          <w:szCs w:val="16"/>
          <w:color w:val="auto"/>
        </w:rPr>
        <w:t>in capital. Upon the closing of the IPO in May 2015, all of the Company’s outstanding convertible preferred stock automatically converted into 15,467,479 shares of common stock, and warrants exercisable for convertible preferred stock automatically converted into warrants exercisable for 42,423 shares of common stock. On December 13, 2016, the Company closed its underwritten public offering of 5,750,000 shares. The significant increase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6" w:name="page117"/>
    <w:bookmarkEnd w:id="1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shares outstanding in the years ended December 31, 2016 and 2015 is expected to impact the year-over-year comparability of the Company’s net loss per share calculations.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20" w:firstLine="627"/>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including estimating the fair value of the Company’s common stock prior to the IPO; revenue recognition; the valuation of liability</w:t>
      </w:r>
      <w:r>
        <w:rPr>
          <w:rFonts w:ascii="MS PGothic" w:cs="MS PGothic" w:eastAsia="MS PGothic" w:hAnsi="MS PGothic"/>
          <w:sz w:val="17"/>
          <w:szCs w:val="17"/>
          <w:color w:val="auto"/>
        </w:rPr>
        <w:t>‑</w:t>
      </w:r>
      <w:r>
        <w:rPr>
          <w:rFonts w:ascii="Arial" w:cs="Arial" w:eastAsia="Arial" w:hAnsi="Arial"/>
          <w:sz w:val="17"/>
          <w:szCs w:val="17"/>
          <w:color w:val="auto"/>
        </w:rPr>
        <w:t>classified warrants prior to the IPO; accrued expenses; and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Available-for-Sale Investments</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Company classifies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“other-than-temporary” and, if so, will mark the investment to market through a charge to the Company’s statement of operations and comprehensive loss.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 xml:space="preserve">The Company recognizes revenue from license and collaboration agreements in accordance with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Accordingly, revenue is recognized when all of the following criteria are met:</w:t>
      </w:r>
    </w:p>
    <w:p>
      <w:pPr>
        <w:spacing w:after="0" w:line="124" w:lineRule="exact"/>
        <w:rPr>
          <w:sz w:val="20"/>
          <w:szCs w:val="20"/>
          <w:color w:val="auto"/>
        </w:rPr>
      </w:pPr>
    </w:p>
    <w:p>
      <w:pPr>
        <w:ind w:left="1120" w:hanging="145"/>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84" w:lineRule="exact"/>
        <w:rPr>
          <w:rFonts w:ascii="Arial" w:cs="Arial" w:eastAsia="Arial" w:hAnsi="Arial"/>
          <w:sz w:val="18"/>
          <w:szCs w:val="18"/>
          <w:color w:val="auto"/>
        </w:rPr>
      </w:pPr>
    </w:p>
    <w:p>
      <w:pPr>
        <w:ind w:left="1120" w:hanging="145"/>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84" w:lineRule="exact"/>
        <w:rPr>
          <w:rFonts w:ascii="Arial" w:cs="Arial" w:eastAsia="Arial" w:hAnsi="Arial"/>
          <w:sz w:val="18"/>
          <w:szCs w:val="18"/>
          <w:color w:val="auto"/>
        </w:rPr>
      </w:pPr>
    </w:p>
    <w:p>
      <w:pPr>
        <w:ind w:left="1100" w:hanging="125"/>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84" w:lineRule="exact"/>
        <w:rPr>
          <w:rFonts w:ascii="Arial" w:cs="Arial" w:eastAsia="Arial" w:hAnsi="Arial"/>
          <w:sz w:val="18"/>
          <w:szCs w:val="18"/>
          <w:color w:val="auto"/>
        </w:rPr>
      </w:pPr>
    </w:p>
    <w:p>
      <w:pPr>
        <w:ind w:left="1160" w:hanging="185"/>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recognized as deferred revenue in the Company’s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17" w:name="page118"/>
    <w:bookmarkEnd w:id="1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Company’s revenue is currently generated through its collaboration agreements with Alexion Pharma Holding (Alexion) and F. Hoffmann-La Roche Ltd and Hoffmann-La Roche Inc. (collectively, Roche) . The terms of these agreements contain multiple elements, or deliverables, including an exclusive license granted by the Company to Alexion and Roche to research, develop, manufacture and commercialize the licensed products and the compounds in the field in the territory, as well as research and development activities to be performed by the Company on behalf of Alexion and Roche related to the licensed product candidates. In addition, the terms of these agreements include payments to the Company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the Company has received the upfront payments, payments for the achievement of certain pre-clinical milestones under the Alexion agreement and payments for certain research and development services. The Company is eligible to earn additional milestone payments under both agreements. The Company has not earned royalty revenue as a result of product sales. See Note 13 for additional information on this agreement.</w:t>
      </w:r>
    </w:p>
    <w:p>
      <w:pPr>
        <w:spacing w:after="0" w:line="12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When evaluating multiple element arrangements,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deliverable(s) for their intended purpose without the receipt of the remaining element(s), whether the value of the deliverable is dependent on the undelivered item(s) and whether there are other vendors that can provide the undelivered element(s). The Company’s collaboration agreements with Alexion and Roche do not contain a general right of return relative to the delivered item(s).</w:t>
      </w:r>
    </w:p>
    <w:p>
      <w:pPr>
        <w:spacing w:after="0" w:line="140"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The Company determines the selling price of a unit of accounting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uses BESP to estimate the selling price, since it generally does not have VSOE or TPE of selling price for its units of accounting.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66"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the event that an element of a multiple element arrangement does not represent a separate unit of accounting, the Company recognizes revenue from the combined element over the period over which it expects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the Company recognizes revenue under the arrangement using the proportional performance method. If there is no discernible pattern of performance and/or objectively measurable performance measures do not exist, then the Company recognizes revenue under the arrangement on a straight-line basis over the period the Company is expected to complete its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8" w:name="page119"/>
    <w:bookmarkEnd w:id="1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multiple-element revenue arrangements may include the following: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Licenses</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deliverables under the Company’s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The Company may recognize the arrangement consideration allocated to licenses upon delivery of the license if facts and circumstances indicate that the license has stand-alone value from the undelivered elements, which generally include research and development services. The Company defers arrangement consideration allocated to licenses if facts and circumstances indicate that the delivered license does not have stand-alone value from the undelivered elements.</w:t>
      </w:r>
    </w:p>
    <w:p>
      <w:pPr>
        <w:spacing w:after="0" w:line="167"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When management believes a license does not have stand-alone value from the other deliverables to be provided in the arrangement, the Company recognizes revenue attributed to the license on a proportional basis over the Company’s contractual or estimated performance period, which is typically the term of the Company’s research and development obligations. If management cannot reasonably estimate when the Company’s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Services</w:t>
      </w:r>
    </w:p>
    <w:p>
      <w:pPr>
        <w:spacing w:after="0" w:line="185" w:lineRule="exact"/>
        <w:rPr>
          <w:sz w:val="20"/>
          <w:szCs w:val="20"/>
          <w:color w:val="auto"/>
        </w:rPr>
      </w:pPr>
    </w:p>
    <w:p>
      <w:pPr>
        <w:jc w:val="both"/>
        <w:ind w:right="60" w:firstLine="648"/>
        <w:spacing w:after="0" w:line="216" w:lineRule="auto"/>
        <w:rPr>
          <w:sz w:val="20"/>
          <w:szCs w:val="20"/>
          <w:color w:val="auto"/>
        </w:rPr>
      </w:pPr>
      <w:r>
        <w:rPr>
          <w:rFonts w:ascii="Arial" w:cs="Arial" w:eastAsia="Arial" w:hAnsi="Arial"/>
          <w:sz w:val="18"/>
          <w:szCs w:val="18"/>
          <w:color w:val="auto"/>
        </w:rPr>
        <w:t>The deliverables under the Company’s collaboration agreements may include 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so long as there is persuasive evidence of an arrangement, the fee is fixed or determinable, and collection of the related amount is reasonably assured.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 Revenue</w:t>
      </w:r>
    </w:p>
    <w:p>
      <w:pPr>
        <w:spacing w:after="0" w:line="185"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Company’s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ind w:right="400" w:firstLine="648"/>
        <w:spacing w:after="0" w:line="224" w:lineRule="auto"/>
        <w:rPr>
          <w:sz w:val="20"/>
          <w:szCs w:val="20"/>
          <w:color w:val="auto"/>
        </w:rPr>
      </w:pPr>
      <w:r>
        <w:rPr>
          <w:rFonts w:ascii="Arial" w:cs="Arial" w:eastAsia="Arial" w:hAnsi="Arial"/>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1060" w:right="360" w:hanging="85"/>
        <w:spacing w:after="0" w:line="224"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Company’s performance to achieve the milestone or the enhancement of the value of the delivered item(s) as a result of a specific outcome resulting from the Company’s performance to achieve the milestone;</w:t>
      </w:r>
    </w:p>
    <w:p>
      <w:pPr>
        <w:spacing w:after="0" w:line="163" w:lineRule="exact"/>
        <w:rPr>
          <w:rFonts w:ascii="Arial" w:cs="Arial" w:eastAsia="Arial" w:hAnsi="Arial"/>
          <w:sz w:val="18"/>
          <w:szCs w:val="18"/>
          <w:color w:val="auto"/>
        </w:rPr>
      </w:pPr>
    </w:p>
    <w:p>
      <w:pPr>
        <w:ind w:left="1100" w:hanging="125"/>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84" w:lineRule="exact"/>
        <w:rPr>
          <w:rFonts w:ascii="Arial" w:cs="Arial" w:eastAsia="Arial" w:hAnsi="Arial"/>
          <w:sz w:val="18"/>
          <w:szCs w:val="18"/>
          <w:color w:val="auto"/>
        </w:rPr>
      </w:pPr>
    </w:p>
    <w:p>
      <w:pPr>
        <w:ind w:left="1060" w:hanging="85"/>
        <w:spacing w:after="0"/>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consideration is reasonable relative to all of the deliverables and payment terms within the arrangement.</w:t>
      </w:r>
    </w:p>
    <w:p>
      <w:pPr>
        <w:spacing w:after="0" w:line="208"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 milestone. Milestones that are considered substantive will be recognized in their entirety upon successful accomplishment of the milestone with a cumulative catch up adjustments, assuming all other revenue recognition criteria are met.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9" w:name="page120"/>
    <w:bookmarkEnd w:id="1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Royalty Revenue.</w:t>
      </w:r>
    </w:p>
    <w:p>
      <w:pPr>
        <w:spacing w:after="0" w:line="185" w:lineRule="exact"/>
        <w:rPr>
          <w:sz w:val="20"/>
          <w:szCs w:val="20"/>
          <w:color w:val="auto"/>
        </w:rPr>
      </w:pPr>
    </w:p>
    <w:p>
      <w:pPr>
        <w:ind w:right="119" w:firstLine="582"/>
        <w:spacing w:after="0" w:line="224"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Comprehensive Income (Loss)</w:t>
      </w:r>
    </w:p>
    <w:p>
      <w:pPr>
        <w:spacing w:after="0" w:line="185" w:lineRule="exact"/>
        <w:rPr>
          <w:sz w:val="20"/>
          <w:szCs w:val="20"/>
          <w:color w:val="auto"/>
        </w:rPr>
      </w:pPr>
    </w:p>
    <w:p>
      <w:pPr>
        <w:ind w:right="179" w:firstLine="648"/>
        <w:spacing w:after="0" w:line="189" w:lineRule="exact"/>
        <w:rPr>
          <w:sz w:val="20"/>
          <w:szCs w:val="20"/>
          <w:color w:val="auto"/>
        </w:rPr>
      </w:pPr>
      <w:r>
        <w:rPr>
          <w:rFonts w:ascii="Arial" w:cs="Arial" w:eastAsia="Arial" w:hAnsi="Arial"/>
          <w:sz w:val="18"/>
          <w:szCs w:val="18"/>
          <w:color w:val="auto"/>
        </w:rPr>
        <w:t>Comprehensive income (loss) is defined as the change in equity of a business enterprise during a period from transactions and other events and circumstances from non</w:t>
      </w:r>
      <w:r>
        <w:rPr>
          <w:rFonts w:ascii="MS PGothic" w:cs="MS PGothic" w:eastAsia="MS PGothic" w:hAnsi="MS PGothic"/>
          <w:sz w:val="18"/>
          <w:szCs w:val="18"/>
          <w:color w:val="auto"/>
        </w:rPr>
        <w:t>‑</w:t>
      </w:r>
      <w:r>
        <w:rPr>
          <w:rFonts w:ascii="Arial" w:cs="Arial" w:eastAsia="Arial" w:hAnsi="Arial"/>
          <w:sz w:val="18"/>
          <w:szCs w:val="18"/>
          <w:color w:val="auto"/>
        </w:rPr>
        <w:t>owner sources. Other comprehensive income (loss) consisted of unrealized gains and losses on investments for the year ended December 31, 2016. For the years ended December 31, 2015 and 2014, comprehensive loss was equal to net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5" w:lineRule="exact"/>
        <w:rPr>
          <w:sz w:val="20"/>
          <w:szCs w:val="20"/>
          <w:color w:val="auto"/>
        </w:rPr>
      </w:pPr>
    </w:p>
    <w:p>
      <w:pPr>
        <w:ind w:right="119" w:firstLine="648"/>
        <w:spacing w:after="0" w:line="224" w:lineRule="auto"/>
        <w:rPr>
          <w:sz w:val="20"/>
          <w:szCs w:val="20"/>
          <w:color w:val="auto"/>
        </w:rPr>
      </w:pPr>
      <w:r>
        <w:rPr>
          <w:rFonts w:ascii="Arial" w:cs="Arial" w:eastAsia="Arial" w:hAnsi="Arial"/>
          <w:sz w:val="18"/>
          <w:szCs w:val="18"/>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discovery platform.</w:t>
      </w:r>
    </w:p>
    <w:p>
      <w:pPr>
        <w:spacing w:after="0" w:line="163" w:lineRule="exact"/>
        <w:rPr>
          <w:sz w:val="20"/>
          <w:szCs w:val="20"/>
          <w:color w:val="auto"/>
        </w:rPr>
      </w:pPr>
    </w:p>
    <w:p>
      <w:pPr>
        <w:ind w:right="39" w:firstLine="585"/>
        <w:spacing w:after="0" w:line="229" w:lineRule="auto"/>
        <w:rPr>
          <w:sz w:val="20"/>
          <w:szCs w:val="20"/>
          <w:color w:val="auto"/>
        </w:rPr>
      </w:pPr>
      <w:r>
        <w:rPr>
          <w:rFonts w:ascii="Arial" w:cs="Arial" w:eastAsia="Arial" w:hAnsi="Arial"/>
          <w:sz w:val="17"/>
          <w:szCs w:val="17"/>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79" w:firstLine="585"/>
        <w:spacing w:after="0" w:line="189" w:lineRule="exact"/>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Impairment of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Lived Assets</w:t>
      </w:r>
    </w:p>
    <w:p>
      <w:pPr>
        <w:spacing w:after="0" w:line="185" w:lineRule="exact"/>
        <w:rPr>
          <w:sz w:val="20"/>
          <w:szCs w:val="20"/>
          <w:color w:val="auto"/>
        </w:rPr>
      </w:pPr>
    </w:p>
    <w:p>
      <w:pPr>
        <w:ind w:right="79" w:firstLine="582"/>
        <w:spacing w:after="0" w:line="194" w:lineRule="exact"/>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w:t>
      </w:r>
      <w:r>
        <w:rPr>
          <w:rFonts w:ascii="MS PGothic" w:cs="MS PGothic" w:eastAsia="MS PGothic" w:hAnsi="MS PGothic"/>
          <w:sz w:val="17"/>
          <w:szCs w:val="17"/>
          <w:color w:val="auto"/>
        </w:rPr>
        <w:t>‑</w:t>
      </w:r>
      <w:r>
        <w:rPr>
          <w:rFonts w:ascii="Arial" w:cs="Arial" w:eastAsia="Arial" w:hAnsi="Arial"/>
          <w:sz w:val="17"/>
          <w:szCs w:val="17"/>
          <w:color w:val="auto"/>
        </w:rPr>
        <w:t>lived assets may warrant revision or that the carrying value of these assets may be impaired. The Company has not recognized any impairment charges through December 31,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ind w:right="19" w:firstLine="582"/>
        <w:spacing w:after="0" w:line="241" w:lineRule="auto"/>
        <w:rPr>
          <w:sz w:val="20"/>
          <w:szCs w:val="20"/>
          <w:color w:val="auto"/>
        </w:rPr>
      </w:pPr>
      <w:r>
        <w:rPr>
          <w:rFonts w:ascii="Arial" w:cs="Arial" w:eastAsia="Arial" w:hAnsi="Arial"/>
          <w:sz w:val="16"/>
          <w:szCs w:val="16"/>
          <w:color w:val="auto"/>
        </w:rPr>
        <w:t>The Company accounts for warrant instruments that either conditionally or unconditionally obligate the issuer to transfer assets and liabilities regardless of the timing of the redemption feature or price, even though the underlying shares may be classified as permanent or temporary equity. These warrants are subject to revaluation at each balance sheet date, and any changes in fair value are recorded as a component of other income (expense), until the earlier of their exercise or expiration or the time the warrants no longer conditionally or unconditionally obligate the Company to transfer assets or liabilities, which occurred upon the IPO, at which time the warrant liability was reclassified to stockholders’ equity.</w:t>
      </w:r>
    </w:p>
    <w:p>
      <w:pPr>
        <w:spacing w:after="0" w:line="16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 Expense</w:t>
      </w:r>
    </w:p>
    <w:p>
      <w:pPr>
        <w:spacing w:after="0" w:line="185" w:lineRule="exact"/>
        <w:rPr>
          <w:sz w:val="20"/>
          <w:szCs w:val="20"/>
          <w:color w:val="auto"/>
        </w:rPr>
      </w:pPr>
    </w:p>
    <w:p>
      <w:pPr>
        <w:ind w:right="79" w:firstLine="648"/>
        <w:spacing w:after="0" w:line="189" w:lineRule="exact"/>
        <w:rPr>
          <w:sz w:val="20"/>
          <w:szCs w:val="20"/>
          <w:color w:val="auto"/>
        </w:rPr>
      </w:pPr>
      <w:r>
        <w:rPr>
          <w:rFonts w:ascii="Arial" w:cs="Arial" w:eastAsia="Arial" w:hAnsi="Arial"/>
          <w:sz w:val="17"/>
          <w:szCs w:val="17"/>
          <w:color w:val="auto"/>
        </w:rPr>
        <w:t>The Company expenses the fair value of employee stock awards net of estimated forfeitures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requisite service period, which generally is the vesting period. Compensation cost for restricted stock awards issued to employees is measured using the grant date intrinsic value of the award, net of estimated forfeitures, adjusted to reflect actual forfeitures. The Company estimates the fair value of the options granted to employees at the</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120" w:name="page121"/>
    <w:bookmarkEnd w:id="1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03" w:lineRule="exact"/>
        <w:rPr>
          <w:sz w:val="20"/>
          <w:szCs w:val="20"/>
          <w:color w:val="auto"/>
        </w:rPr>
      </w:pPr>
      <w:r>
        <w:rPr>
          <w:rFonts w:ascii="Arial" w:cs="Arial" w:eastAsia="Arial" w:hAnsi="Arial"/>
          <w:sz w:val="18"/>
          <w:szCs w:val="18"/>
          <w:color w:val="auto"/>
        </w:rPr>
        <w:t>date of grant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that requires management to apply judgment and make estimates, including:</w:t>
      </w:r>
    </w:p>
    <w:p>
      <w:pPr>
        <w:spacing w:after="0" w:line="162" w:lineRule="exact"/>
        <w:rPr>
          <w:sz w:val="20"/>
          <w:szCs w:val="20"/>
          <w:color w:val="auto"/>
        </w:rPr>
      </w:pPr>
    </w:p>
    <w:p>
      <w:pPr>
        <w:ind w:left="1060" w:right="40" w:hanging="85"/>
        <w:spacing w:after="0" w:line="221"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expected volatility, which is calculated based on reported volatility data for a representative group of publicly traded companies for which historical information is available. Prior to April 30, 2015, the Company was a privately-held company and lacked company-specific historical and implied volatility information. As such, the Company has used an average of expected volatility based on the volatilities of a representative group of publicly traded biopharmaceutical companies for a period equal to the expected term of the option grant. Beginning in the fourth quarter of 2015, the Company began to include its own volatility into the average calculation. The Company intends to consistently apply this process using the same representative companies until a sufficient amount of historical information regarding the volatility of its own share price becomes available or until circumstances change, such that the identified entities are no longer representative companies. In the latter case, more suitable, similar entities whose share prices are publicly available would be utilized in the calculation;</w:t>
      </w:r>
    </w:p>
    <w:p>
      <w:pPr>
        <w:spacing w:after="0" w:line="167" w:lineRule="exact"/>
        <w:rPr>
          <w:rFonts w:ascii="Arial" w:cs="Arial" w:eastAsia="Arial" w:hAnsi="Arial"/>
          <w:sz w:val="17"/>
          <w:szCs w:val="17"/>
          <w:color w:val="auto"/>
        </w:rPr>
      </w:pPr>
    </w:p>
    <w:p>
      <w:pPr>
        <w:ind w:left="1060" w:right="920" w:hanging="85"/>
        <w:spacing w:after="0" w:line="203" w:lineRule="exact"/>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 which is based on the U.S. Treasury yield curve in effect at the time of grant commensurate with the expected life assumption;</w:t>
      </w:r>
    </w:p>
    <w:p>
      <w:pPr>
        <w:spacing w:after="0" w:line="161" w:lineRule="exact"/>
        <w:rPr>
          <w:rFonts w:ascii="Arial" w:cs="Arial" w:eastAsia="Arial" w:hAnsi="Arial"/>
          <w:sz w:val="18"/>
          <w:szCs w:val="18"/>
          <w:color w:val="auto"/>
        </w:rPr>
      </w:pPr>
    </w:p>
    <w:p>
      <w:pPr>
        <w:ind w:left="1060" w:right="60" w:hanging="85"/>
        <w:spacing w:after="0" w:line="194" w:lineRule="exact"/>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expected term, which the Company calculates using the simplified method, as prescribed by the Securities and Exchange Commission Staff Accounting Bulletin No. 107, </w:t>
      </w:r>
      <w:r>
        <w:rPr>
          <w:rFonts w:ascii="Arial" w:cs="Arial" w:eastAsia="Arial" w:hAnsi="Arial"/>
          <w:sz w:val="17"/>
          <w:szCs w:val="17"/>
          <w:i w:val="1"/>
          <w:iCs w:val="1"/>
          <w:color w:val="auto"/>
        </w:rPr>
        <w:t>Share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Based Payment,</w:t>
      </w:r>
      <w:r>
        <w:rPr>
          <w:rFonts w:ascii="Arial" w:cs="Arial" w:eastAsia="Arial" w:hAnsi="Arial"/>
          <w:sz w:val="17"/>
          <w:szCs w:val="17"/>
          <w:color w:val="auto"/>
        </w:rPr>
        <w:t xml:space="preserve"> as the Company has insufficient historical information regarding stock options to provide a basis for an estimate;</w:t>
      </w:r>
    </w:p>
    <w:p>
      <w:pPr>
        <w:spacing w:after="0" w:line="161" w:lineRule="exact"/>
        <w:rPr>
          <w:rFonts w:ascii="Arial" w:cs="Arial" w:eastAsia="Arial" w:hAnsi="Arial"/>
          <w:sz w:val="17"/>
          <w:szCs w:val="17"/>
          <w:color w:val="auto"/>
        </w:rPr>
      </w:pPr>
    </w:p>
    <w:p>
      <w:pPr>
        <w:ind w:left="1060" w:right="140" w:hanging="85"/>
        <w:spacing w:after="0" w:line="187" w:lineRule="exact"/>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prior to becoming a public company, fair value estimates of the underlying common shares, which were determined using the option</w:t>
      </w:r>
      <w:r>
        <w:rPr>
          <w:rFonts w:ascii="MS PGothic" w:cs="MS PGothic" w:eastAsia="MS PGothic" w:hAnsi="MS PGothic"/>
          <w:sz w:val="17"/>
          <w:szCs w:val="17"/>
          <w:color w:val="auto"/>
        </w:rPr>
        <w:t>‑</w:t>
      </w:r>
      <w:r>
        <w:rPr>
          <w:rFonts w:ascii="Arial" w:cs="Arial" w:eastAsia="Arial" w:hAnsi="Arial"/>
          <w:sz w:val="17"/>
          <w:szCs w:val="17"/>
          <w:color w:val="auto"/>
        </w:rPr>
        <w:t>pricing method (OPM) or a hybrid of the probability</w:t>
      </w:r>
      <w:r>
        <w:rPr>
          <w:rFonts w:ascii="MS PGothic" w:cs="MS PGothic" w:eastAsia="MS PGothic" w:hAnsi="MS PGothic"/>
          <w:sz w:val="17"/>
          <w:szCs w:val="17"/>
          <w:color w:val="auto"/>
        </w:rPr>
        <w:t>‑</w:t>
      </w:r>
      <w:r>
        <w:rPr>
          <w:rFonts w:ascii="Arial" w:cs="Arial" w:eastAsia="Arial" w:hAnsi="Arial"/>
          <w:sz w:val="17"/>
          <w:szCs w:val="17"/>
          <w:color w:val="auto"/>
        </w:rPr>
        <w:t>weighted expected return method and the OPM and were approved by the Company’s board of directors. Upon becoming a public company, the fair value of the underlying common shares equals the closing price of the Company’s stock on The NASDAQ Global Select Market on the date of grant; and</w:t>
      </w:r>
    </w:p>
    <w:p>
      <w:pPr>
        <w:spacing w:after="0" w:line="161" w:lineRule="exact"/>
        <w:rPr>
          <w:rFonts w:ascii="Arial" w:cs="Arial" w:eastAsia="Arial" w:hAnsi="Arial"/>
          <w:sz w:val="17"/>
          <w:szCs w:val="17"/>
          <w:color w:val="auto"/>
        </w:rPr>
      </w:pPr>
    </w:p>
    <w:p>
      <w:pPr>
        <w:ind w:left="1060" w:hanging="85"/>
        <w:spacing w:after="0" w:line="235"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dividend yield which is zero based on the fact that the Company never paid cash dividends and does not expect to pay any cash dividends in the foreseeable future.</w:t>
      </w:r>
    </w:p>
    <w:p>
      <w:pPr>
        <w:spacing w:after="0" w:line="16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8"/>
          <w:szCs w:val="18"/>
          <w:color w:val="auto"/>
        </w:rPr>
        <w:t>The amount of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during a period is based on the fair value of the portion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option. The Company evaluates its forfeiture rate at each reporting period. Ultimately, the actual expense recognized over the vesting period will be for only those options that vest.</w:t>
      </w:r>
    </w:p>
    <w:p>
      <w:pPr>
        <w:spacing w:after="0" w:line="162" w:lineRule="exact"/>
        <w:rPr>
          <w:sz w:val="20"/>
          <w:szCs w:val="20"/>
          <w:color w:val="auto"/>
        </w:rPr>
      </w:pPr>
    </w:p>
    <w:p>
      <w:pPr>
        <w:ind w:right="20" w:firstLine="585"/>
        <w:spacing w:after="0" w:line="189" w:lineRule="exact"/>
        <w:rPr>
          <w:sz w:val="20"/>
          <w:szCs w:val="20"/>
          <w:color w:val="auto"/>
        </w:rPr>
      </w:pP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 including directors for non</w:t>
      </w:r>
      <w:r>
        <w:rPr>
          <w:rFonts w:ascii="MS PGothic" w:cs="MS PGothic" w:eastAsia="MS PGothic" w:hAnsi="MS PGothic"/>
          <w:sz w:val="17"/>
          <w:szCs w:val="17"/>
          <w:color w:val="auto"/>
        </w:rPr>
        <w:t>‑</w:t>
      </w:r>
      <w:r>
        <w:rPr>
          <w:rFonts w:ascii="Arial" w:cs="Arial" w:eastAsia="Arial" w:hAnsi="Arial"/>
          <w:sz w:val="17"/>
          <w:szCs w:val="17"/>
          <w:color w:val="auto"/>
        </w:rPr>
        <w:t>board</w:t>
      </w:r>
      <w:r>
        <w:rPr>
          <w:rFonts w:ascii="MS PGothic" w:cs="MS PGothic" w:eastAsia="MS PGothic" w:hAnsi="MS PGothic"/>
          <w:sz w:val="17"/>
          <w:szCs w:val="17"/>
          <w:color w:val="auto"/>
        </w:rPr>
        <w:t>‑</w:t>
      </w:r>
      <w:r>
        <w:rPr>
          <w:rFonts w:ascii="Arial" w:cs="Arial" w:eastAsia="Arial" w:hAnsi="Arial"/>
          <w:sz w:val="17"/>
          <w:szCs w:val="17"/>
          <w:color w:val="auto"/>
        </w:rPr>
        <w:t>related services, are accounted for based on the fair value of such services received or of the intrinsic value of equity instruments issued, whichever is more reliably measured. These stock</w:t>
      </w:r>
      <w:r>
        <w:rPr>
          <w:rFonts w:ascii="MS PGothic" w:cs="MS PGothic" w:eastAsia="MS PGothic" w:hAnsi="MS PGothic"/>
          <w:sz w:val="17"/>
          <w:szCs w:val="17"/>
          <w:color w:val="auto"/>
        </w:rPr>
        <w:t>‑</w:t>
      </w:r>
      <w:r>
        <w:rPr>
          <w:rFonts w:ascii="Arial" w:cs="Arial" w:eastAsia="Arial" w:hAnsi="Arial"/>
          <w:sz w:val="17"/>
          <w:szCs w:val="17"/>
          <w:color w:val="auto"/>
        </w:rPr>
        <w:t>based awards are revalued at each vesting date and period</w:t>
      </w:r>
      <w:r>
        <w:rPr>
          <w:rFonts w:ascii="MS PGothic" w:cs="MS PGothic" w:eastAsia="MS PGothic" w:hAnsi="MS PGothic"/>
          <w:sz w:val="17"/>
          <w:szCs w:val="17"/>
          <w:color w:val="auto"/>
        </w:rPr>
        <w:t>‑</w:t>
      </w:r>
      <w:r>
        <w:rPr>
          <w:rFonts w:ascii="Arial" w:cs="Arial" w:eastAsia="Arial" w:hAnsi="Arial"/>
          <w:sz w:val="17"/>
          <w:szCs w:val="17"/>
          <w:color w:val="auto"/>
        </w:rPr>
        <w:t>end. Stock</w:t>
      </w:r>
      <w:r>
        <w:rPr>
          <w:rFonts w:ascii="MS PGothic" w:cs="MS PGothic" w:eastAsia="MS PGothic" w:hAnsi="MS PGothic"/>
          <w:sz w:val="17"/>
          <w:szCs w:val="17"/>
          <w:color w:val="auto"/>
        </w:rPr>
        <w:t>‑</w:t>
      </w:r>
      <w:r>
        <w:rPr>
          <w:rFonts w:ascii="Arial" w:cs="Arial" w:eastAsia="Arial" w:hAnsi="Arial"/>
          <w:sz w:val="17"/>
          <w:szCs w:val="17"/>
          <w:color w:val="auto"/>
        </w:rPr>
        <w:t>based awards subject to service</w:t>
      </w:r>
      <w:r>
        <w:rPr>
          <w:rFonts w:ascii="MS PGothic" w:cs="MS PGothic" w:eastAsia="MS PGothic" w:hAnsi="MS PGothic"/>
          <w:sz w:val="17"/>
          <w:szCs w:val="17"/>
          <w:color w:val="auto"/>
        </w:rPr>
        <w:t>‑</w:t>
      </w:r>
      <w:r>
        <w:rPr>
          <w:rFonts w:ascii="Arial" w:cs="Arial" w:eastAsia="Arial" w:hAnsi="Arial"/>
          <w:sz w:val="17"/>
          <w:szCs w:val="17"/>
          <w:color w:val="auto"/>
        </w:rPr>
        <w:t>based vesting conditions are expensed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vesting period.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1" w:name="page122"/>
    <w:bookmarkEnd w:id="1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Concentrations of Credit Risk and Off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Balance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Sheet Risk</w:t>
      </w:r>
    </w:p>
    <w:p>
      <w:pPr>
        <w:spacing w:after="0" w:line="185"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The Company has no significant off</w:t>
      </w:r>
      <w:r>
        <w:rPr>
          <w:rFonts w:ascii="MS PGothic" w:cs="MS PGothic" w:eastAsia="MS PGothic" w:hAnsi="MS PGothic"/>
          <w:sz w:val="18"/>
          <w:szCs w:val="18"/>
          <w:color w:val="auto"/>
        </w:rPr>
        <w:t>‑</w:t>
      </w:r>
      <w:r>
        <w:rPr>
          <w:rFonts w:ascii="Arial" w:cs="Arial" w:eastAsia="Arial" w:hAnsi="Arial"/>
          <w:sz w:val="18"/>
          <w:szCs w:val="18"/>
          <w:color w:val="auto"/>
        </w:rPr>
        <w:t>balance</w:t>
      </w:r>
      <w:r>
        <w:rPr>
          <w:rFonts w:ascii="MS PGothic" w:cs="MS PGothic" w:eastAsia="MS PGothic" w:hAnsi="MS PGothic"/>
          <w:sz w:val="18"/>
          <w:szCs w:val="18"/>
          <w:color w:val="auto"/>
        </w:rPr>
        <w:t>‑</w:t>
      </w:r>
      <w:r>
        <w:rPr>
          <w:rFonts w:ascii="Arial" w:cs="Arial" w:eastAsia="Arial" w:hAnsi="Arial"/>
          <w:sz w:val="18"/>
          <w:szCs w:val="18"/>
          <w:color w:val="auto"/>
        </w:rPr>
        <w:t>sheet risk such as foreign exchange contracts, option contracts, or other foreign hedging arrangements. Financial instruments that potentially expose the Company to concentrations of credit risk primarily consist of cash and cash equivalents and accounts receivable.</w:t>
      </w:r>
    </w:p>
    <w:p>
      <w:pPr>
        <w:spacing w:after="0" w:line="163"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The Company maintains its cash, cash equivalents and investments in a custodian account at a high quality financial institution, and consequently, the Company believes that such funds are subject to minimal credit risk.</w:t>
      </w:r>
    </w:p>
    <w:p>
      <w:pPr>
        <w:spacing w:after="0" w:line="147"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Accounts receivable represents amounts due from the Company’s collaboration partner. The Company monitors economic conditions to identify facts or circumstances that may indicate that its accounts receivable is at risk of collection.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only in the United States.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supersedes the revenue recognition requirements in ASC 605-25, </w:t>
      </w:r>
      <w:r>
        <w:rPr>
          <w:rFonts w:ascii="Arial" w:cs="Arial" w:eastAsia="Arial" w:hAnsi="Arial"/>
          <w:sz w:val="16"/>
          <w:szCs w:val="16"/>
          <w:i w:val="1"/>
          <w:iCs w:val="1"/>
          <w:color w:val="auto"/>
        </w:rPr>
        <w:t>Multiple-Element Arrangements</w:t>
      </w:r>
      <w:r>
        <w:rPr>
          <w:rFonts w:ascii="Arial" w:cs="Arial" w:eastAsia="Arial" w:hAnsi="Arial"/>
          <w:sz w:val="16"/>
          <w:szCs w:val="16"/>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Early adoption in 2017 is permitted. Companies have the option of applying this new guidance retrospectively to each prior reporting period presented (the full retrospective method) or retrospectively with the cumulative effect of initially applying this update recognized at the date of initial application (the modified retrospective method). The Company currently anticipates adoption of the new standard effective January 1, 2018 under the modified retrospective method. The Company is in the process of determining the impact of the new guidance on its financial statements.</w:t>
      </w:r>
    </w:p>
    <w:p>
      <w:pPr>
        <w:spacing w:after="0" w:line="126"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(Subtopic 205-40): Disclosure of Uncertainties about an Entity’s Ability to Continue as a Going Concern. </w:t>
      </w:r>
      <w:r>
        <w:rPr>
          <w:rFonts w:ascii="Arial" w:cs="Arial" w:eastAsia="Arial" w:hAnsi="Arial"/>
          <w:sz w:val="16"/>
          <w:szCs w:val="16"/>
          <w:color w:val="auto"/>
        </w:rPr>
        <w:t>This new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is intended to define management’s responsibility to evaluate whether there is substantial doubt about an entity’s ability to continue as a going concern within one year of the date of issuance of the entity’s financial statements and to provide related footnote disclosures. The standard is effective for interim and annual periods ending after December 15, 2016. The standard did not have a material impact on the Company’s consolidated financial statements or footnote disclosures as of the December 31, 2016 adoption date, but may require additional disclosures in future periods.</w:t>
      </w:r>
    </w:p>
    <w:p>
      <w:pPr>
        <w:spacing w:after="0" w:line="81"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which amends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The new standard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new standard will be effective for the Company on January 1, 2017. The adoption of this standard is expected to impact the income tax footnote disclosures and is not expected to have a material impact on the Company’s consolidated financial statements.</w:t>
      </w:r>
    </w:p>
    <w:p>
      <w:pPr>
        <w:spacing w:after="0" w:line="163"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Topic 740). The new standard requires that deferred tax assets and liabilities be classified as noncurrent in a 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financial position. The adoption of this standard in the last quarter of 2016 did not have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2" w:name="page123"/>
    <w:bookmarkEnd w:id="1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material impact on the Company’s financial position or results of operations as its net deferred tax assets have been fully offset by a valuation allowance.</w:t>
      </w:r>
    </w:p>
    <w:p>
      <w:pPr>
        <w:spacing w:after="0" w:line="162" w:lineRule="exact"/>
        <w:rPr>
          <w:sz w:val="20"/>
          <w:szCs w:val="20"/>
          <w:color w:val="auto"/>
        </w:rPr>
      </w:pPr>
    </w:p>
    <w:p>
      <w:pPr>
        <w:ind w:right="60" w:firstLine="585"/>
        <w:spacing w:after="0" w:line="23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will change the way the Company recognizes its leased assets. ASU 2016-02 will require organizations that lease assets—referred to as "lessees"—to recognize on the balance sheet the assets and liabilities representing the rights and obligations created by those leases. ASU 2016-02 will also require disclosures to help investors and other financial statement users better understand the amount, timing, and uncertainty of cash flows arising from leases. The standard is effective for annual reporting periods (including interim reporting periods within those years) beginning after December 15, 2018.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75"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equivalents and investments, available-for-sale, consisted of the following at December 31, 2016 and</w:t>
      </w:r>
    </w:p>
    <w:p>
      <w:pPr>
        <w:spacing w:after="0"/>
        <w:rPr>
          <w:sz w:val="20"/>
          <w:szCs w:val="20"/>
          <w:color w:val="auto"/>
        </w:rPr>
      </w:pPr>
      <w:r>
        <w:rPr>
          <w:rFonts w:ascii="Arial" w:cs="Arial" w:eastAsia="Arial" w:hAnsi="Arial"/>
          <w:sz w:val="18"/>
          <w:szCs w:val="18"/>
          <w:color w:val="auto"/>
        </w:rPr>
        <w:t>December 31, 2015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2016</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220" w:type="dxa"/>
            <w:vAlign w:val="bottom"/>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ind w:right="76"/>
              <w:spacing w:after="0"/>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3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10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52,069</w:t>
            </w:r>
          </w:p>
        </w:tc>
        <w:tc>
          <w:tcPr>
            <w:tcW w:w="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Arial" w:cs="Arial" w:eastAsia="Arial" w:hAnsi="Arial"/>
                <w:sz w:val="18"/>
                <w:szCs w:val="18"/>
                <w:color w:val="auto"/>
              </w:rPr>
              <w:t>U.S. treasury obligations</w:t>
            </w:r>
          </w:p>
        </w:tc>
        <w:tc>
          <w:tcPr>
            <w:tcW w:w="1060" w:type="dxa"/>
            <w:vAlign w:val="bottom"/>
          </w:tcPr>
          <w:p>
            <w:pPr>
              <w:ind w:left="260"/>
              <w:spacing w:after="0"/>
              <w:rPr>
                <w:sz w:val="20"/>
                <w:szCs w:val="20"/>
                <w:color w:val="auto"/>
              </w:rPr>
            </w:pPr>
            <w:r>
              <w:rPr>
                <w:rFonts w:ascii="Arial" w:cs="Arial" w:eastAsia="Arial" w:hAnsi="Arial"/>
                <w:sz w:val="18"/>
                <w:szCs w:val="18"/>
                <w:color w:val="auto"/>
              </w:rPr>
              <w:t>298 Days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216,167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216,149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268,236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268,218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3"/>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2015</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center"/>
              <w:ind w:right="36"/>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4"/>
        </w:trPr>
        <w:tc>
          <w:tcPr>
            <w:tcW w:w="322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Gain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3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Money market funds</w:t>
            </w:r>
          </w:p>
        </w:tc>
        <w:tc>
          <w:tcPr>
            <w:tcW w:w="10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162,707</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162,707</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162,707</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162,707</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right="100" w:firstLine="648"/>
        <w:spacing w:after="0" w:line="232" w:lineRule="auto"/>
        <w:rPr>
          <w:sz w:val="20"/>
          <w:szCs w:val="20"/>
          <w:color w:val="auto"/>
        </w:rPr>
      </w:pPr>
      <w:r>
        <w:rPr>
          <w:rFonts w:ascii="Arial" w:cs="Arial" w:eastAsia="Arial" w:hAnsi="Arial"/>
          <w:sz w:val="17"/>
          <w:szCs w:val="17"/>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year ended December 31, 2016, there were no realized gains or losses on sales of investments, and no investments were adjusted for other than temporary declines in fair value.</w:t>
      </w:r>
    </w:p>
    <w:p>
      <w:pPr>
        <w:spacing w:after="0" w:line="163"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At December 31, 2016, the Company held 33 securities that were in an unrealized loss position. The aggregate fair value of securities held by the Company in an unrealized loss position for less than twelve months as of December 31, 2016 was $147.1 million and there were no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 Company determined it did not hold any investments with an other-than temporary impairment as of December 31, 2016</w:t>
      </w:r>
      <w:r>
        <w:rPr>
          <w:rFonts w:ascii="Arial" w:cs="Arial" w:eastAsia="Arial" w:hAnsi="Arial"/>
          <w:sz w:val="9"/>
          <w:szCs w:val="9"/>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23" w:name="page124"/>
    <w:bookmarkEnd w:id="1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89"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162" w:lineRule="exact"/>
        <w:rPr>
          <w:sz w:val="20"/>
          <w:szCs w:val="20"/>
          <w:color w:val="auto"/>
        </w:rPr>
      </w:pPr>
    </w:p>
    <w:p>
      <w:pPr>
        <w:ind w:left="1060" w:hanging="85"/>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84" w:lineRule="exact"/>
        <w:rPr>
          <w:rFonts w:ascii="Arial" w:cs="Arial" w:eastAsia="Arial" w:hAnsi="Arial"/>
          <w:sz w:val="18"/>
          <w:szCs w:val="18"/>
          <w:color w:val="auto"/>
        </w:rPr>
      </w:pPr>
    </w:p>
    <w:p>
      <w:pPr>
        <w:ind w:left="1060" w:right="180" w:hanging="85"/>
        <w:spacing w:after="0" w:line="235"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161" w:lineRule="exact"/>
        <w:rPr>
          <w:rFonts w:ascii="Arial" w:cs="Arial" w:eastAsia="Arial" w:hAnsi="Arial"/>
          <w:sz w:val="18"/>
          <w:szCs w:val="18"/>
          <w:color w:val="auto"/>
        </w:rPr>
      </w:pPr>
    </w:p>
    <w:p>
      <w:pPr>
        <w:ind w:left="1060" w:right="240" w:hanging="85"/>
        <w:spacing w:after="0" w:line="259"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47"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2016, are classified below based on the fair value hierarchy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35"/>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center"/>
              <w:ind w:right="14"/>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52,069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52,069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U.S Treasury obligations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216,149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268,218</w:t>
            </w:r>
          </w:p>
        </w:tc>
        <w:tc>
          <w:tcPr>
            <w:tcW w:w="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2015, are classified below based on the fair value hierarchy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060" w:type="dxa"/>
            <w:vAlign w:val="bottom"/>
            <w:gridSpan w:val="2"/>
            <w:vMerge w:val="continue"/>
          </w:tcPr>
          <w:p>
            <w:pPr>
              <w:spacing w:after="0"/>
              <w:rPr>
                <w:sz w:val="14"/>
                <w:szCs w:val="14"/>
                <w:color w:val="auto"/>
              </w:rPr>
            </w:pPr>
          </w:p>
        </w:tc>
        <w:tc>
          <w:tcPr>
            <w:tcW w:w="10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2"/>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tcPr>
          <w:p>
            <w:pPr>
              <w:jc w:val="center"/>
              <w:ind w:left="19"/>
              <w:spacing w:after="0"/>
              <w:rPr>
                <w:sz w:val="20"/>
                <w:szCs w:val="20"/>
                <w:color w:val="auto"/>
              </w:rPr>
            </w:pPr>
            <w:r>
              <w:rPr>
                <w:rFonts w:ascii="Arial" w:cs="Arial" w:eastAsia="Arial" w:hAnsi="Arial"/>
                <w:sz w:val="18"/>
                <w:szCs w:val="18"/>
                <w:color w:val="auto"/>
                <w:w w:val="98"/>
              </w:rPr>
              <w:t>$  162,707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$ 162,707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color w:val="auto"/>
        </w:rPr>
        <w:t>At December 31, 2016 and December 31, 2015,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163" w:lineRule="exact"/>
        <w:rPr>
          <w:sz w:val="20"/>
          <w:szCs w:val="20"/>
          <w:color w:val="auto"/>
        </w:rPr>
      </w:pPr>
    </w:p>
    <w:p>
      <w:pPr>
        <w:ind w:right="160" w:firstLine="648"/>
        <w:spacing w:after="0" w:line="229" w:lineRule="auto"/>
        <w:rPr>
          <w:sz w:val="20"/>
          <w:szCs w:val="20"/>
          <w:color w:val="auto"/>
        </w:rPr>
      </w:pPr>
      <w:r>
        <w:rPr>
          <w:rFonts w:ascii="Arial" w:cs="Arial" w:eastAsia="Arial" w:hAnsi="Arial"/>
          <w:sz w:val="17"/>
          <w:szCs w:val="17"/>
          <w:color w:val="auto"/>
        </w:rPr>
        <w:t>The fair value of the preferred stock warrant liability was determined based on Level 3 inputs and utilizing the Black-Scholes option pricing model (see Note 10). On May 5, 2015, upon completion of the IPO, the warrants to purchase preferred stock converted into warrants to purchase common stock and the Company reclassified the fair value of the warrants as of May 5, 2015 to additional paid-in capital. The following table presents activity in the preferred stock warrant liability during the years ended December 31, 2015 and 2014 (in thousands):</w:t>
      </w:r>
    </w:p>
    <w:p>
      <w:pPr>
        <w:spacing w:after="0" w:line="157"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Year Ended</w:t>
      </w:r>
    </w:p>
    <w:p>
      <w:pPr>
        <w:ind w:left="7740"/>
        <w:spacing w:after="0" w:line="22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36"/>
        </w:trPr>
        <w:tc>
          <w:tcPr>
            <w:tcW w:w="4340" w:type="dxa"/>
            <w:vAlign w:val="bottom"/>
            <w:tcBorders>
              <w:bottom w:val="single" w:sz="8" w:color="CCEEFF"/>
            </w:tcBorders>
          </w:tcPr>
          <w:p>
            <w:pPr>
              <w:spacing w:after="0"/>
              <w:rPr>
                <w:sz w:val="11"/>
                <w:szCs w:val="11"/>
                <w:color w:val="auto"/>
              </w:rPr>
            </w:pPr>
          </w:p>
        </w:tc>
        <w:tc>
          <w:tcPr>
            <w:tcW w:w="30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73"/>
              <w:spacing w:after="0" w:line="136"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3"/>
              <w:spacing w:after="0" w:line="136"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CCEEFF"/>
            </w:tcBorders>
          </w:tcPr>
          <w:p>
            <w:pPr>
              <w:spacing w:after="0"/>
              <w:rPr>
                <w:sz w:val="11"/>
                <w:szCs w:val="1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r>
      <w:tr>
        <w:trPr>
          <w:trHeight w:val="216"/>
        </w:trPr>
        <w:tc>
          <w:tcPr>
            <w:tcW w:w="4340" w:type="dxa"/>
            <w:vAlign w:val="bottom"/>
          </w:tcPr>
          <w:p>
            <w:pPr>
              <w:ind w:left="220"/>
              <w:spacing w:after="0"/>
              <w:rPr>
                <w:sz w:val="20"/>
                <w:szCs w:val="20"/>
                <w:color w:val="auto"/>
              </w:rPr>
            </w:pPr>
            <w:r>
              <w:rPr>
                <w:rFonts w:ascii="Arial" w:cs="Arial" w:eastAsia="Arial" w:hAnsi="Arial"/>
                <w:sz w:val="18"/>
                <w:szCs w:val="18"/>
                <w:color w:val="auto"/>
              </w:rPr>
              <w:t>Issuance of warrant at fair value</w:t>
            </w: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fair value</w:t>
            </w:r>
          </w:p>
        </w:tc>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r>
      <w:tr>
        <w:trPr>
          <w:trHeight w:val="216"/>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2"/>
              </w:rPr>
              <w:t>Reclassification of fair value to additional paid-in capital</w:t>
            </w:r>
          </w:p>
        </w:tc>
        <w:tc>
          <w:tcPr>
            <w:tcW w:w="30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r>
      <w:tr>
        <w:trPr>
          <w:trHeight w:val="217"/>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8"/>
                <w:szCs w:val="18"/>
                <w:color w:val="auto"/>
              </w:rPr>
            </w:pPr>
          </w:p>
        </w:tc>
      </w:tr>
      <w:tr>
        <w:trPr>
          <w:trHeight w:val="608"/>
        </w:trPr>
        <w:tc>
          <w:tcPr>
            <w:tcW w:w="4340" w:type="dxa"/>
            <w:vAlign w:val="bottom"/>
            <w:tcBorders>
              <w:top w:val="single" w:sz="8" w:color="CCEEFF"/>
            </w:tcBorders>
          </w:tcPr>
          <w:p>
            <w:pPr>
              <w:spacing w:after="0"/>
              <w:rPr>
                <w:sz w:val="24"/>
                <w:szCs w:val="24"/>
                <w:color w:val="auto"/>
              </w:rPr>
            </w:pPr>
          </w:p>
        </w:tc>
        <w:tc>
          <w:tcPr>
            <w:tcW w:w="30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F-15</w:t>
            </w: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02"/>
        </w:trPr>
        <w:tc>
          <w:tcPr>
            <w:tcW w:w="434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124" w:name="page125"/>
    <w:bookmarkEnd w:id="1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At December 31, 2016 and 2015, $1.3 million and $1.4 million, respectively, of the Company’s cash is restricted by a bank. As of December 31, 2016 and 2015, $1.3 million of the restricted cash was included in long-term assets on the Company’s balance sheet related to a security deposit for the lease agreement for the Company’s corporate headquarters. The balance as of December 31, 2015 also included $0.1 million of restricted cash in current assets as collateral for a stand</w:t>
      </w:r>
      <w:r>
        <w:rPr>
          <w:rFonts w:ascii="MS PGothic" w:cs="MS PGothic" w:eastAsia="MS PGothic" w:hAnsi="MS PGothic"/>
          <w:sz w:val="18"/>
          <w:szCs w:val="18"/>
          <w:color w:val="auto"/>
        </w:rPr>
        <w:t>‑</w:t>
      </w:r>
      <w:r>
        <w:rPr>
          <w:rFonts w:ascii="Arial" w:cs="Arial" w:eastAsia="Arial" w:hAnsi="Arial"/>
          <w:sz w:val="18"/>
          <w:szCs w:val="18"/>
          <w:color w:val="auto"/>
        </w:rPr>
        <w:t>by letter of credit issued by the Company to its landlord in connection with the lease of the Company’s former corporate headquarters, which ended in October 2015.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53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Term of lease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4,612</w:t>
            </w:r>
          </w:p>
        </w:tc>
        <w:tc>
          <w:tcPr>
            <w:tcW w:w="1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8,738</w:t>
            </w:r>
          </w:p>
        </w:tc>
        <w:tc>
          <w:tcPr>
            <w:tcW w:w="1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60" w:type="dxa"/>
            <w:vAlign w:val="bottom"/>
            <w:shd w:val="clear" w:color="auto" w:fill="CCEEFF"/>
          </w:tcPr>
          <w:p>
            <w:pPr>
              <w:spacing w:after="0"/>
              <w:rPr>
                <w:sz w:val="18"/>
                <w:szCs w:val="18"/>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160" w:type="dxa"/>
            <w:vAlign w:val="bottom"/>
          </w:tcPr>
          <w:p>
            <w:pPr>
              <w:spacing w:after="0"/>
              <w:rPr>
                <w:sz w:val="18"/>
                <w:szCs w:val="18"/>
                <w:color w:val="auto"/>
              </w:rPr>
            </w:pPr>
          </w:p>
        </w:tc>
      </w:tr>
    </w:tbl>
    <w:p>
      <w:pPr>
        <w:spacing w:after="0" w:line="148"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Depreciation expense for the years ended December 31, 2016, 2015 and 2014 was $1.6 million, $0.9 million and $0.6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68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3"/>
                <w:szCs w:val="13"/>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External research and development</w:t>
            </w:r>
          </w:p>
        </w:tc>
        <w:tc>
          <w:tcPr>
            <w:tcW w:w="2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Employee compensation</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2,731</w:t>
            </w: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 and other</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Interest</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costs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Severance</w:t>
            </w:r>
          </w:p>
        </w:tc>
        <w:tc>
          <w:tcPr>
            <w:tcW w:w="2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4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80" w:type="dxa"/>
            <w:vAlign w:val="bottom"/>
            <w:shd w:val="clear" w:color="auto" w:fill="CCEEFF"/>
          </w:tcPr>
          <w:p>
            <w:pPr>
              <w:spacing w:after="0"/>
              <w:rPr>
                <w:sz w:val="18"/>
                <w:szCs w:val="18"/>
                <w:color w:val="auto"/>
              </w:rPr>
            </w:pPr>
          </w:p>
        </w:tc>
      </w:tr>
      <w:tr>
        <w:trPr>
          <w:trHeight w:val="27"/>
        </w:trPr>
        <w:tc>
          <w:tcPr>
            <w:tcW w:w="468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Roche</w:t>
      </w:r>
    </w:p>
    <w:p>
      <w:pPr>
        <w:spacing w:after="0" w:line="185"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March 2016, the Company entered into a collaboration and license agreement (as amended, Roche agreement) with Roche for the discovery, development and commercialization of up to five small molecule therapeutics targeting kinases believed to be important in cancer immunotherapy, as single products or possibly in combination with other therapeutics. The parties initiated activities for three of the collaboration programs in 2016, and the parties have agreed to work together to use the Company’s novel target discovery engine and proprietary compound library to select targets for up to two additional collaboration programs.</w:t>
      </w:r>
    </w:p>
    <w:p>
      <w:pPr>
        <w:spacing w:after="0" w:line="16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6"/>
          <w:szCs w:val="16"/>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5" w:name="page126"/>
    <w:bookmarkEnd w:id="1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0"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3" w:lineRule="exact"/>
        <w:rPr>
          <w:sz w:val="20"/>
          <w:szCs w:val="20"/>
          <w:color w:val="auto"/>
        </w:rPr>
      </w:pPr>
    </w:p>
    <w:p>
      <w:pPr>
        <w:ind w:right="80" w:firstLine="648"/>
        <w:spacing w:after="0" w:line="235" w:lineRule="auto"/>
        <w:rPr>
          <w:sz w:val="20"/>
          <w:szCs w:val="20"/>
          <w:color w:val="auto"/>
        </w:rPr>
      </w:pPr>
      <w:r>
        <w:rPr>
          <w:rFonts w:ascii="Arial" w:cs="Arial" w:eastAsia="Arial" w:hAnsi="Arial"/>
          <w:sz w:val="16"/>
          <w:szCs w:val="16"/>
          <w:color w:val="auto"/>
        </w:rPr>
        <w:t>The Company determined that there were five deliverables under the Roche agreement: (i) a non-transferable, sub-licensable and non-exclusive license to use the Company’s intellectual property and collaboration compounds to conduct research activities;(ii) conducting research and development activities through Phase 1 clinical trials under the research plan;</w:t>
      </w:r>
    </w:p>
    <w:p>
      <w:pPr>
        <w:spacing w:after="0" w:line="2" w:lineRule="exact"/>
        <w:rPr>
          <w:sz w:val="20"/>
          <w:szCs w:val="20"/>
          <w:color w:val="auto"/>
        </w:rPr>
      </w:pPr>
    </w:p>
    <w:p>
      <w:pPr>
        <w:ind w:right="220" w:firstLine="3"/>
        <w:spacing w:after="0" w:line="268" w:lineRule="auto"/>
        <w:tabs>
          <w:tab w:leader="none" w:pos="315"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providing pre-clinical and clinical supply of collaboration compounds; (iv) participation on a joint research committee (JRC) and joint development committee (JDC); and (v) regulatory responsibilities under Phase 1 clinical trials.</w:t>
      </w:r>
    </w:p>
    <w:p>
      <w:pPr>
        <w:spacing w:after="0" w:line="140"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 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6" w:name="page127"/>
    <w:bookmarkEnd w:id="1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 The Company expects the services to be delivered ratably.</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Company evaluated whether the option fees that may be received in connection with the Roche agreement are substantive. The Company concluded that the option fees were substantive due to the uncertainty around whether the goals of the collaboration will be achieved, and therefore the options are not a deliverable in the current arrangement. If Roche elects to exercise the options, the exercises and related contingent deliverables would be accounted for as a separate arrangement.</w:t>
      </w:r>
    </w:p>
    <w:p>
      <w:pPr>
        <w:spacing w:after="0" w:line="15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Company evaluated whether the milestones that may be received in connection with the Roche agreement are substantive milestones. Pre-option exercise milestones, of up to $215.0 million, that are expected to be achieved as a result of the Company’s efforts during the performance of the research and development activities are considered substantive and are recognized as revenue upon the achievement of the milestone, assuming all other revenue recognition criteria are met. The development event milestones are not considered substantive because the Company does not contribute effort to the achievement of such milestones as they are expected to be achieved after the performance of the research and development activities. Consideration received with respect to these milestones will be added to the total arrangement consideration that has been allocated to the identified units of accounting. As a result, that amount is recognized as revenue ratably over the period starting from the effective date of the agreement to the date that the Company will complete all of its obligations, with a cumulative catch-up from the effective date through the date of achievement of the milestone. If the consideration is received after the completion of all of the Company’s obligations, the amount will be recognized as revenue immediately.</w:t>
      </w:r>
    </w:p>
    <w:p>
      <w:pPr>
        <w:spacing w:after="0" w:line="166"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During the year ended December 31, 2016, the Company recognized revenue under the Roche agreement of $4.5 million, which represents a portion of the $45.0 million upfront payment.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In March 2015, the Company entered into a research, development and commercialization agreement (Alexion agreement) with Alexion to research, develop and commercialize drug candidates for an undisclosed activated kinase target, which is the cause of a rare genetic disease. Under the terms of the Alexion agreement, the Company is responsible for research and pre-clinical development activities related to drug candidates and Alexion is responsible for all clinical development, manufacturing and commercialization activities related to drug candidates.</w:t>
      </w:r>
    </w:p>
    <w:p>
      <w:pPr>
        <w:spacing w:after="0" w:line="161"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Alexion is responsible for funding 100% of the Company’s research and development costs incurred under the research plan, including pass</w:t>
      </w:r>
      <w:r>
        <w:rPr>
          <w:rFonts w:ascii="MS PGothic" w:cs="MS PGothic" w:eastAsia="MS PGothic" w:hAnsi="MS PGothic"/>
          <w:sz w:val="17"/>
          <w:szCs w:val="17"/>
          <w:color w:val="auto"/>
        </w:rPr>
        <w:t>‑</w:t>
      </w:r>
      <w:r>
        <w:rPr>
          <w:rFonts w:ascii="Arial" w:cs="Arial" w:eastAsia="Arial" w:hAnsi="Arial"/>
          <w:sz w:val="17"/>
          <w:szCs w:val="17"/>
          <w:color w:val="auto"/>
        </w:rPr>
        <w:t>through costs and a negotiated yearly rate per full</w:t>
      </w:r>
      <w:r>
        <w:rPr>
          <w:rFonts w:ascii="MS PGothic" w:cs="MS PGothic" w:eastAsia="MS PGothic" w:hAnsi="MS PGothic"/>
          <w:sz w:val="17"/>
          <w:szCs w:val="17"/>
          <w:color w:val="auto"/>
        </w:rPr>
        <w:t>‑</w:t>
      </w:r>
      <w:r>
        <w:rPr>
          <w:rFonts w:ascii="Arial" w:cs="Arial" w:eastAsia="Arial" w:hAnsi="Arial"/>
          <w:sz w:val="17"/>
          <w:szCs w:val="17"/>
          <w:color w:val="auto"/>
        </w:rPr>
        <w:t>time equivalent for its employees’ time and their associated overhead expenses. The Company received a $15.0 million non</w:t>
      </w:r>
      <w:r>
        <w:rPr>
          <w:rFonts w:ascii="MS PGothic" w:cs="MS PGothic" w:eastAsia="MS PGothic" w:hAnsi="MS PGothic"/>
          <w:sz w:val="17"/>
          <w:szCs w:val="17"/>
          <w:color w:val="auto"/>
        </w:rPr>
        <w:t>‑</w:t>
      </w:r>
      <w:r>
        <w:rPr>
          <w:rFonts w:ascii="Arial" w:cs="Arial" w:eastAsia="Arial" w:hAnsi="Arial"/>
          <w:sz w:val="17"/>
          <w:szCs w:val="17"/>
          <w:color w:val="auto"/>
        </w:rPr>
        <w:t>refundable upfront payment in March 2015 upon execution of the Alexion agreement and is eligible to receive over $250.0 million in payments upon the successful achievement of pre</w:t>
      </w:r>
      <w:r>
        <w:rPr>
          <w:rFonts w:ascii="MS PGothic" w:cs="MS PGothic" w:eastAsia="MS PGothic" w:hAnsi="MS PGothic"/>
          <w:sz w:val="17"/>
          <w:szCs w:val="17"/>
          <w:color w:val="auto"/>
        </w:rPr>
        <w:t>‑</w:t>
      </w:r>
      <w:r>
        <w:rPr>
          <w:rFonts w:ascii="Arial" w:cs="Arial" w:eastAsia="Arial" w:hAnsi="Arial"/>
          <w:sz w:val="17"/>
          <w:szCs w:val="17"/>
          <w:color w:val="auto"/>
        </w:rPr>
        <w:t>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7"/>
          <w:szCs w:val="17"/>
          <w:color w:val="auto"/>
        </w:rPr>
        <w:t>‑</w:t>
      </w:r>
      <w:r>
        <w:rPr>
          <w:rFonts w:ascii="Arial" w:cs="Arial" w:eastAsia="Arial" w:hAnsi="Arial"/>
          <w:sz w:val="17"/>
          <w:szCs w:val="17"/>
          <w:color w:val="auto"/>
        </w:rPr>
        <w:t>single to low</w:t>
      </w:r>
      <w:r>
        <w:rPr>
          <w:rFonts w:ascii="MS PGothic" w:cs="MS PGothic" w:eastAsia="MS PGothic" w:hAnsi="MS PGothic"/>
          <w:sz w:val="17"/>
          <w:szCs w:val="17"/>
          <w:color w:val="auto"/>
        </w:rPr>
        <w:t>‑</w:t>
      </w:r>
      <w:r>
        <w:rPr>
          <w:rFonts w:ascii="Arial" w:cs="Arial" w:eastAsia="Arial" w:hAnsi="Arial"/>
          <w:sz w:val="17"/>
          <w:szCs w:val="17"/>
          <w:color w:val="auto"/>
        </w:rPr>
        <w:t>double digit percentages, on a country</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country and licensed-product</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 valid claim of specified patents covering such licensed product, (ii) the expiration of the applicable regulatory exclusivity period, and (iii) 10 or 15 years from specified commercial sales. There are no refund provisions in the Alexion agreement.</w:t>
      </w:r>
    </w:p>
    <w:p>
      <w:pPr>
        <w:spacing w:after="0" w:line="16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Alexion has the right to terminate the Alexion agreement if the Company undergoes a change of control or becomes an affiliate of a biotechnology or pharmaceutical company, and may terminate the Alexion agreement at will upon 90 days prior written notice. The Company and Alexion have the right to terminate the Alexion agreement in the event of the other party’s uncured breach or insolvency, and in certain other circumstances agreed to by the parties.</w:t>
      </w:r>
    </w:p>
    <w:p>
      <w:pPr>
        <w:spacing w:after="0" w:line="16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determined that there were three deliverables under the Alexion agreement: (i) an exclusive license to research, develop, manufacture and commercialize the licensed products and the compounds in the field in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27" w:name="page128"/>
    <w:bookmarkEnd w:id="1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territory, (ii) conducting research and development activities under the research plan and (iii) participation on a joint steering committee (JSC) and joint project team (JPT).</w:t>
      </w:r>
    </w:p>
    <w:p>
      <w:pPr>
        <w:spacing w:after="0" w:line="16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Alexion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Alexion agreement.</w:t>
      </w:r>
    </w:p>
    <w:p>
      <w:pPr>
        <w:spacing w:after="0" w:line="168"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 Company evaluated whether the milestones that may be received in connection with the Alexion agreement are substantive or non-substantive milestones. The Company concluded that the first pre-clinical milestone payment in the Alexion agreement is non-substantive due to the certainty at the date the arrangement was entered into that the event will be achieved. In the second quarter of 2015, the Company achieved the first pre-clinical milestone under the Alexion agreement and received a $1.8 million payment from Alexion. The Company is recognizing revenues from the related milestone payment over the period of performance.</w:t>
      </w:r>
    </w:p>
    <w:p>
      <w:pPr>
        <w:spacing w:after="0" w:line="162"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The Company has recognized and received an aggregate of $2.0 million in substantive milestones through December 31, 2016. Milestones that are expected to be achieved after the period of substantial involvement are not considered substantive because the Company does not contribute effort to the achievement of such milestones. These milestones are recognized as revenue upon achievement of the milestone, assuming all other revenue recognition criteria are met, as there are no undelivered elements remaining and no continuing performance obligations.</w:t>
      </w:r>
    </w:p>
    <w:p>
      <w:pPr>
        <w:spacing w:after="0" w:line="168"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color w:val="auto"/>
        </w:rPr>
        <w:t>During the year ended December 31, 2016, the Company recognized revenue under the Alexion agreement of $23.3 million, which represents $14.6 million of reimbursable research and development costs, $1.8 million in milestone payments that were recognized upon achievement, as well as a portion of the $15.0 million upfront payment and the $1.8 million non-substantive milestone payment previously received. During the year ended December 31, 2016, the Company received $14.2 million related to reimbursable research and development costs under the Alexion agreement. As of December 31, 2016, the Company has recorded unbilled accounts receivable of $3.6 million related to reimbursable research and development costs under the Alexion agreement for activities performed during the fourth quarter of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 Loan</w:t>
      </w:r>
    </w:p>
    <w:p>
      <w:pPr>
        <w:spacing w:after="0" w:line="189" w:lineRule="exact"/>
        <w:rPr>
          <w:sz w:val="20"/>
          <w:szCs w:val="20"/>
          <w:color w:val="auto"/>
        </w:rPr>
      </w:pPr>
    </w:p>
    <w:p>
      <w:pPr>
        <w:ind w:right="20" w:firstLine="648"/>
        <w:spacing w:after="0" w:line="179" w:lineRule="exact"/>
        <w:rPr>
          <w:sz w:val="20"/>
          <w:szCs w:val="20"/>
          <w:color w:val="auto"/>
        </w:rPr>
      </w:pPr>
      <w:r>
        <w:rPr>
          <w:rFonts w:ascii="Arial" w:cs="Arial" w:eastAsia="Arial" w:hAnsi="Arial"/>
          <w:sz w:val="17"/>
          <w:szCs w:val="17"/>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June 2014, the Company drew the remaining $2.0 million advance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8" w:name="page129"/>
    <w:bookmarkEnd w:id="1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Company is obligated to pay 1% to 2% of the amount of the outstanding principal depending upon the timing of the prepayment. There are no financial covenants associated with the loan and security agreement.</w:t>
      </w:r>
    </w:p>
    <w:p>
      <w:pPr>
        <w:spacing w:after="0" w:line="147" w:lineRule="exact"/>
        <w:rPr>
          <w:sz w:val="20"/>
          <w:szCs w:val="20"/>
          <w:color w:val="auto"/>
        </w:rPr>
      </w:pPr>
    </w:p>
    <w:p>
      <w:pPr>
        <w:ind w:right="360" w:firstLine="648"/>
        <w:spacing w:after="0" w:line="184" w:lineRule="exact"/>
        <w:rPr>
          <w:sz w:val="20"/>
          <w:szCs w:val="20"/>
          <w:color w:val="auto"/>
        </w:rPr>
      </w:pPr>
      <w:r>
        <w:rPr>
          <w:rFonts w:ascii="Arial" w:cs="Arial" w:eastAsia="Arial" w:hAnsi="Arial"/>
          <w:sz w:val="16"/>
          <w:szCs w:val="16"/>
          <w:color w:val="auto"/>
        </w:rPr>
        <w:t>The 2013 Term Loan and 2014 Term Loan are collateralized by a blanket lien on all corporate assets, excluding intellectual property, and by a negative pledge of the Company’s intellectual property. The term loan contains covenants, including restrictions on dividends and default provisions.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6"/>
          <w:szCs w:val="16"/>
          <w:color w:val="auto"/>
        </w:rPr>
        <w:t>‑</w:t>
      </w:r>
      <w:r>
        <w:rPr>
          <w:rFonts w:ascii="Arial" w:cs="Arial" w:eastAsia="Arial" w:hAnsi="Arial"/>
          <w:sz w:val="16"/>
          <w:szCs w:val="16"/>
          <w:color w:val="auto"/>
        </w:rPr>
        <w:t>term liabilities based on scheduled principal payments.</w:t>
      </w:r>
    </w:p>
    <w:p>
      <w:pPr>
        <w:spacing w:after="0" w:line="166"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w w:val="93"/>
              </w:rPr>
              <w:t>Scheduled monthly principal payments on the term loan, as of December 31, 2016, are as follows (in thousands):</w:t>
            </w:r>
          </w:p>
        </w:tc>
      </w:tr>
      <w:tr>
        <w:trPr>
          <w:trHeight w:val="203"/>
        </w:trPr>
        <w:tc>
          <w:tcPr>
            <w:tcW w:w="5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4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2018</w:t>
            </w:r>
          </w:p>
        </w:tc>
        <w:tc>
          <w:tcPr>
            <w:tcW w:w="840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140" w:type="dxa"/>
            <w:vAlign w:val="bottom"/>
          </w:tcPr>
          <w:p>
            <w:pPr>
              <w:spacing w:after="0"/>
              <w:rPr>
                <w:sz w:val="18"/>
                <w:szCs w:val="18"/>
                <w:color w:val="auto"/>
              </w:rPr>
            </w:pPr>
          </w:p>
        </w:tc>
      </w:tr>
      <w:tr>
        <w:trPr>
          <w:trHeight w:val="217"/>
        </w:trPr>
        <w:tc>
          <w:tcPr>
            <w:tcW w:w="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4,111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189" w:lineRule="exact"/>
        <w:rPr>
          <w:sz w:val="20"/>
          <w:szCs w:val="20"/>
          <w:color w:val="auto"/>
        </w:rPr>
      </w:pPr>
    </w:p>
    <w:p>
      <w:pPr>
        <w:ind w:right="120" w:firstLine="648"/>
        <w:spacing w:after="0" w:line="187" w:lineRule="exact"/>
        <w:rPr>
          <w:sz w:val="20"/>
          <w:szCs w:val="20"/>
          <w:color w:val="auto"/>
        </w:rPr>
      </w:pPr>
      <w:r>
        <w:rPr>
          <w:rFonts w:ascii="Arial" w:cs="Arial" w:eastAsia="Arial" w:hAnsi="Arial"/>
          <w:sz w:val="18"/>
          <w:szCs w:val="18"/>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8"/>
          <w:szCs w:val="18"/>
          <w:color w:val="auto"/>
        </w:rPr>
        <w:t>‑</w:t>
      </w:r>
      <w:r>
        <w:rPr>
          <w:rFonts w:ascii="Arial" w:cs="Arial" w:eastAsia="Arial" w:hAnsi="Arial"/>
          <w:sz w:val="18"/>
          <w:szCs w:val="18"/>
          <w:color w:val="auto"/>
        </w:rPr>
        <w:t>year life.</w:t>
      </w:r>
    </w:p>
    <w:p>
      <w:pPr>
        <w:spacing w:after="0" w:line="162" w:lineRule="exact"/>
        <w:rPr>
          <w:sz w:val="20"/>
          <w:szCs w:val="20"/>
          <w:color w:val="auto"/>
        </w:rPr>
      </w:pPr>
    </w:p>
    <w:p>
      <w:pPr>
        <w:ind w:right="80" w:firstLine="648"/>
        <w:spacing w:after="0" w:line="187" w:lineRule="exact"/>
        <w:rPr>
          <w:sz w:val="20"/>
          <w:szCs w:val="20"/>
          <w:color w:val="auto"/>
        </w:rPr>
      </w:pPr>
      <w:r>
        <w:rPr>
          <w:rFonts w:ascii="Arial" w:cs="Arial" w:eastAsia="Arial" w:hAnsi="Arial"/>
          <w:sz w:val="17"/>
          <w:szCs w:val="17"/>
          <w:color w:val="auto"/>
        </w:rPr>
        <w:t>The Company initially valued the Series A Warrant and the Series B Warrant at issuance and at the balance sheet dates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7"/>
          <w:szCs w:val="17"/>
          <w:color w:val="auto"/>
        </w:rPr>
        <w:t>‑</w:t>
      </w:r>
      <w:r>
        <w:rPr>
          <w:rFonts w:ascii="Arial" w:cs="Arial" w:eastAsia="Arial" w:hAnsi="Arial"/>
          <w:sz w:val="17"/>
          <w:szCs w:val="17"/>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w:t>
      </w:r>
    </w:p>
    <w:p>
      <w:pPr>
        <w:spacing w:after="0" w:line="161"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In accordance with ASC 480, the characteristics of these warrants and the rights and privileges of the underlying preferred stock resulted in the classification of these warrants as a liability, and they were re</w:t>
      </w:r>
      <w:r>
        <w:rPr>
          <w:rFonts w:ascii="MS PGothic" w:cs="MS PGothic" w:eastAsia="MS PGothic" w:hAnsi="MS PGothic"/>
          <w:sz w:val="17"/>
          <w:szCs w:val="17"/>
          <w:color w:val="auto"/>
        </w:rPr>
        <w:t>‑</w:t>
      </w:r>
      <w:r>
        <w:rPr>
          <w:rFonts w:ascii="Arial" w:cs="Arial" w:eastAsia="Arial" w:hAnsi="Arial"/>
          <w:sz w:val="17"/>
          <w:szCs w:val="17"/>
          <w:color w:val="auto"/>
        </w:rPr>
        <w:t>measured to the</w:t>
      </w:r>
      <w:r>
        <w:rPr>
          <w:rFonts w:ascii="MS PGothic" w:cs="MS PGothic" w:eastAsia="MS PGothic" w:hAnsi="MS PGothic"/>
          <w:sz w:val="17"/>
          <w:szCs w:val="17"/>
          <w:color w:val="auto"/>
        </w:rPr>
        <w:t>‑</w:t>
      </w:r>
      <w:r>
        <w:rPr>
          <w:rFonts w:ascii="Arial" w:cs="Arial" w:eastAsia="Arial" w:hAnsi="Arial"/>
          <w:sz w:val="17"/>
          <w:szCs w:val="17"/>
          <w:color w:val="auto"/>
        </w:rPr>
        <w:t>then current fair value at each balance sheet date through the completion of the IPO. Re</w:t>
      </w:r>
      <w:r>
        <w:rPr>
          <w:rFonts w:ascii="MS PGothic" w:cs="MS PGothic" w:eastAsia="MS PGothic" w:hAnsi="MS PGothic"/>
          <w:sz w:val="17"/>
          <w:szCs w:val="17"/>
          <w:color w:val="auto"/>
        </w:rPr>
        <w:t>‑</w:t>
      </w:r>
      <w:r>
        <w:rPr>
          <w:rFonts w:ascii="Arial" w:cs="Arial" w:eastAsia="Arial" w:hAnsi="Arial"/>
          <w:sz w:val="17"/>
          <w:szCs w:val="17"/>
          <w:color w:val="auto"/>
        </w:rPr>
        <w:t>measurement gains or losses were recorded in other income (expense) in the statements of operations and comprehensive loss. Changes in the fair value of the warrants represented a recurring measurement that was classified within Level 3 of the fair value hierarchy wherein fair value is estimated using significant unobservable inputs. The Company recorded $0.4 million of expense associated with the change in fair value of the warrants in the year ended December 31, 2015 equal to the change in fair value of the warrants from December 31, 2014 to May 5, 2015.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9" w:name="page130"/>
    <w:bookmarkEnd w:id="1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Upon completion of the IPO, the Series A Warrant became exercisable for 27,272 shares of the common stock at an exercise price of $5.50 per share, and the Series B Warrant became exercisable for 15,151 shares of the common stock at an exercise price of $6.60 per share. On the date of the conversion of the warrants, the Company revalued the outstanding warrants using the Black-Scholes option pricing model with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Series A Warrant</w:t>
            </w:r>
          </w:p>
        </w:tc>
        <w:tc>
          <w:tcPr>
            <w:tcW w:w="60" w:type="dxa"/>
            <w:vAlign w:val="bottom"/>
          </w:tcPr>
          <w:p>
            <w:pPr>
              <w:spacing w:after="0"/>
              <w:rPr>
                <w:sz w:val="14"/>
                <w:szCs w:val="14"/>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Series B Warrant</w:t>
            </w:r>
          </w:p>
        </w:tc>
      </w:tr>
      <w:tr>
        <w:trPr>
          <w:trHeight w:val="102"/>
        </w:trPr>
        <w:tc>
          <w:tcPr>
            <w:tcW w:w="44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tcPr>
          <w:p>
            <w:pPr>
              <w:jc w:val="center"/>
              <w:ind w:right="440"/>
              <w:spacing w:after="0" w:line="102" w:lineRule="exact"/>
              <w:rPr>
                <w:sz w:val="20"/>
                <w:szCs w:val="20"/>
                <w:color w:val="auto"/>
              </w:rPr>
            </w:pPr>
            <w:r>
              <w:rPr>
                <w:rFonts w:ascii="Arial" w:cs="Arial" w:eastAsia="Arial" w:hAnsi="Arial"/>
                <w:sz w:val="11"/>
                <w:szCs w:val="11"/>
                <w:b w:val="1"/>
                <w:bCs w:val="1"/>
                <w:color w:val="auto"/>
              </w:rPr>
              <w:t>May 5,</w:t>
            </w: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center"/>
              <w:ind w:right="137"/>
              <w:spacing w:after="0" w:line="102" w:lineRule="exact"/>
              <w:rPr>
                <w:sz w:val="20"/>
                <w:szCs w:val="20"/>
                <w:color w:val="auto"/>
              </w:rPr>
            </w:pPr>
            <w:r>
              <w:rPr>
                <w:rFonts w:ascii="Arial" w:cs="Arial" w:eastAsia="Arial" w:hAnsi="Arial"/>
                <w:sz w:val="11"/>
                <w:szCs w:val="11"/>
                <w:b w:val="1"/>
                <w:bCs w:val="1"/>
                <w:color w:val="auto"/>
              </w:rPr>
              <w:t>May 5,</w:t>
            </w:r>
          </w:p>
        </w:tc>
        <w:tc>
          <w:tcPr>
            <w:tcW w:w="160" w:type="dxa"/>
            <w:vAlign w:val="bottom"/>
          </w:tcPr>
          <w:p>
            <w:pPr>
              <w:spacing w:after="0"/>
              <w:rPr>
                <w:sz w:val="8"/>
                <w:szCs w:val="8"/>
                <w:color w:val="auto"/>
              </w:rPr>
            </w:pPr>
          </w:p>
        </w:tc>
      </w:tr>
      <w:tr>
        <w:trPr>
          <w:trHeight w:val="162"/>
        </w:trPr>
        <w:tc>
          <w:tcPr>
            <w:tcW w:w="444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4"/>
                <w:szCs w:val="14"/>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underlying instrument</w:t>
            </w:r>
          </w:p>
        </w:tc>
        <w:tc>
          <w:tcPr>
            <w:tcW w:w="21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volatility</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91.58 %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87.75 %</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2.06 %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2.19 %</w:t>
            </w:r>
          </w:p>
        </w:tc>
      </w:tr>
      <w:tr>
        <w:trPr>
          <w:trHeight w:val="176"/>
        </w:trPr>
        <w:tc>
          <w:tcPr>
            <w:tcW w:w="4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1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w:t>
            </w:r>
          </w:p>
        </w:tc>
      </w:tr>
    </w:tbl>
    <w:p>
      <w:pPr>
        <w:spacing w:after="0" w:line="148"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 fair value of the warrants at May 5, 2015 was $0.8 million and the Company reclassified the balance to additional paid-in capital.</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a debt discount upon issuance of the warrants, which is being accreted as interest expense</w:t>
      </w:r>
    </w:p>
    <w:p>
      <w:pPr>
        <w:spacing w:after="0" w:line="4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over the remaining term of the loan. The Company recorded interest expense related to the Series A Warrant and the Series B Warrant of less than $0.1 million in each of the years ended December 31, 2016, 2015 and 2014.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85"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6"/>
          <w:szCs w:val="16"/>
          <w:color w:val="auto"/>
        </w:rPr>
        <w:t>‑</w:t>
      </w:r>
      <w:r>
        <w:rPr>
          <w:rFonts w:ascii="Arial" w:cs="Arial" w:eastAsia="Arial" w:hAnsi="Arial"/>
          <w:sz w:val="16"/>
          <w:szCs w:val="16"/>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2016 and 2017, the number of shares reserved for issuance under the 2015 Plan was increased by 1,087,842 and 1,325,019 shares, respectively. In addition, the total number of shares reserved for issuance is subject to adjustment in the event of a stock split, stock dividend or other change in our capitalization. At December 31, 2016, there were 1,551,519 shares available for future grant under the 2015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85"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Options and restricted stock awards granted by the Company generally vest ratably over four years, with a one</w:t>
      </w:r>
      <w:r>
        <w:rPr>
          <w:rFonts w:ascii="MS PGothic" w:cs="MS PGothic" w:eastAsia="MS PGothic" w:hAnsi="MS PGothic"/>
          <w:sz w:val="18"/>
          <w:szCs w:val="18"/>
          <w:color w:val="auto"/>
        </w:rPr>
        <w:t>‑</w:t>
      </w:r>
      <w:r>
        <w:rPr>
          <w:rFonts w:ascii="Arial" w:cs="Arial" w:eastAsia="Arial" w:hAnsi="Arial"/>
          <w:sz w:val="18"/>
          <w:szCs w:val="18"/>
          <w:color w:val="auto"/>
        </w:rPr>
        <w:t>year cliff for new employee awards, and are exercisable from the date of grant for a period of ten years.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0" w:name="page131"/>
    <w:bookmarkEnd w:id="1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Company’s unvested restricted stock and related information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8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Shares</w:t>
            </w:r>
          </w:p>
        </w:tc>
      </w:tr>
      <w:tr>
        <w:trPr>
          <w:trHeight w:val="195"/>
        </w:trPr>
        <w:tc>
          <w:tcPr>
            <w:tcW w:w="6780" w:type="dxa"/>
            <w:vAlign w:val="bottom"/>
          </w:tcPr>
          <w:p>
            <w:pPr>
              <w:spacing w:after="0" w:line="195" w:lineRule="exact"/>
              <w:rPr>
                <w:sz w:val="20"/>
                <w:szCs w:val="20"/>
                <w:color w:val="auto"/>
              </w:rPr>
            </w:pPr>
            <w:r>
              <w:rPr>
                <w:rFonts w:ascii="Arial" w:cs="Arial" w:eastAsia="Arial" w:hAnsi="Arial"/>
                <w:sz w:val="18"/>
                <w:szCs w:val="18"/>
                <w:color w:val="auto"/>
              </w:rPr>
              <w:t>Unvested at December 31, 2015</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130,495</w:t>
            </w: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Vested</w:t>
            </w:r>
          </w:p>
        </w:tc>
        <w:tc>
          <w:tcPr>
            <w:tcW w:w="820" w:type="dxa"/>
            <w:vAlign w:val="bottom"/>
          </w:tcPr>
          <w:p>
            <w:pPr>
              <w:jc w:val="right"/>
              <w:spacing w:after="0"/>
              <w:rPr>
                <w:sz w:val="20"/>
                <w:szCs w:val="20"/>
                <w:color w:val="auto"/>
              </w:rPr>
            </w:pPr>
            <w:r>
              <w:rPr>
                <w:rFonts w:ascii="Arial" w:cs="Arial" w:eastAsia="Arial" w:hAnsi="Arial"/>
                <w:sz w:val="18"/>
                <w:szCs w:val="18"/>
                <w:color w:val="auto"/>
              </w:rPr>
              <w:t>(126,741)</w:t>
            </w:r>
          </w:p>
        </w:tc>
      </w:tr>
      <w:tr>
        <w:trPr>
          <w:trHeight w:val="230"/>
        </w:trPr>
        <w:tc>
          <w:tcPr>
            <w:tcW w:w="6780" w:type="dxa"/>
            <w:vAlign w:val="bottom"/>
          </w:tcPr>
          <w:p>
            <w:pPr>
              <w:ind w:left="220"/>
              <w:spacing w:after="0"/>
              <w:rPr>
                <w:sz w:val="20"/>
                <w:szCs w:val="20"/>
                <w:color w:val="auto"/>
              </w:rPr>
            </w:pPr>
            <w:r>
              <w:rPr>
                <w:rFonts w:ascii="Arial" w:cs="Arial" w:eastAsia="Arial" w:hAnsi="Arial"/>
                <w:sz w:val="18"/>
                <w:szCs w:val="18"/>
                <w:color w:val="auto"/>
              </w:rPr>
              <w:t>Repurchased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r>
      <w:tr>
        <w:trPr>
          <w:trHeight w:val="217"/>
        </w:trPr>
        <w:tc>
          <w:tcPr>
            <w:tcW w:w="6780" w:type="dxa"/>
            <w:vAlign w:val="bottom"/>
          </w:tcPr>
          <w:p>
            <w:pPr>
              <w:spacing w:after="0"/>
              <w:rPr>
                <w:sz w:val="20"/>
                <w:szCs w:val="20"/>
                <w:color w:val="auto"/>
              </w:rPr>
            </w:pPr>
            <w:r>
              <w:rPr>
                <w:rFonts w:ascii="Arial" w:cs="Arial" w:eastAsia="Arial" w:hAnsi="Arial"/>
                <w:sz w:val="18"/>
                <w:szCs w:val="18"/>
                <w:color w:val="auto"/>
              </w:rPr>
              <w:t>Unvested at December 31, 2016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575437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-582295</wp:posOffset>
            </wp:positionV>
            <wp:extent cx="575437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17"/>
        <w:spacing w:after="0" w:line="226" w:lineRule="auto"/>
        <w:rPr>
          <w:sz w:val="20"/>
          <w:szCs w:val="20"/>
          <w:color w:val="auto"/>
        </w:rPr>
      </w:pPr>
      <w:r>
        <w:rPr>
          <w:rFonts w:ascii="Arial" w:cs="Arial" w:eastAsia="Arial" w:hAnsi="Arial"/>
          <w:sz w:val="14"/>
          <w:szCs w:val="14"/>
          <w:b w:val="1"/>
          <w:bCs w:val="1"/>
          <w:color w:val="auto"/>
        </w:rPr>
        <w:t>Weighted-Average Grant Date Fair Value</w:t>
      </w:r>
    </w:p>
    <w:p>
      <w:pPr>
        <w:spacing w:after="0" w:line="2" w:lineRule="exact"/>
        <w:rPr>
          <w:sz w:val="20"/>
          <w:szCs w:val="20"/>
          <w:color w:val="auto"/>
        </w:rPr>
      </w:pPr>
    </w:p>
    <w:p>
      <w:pPr>
        <w:ind w:left="818" w:hanging="818"/>
        <w:spacing w:after="0"/>
        <w:tabs>
          <w:tab w:leader="none" w:pos="818" w:val="left"/>
        </w:tabs>
        <w:numPr>
          <w:ilvl w:val="0"/>
          <w:numId w:val="75"/>
        </w:numPr>
        <w:rPr>
          <w:rFonts w:ascii="Arial" w:cs="Arial" w:eastAsia="Arial" w:hAnsi="Arial"/>
          <w:sz w:val="17"/>
          <w:szCs w:val="17"/>
          <w:color w:val="auto"/>
        </w:rPr>
      </w:pPr>
      <w:r>
        <w:rPr>
          <w:rFonts w:ascii="Arial" w:cs="Arial" w:eastAsia="Arial" w:hAnsi="Arial"/>
          <w:sz w:val="17"/>
          <w:szCs w:val="17"/>
          <w:color w:val="auto"/>
        </w:rPr>
        <w:t>0.60</w:t>
      </w:r>
    </w:p>
    <w:p>
      <w:pPr>
        <w:spacing w:after="0" w:line="20" w:lineRule="exact"/>
        <w:rPr>
          <w:rFonts w:ascii="Arial" w:cs="Arial" w:eastAsia="Arial" w:hAnsi="Arial"/>
          <w:sz w:val="17"/>
          <w:szCs w:val="17"/>
          <w:color w:val="auto"/>
        </w:rPr>
      </w:pPr>
    </w:p>
    <w:p>
      <w:pPr>
        <w:ind w:left="818"/>
        <w:spacing w:after="0"/>
        <w:rPr>
          <w:rFonts w:ascii="Arial" w:cs="Arial" w:eastAsia="Arial" w:hAnsi="Arial"/>
          <w:sz w:val="17"/>
          <w:szCs w:val="17"/>
          <w:color w:val="auto"/>
        </w:rPr>
      </w:pPr>
      <w:r>
        <w:rPr>
          <w:rFonts w:ascii="Arial" w:cs="Arial" w:eastAsia="Arial" w:hAnsi="Arial"/>
          <w:sz w:val="17"/>
          <w:szCs w:val="17"/>
          <w:color w:val="auto"/>
        </w:rPr>
        <w:t>0.59</w:t>
      </w:r>
    </w:p>
    <w:p>
      <w:pPr>
        <w:spacing w:after="0" w:line="18" w:lineRule="exact"/>
        <w:rPr>
          <w:rFonts w:ascii="Arial" w:cs="Arial" w:eastAsia="Arial" w:hAnsi="Arial"/>
          <w:sz w:val="17"/>
          <w:szCs w:val="17"/>
          <w:color w:val="auto"/>
        </w:rPr>
      </w:pPr>
    </w:p>
    <w:p>
      <w:pPr>
        <w:ind w:left="818"/>
        <w:spacing w:after="0"/>
        <w:rPr>
          <w:rFonts w:ascii="Arial" w:cs="Arial" w:eastAsia="Arial" w:hAnsi="Arial"/>
          <w:sz w:val="17"/>
          <w:szCs w:val="17"/>
          <w:color w:val="auto"/>
        </w:rPr>
      </w:pPr>
      <w:r>
        <w:rPr>
          <w:rFonts w:ascii="Arial" w:cs="Arial" w:eastAsia="Arial" w:hAnsi="Arial"/>
          <w:sz w:val="17"/>
          <w:szCs w:val="17"/>
          <w:color w:val="auto"/>
        </w:rPr>
        <w:t>0.55</w:t>
      </w:r>
    </w:p>
    <w:p>
      <w:pPr>
        <w:spacing w:after="0" w:line="33" w:lineRule="exact"/>
        <w:rPr>
          <w:rFonts w:ascii="Arial" w:cs="Arial" w:eastAsia="Arial" w:hAnsi="Arial"/>
          <w:sz w:val="17"/>
          <w:szCs w:val="17"/>
          <w:color w:val="auto"/>
        </w:rPr>
      </w:pPr>
    </w:p>
    <w:p>
      <w:pPr>
        <w:ind w:left="818"/>
        <w:spacing w:after="0"/>
        <w:rPr>
          <w:rFonts w:ascii="Arial" w:cs="Arial" w:eastAsia="Arial" w:hAnsi="Arial"/>
          <w:sz w:val="17"/>
          <w:szCs w:val="17"/>
          <w:color w:val="auto"/>
        </w:rPr>
      </w:pPr>
      <w:r>
        <w:rPr>
          <w:rFonts w:ascii="Arial" w:cs="Arial" w:eastAsia="Arial" w:hAnsi="Arial"/>
          <w:sz w:val="17"/>
          <w:szCs w:val="17"/>
          <w:color w:val="auto"/>
        </w:rPr>
        <w:t>1.25</w:t>
      </w:r>
    </w:p>
    <w:p>
      <w:pPr>
        <w:spacing w:after="0" w:line="196" w:lineRule="exact"/>
        <w:rPr>
          <w:sz w:val="20"/>
          <w:szCs w:val="20"/>
          <w:color w:val="auto"/>
        </w:rPr>
      </w:pPr>
    </w:p>
    <w:p>
      <w:pPr>
        <w:sectPr>
          <w:pgSz w:w="11900" w:h="16838" w:orient="portrait"/>
          <w:cols w:equalWidth="0" w:num="2">
            <w:col w:w="7600" w:space="182"/>
            <w:col w:w="1278"/>
          </w:cols>
          <w:pgMar w:left="1420" w:top="111" w:right="1419" w:bottom="1440" w:gutter="0" w:footer="0" w:header="0"/>
        </w:sectPr>
      </w:pPr>
    </w:p>
    <w:p>
      <w:pPr>
        <w:ind w:right="260" w:firstLine="648"/>
        <w:spacing w:after="0" w:line="235" w:lineRule="auto"/>
        <w:rPr>
          <w:sz w:val="20"/>
          <w:szCs w:val="20"/>
          <w:color w:val="auto"/>
        </w:rPr>
      </w:pPr>
      <w:r>
        <w:rPr>
          <w:rFonts w:ascii="Arial" w:cs="Arial" w:eastAsia="Arial" w:hAnsi="Arial"/>
          <w:sz w:val="18"/>
          <w:szCs w:val="18"/>
          <w:color w:val="auto"/>
        </w:rPr>
        <w:t>The total fair value of restricted stock that vested during the years ended December 31, 2016, 2015 and 2014 was $2.7 million, $4.9 million and $1.5 million, respectively.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Remaining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Value(2)</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1,802,802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1,077,013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Canceled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6.88</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2,622,741</w:t>
            </w:r>
          </w:p>
        </w:tc>
        <w:tc>
          <w:tcPr>
            <w:tcW w:w="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44,025</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Exercisable at December 31, 2016</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883,660</w:t>
            </w:r>
          </w:p>
        </w:tc>
        <w:tc>
          <w:tcPr>
            <w:tcW w:w="300" w:type="dxa"/>
            <w:vAlign w:val="bottom"/>
            <w:tcBorders>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6.93</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7.64</w:t>
            </w:r>
          </w:p>
        </w:tc>
        <w:tc>
          <w:tcPr>
            <w:tcW w:w="260" w:type="dxa"/>
            <w:vAlign w:val="bottom"/>
            <w:tcBorders>
              <w:bottom w:val="single" w:sz="8" w:color="CCEEFF"/>
            </w:tcBorders>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18,662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2016(1)</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2,570,522</w:t>
            </w:r>
          </w:p>
        </w:tc>
        <w:tc>
          <w:tcPr>
            <w:tcW w:w="3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43,382</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0" w:right="240" w:hanging="457"/>
        <w:spacing w:after="0" w:line="235"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the number of vested options as of December 31, 2016, plus the number of unvested options expected to vest as of December 31, 2016 based on a forfeiture rate of 2.5%.</w:t>
      </w:r>
    </w:p>
    <w:p>
      <w:pPr>
        <w:spacing w:after="0" w:line="161" w:lineRule="exact"/>
        <w:rPr>
          <w:rFonts w:ascii="Arial" w:cs="Arial" w:eastAsia="Arial" w:hAnsi="Arial"/>
          <w:sz w:val="18"/>
          <w:szCs w:val="18"/>
          <w:color w:val="auto"/>
        </w:rPr>
      </w:pPr>
    </w:p>
    <w:p>
      <w:pPr>
        <w:ind w:left="460" w:right="560" w:hanging="457"/>
        <w:spacing w:after="0" w:line="235"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Intrinsic value represents the amount by which the fair market value as of December 31, 2016 of the underlying common stock exceeds the exercise price of the option.</w:t>
      </w:r>
    </w:p>
    <w:p>
      <w:pPr>
        <w:spacing w:after="0" w:line="162" w:lineRule="exact"/>
        <w:rPr>
          <w:sz w:val="20"/>
          <w:szCs w:val="20"/>
          <w:color w:val="auto"/>
        </w:rPr>
      </w:pPr>
    </w:p>
    <w:p>
      <w:pPr>
        <w:ind w:right="2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Year Ended</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900" w:type="dxa"/>
            <w:vAlign w:val="bottom"/>
          </w:tcPr>
          <w:p>
            <w:pPr>
              <w:spacing w:after="0"/>
              <w:rPr>
                <w:sz w:val="11"/>
                <w:szCs w:val="11"/>
                <w:color w:val="auto"/>
              </w:rPr>
            </w:pPr>
          </w:p>
        </w:tc>
        <w:tc>
          <w:tcPr>
            <w:tcW w:w="1440" w:type="dxa"/>
            <w:vAlign w:val="bottom"/>
            <w:gridSpan w:val="2"/>
          </w:tcPr>
          <w:p>
            <w:pPr>
              <w:jc w:val="right"/>
              <w:ind w:right="170"/>
              <w:spacing w:after="0" w:line="129" w:lineRule="exact"/>
              <w:rPr>
                <w:sz w:val="20"/>
                <w:szCs w:val="20"/>
                <w:color w:val="auto"/>
              </w:rPr>
            </w:pPr>
            <w:r>
              <w:rPr>
                <w:rFonts w:ascii="Arial" w:cs="Arial" w:eastAsia="Arial" w:hAnsi="Arial"/>
                <w:sz w:val="14"/>
                <w:szCs w:val="14"/>
                <w:b w:val="1"/>
                <w:bCs w:val="1"/>
                <w:color w:val="auto"/>
                <w:w w:val="91"/>
              </w:rPr>
              <w:t>December 31, 2016</w:t>
            </w:r>
          </w:p>
        </w:tc>
        <w:tc>
          <w:tcPr>
            <w:tcW w:w="136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w w:val="91"/>
              </w:rPr>
              <w:t>December 31, 2015</w:t>
            </w:r>
          </w:p>
        </w:tc>
        <w:tc>
          <w:tcPr>
            <w:tcW w:w="12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December 31, 2014</w:t>
            </w:r>
          </w:p>
        </w:tc>
        <w:tc>
          <w:tcPr>
            <w:tcW w:w="160" w:type="dxa"/>
            <w:vAlign w:val="bottom"/>
          </w:tcPr>
          <w:p>
            <w:pPr>
              <w:spacing w:after="0"/>
              <w:rPr>
                <w:sz w:val="11"/>
                <w:szCs w:val="1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76"/>
        </w:trPr>
        <w:tc>
          <w:tcPr>
            <w:tcW w:w="490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3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r>
      <w:tr>
        <w:trPr>
          <w:trHeight w:val="243"/>
        </w:trPr>
        <w:tc>
          <w:tcPr>
            <w:tcW w:w="49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75.94 %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85.43 %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92.99 %</w:t>
            </w:r>
          </w:p>
        </w:tc>
      </w:tr>
    </w:tbl>
    <w:p>
      <w:pPr>
        <w:spacing w:after="0" w:line="121" w:lineRule="exact"/>
        <w:rPr>
          <w:sz w:val="20"/>
          <w:szCs w:val="20"/>
          <w:color w:val="auto"/>
        </w:rPr>
      </w:pPr>
    </w:p>
    <w:p>
      <w:pPr>
        <w:ind w:right="200" w:firstLine="648"/>
        <w:spacing w:after="0" w:line="194"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grant date fair value of options granted in the years ended December 31, 2016, 2015 and 2014 was $13.06, $8.55 and $3.46, respectively. The total intrinsic value of options exercised in the years ended December 31, 2016, 2015 and 2014 was $3.1 million, $6.8 million and $0.1 million, respectively.</w:t>
      </w:r>
    </w:p>
    <w:p>
      <w:pPr>
        <w:spacing w:after="0" w:line="163" w:lineRule="exact"/>
        <w:rPr>
          <w:sz w:val="20"/>
          <w:szCs w:val="20"/>
          <w:color w:val="auto"/>
        </w:rPr>
      </w:pPr>
    </w:p>
    <w:p>
      <w:pPr>
        <w:ind w:right="22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statements of operations and comprehensive loss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36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29"/>
        </w:trPr>
        <w:tc>
          <w:tcPr>
            <w:tcW w:w="3640" w:type="dxa"/>
            <w:vAlign w:val="bottom"/>
            <w:tcBorders>
              <w:bottom w:val="single" w:sz="8" w:color="CCEEFF"/>
            </w:tcBorders>
          </w:tcPr>
          <w:p>
            <w:pPr>
              <w:spacing w:after="0"/>
              <w:rPr>
                <w:sz w:val="11"/>
                <w:szCs w:val="11"/>
                <w:color w:val="auto"/>
              </w:rPr>
            </w:pPr>
          </w:p>
        </w:tc>
        <w:tc>
          <w:tcPr>
            <w:tcW w:w="26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2014</w:t>
            </w: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6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r>
      <w:tr>
        <w:trPr>
          <w:trHeight w:val="217"/>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r>
      <w:tr>
        <w:trPr>
          <w:trHeight w:val="594"/>
        </w:trPr>
        <w:tc>
          <w:tcPr>
            <w:tcW w:w="3640" w:type="dxa"/>
            <w:vAlign w:val="bottom"/>
          </w:tcPr>
          <w:p>
            <w:pPr>
              <w:spacing w:after="0"/>
              <w:rPr>
                <w:sz w:val="24"/>
                <w:szCs w:val="24"/>
                <w:color w:val="auto"/>
              </w:rPr>
            </w:pPr>
          </w:p>
        </w:tc>
        <w:tc>
          <w:tcPr>
            <w:tcW w:w="2780" w:type="dxa"/>
            <w:vAlign w:val="bottom"/>
            <w:gridSpan w:val="2"/>
          </w:tcPr>
          <w:p>
            <w:pPr>
              <w:jc w:val="right"/>
              <w:ind w:right="1630"/>
              <w:spacing w:after="0"/>
              <w:rPr>
                <w:sz w:val="20"/>
                <w:szCs w:val="20"/>
                <w:color w:val="auto"/>
              </w:rPr>
            </w:pPr>
            <w:r>
              <w:rPr>
                <w:rFonts w:ascii="Arial" w:cs="Arial" w:eastAsia="Arial" w:hAnsi="Arial"/>
                <w:sz w:val="18"/>
                <w:szCs w:val="18"/>
                <w:color w:val="auto"/>
              </w:rPr>
              <w:t>F-22</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364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At December 31, 2016, there was $15.0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2.39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years by 1% of the number of shares of common stock issued and outstanding on the immediately preceding December 31 or such lesser amount as specified by the compensation committee of the board of directors. For the calendar year beginning January 1, 2016 and 2017, the number of shares reserved for issuance under the 2015 ESPP was increased by 271,960 and 331,254 shares. The Company issued 23,325 shares under the ESPP during the year ended December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18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7"/>
          <w:szCs w:val="17"/>
          <w:color w:val="auto"/>
        </w:rPr>
        <w:t>‑</w:t>
      </w:r>
      <w:r>
        <w:rPr>
          <w:rFonts w:ascii="Arial" w:cs="Arial" w:eastAsia="Arial" w:hAnsi="Arial"/>
          <w:sz w:val="17"/>
          <w:szCs w:val="17"/>
          <w:color w:val="auto"/>
        </w:rPr>
        <w:t>dilutive; therefore, basic and diluted net loss per share applicable to common stockholders were the same for all periods presented as a result of the Company’s net loss.</w:t>
      </w:r>
    </w:p>
    <w:p>
      <w:pPr>
        <w:spacing w:after="0" w:line="164" w:lineRule="exact"/>
        <w:rPr>
          <w:sz w:val="20"/>
          <w:szCs w:val="20"/>
          <w:color w:val="auto"/>
        </w:rPr>
      </w:pPr>
    </w:p>
    <w:p>
      <w:pPr>
        <w:ind w:right="20" w:firstLine="648"/>
        <w:spacing w:after="0" w:line="203" w:lineRule="exact"/>
        <w:rPr>
          <w:sz w:val="20"/>
          <w:szCs w:val="20"/>
          <w:color w:val="auto"/>
        </w:rPr>
      </w:pPr>
      <w:r>
        <w:rPr>
          <w:rFonts w:ascii="Arial" w:cs="Arial" w:eastAsia="Arial" w:hAnsi="Arial"/>
          <w:sz w:val="16"/>
          <w:szCs w:val="16"/>
          <w:color w:val="auto"/>
        </w:rPr>
        <w:t>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6"/>
          <w:szCs w:val="16"/>
          <w:color w:val="auto"/>
        </w:rPr>
        <w:t>‑</w:t>
      </w:r>
      <w:r>
        <w:rPr>
          <w:rFonts w:ascii="Arial" w:cs="Arial" w:eastAsia="Arial" w:hAnsi="Arial"/>
          <w:sz w:val="16"/>
          <w:szCs w:val="16"/>
          <w:color w:val="auto"/>
        </w:rPr>
        <w:t>dilutive effect: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60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2015</w:t>
            </w:r>
          </w:p>
        </w:tc>
        <w:tc>
          <w:tcPr>
            <w:tcW w:w="4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right"/>
              <w:ind w:right="273"/>
              <w:spacing w:after="0" w:line="129"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1"/>
                <w:szCs w:val="11"/>
                <w:color w:val="auto"/>
              </w:rPr>
            </w:pPr>
          </w:p>
        </w:tc>
      </w:tr>
      <w:tr>
        <w:trPr>
          <w:trHeight w:val="210"/>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preferred stock</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15,467,479</w:t>
            </w:r>
          </w:p>
        </w:tc>
        <w:tc>
          <w:tcPr>
            <w:tcW w:w="40" w:type="dxa"/>
            <w:vAlign w:val="bottom"/>
            <w:shd w:val="clear" w:color="auto" w:fill="CCEEFF"/>
          </w:tcPr>
          <w:p>
            <w:pPr>
              <w:spacing w:after="0"/>
              <w:rPr>
                <w:sz w:val="18"/>
                <w:szCs w:val="18"/>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Warrants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42,423</w:t>
            </w:r>
          </w:p>
        </w:tc>
        <w:tc>
          <w:tcPr>
            <w:tcW w:w="4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2,622,741</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1,802,802</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1,501,912</w:t>
            </w:r>
          </w:p>
        </w:tc>
        <w:tc>
          <w:tcPr>
            <w:tcW w:w="4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Unvested restricted stock</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130,495</w:t>
            </w: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425,279</w:t>
            </w:r>
          </w:p>
        </w:tc>
        <w:tc>
          <w:tcPr>
            <w:tcW w:w="40" w:type="dxa"/>
            <w:vAlign w:val="bottom"/>
            <w:tcBorders>
              <w:bottom w:val="single" w:sz="8" w:color="CCEEFF"/>
            </w:tcBorders>
          </w:tcPr>
          <w:p>
            <w:pPr>
              <w:spacing w:after="0"/>
              <w:rPr>
                <w:sz w:val="18"/>
                <w:szCs w:val="18"/>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2,624,866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1,933,297</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17,437,093</w:t>
            </w:r>
          </w:p>
        </w:tc>
        <w:tc>
          <w:tcPr>
            <w:tcW w:w="4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The weighted average number of common shares used in net loss per share applicable to common stockholders on a basic and diluted basis were 27,491,669, 18,235,614 and 1,420,518 for the years ended December 31, 2016, 2015 and 2014,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Convertible Preferred Stock</w:t>
      </w:r>
    </w:p>
    <w:p>
      <w:pPr>
        <w:spacing w:after="0" w:line="189"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In January and September 2013, the Company issued 10,000,000 and 5,000,000 shares, respectively, of Series A Convertible Preferred Stock at a price of $1.00 per share, resulting in net proceeds of $15.0 million. In January 2014, the Company issued a total of 20,916,663 shares of Series B Convertible Preferred Stock at $1.20 per share for net proceeds of $25.0 million. In November 2014, the Company issued a total of 24,154,589 shares of Series C Convertible Preferred Stock at $2.07 per share for net proceeds of $49.9 million.</w:t>
      </w:r>
    </w:p>
    <w:p>
      <w:pPr>
        <w:spacing w:after="0" w:line="162" w:lineRule="exact"/>
        <w:rPr>
          <w:sz w:val="20"/>
          <w:szCs w:val="20"/>
          <w:color w:val="auto"/>
        </w:rPr>
      </w:pPr>
    </w:p>
    <w:p>
      <w:pPr>
        <w:ind w:right="800" w:firstLine="648"/>
        <w:spacing w:after="0" w:line="289" w:lineRule="auto"/>
        <w:rPr>
          <w:sz w:val="20"/>
          <w:szCs w:val="20"/>
          <w:color w:val="auto"/>
        </w:rPr>
      </w:pPr>
      <w:r>
        <w:rPr>
          <w:rFonts w:ascii="Arial" w:cs="Arial" w:eastAsia="Arial" w:hAnsi="Arial"/>
          <w:sz w:val="16"/>
          <w:szCs w:val="16"/>
          <w:color w:val="auto"/>
        </w:rPr>
        <w:t>Upon the closing of the IPO in May 2015, all of the Company’s outstanding convertible preferred stock automatically converted into 15,467,479 shares of common stock. In addition, upon the completion of the IPO,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2" w:name="page133"/>
    <w:bookmarkEnd w:id="1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jc w:val="both"/>
        <w:ind w:right="160"/>
        <w:spacing w:after="0" w:line="238" w:lineRule="auto"/>
        <w:rPr>
          <w:sz w:val="20"/>
          <w:szCs w:val="20"/>
          <w:color w:val="auto"/>
        </w:rPr>
      </w:pPr>
      <w:r>
        <w:rPr>
          <w:rFonts w:ascii="Arial" w:cs="Arial" w:eastAsia="Arial" w:hAnsi="Arial"/>
          <w:sz w:val="17"/>
          <w:szCs w:val="17"/>
          <w:color w:val="auto"/>
        </w:rPr>
        <w:t>Company’s board of directors was authorized, without action by the stockholders, to designate and issue up to an aggregate of 5,000,000 shares of preferred stock in one or more series. The board of directors can designate the rights, preferences and privileges of the shares of each series and any of its qualifications, limitations or restrictions.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no shares of preferred stock were issued or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A reconciliation of the U.S. statutory income tax rate to the Company’s effective tax rate is as follows for the years ended December 31, 2016,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3"/>
              </w:rPr>
              <w:t>Year Ended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74"/>
        </w:trPr>
        <w:tc>
          <w:tcPr>
            <w:tcW w:w="65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6520" w:type="dxa"/>
            <w:vAlign w:val="bottom"/>
          </w:tcPr>
          <w:p>
            <w:pPr>
              <w:spacing w:after="0"/>
              <w:rPr>
                <w:sz w:val="13"/>
                <w:szCs w:val="13"/>
                <w:color w:val="auto"/>
              </w:rPr>
            </w:pPr>
          </w:p>
        </w:tc>
        <w:tc>
          <w:tcPr>
            <w:tcW w:w="62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c>
          <w:tcPr>
            <w:tcW w:w="7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Pr>
          <w:p>
            <w:pPr>
              <w:spacing w:after="0"/>
              <w:rPr>
                <w:sz w:val="13"/>
                <w:szCs w:val="13"/>
                <w:color w:val="auto"/>
              </w:rPr>
            </w:pPr>
          </w:p>
        </w:tc>
        <w:tc>
          <w:tcPr>
            <w:tcW w:w="64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3"/>
                <w:szCs w:val="13"/>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Permanent differences</w:t>
            </w: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24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(1.87)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Federal research and development credits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Federal orphan drug credits</w:t>
            </w:r>
          </w:p>
        </w:tc>
        <w:tc>
          <w:tcPr>
            <w:tcW w:w="620" w:type="dxa"/>
            <w:vAlign w:val="bottom"/>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8"/>
                <w:szCs w:val="18"/>
                <w:color w:val="auto"/>
              </w:rPr>
            </w:pPr>
          </w:p>
        </w:tc>
        <w:tc>
          <w:tcPr>
            <w:tcW w:w="8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 net of federal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(0.78)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60" w:type="dxa"/>
            <w:vAlign w:val="bottom"/>
            <w:shd w:val="clear" w:color="auto" w:fill="CCEEFF"/>
          </w:tcPr>
          <w:p>
            <w:pPr>
              <w:spacing w:after="0"/>
              <w:rPr>
                <w:sz w:val="18"/>
                <w:szCs w:val="18"/>
                <w:color w:val="auto"/>
              </w:rPr>
            </w:pPr>
          </w:p>
        </w:tc>
      </w:tr>
      <w:tr>
        <w:trPr>
          <w:trHeight w:val="176"/>
        </w:trPr>
        <w:tc>
          <w:tcPr>
            <w:tcW w:w="6520" w:type="dxa"/>
            <w:vAlign w:val="bottom"/>
          </w:tcPr>
          <w:p>
            <w:pPr>
              <w:spacing w:after="0" w:line="170" w:lineRule="exact"/>
              <w:rPr>
                <w:sz w:val="20"/>
                <w:szCs w:val="20"/>
                <w:color w:val="auto"/>
              </w:rPr>
            </w:pPr>
            <w:r>
              <w:rPr>
                <w:rFonts w:ascii="Arial" w:cs="Arial" w:eastAsia="Arial" w:hAnsi="Arial"/>
                <w:sz w:val="18"/>
                <w:szCs w:val="18"/>
                <w:color w:val="auto"/>
              </w:rPr>
              <w:t>Effective income tax rate</w:t>
            </w: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r>
    </w:tbl>
    <w:p>
      <w:pPr>
        <w:spacing w:after="0" w:line="148"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The Company had net losses in all periods presented and therefore has not recognized any federal or state income tax expense.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deferred tax assets and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1"/>
        </w:trPr>
        <w:tc>
          <w:tcPr>
            <w:tcW w:w="4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9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4"/>
                <w:szCs w:val="14"/>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Deferred tax assets:</w:t>
            </w:r>
          </w:p>
        </w:tc>
        <w:tc>
          <w:tcPr>
            <w:tcW w:w="1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1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69,443</w:t>
            </w:r>
          </w:p>
        </w:tc>
        <w:tc>
          <w:tcPr>
            <w:tcW w:w="4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48,291</w:t>
            </w:r>
          </w:p>
        </w:tc>
        <w:tc>
          <w:tcPr>
            <w:tcW w:w="20" w:type="dxa"/>
            <w:vAlign w:val="bottom"/>
          </w:tcPr>
          <w:p>
            <w:pPr>
              <w:spacing w:after="0"/>
              <w:rPr>
                <w:sz w:val="18"/>
                <w:szCs w:val="18"/>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30,603</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 carryforwards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4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Orphan drug credit carryforwards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4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lease incentive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Deferred rent</w:t>
            </w:r>
          </w:p>
        </w:tc>
        <w:tc>
          <w:tcPr>
            <w:tcW w:w="1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33,234</w:t>
            </w:r>
          </w:p>
        </w:tc>
        <w:tc>
          <w:tcPr>
            <w:tcW w:w="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Debt discount</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Valuation allowance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(84,053)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(52,924)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(33,075)</w:t>
            </w:r>
          </w:p>
        </w:tc>
        <w:tc>
          <w:tcPr>
            <w:tcW w:w="40" w:type="dxa"/>
            <w:vAlign w:val="bottom"/>
          </w:tcPr>
          <w:p>
            <w:pPr>
              <w:spacing w:after="0"/>
              <w:rPr>
                <w:sz w:val="18"/>
                <w:szCs w:val="18"/>
                <w:color w:val="auto"/>
              </w:rPr>
            </w:pPr>
          </w:p>
        </w:tc>
      </w:tr>
      <w:tr>
        <w:trPr>
          <w:trHeight w:val="176"/>
        </w:trPr>
        <w:tc>
          <w:tcPr>
            <w:tcW w:w="498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deferred tax asset</w:t>
            </w:r>
          </w:p>
        </w:tc>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$84.1 million, $52.9 million and $33.1 million has been established at December 31, 2016, 2015 and 2014, respectively. The change in the valuation allowance was $31.1 million, $19.8 million and $15.7 million for the years ended December 31, 2016, 2015 and 2014, respectively. The Company has incurred net operating losses (NOL) since inception. At December 31, 2016, the Company had federal and state NOL carryforwards of $179.8 million and $177.3 million, respectively, which expire beginning in 2030. As of December 31, 2016, the Company had federal and state research and development tax credit carryforwards of $2.8 million and $1.5 million, respectively, which expire beginning in 2025. The Company had net NOLs related to stock compensation in the amount of $2.7 million that is not included in the deferred tax assets. When the excess stock-</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133" w:name="page134"/>
    <w:bookmarkEnd w:id="1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based compensation related to NOL carryover tax assets are realized, the benefit will be credited directly to equity. As of December 31, 2016, the Company had federal orphan drug credits of $5.1 million, which expire beginning in 2035 and state investment tax credits of $0.1 million, which expire beginning in 2018.</w:t>
      </w:r>
    </w:p>
    <w:p>
      <w:pPr>
        <w:spacing w:after="0" w:line="163"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In addition, U.S. tax laws limit the time during which these carryforwards may be applied against future taxes. Therefore, the Company may not be able to take full advantage of these carryforwards for federal or state income tax purposes.</w:t>
      </w:r>
    </w:p>
    <w:p>
      <w:pPr>
        <w:spacing w:after="0" w:line="16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Interest and penalty charges, if any, related to unrecognized tax benefits would be classified as income tax expense in the accompanying statements of operations and comprehensive loss. As of December 31, 2016 and 2015, the Company has no accrued interest related to uncertain tax positions. In many cases, the Company’s uncertain tax positions are related to years that remain subject to examination by relevant tax authorities. Since the Company is in a loss carryforward position, it is generally subject to examination by the U.S. federal, state, and local income tax authorities for all tax years in which a loss carryforward is available.</w:t>
      </w:r>
    </w:p>
    <w:p>
      <w:pPr>
        <w:spacing w:after="0" w:line="162"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For all years through December 31, 2016,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and comprehensive loss if an adjustment were required.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w:t>
      </w:r>
    </w:p>
    <w:p>
      <w:pPr>
        <w:spacing w:after="0" w:line="189"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8"/>
          <w:szCs w:val="18"/>
          <w:color w:val="auto"/>
        </w:rPr>
        <w:t>The Company leased its former corporate headquarters under an operating lease that expired on November 1, 2015. On February 1, 2015, the Company’s option to extend the term of the lease for an additional three</w:t>
      </w:r>
      <w:r>
        <w:rPr>
          <w:rFonts w:ascii="MS PGothic" w:cs="MS PGothic" w:eastAsia="MS PGothic" w:hAnsi="MS PGothic"/>
          <w:sz w:val="18"/>
          <w:szCs w:val="18"/>
          <w:color w:val="auto"/>
        </w:rPr>
        <w:t>‑</w:t>
      </w:r>
      <w:r>
        <w:rPr>
          <w:rFonts w:ascii="Arial" w:cs="Arial" w:eastAsia="Arial" w:hAnsi="Arial"/>
          <w:sz w:val="18"/>
          <w:szCs w:val="18"/>
          <w:color w:val="auto"/>
        </w:rPr>
        <w:t>year period expired. The Company did not exercise its option to extend the term of the lease.</w:t>
      </w:r>
    </w:p>
    <w:p>
      <w:pPr>
        <w:spacing w:after="0" w:line="163"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consolidated balance sheet at December 31, 2016, 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sheets. The lease agreement required the Company to pay a security deposit of $1.3 million, which is recorded in restricted cash, included in long term assets, on the Company’s balance sheet.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future minimum lease payments at December 31, 2016,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2017</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60" w:type="dxa"/>
            <w:vAlign w:val="bottom"/>
            <w:shd w:val="clear" w:color="auto" w:fill="CCEEFF"/>
          </w:tcPr>
          <w:p>
            <w:pPr>
              <w:spacing w:after="0"/>
              <w:rPr>
                <w:sz w:val="18"/>
                <w:szCs w:val="18"/>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rPr>
              <w:t>2018</w:t>
            </w: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2,468</w:t>
            </w:r>
          </w:p>
        </w:tc>
        <w:tc>
          <w:tcPr>
            <w:tcW w:w="160" w:type="dxa"/>
            <w:vAlign w:val="bottom"/>
          </w:tcPr>
          <w:p>
            <w:pPr>
              <w:spacing w:after="0"/>
              <w:rPr>
                <w:sz w:val="18"/>
                <w:szCs w:val="18"/>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2019</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60" w:type="dxa"/>
            <w:vAlign w:val="bottom"/>
            <w:shd w:val="clear" w:color="auto" w:fill="CCEEFF"/>
          </w:tcPr>
          <w:p>
            <w:pPr>
              <w:spacing w:after="0"/>
              <w:rPr>
                <w:sz w:val="18"/>
                <w:szCs w:val="18"/>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rPr>
              <w:t>2020</w:t>
            </w: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2,618</w:t>
            </w:r>
          </w:p>
        </w:tc>
        <w:tc>
          <w:tcPr>
            <w:tcW w:w="160" w:type="dxa"/>
            <w:vAlign w:val="bottom"/>
          </w:tcPr>
          <w:p>
            <w:pPr>
              <w:spacing w:after="0"/>
              <w:rPr>
                <w:sz w:val="18"/>
                <w:szCs w:val="18"/>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60" w:type="dxa"/>
            <w:vAlign w:val="bottom"/>
            <w:shd w:val="clear" w:color="auto" w:fill="CCEEFF"/>
          </w:tcPr>
          <w:p>
            <w:pPr>
              <w:spacing w:after="0"/>
              <w:rPr>
                <w:sz w:val="18"/>
                <w:szCs w:val="18"/>
                <w:color w:val="auto"/>
              </w:rPr>
            </w:pPr>
          </w:p>
        </w:tc>
      </w:tr>
      <w:tr>
        <w:trPr>
          <w:trHeight w:val="216"/>
        </w:trPr>
        <w:tc>
          <w:tcPr>
            <w:tcW w:w="262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54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60" w:type="dxa"/>
            <w:vAlign w:val="bottom"/>
          </w:tcPr>
          <w:p>
            <w:pPr>
              <w:spacing w:after="0"/>
              <w:rPr>
                <w:sz w:val="18"/>
                <w:szCs w:val="18"/>
                <w:color w:val="auto"/>
              </w:rPr>
            </w:pPr>
          </w:p>
        </w:tc>
      </w:tr>
      <w:tr>
        <w:trPr>
          <w:trHeight w:val="412"/>
        </w:trPr>
        <w:tc>
          <w:tcPr>
            <w:tcW w:w="2620" w:type="dxa"/>
            <w:vAlign w:val="bottom"/>
          </w:tcPr>
          <w:p>
            <w:pPr>
              <w:spacing w:after="0"/>
              <w:rPr>
                <w:sz w:val="24"/>
                <w:szCs w:val="24"/>
                <w:color w:val="auto"/>
              </w:rPr>
            </w:pPr>
          </w:p>
        </w:tc>
        <w:tc>
          <w:tcPr>
            <w:tcW w:w="6440" w:type="dxa"/>
            <w:vAlign w:val="bottom"/>
            <w:gridSpan w:val="3"/>
          </w:tcPr>
          <w:p>
            <w:pPr>
              <w:ind w:left="1740"/>
              <w:spacing w:after="0"/>
              <w:rPr>
                <w:sz w:val="20"/>
                <w:szCs w:val="20"/>
                <w:color w:val="auto"/>
              </w:rPr>
            </w:pPr>
            <w:r>
              <w:rPr>
                <w:rFonts w:ascii="Arial" w:cs="Arial" w:eastAsia="Arial" w:hAnsi="Arial"/>
                <w:sz w:val="18"/>
                <w:szCs w:val="18"/>
                <w:color w:val="auto"/>
              </w:rPr>
              <w:t>F-25</w:t>
            </w:r>
          </w:p>
        </w:tc>
      </w:tr>
      <w:tr>
        <w:trPr>
          <w:trHeight w:val="102"/>
        </w:trPr>
        <w:tc>
          <w:tcPr>
            <w:tcW w:w="2620" w:type="dxa"/>
            <w:vAlign w:val="bottom"/>
            <w:tcBorders>
              <w:bottom w:val="single" w:sz="8" w:color="auto"/>
            </w:tcBorders>
          </w:tcPr>
          <w:p>
            <w:pPr>
              <w:spacing w:after="0"/>
              <w:rPr>
                <w:sz w:val="8"/>
                <w:szCs w:val="8"/>
                <w:color w:val="auto"/>
              </w:rPr>
            </w:pPr>
          </w:p>
        </w:tc>
        <w:tc>
          <w:tcPr>
            <w:tcW w:w="54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134" w:name="page135"/>
    <w:bookmarkEnd w:id="1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15,024</w:t>
            </w:r>
          </w:p>
        </w:tc>
        <w:tc>
          <w:tcPr>
            <w:tcW w:w="160" w:type="dxa"/>
            <w:vAlign w:val="bottom"/>
            <w:shd w:val="clear" w:color="auto" w:fill="CCEEFF"/>
          </w:tcPr>
          <w:p>
            <w:pPr>
              <w:spacing w:after="0"/>
              <w:rPr>
                <w:sz w:val="18"/>
                <w:szCs w:val="18"/>
                <w:color w:val="auto"/>
              </w:rPr>
            </w:pPr>
          </w:p>
        </w:tc>
      </w:tr>
      <w:tr>
        <w:trPr>
          <w:trHeight w:val="27"/>
        </w:trPr>
        <w:tc>
          <w:tcPr>
            <w:tcW w:w="51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760" w:firstLine="648"/>
        <w:spacing w:after="0" w:line="324" w:lineRule="auto"/>
        <w:rPr>
          <w:sz w:val="20"/>
          <w:szCs w:val="20"/>
          <w:color w:val="auto"/>
        </w:rPr>
      </w:pPr>
      <w:r>
        <w:rPr>
          <w:rFonts w:ascii="Arial" w:cs="Arial" w:eastAsia="Arial" w:hAnsi="Arial"/>
          <w:sz w:val="15"/>
          <w:szCs w:val="15"/>
          <w:color w:val="auto"/>
        </w:rPr>
        <w:t>The Company records rent expense under its lease agreements on a straight line basis. For the years ended December 31, 2016, 2015, and 2014, rent expense was $1.8 million, $1.8 million, and $0.8 million, respectively.</w:t>
      </w:r>
    </w:p>
    <w:p>
      <w:pPr>
        <w:spacing w:after="0" w:line="9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16.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received consulting and management services from one of its investors, Third Rock</w:t>
      </w:r>
    </w:p>
    <w:p>
      <w:pPr>
        <w:spacing w:after="0" w:line="229" w:lineRule="auto"/>
        <w:rPr>
          <w:sz w:val="20"/>
          <w:szCs w:val="20"/>
          <w:color w:val="auto"/>
        </w:rPr>
      </w:pPr>
      <w:r>
        <w:rPr>
          <w:rFonts w:ascii="Arial" w:cs="Arial" w:eastAsia="Arial" w:hAnsi="Arial"/>
          <w:sz w:val="16"/>
          <w:szCs w:val="16"/>
          <w:color w:val="auto"/>
        </w:rPr>
        <w:t>Ventures LLC (Third Rock Ventures). The Company paid Third Rock Ventures $0.4 million and incurred expenses of $0.3</w:t>
      </w:r>
    </w:p>
    <w:p>
      <w:pPr>
        <w:spacing w:after="0" w:line="229" w:lineRule="auto"/>
        <w:rPr>
          <w:sz w:val="20"/>
          <w:szCs w:val="20"/>
          <w:color w:val="auto"/>
        </w:rPr>
      </w:pPr>
      <w:r>
        <w:rPr>
          <w:rFonts w:ascii="Arial" w:cs="Arial" w:eastAsia="Arial" w:hAnsi="Arial"/>
          <w:sz w:val="16"/>
          <w:szCs w:val="16"/>
          <w:color w:val="auto"/>
        </w:rPr>
        <w:t>million for these services during the year ended December 31, 2014. The Company did not receive any consulting services</w:t>
      </w:r>
    </w:p>
    <w:p>
      <w:pPr>
        <w:spacing w:after="0"/>
        <w:rPr>
          <w:sz w:val="20"/>
          <w:szCs w:val="20"/>
          <w:color w:val="auto"/>
        </w:rPr>
      </w:pPr>
      <w:r>
        <w:rPr>
          <w:rFonts w:ascii="Arial" w:cs="Arial" w:eastAsia="Arial" w:hAnsi="Arial"/>
          <w:sz w:val="18"/>
          <w:szCs w:val="18"/>
          <w:color w:val="auto"/>
        </w:rPr>
        <w:t>from Third Rock Ventures during the years ended December 31, 2016 and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Defined Contribution Benefit Plan</w:t>
      </w:r>
    </w:p>
    <w:p>
      <w:pPr>
        <w:spacing w:after="0" w:line="189"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Company maintains a 401(k) plan for employees (the 401(k) Plan). The 401(k) Plan is intended to qualify under Section 401(k) of the Internal Revenue Service Code of 1986, as amended, so that contributions to the 401(k) Plan by employees or by the Company, and the investment earnings thereon,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 law on behalf of all eligible employees. Effective September 1, 2015, the Company instituted an employer match of 50% of eligible contributions up to 6% of employee contributions. For the years ended December 31, 2016 and 2015, the Company contributed $0.4 million and $0.1 million, respectively, to the 401(k) Plan.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The following table contains selected quarterly financial information for 2016 and 2015.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3"/>
              <w:spacing w:after="0" w:line="160" w:lineRule="exact"/>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16"/>
              <w:spacing w:after="0" w:line="160" w:lineRule="exact"/>
              <w:rPr>
                <w:sz w:val="20"/>
                <w:szCs w:val="20"/>
                <w:color w:val="auto"/>
              </w:rPr>
            </w:pPr>
            <w:r>
              <w:rPr>
                <w:rFonts w:ascii="Arial" w:cs="Arial" w:eastAsia="Arial" w:hAnsi="Arial"/>
                <w:sz w:val="14"/>
                <w:szCs w:val="14"/>
                <w:b w:val="1"/>
                <w:bCs w:val="1"/>
                <w:color w:val="auto"/>
                <w:w w:val="96"/>
              </w:rPr>
              <w:t>June 30, 2016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w w:val="99"/>
              </w:rPr>
              <w:t>September 30, 2016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30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22,281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29,064</w:t>
            </w:r>
          </w:p>
        </w:tc>
        <w:tc>
          <w:tcPr>
            <w:tcW w:w="0" w:type="dxa"/>
            <w:vAlign w:val="bottom"/>
          </w:tcPr>
          <w:p>
            <w:pPr>
              <w:spacing w:after="0"/>
              <w:rPr>
                <w:sz w:val="1"/>
                <w:szCs w:val="1"/>
                <w:color w:val="auto"/>
              </w:rPr>
            </w:pPr>
          </w:p>
        </w:tc>
      </w:tr>
      <w:tr>
        <w:trPr>
          <w:trHeight w:val="216"/>
        </w:trPr>
        <w:tc>
          <w:tcPr>
            <w:tcW w:w="2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(15,504)</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(18,894)</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(16,834)</w:t>
            </w:r>
          </w:p>
        </w:tc>
        <w:tc>
          <w:tcPr>
            <w:tcW w:w="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27"/>
        </w:trPr>
        <w:tc>
          <w:tcPr>
            <w:tcW w:w="2780" w:type="dxa"/>
            <w:vAlign w:val="bottom"/>
            <w:tcBorders>
              <w:right w:val="single" w:sz="8" w:color="CCEEFF"/>
            </w:tcBorders>
            <w:vMerge w:val="restart"/>
            <w:shd w:val="clear" w:color="auto" w:fill="CCEEFF"/>
          </w:tcPr>
          <w:p>
            <w:pPr>
              <w:spacing w:after="0" w:line="162" w:lineRule="exact"/>
              <w:rPr>
                <w:sz w:val="20"/>
                <w:szCs w:val="20"/>
                <w:color w:val="auto"/>
              </w:rPr>
            </w:pPr>
            <w:r>
              <w:rPr>
                <w:rFonts w:ascii="Arial" w:cs="Arial" w:eastAsia="Arial" w:hAnsi="Arial"/>
                <w:sz w:val="18"/>
                <w:szCs w:val="18"/>
                <w:color w:val="auto"/>
              </w:rPr>
              <w:t>Net loss applicable to common</w:t>
            </w: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Borders>
              <w:right w:val="single" w:sz="8" w:color="CCEEFF"/>
            </w:tcBorders>
            <w:vMerge w:val="continue"/>
            <w:shd w:val="clear" w:color="auto" w:fill="CCEEFF"/>
          </w:tcPr>
          <w:p>
            <w:pPr>
              <w:spacing w:after="0"/>
              <w:rPr>
                <w:sz w:val="11"/>
                <w:szCs w:val="11"/>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160" w:type="dxa"/>
            <w:vAlign w:val="bottom"/>
            <w:vMerge w:val="restart"/>
            <w:shd w:val="clear" w:color="auto" w:fill="CCEEFF"/>
          </w:tcPr>
          <w:p>
            <w:pPr>
              <w:spacing w:after="0"/>
              <w:rPr>
                <w:sz w:val="11"/>
                <w:szCs w:val="11"/>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(18,894)</w:t>
            </w:r>
          </w:p>
        </w:tc>
        <w:tc>
          <w:tcPr>
            <w:tcW w:w="300" w:type="dxa"/>
            <w:vAlign w:val="bottom"/>
            <w:tcBorders>
              <w:left w:val="single" w:sz="8" w:color="CCEEFF"/>
            </w:tcBorders>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(16,834)</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209"/>
        </w:trPr>
        <w:tc>
          <w:tcPr>
            <w:tcW w:w="2780" w:type="dxa"/>
            <w:vAlign w:val="bottom"/>
            <w:tcBorders>
              <w:right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stockholders</w:t>
            </w:r>
          </w:p>
        </w:tc>
        <w:tc>
          <w:tcPr>
            <w:tcW w:w="2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00" w:type="dxa"/>
            <w:vAlign w:val="bottom"/>
            <w:tcBorders>
              <w:left w:val="single" w:sz="8" w:color="CCEEFF"/>
            </w:tcBorders>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78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Net loss per share applicable to</w:t>
            </w: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w w:val="92"/>
              </w:rPr>
              <w:t>common stockholders — basic and</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(0.57)</w:t>
            </w:r>
          </w:p>
        </w:tc>
        <w:tc>
          <w:tcPr>
            <w:tcW w:w="160" w:type="dxa"/>
            <w:vAlign w:val="bottom"/>
            <w:vMerge w:val="restart"/>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(0.70)</w:t>
            </w:r>
          </w:p>
        </w:tc>
        <w:tc>
          <w:tcPr>
            <w:tcW w:w="300" w:type="dxa"/>
            <w:vAlign w:val="bottom"/>
            <w:gridSpan w:val="2"/>
            <w:vMerge w:val="restart"/>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(0.62)</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line="189" w:lineRule="exact"/>
              <w:rPr>
                <w:sz w:val="20"/>
                <w:szCs w:val="20"/>
                <w:color w:val="auto"/>
              </w:rPr>
            </w:pPr>
            <w:r>
              <w:rPr>
                <w:rFonts w:ascii="Arial" w:cs="Arial" w:eastAsia="Arial" w:hAnsi="Arial"/>
                <w:sz w:val="18"/>
                <w:szCs w:val="18"/>
                <w:color w:val="auto"/>
              </w:rPr>
              <w:t>diluted</w:t>
            </w:r>
          </w:p>
        </w:tc>
        <w:tc>
          <w:tcPr>
            <w:tcW w:w="2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4"/>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F-26</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35" w:name="page136"/>
    <w:bookmarkEnd w:id="1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right"/>
              <w:ind w:right="33"/>
              <w:spacing w:after="0" w:line="160" w:lineRule="exact"/>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ind w:right="116"/>
              <w:spacing w:after="0" w:line="160" w:lineRule="exact"/>
              <w:rPr>
                <w:sz w:val="20"/>
                <w:szCs w:val="20"/>
                <w:color w:val="auto"/>
              </w:rPr>
            </w:pPr>
            <w:r>
              <w:rPr>
                <w:rFonts w:ascii="Arial" w:cs="Arial" w:eastAsia="Arial" w:hAnsi="Arial"/>
                <w:sz w:val="14"/>
                <w:szCs w:val="14"/>
                <w:b w:val="1"/>
                <w:bCs w:val="1"/>
                <w:color w:val="auto"/>
                <w:w w:val="96"/>
              </w:rPr>
              <w:t>June 30, 2015</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w w:val="99"/>
              </w:rPr>
              <w:t>September 30, 2015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(in thousands, except per share data)</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12,002</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15,083</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15,903</w:t>
            </w:r>
          </w:p>
        </w:tc>
        <w:tc>
          <w:tcPr>
            <w:tcW w:w="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20,056</w:t>
            </w:r>
          </w:p>
        </w:tc>
        <w:tc>
          <w:tcPr>
            <w:tcW w:w="0" w:type="dxa"/>
            <w:vAlign w:val="bottom"/>
          </w:tcPr>
          <w:p>
            <w:pPr>
              <w:spacing w:after="0"/>
              <w:rPr>
                <w:sz w:val="1"/>
                <w:szCs w:val="1"/>
                <w:color w:val="auto"/>
              </w:rPr>
            </w:pPr>
          </w:p>
        </w:tc>
      </w:tr>
      <w:tr>
        <w:trPr>
          <w:trHeight w:val="216"/>
        </w:trPr>
        <w:tc>
          <w:tcPr>
            <w:tcW w:w="2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Borders>
              <w:lef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(11,572)</w:t>
            </w:r>
          </w:p>
        </w:tc>
        <w:tc>
          <w:tcPr>
            <w:tcW w:w="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(12,980)</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(12,642)</w:t>
            </w:r>
          </w:p>
        </w:tc>
        <w:tc>
          <w:tcPr>
            <w:tcW w:w="8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(15,575)</w:t>
            </w:r>
          </w:p>
        </w:tc>
        <w:tc>
          <w:tcPr>
            <w:tcW w:w="0" w:type="dxa"/>
            <w:vAlign w:val="bottom"/>
          </w:tcPr>
          <w:p>
            <w:pPr>
              <w:spacing w:after="0"/>
              <w:rPr>
                <w:sz w:val="1"/>
                <w:szCs w:val="1"/>
                <w:color w:val="auto"/>
              </w:rPr>
            </w:pPr>
          </w:p>
        </w:tc>
      </w:tr>
      <w:tr>
        <w:trPr>
          <w:trHeight w:val="27"/>
        </w:trPr>
        <w:tc>
          <w:tcPr>
            <w:tcW w:w="2780" w:type="dxa"/>
            <w:vAlign w:val="bottom"/>
            <w:tcBorders>
              <w:right w:val="single" w:sz="8" w:color="CCEEFF"/>
            </w:tcBorders>
            <w:vMerge w:val="restart"/>
            <w:shd w:val="clear" w:color="auto" w:fill="CCEEFF"/>
          </w:tcPr>
          <w:p>
            <w:pPr>
              <w:spacing w:after="0" w:line="162" w:lineRule="exact"/>
              <w:rPr>
                <w:sz w:val="20"/>
                <w:szCs w:val="20"/>
                <w:color w:val="auto"/>
              </w:rPr>
            </w:pPr>
            <w:r>
              <w:rPr>
                <w:rFonts w:ascii="Arial" w:cs="Arial" w:eastAsia="Arial" w:hAnsi="Arial"/>
                <w:sz w:val="18"/>
                <w:szCs w:val="18"/>
                <w:color w:val="auto"/>
              </w:rPr>
              <w:t>Net loss applicable to common</w:t>
            </w: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tcBorders>
              <w:right w:val="single" w:sz="8" w:color="CCEEFF"/>
            </w:tcBorders>
            <w:vMerge w:val="continue"/>
            <w:shd w:val="clear" w:color="auto" w:fill="CCEEFF"/>
          </w:tcPr>
          <w:p>
            <w:pPr>
              <w:spacing w:after="0"/>
              <w:rPr>
                <w:sz w:val="11"/>
                <w:szCs w:val="11"/>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160" w:type="dxa"/>
            <w:vAlign w:val="bottom"/>
            <w:vMerge w:val="restart"/>
            <w:shd w:val="clear" w:color="auto" w:fill="CCEEFF"/>
          </w:tcPr>
          <w:p>
            <w:pPr>
              <w:spacing w:after="0"/>
              <w:rPr>
                <w:sz w:val="11"/>
                <w:szCs w:val="11"/>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(13,863)</w:t>
            </w:r>
          </w:p>
        </w:tc>
        <w:tc>
          <w:tcPr>
            <w:tcW w:w="300" w:type="dxa"/>
            <w:vAlign w:val="bottom"/>
            <w:tcBorders>
              <w:left w:val="single" w:sz="8" w:color="CCEEFF"/>
            </w:tcBorders>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(12,642)</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(15,575)</w:t>
            </w:r>
          </w:p>
        </w:tc>
        <w:tc>
          <w:tcPr>
            <w:tcW w:w="0" w:type="dxa"/>
            <w:vAlign w:val="bottom"/>
          </w:tcPr>
          <w:p>
            <w:pPr>
              <w:spacing w:after="0"/>
              <w:rPr>
                <w:sz w:val="1"/>
                <w:szCs w:val="1"/>
                <w:color w:val="auto"/>
              </w:rPr>
            </w:pPr>
          </w:p>
        </w:tc>
      </w:tr>
      <w:tr>
        <w:trPr>
          <w:trHeight w:val="209"/>
        </w:trPr>
        <w:tc>
          <w:tcPr>
            <w:tcW w:w="2780" w:type="dxa"/>
            <w:vAlign w:val="bottom"/>
            <w:tcBorders>
              <w:right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stockholders</w:t>
            </w:r>
          </w:p>
        </w:tc>
        <w:tc>
          <w:tcPr>
            <w:tcW w:w="24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00" w:type="dxa"/>
            <w:vAlign w:val="bottom"/>
            <w:tcBorders>
              <w:left w:val="single" w:sz="8" w:color="CCEEFF"/>
            </w:tcBorders>
            <w:gridSpan w:val="2"/>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78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Net loss per share applicable to</w:t>
            </w:r>
          </w:p>
        </w:tc>
        <w:tc>
          <w:tcPr>
            <w:tcW w:w="2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w w:val="92"/>
              </w:rPr>
              <w:t>common stockholders — basic and</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(8.23)</w:t>
            </w:r>
          </w:p>
        </w:tc>
        <w:tc>
          <w:tcPr>
            <w:tcW w:w="160" w:type="dxa"/>
            <w:vAlign w:val="bottom"/>
            <w:vMerge w:val="restart"/>
          </w:tcPr>
          <w:p>
            <w:pPr>
              <w:spacing w:after="0"/>
              <w:rPr>
                <w:sz w:val="15"/>
                <w:szCs w:val="15"/>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(0.81)</w:t>
            </w:r>
          </w:p>
        </w:tc>
        <w:tc>
          <w:tcPr>
            <w:tcW w:w="300" w:type="dxa"/>
            <w:vAlign w:val="bottom"/>
            <w:gridSpan w:val="2"/>
            <w:vMerge w:val="restart"/>
          </w:tcPr>
          <w:p>
            <w:pPr>
              <w:jc w:val="center"/>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(0.47)</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189"/>
        </w:trPr>
        <w:tc>
          <w:tcPr>
            <w:tcW w:w="2780" w:type="dxa"/>
            <w:vAlign w:val="bottom"/>
          </w:tcPr>
          <w:p>
            <w:pPr>
              <w:ind w:left="140"/>
              <w:spacing w:after="0" w:line="189" w:lineRule="exact"/>
              <w:rPr>
                <w:sz w:val="20"/>
                <w:szCs w:val="20"/>
                <w:color w:val="auto"/>
              </w:rPr>
            </w:pPr>
            <w:r>
              <w:rPr>
                <w:rFonts w:ascii="Arial" w:cs="Arial" w:eastAsia="Arial" w:hAnsi="Arial"/>
                <w:sz w:val="18"/>
                <w:szCs w:val="18"/>
                <w:color w:val="auto"/>
              </w:rPr>
              <w:t>diluted</w:t>
            </w:r>
          </w:p>
        </w:tc>
        <w:tc>
          <w:tcPr>
            <w:tcW w:w="2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35"/>
        </w:trPr>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F-27</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136" w:name="page137"/>
    <w:bookmarkEnd w:id="1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18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8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Form</w:t>
            </w:r>
          </w:p>
        </w:tc>
        <w:tc>
          <w:tcPr>
            <w:tcW w:w="10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2"/>
                <w:szCs w:val="12"/>
                <w:color w:val="auto"/>
              </w:rPr>
            </w:pPr>
          </w:p>
        </w:tc>
        <w:tc>
          <w:tcPr>
            <w:tcW w:w="41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Fifth Amended and Restated Certificate of Incorporation</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10-Q</w:t>
            </w:r>
          </w:p>
        </w:tc>
        <w:tc>
          <w:tcPr>
            <w:tcW w:w="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001-37359</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w w:val="98"/>
              </w:rPr>
              <w:t>3.1</w:t>
            </w:r>
          </w:p>
        </w:tc>
        <w:tc>
          <w:tcPr>
            <w:tcW w:w="80" w:type="dxa"/>
            <w:vAlign w:val="bottom"/>
          </w:tcPr>
          <w:p>
            <w:pPr>
              <w:spacing w:after="0"/>
              <w:rPr>
                <w:sz w:val="12"/>
                <w:szCs w:val="12"/>
                <w:color w:val="auto"/>
              </w:rPr>
            </w:pPr>
          </w:p>
        </w:tc>
        <w:tc>
          <w:tcPr>
            <w:tcW w:w="1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color w:val="auto"/>
              </w:rPr>
              <w:t>November 9,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of the Registrant</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3.2</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Amended and Restated Bylaws of the Registrant</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color w:val="auto"/>
              </w:rPr>
              <w:t>4.1</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Specimen Common Stock Certificate</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20, 2015</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4.2</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Second Amended and Restated Investors’ Rights</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Agreement, dated as of November 7, 2014, by and</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among the Registrant and the Investors listed therein</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2011 Stock Option and Grant Plan, as amended, and</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forms of award agreements thereunder</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10.2</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2015 Stock Option and Incentive Plan and forms of</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award agreements thereunder</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10.3</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2015 Employee Stock Purchase Plan</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S-8</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333-203749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30, 2015</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10.4</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Lease Agreement, dated February 11, 2015, by and</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8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between the Registrant and 38 Sidney Street Limited</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Partnership</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10.5#</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9"/>
              </w:rPr>
              <w:t>Employment Agreement, dated November 6, 2015, by</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Jeffrey W. Albers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10.6#</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9"/>
              </w:rPr>
              <w:t>Employment Agreement, dated November 6, 2015, by</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Christoph Lengauer</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10.7#</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9"/>
              </w:rPr>
              <w:t>Employment Agreement, dated November 6, 2015, by</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Anthony L. Boral</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10.8†</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6"/>
              </w:rPr>
              <w:t>Resignation Agreement, dated August 13, 2015, by and</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between the Registrant and Kyle D. Kuvalanka</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10.9#</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6"/>
              </w:rPr>
              <w:t>Employment Agreement, dated March 10, 2016, by and</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between the Registrant and Kathryn Haviland</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10.10#</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7"/>
              </w:rPr>
              <w:t>Employment Agreement, dated September 6, 2016, by</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November 10,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Tracey L. McCain</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9"/>
              </w:rPr>
              <w:t>Employment Agreement, dated November 9, 2016, by</w:t>
            </w: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November 14,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Marion Dorsch</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First Amendment to Employment Agreement, dated</w:t>
            </w:r>
          </w:p>
        </w:tc>
        <w:tc>
          <w:tcPr>
            <w:tcW w:w="6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November 14, 2016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80" w:type="dxa"/>
            <w:vAlign w:val="bottom"/>
            <w:gridSpan w:val="3"/>
          </w:tcPr>
          <w:p>
            <w:pPr>
              <w:ind w:left="100"/>
              <w:spacing w:after="0" w:line="176" w:lineRule="exact"/>
              <w:rPr>
                <w:sz w:val="20"/>
                <w:szCs w:val="20"/>
                <w:color w:val="auto"/>
              </w:rPr>
            </w:pPr>
            <w:r>
              <w:rPr>
                <w:rFonts w:ascii="Arial" w:cs="Arial" w:eastAsia="Arial" w:hAnsi="Arial"/>
                <w:sz w:val="18"/>
                <w:szCs w:val="18"/>
                <w:color w:val="auto"/>
                <w:w w:val="97"/>
              </w:rPr>
              <w:t>November 9, 2016, by and between the Registrant and</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Christoph Lengauer</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4"/>
              </w:rPr>
              <w:t>Change in Control Agreement, dated March 10, 2016, by</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and between the Registrant and Michael Landsittel</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7"/>
              </w:rPr>
              <w:t>Loan and Security Agreement, dated May 24, 2013, by</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80" w:type="dxa"/>
            <w:vAlign w:val="bottom"/>
            <w:gridSpan w:val="3"/>
          </w:tcPr>
          <w:p>
            <w:pPr>
              <w:ind w:left="100"/>
              <w:spacing w:after="0" w:line="191" w:lineRule="exact"/>
              <w:rPr>
                <w:sz w:val="20"/>
                <w:szCs w:val="20"/>
                <w:color w:val="auto"/>
              </w:rPr>
            </w:pPr>
            <w:r>
              <w:rPr>
                <w:rFonts w:ascii="Arial" w:cs="Arial" w:eastAsia="Arial" w:hAnsi="Arial"/>
                <w:sz w:val="18"/>
                <w:szCs w:val="18"/>
                <w:color w:val="auto"/>
                <w:w w:val="96"/>
              </w:rPr>
              <w:t>and between the Registrant and Silicon Valley Bank, as</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60"/>
        <w:spacing w:after="0" w:line="203" w:lineRule="auto"/>
        <w:rPr>
          <w:sz w:val="20"/>
          <w:szCs w:val="20"/>
          <w:color w:val="auto"/>
        </w:rPr>
      </w:pPr>
      <w:r>
        <w:rPr>
          <w:rFonts w:ascii="Arial" w:cs="Arial" w:eastAsia="Arial" w:hAnsi="Arial"/>
          <w:sz w:val="18"/>
          <w:szCs w:val="18"/>
          <w:color w:val="auto"/>
        </w:rPr>
        <w:t>amended by First Amendment, dated January 21, 2014,</w:t>
      </w:r>
    </w:p>
    <w:p>
      <w:pPr>
        <w:ind w:left="860"/>
        <w:spacing w:after="0" w:line="204" w:lineRule="auto"/>
        <w:rPr>
          <w:sz w:val="20"/>
          <w:szCs w:val="20"/>
          <w:color w:val="auto"/>
        </w:rPr>
      </w:pPr>
      <w:r>
        <w:rPr>
          <w:rFonts w:ascii="Arial" w:cs="Arial" w:eastAsia="Arial" w:hAnsi="Arial"/>
          <w:sz w:val="18"/>
          <w:szCs w:val="18"/>
          <w:color w:val="auto"/>
        </w:rPr>
        <w:t>Second Amendment, dated June 27, 2014, Third</w:t>
      </w:r>
    </w:p>
    <w:p>
      <w:pPr>
        <w:ind w:left="860"/>
        <w:spacing w:after="0" w:line="203" w:lineRule="auto"/>
        <w:rPr>
          <w:sz w:val="20"/>
          <w:szCs w:val="20"/>
          <w:color w:val="auto"/>
        </w:rPr>
      </w:pPr>
      <w:r>
        <w:rPr>
          <w:rFonts w:ascii="Arial" w:cs="Arial" w:eastAsia="Arial" w:hAnsi="Arial"/>
          <w:sz w:val="18"/>
          <w:szCs w:val="18"/>
          <w:color w:val="auto"/>
        </w:rPr>
        <w:t>Amendment, dated November 4, 2014 and Consent and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Fourth Amendment, dated December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373380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80"/>
          </w:cols>
          <w:pgMar w:left="1420" w:top="112" w:right="1299" w:bottom="1440" w:gutter="0" w:footer="0" w:header="0"/>
        </w:sectPr>
      </w:pPr>
    </w:p>
    <w:bookmarkStart w:id="137" w:name="page138"/>
    <w:bookmarkEnd w:id="1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jc w:val="right"/>
              <w:ind w:right="85"/>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12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line="142" w:lineRule="exact"/>
              <w:rPr>
                <w:sz w:val="20"/>
                <w:szCs w:val="20"/>
                <w:color w:val="auto"/>
              </w:rPr>
            </w:pPr>
            <w:r>
              <w:rPr>
                <w:rFonts w:ascii="Arial" w:cs="Arial" w:eastAsia="Arial" w:hAnsi="Arial"/>
                <w:sz w:val="16"/>
                <w:szCs w:val="16"/>
                <w:color w:val="auto"/>
              </w:rPr>
              <w:t>10.15†</w:t>
            </w:r>
          </w:p>
        </w:tc>
        <w:tc>
          <w:tcPr>
            <w:tcW w:w="100" w:type="dxa"/>
            <w:vAlign w:val="bottom"/>
          </w:tcPr>
          <w:p>
            <w:pPr>
              <w:spacing w:after="0"/>
              <w:rPr>
                <w:sz w:val="12"/>
                <w:szCs w:val="12"/>
                <w:color w:val="auto"/>
              </w:rPr>
            </w:pPr>
          </w:p>
        </w:tc>
        <w:tc>
          <w:tcPr>
            <w:tcW w:w="4120" w:type="dxa"/>
            <w:vAlign w:val="bottom"/>
          </w:tcPr>
          <w:p>
            <w:pPr>
              <w:spacing w:after="0" w:line="142" w:lineRule="exact"/>
              <w:rPr>
                <w:sz w:val="20"/>
                <w:szCs w:val="20"/>
                <w:color w:val="auto"/>
              </w:rPr>
            </w:pPr>
            <w:r>
              <w:rPr>
                <w:rFonts w:ascii="Arial" w:cs="Arial" w:eastAsia="Arial" w:hAnsi="Arial"/>
                <w:sz w:val="16"/>
                <w:szCs w:val="16"/>
                <w:color w:val="auto"/>
              </w:rPr>
              <w:t>Research, Development &amp; Commercialization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5"/>
              </w:rPr>
              <w:t>Agreement, dated March 2, 2015, by and between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Registrant and Alexion Pharma Holding</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10.16†</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w w:val="94"/>
              </w:rPr>
              <w:t>Collaboration and License Agreement, effective March</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8"/>
              </w:rPr>
              <w:t>14, 2016, by and among F. Hoffmann-La Roche Ltd,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9"/>
              </w:rPr>
              <w:t>Hoffmann-La Roche Inc. and the Registrant, as amended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by Amendment to Collaboration and License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Agreement, effective April 15, 2016</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10.17†</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Second Amendment to Collaboration and License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6"/>
              </w:rPr>
              <w:t>Agreement, effective April 27, 2016, by and among 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5"/>
              </w:rPr>
              <w:t>Hoffmann-La Roche Ltd, Hoffmann-La Roche Inc.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the Registrant</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10.18</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Third Amendment to Collaboration and License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3"/>
              </w:rPr>
              <w:t>Agreement, effective August 4, 2016, by and among 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5"/>
              </w:rPr>
              <w:t>Hoffmann-La Roche Ltd, Hoffmann-La Roche Inc.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the Registrant</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10.19†</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w w:val="99"/>
              </w:rPr>
              <w:t>Master Collaboration Agreement, effective March 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5"/>
              </w:rPr>
              <w:t>2016, by and between Ventana Medical Systems, Inc.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and the Registrant, including Project Schedule #1,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1"/>
              </w:rPr>
              <w:t>effective March 1, 2016, Project Agreement #2, effective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1"/>
              </w:rPr>
              <w:t>March 11, 2016, and Project Schedule #3, effective April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8, 2016</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10.20†</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Master Collaboration Agreement, dated August 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2"/>
              </w:rPr>
              <w:t>2016, between the Registrant and QIAGEN Manchester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7"/>
              </w:rPr>
              <w:t>Limited, including Project Schedule #1, dated August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22, 2016</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10.21</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Form of Indemnification Agreement entered into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its directors</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10.22</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Form of Indemnification Agreement entered into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its officers</w:t>
            </w: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10.23</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Senior Executive Cash Incentive Bonus Plan</w:t>
            </w: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color w:val="auto"/>
              </w:rPr>
              <w:t>21.1</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84"/>
        </w:trPr>
        <w:tc>
          <w:tcPr>
            <w:tcW w:w="760" w:type="dxa"/>
            <w:vAlign w:val="bottom"/>
            <w:gridSpan w:val="2"/>
          </w:tcPr>
          <w:p>
            <w:pPr>
              <w:spacing w:after="0"/>
              <w:rPr>
                <w:sz w:val="20"/>
                <w:szCs w:val="20"/>
                <w:color w:val="auto"/>
              </w:rPr>
            </w:pPr>
            <w:r>
              <w:rPr>
                <w:rFonts w:ascii="Arial" w:cs="Arial" w:eastAsia="Arial" w:hAnsi="Arial"/>
                <w:sz w:val="18"/>
                <w:szCs w:val="18"/>
                <w:color w:val="auto"/>
              </w:rPr>
              <w:t>23.1</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31.1</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w w:val="96"/>
              </w:rPr>
              <w:t>Certification of Principal Executive Officer pursuant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3"/>
              </w:rPr>
              <w:t>Rule 13a-14(a) or Rule 15d-14(a) of the Exchange Act,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7"/>
              </w:rPr>
              <w:t>as adopted pursuant to Section 302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31.2</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w w:val="97"/>
              </w:rPr>
              <w:t>Certification of Principal Financial Officer pursuant to</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3"/>
              </w:rPr>
              <w:t>Rule 13a-14(a) or Rule 15d-14(a) of the Exchange Act,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7"/>
              </w:rPr>
              <w:t>as adopted pursuant to Section 302 of the Sarbanes-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32.1</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Certifications of Principal Executive Officer and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91"/>
              </w:rPr>
              <w:t>Principal Financial Officer pursuant to 18 U.S.C. Section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2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1350, as adopted pursuant to Section 906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83"/>
        </w:trPr>
        <w:tc>
          <w:tcPr>
            <w:tcW w:w="760" w:type="dxa"/>
            <w:vAlign w:val="bottom"/>
            <w:gridSpan w:val="2"/>
          </w:tcPr>
          <w:p>
            <w:pPr>
              <w:jc w:val="right"/>
              <w:ind w:right="85"/>
              <w:spacing w:after="0"/>
              <w:rPr>
                <w:sz w:val="20"/>
                <w:szCs w:val="20"/>
                <w:color w:val="auto"/>
              </w:rPr>
            </w:pPr>
            <w:r>
              <w:rPr>
                <w:rFonts w:ascii="Arial" w:cs="Arial" w:eastAsia="Arial" w:hAnsi="Arial"/>
                <w:sz w:val="18"/>
                <w:szCs w:val="18"/>
                <w:color w:val="auto"/>
                <w:w w:val="89"/>
              </w:rPr>
              <w:t>101.INS</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575437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540" w:type="dxa"/>
            <w:vAlign w:val="bottom"/>
            <w:gridSpan w:val="6"/>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Form</w:t>
            </w:r>
          </w:p>
        </w:tc>
        <w:tc>
          <w:tcPr>
            <w:tcW w:w="10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71"/>
        </w:trPr>
        <w:tc>
          <w:tcPr>
            <w:tcW w:w="6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S-1/A</w:t>
            </w:r>
          </w:p>
        </w:tc>
        <w:tc>
          <w:tcPr>
            <w:tcW w:w="6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19"/>
                <w:szCs w:val="19"/>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April 10, 2015</w:t>
            </w:r>
          </w:p>
        </w:tc>
        <w:tc>
          <w:tcPr>
            <w:tcW w:w="0" w:type="dxa"/>
            <w:vAlign w:val="bottom"/>
          </w:tcPr>
          <w:p>
            <w:pPr>
              <w:spacing w:after="0"/>
              <w:rPr>
                <w:sz w:val="1"/>
                <w:szCs w:val="1"/>
                <w:color w:val="auto"/>
              </w:rPr>
            </w:pPr>
          </w:p>
        </w:tc>
      </w:tr>
      <w:tr>
        <w:trPr>
          <w:trHeight w:val="607"/>
        </w:trPr>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10-Q/A</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July 22, 2016</w:t>
            </w:r>
          </w:p>
        </w:tc>
        <w:tc>
          <w:tcPr>
            <w:tcW w:w="0" w:type="dxa"/>
            <w:vAlign w:val="bottom"/>
          </w:tcPr>
          <w:p>
            <w:pPr>
              <w:spacing w:after="0"/>
              <w:rPr>
                <w:sz w:val="1"/>
                <w:szCs w:val="1"/>
                <w:color w:val="auto"/>
              </w:rPr>
            </w:pPr>
          </w:p>
        </w:tc>
      </w:tr>
      <w:tr>
        <w:trPr>
          <w:trHeight w:val="986"/>
        </w:trPr>
        <w:tc>
          <w:tcPr>
            <w:tcW w:w="1720" w:type="dxa"/>
            <w:vAlign w:val="bottom"/>
            <w:gridSpan w:val="4"/>
          </w:tcPr>
          <w:p>
            <w:pPr>
              <w:ind w:left="100"/>
              <w:spacing w:after="0"/>
              <w:rPr>
                <w:sz w:val="20"/>
                <w:szCs w:val="20"/>
                <w:color w:val="auto"/>
              </w:rPr>
            </w:pPr>
            <w:r>
              <w:rPr>
                <w:rFonts w:ascii="Arial" w:cs="Arial" w:eastAsia="Arial" w:hAnsi="Arial"/>
                <w:sz w:val="18"/>
                <w:szCs w:val="18"/>
                <w:color w:val="auto"/>
              </w:rPr>
              <w:t>10-Q   001-37359</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August 9, 2016</w:t>
            </w:r>
          </w:p>
        </w:tc>
        <w:tc>
          <w:tcPr>
            <w:tcW w:w="0" w:type="dxa"/>
            <w:vAlign w:val="bottom"/>
          </w:tcPr>
          <w:p>
            <w:pPr>
              <w:spacing w:after="0"/>
              <w:rPr>
                <w:sz w:val="1"/>
                <w:szCs w:val="1"/>
                <w:color w:val="auto"/>
              </w:rPr>
            </w:pPr>
          </w:p>
        </w:tc>
      </w:tr>
      <w:tr>
        <w:trPr>
          <w:trHeight w:val="810"/>
        </w:trPr>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November 10, 2016</w:t>
            </w:r>
          </w:p>
        </w:tc>
        <w:tc>
          <w:tcPr>
            <w:tcW w:w="0" w:type="dxa"/>
            <w:vAlign w:val="bottom"/>
          </w:tcPr>
          <w:p>
            <w:pPr>
              <w:spacing w:after="0"/>
              <w:rPr>
                <w:sz w:val="1"/>
                <w:szCs w:val="1"/>
                <w:color w:val="auto"/>
              </w:rPr>
            </w:pPr>
          </w:p>
        </w:tc>
      </w:tr>
      <w:tr>
        <w:trPr>
          <w:trHeight w:val="810"/>
        </w:trPr>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10-Q/A</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July 22, 2016</w:t>
            </w:r>
          </w:p>
        </w:tc>
        <w:tc>
          <w:tcPr>
            <w:tcW w:w="0" w:type="dxa"/>
            <w:vAlign w:val="bottom"/>
          </w:tcPr>
          <w:p>
            <w:pPr>
              <w:spacing w:after="0"/>
              <w:rPr>
                <w:sz w:val="1"/>
                <w:szCs w:val="1"/>
                <w:color w:val="auto"/>
              </w:rPr>
            </w:pPr>
          </w:p>
        </w:tc>
      </w:tr>
      <w:tr>
        <w:trPr>
          <w:trHeight w:val="1161"/>
        </w:trPr>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10-Q</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November 10, 2016</w:t>
            </w:r>
          </w:p>
        </w:tc>
        <w:tc>
          <w:tcPr>
            <w:tcW w:w="0" w:type="dxa"/>
            <w:vAlign w:val="bottom"/>
          </w:tcPr>
          <w:p>
            <w:pPr>
              <w:spacing w:after="0"/>
              <w:rPr>
                <w:sz w:val="1"/>
                <w:szCs w:val="1"/>
                <w:color w:val="auto"/>
              </w:rPr>
            </w:pPr>
          </w:p>
        </w:tc>
      </w:tr>
      <w:tr>
        <w:trPr>
          <w:trHeight w:val="810"/>
        </w:trPr>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333-202938</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459"/>
        </w:trPr>
        <w:tc>
          <w:tcPr>
            <w:tcW w:w="1720" w:type="dxa"/>
            <w:vAlign w:val="bottom"/>
            <w:gridSpan w:val="4"/>
          </w:tcPr>
          <w:p>
            <w:pPr>
              <w:ind w:left="160"/>
              <w:spacing w:after="0"/>
              <w:rPr>
                <w:sz w:val="20"/>
                <w:szCs w:val="20"/>
                <w:color w:val="auto"/>
              </w:rPr>
            </w:pPr>
            <w:r>
              <w:rPr>
                <w:rFonts w:ascii="Arial" w:cs="Arial" w:eastAsia="Arial" w:hAnsi="Arial"/>
                <w:sz w:val="18"/>
                <w:szCs w:val="18"/>
                <w:color w:val="auto"/>
              </w:rPr>
              <w:t>S-1   333-202938</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459"/>
        </w:trPr>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001-37359</w:t>
            </w:r>
          </w:p>
        </w:tc>
        <w:tc>
          <w:tcPr>
            <w:tcW w:w="1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980" w:space="160"/>
            <w:col w:w="4040"/>
          </w:cols>
          <w:pgMar w:left="1420" w:top="111" w:right="1299" w:bottom="1440" w:gutter="0" w:footer="0" w:header="0"/>
        </w:sectPr>
      </w:pPr>
    </w:p>
    <w:bookmarkStart w:id="138" w:name="page139"/>
    <w:bookmarkEnd w:id="1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28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Form</w:t>
            </w:r>
          </w:p>
        </w:tc>
        <w:tc>
          <w:tcPr>
            <w:tcW w:w="108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428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101.SCH</w:t>
            </w:r>
          </w:p>
        </w:tc>
        <w:tc>
          <w:tcPr>
            <w:tcW w:w="100" w:type="dxa"/>
            <w:vAlign w:val="bottom"/>
          </w:tcPr>
          <w:p>
            <w:pPr>
              <w:spacing w:after="0"/>
              <w:rPr>
                <w:sz w:val="19"/>
                <w:szCs w:val="19"/>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XBRL Taxonomy Extension Schema Document</w:t>
            </w: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60" w:type="dxa"/>
            <w:vAlign w:val="bottom"/>
            <w:gridSpan w:val="2"/>
          </w:tcPr>
          <w:p>
            <w:pPr>
              <w:spacing w:after="0" w:line="201" w:lineRule="exact"/>
              <w:rPr>
                <w:sz w:val="20"/>
                <w:szCs w:val="20"/>
                <w:color w:val="auto"/>
              </w:rPr>
            </w:pPr>
            <w:r>
              <w:rPr>
                <w:rFonts w:ascii="Arial" w:cs="Arial" w:eastAsia="Arial" w:hAnsi="Arial"/>
                <w:sz w:val="18"/>
                <w:szCs w:val="18"/>
                <w:color w:val="auto"/>
              </w:rPr>
              <w:t>101.CAL</w:t>
            </w:r>
          </w:p>
        </w:tc>
        <w:tc>
          <w:tcPr>
            <w:tcW w:w="43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XBRL Taxonomy Extension Calculation Linkbase</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w w:val="98"/>
              </w:rPr>
              <w:t>XBRL Taxonomy Extension Label Linkbase Document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231140</wp:posOffset>
            </wp:positionV>
            <wp:extent cx="14408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77" w:lineRule="exact"/>
        <w:rPr>
          <w:sz w:val="20"/>
          <w:szCs w:val="20"/>
          <w:color w:val="auto"/>
        </w:rPr>
      </w:pPr>
    </w:p>
    <w:p>
      <w:pPr>
        <w:ind w:left="200" w:right="240" w:hanging="197"/>
        <w:spacing w:after="0" w:line="235" w:lineRule="auto"/>
        <w:tabs>
          <w:tab w:leader="none" w:pos="2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80" w:hanging="197"/>
        <w:spacing w:after="0" w:line="219" w:lineRule="auto"/>
        <w:tabs>
          <w:tab w:leader="none" w:pos="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532765</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80"/>
          </w:cols>
          <w:pgMar w:left="1420" w:top="111" w:right="12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21.1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280" w:type="dxa"/>
            <w:vAlign w:val="bottom"/>
            <w:gridSpan w:val="2"/>
          </w:tcPr>
          <w:p>
            <w:pPr>
              <w:ind w:left="120"/>
              <w:spacing w:after="0"/>
              <w:rPr>
                <w:sz w:val="20"/>
                <w:szCs w:val="20"/>
                <w:color w:val="auto"/>
              </w:rPr>
            </w:pPr>
            <w:r>
              <w:rPr>
                <w:rFonts w:ascii="Arial" w:cs="Arial" w:eastAsia="Arial" w:hAnsi="Arial"/>
                <w:sz w:val="18"/>
                <w:szCs w:val="18"/>
                <w:b w:val="1"/>
                <w:bCs w:val="1"/>
                <w:color w:val="auto"/>
              </w:rPr>
              <w:t>Subsidiaries of the Registrant</w:t>
            </w:r>
          </w:p>
        </w:tc>
        <w:tc>
          <w:tcPr>
            <w:tcW w:w="2500" w:type="dxa"/>
            <w:vAlign w:val="bottom"/>
          </w:tcPr>
          <w:p>
            <w:pPr>
              <w:spacing w:after="0"/>
              <w:rPr>
                <w:sz w:val="20"/>
                <w:szCs w:val="20"/>
                <w:color w:val="auto"/>
              </w:rPr>
            </w:pPr>
          </w:p>
        </w:tc>
      </w:tr>
      <w:tr>
        <w:trPr>
          <w:trHeight w:val="378"/>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Entity</w:t>
            </w:r>
          </w:p>
        </w:tc>
        <w:tc>
          <w:tcPr>
            <w:tcW w:w="28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 or Organization</w:t>
            </w:r>
          </w:p>
        </w:tc>
        <w:tc>
          <w:tcPr>
            <w:tcW w:w="2500" w:type="dxa"/>
            <w:vAlign w:val="bottom"/>
          </w:tcPr>
          <w:p>
            <w:pPr>
              <w:spacing w:after="0"/>
              <w:rPr>
                <w:sz w:val="24"/>
                <w:szCs w:val="24"/>
                <w:color w:val="auto"/>
              </w:rPr>
            </w:pPr>
          </w:p>
        </w:tc>
      </w:tr>
      <w:tr>
        <w:trPr>
          <w:trHeight w:val="304"/>
        </w:trPr>
        <w:tc>
          <w:tcPr>
            <w:tcW w:w="3280" w:type="dxa"/>
            <w:vAlign w:val="bottom"/>
          </w:tcPr>
          <w:p>
            <w:pPr>
              <w:jc w:val="center"/>
              <w:spacing w:after="0"/>
              <w:rPr>
                <w:sz w:val="20"/>
                <w:szCs w:val="20"/>
                <w:color w:val="auto"/>
              </w:rPr>
            </w:pPr>
            <w:r>
              <w:rPr>
                <w:rFonts w:ascii="Arial" w:cs="Arial" w:eastAsia="Arial" w:hAnsi="Arial"/>
                <w:sz w:val="18"/>
                <w:szCs w:val="18"/>
                <w:color w:val="auto"/>
                <w:w w:val="93"/>
              </w:rPr>
              <w:t>Blueprint Medicines Security Corporation</w:t>
            </w:r>
          </w:p>
        </w:tc>
        <w:tc>
          <w:tcPr>
            <w:tcW w:w="280" w:type="dxa"/>
            <w:vAlign w:val="bottom"/>
          </w:tcPr>
          <w:p>
            <w:pPr>
              <w:spacing w:after="0"/>
              <w:rPr>
                <w:sz w:val="24"/>
                <w:szCs w:val="24"/>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6"/>
              </w:rPr>
              <w:t>Massachusetts</w:t>
            </w:r>
          </w:p>
        </w:tc>
        <w:tc>
          <w:tcPr>
            <w:tcW w:w="2500" w:type="dxa"/>
            <w:vAlign w:val="bottom"/>
          </w:tcPr>
          <w:p>
            <w:pPr>
              <w:spacing w:after="0"/>
              <w:rPr>
                <w:sz w:val="24"/>
                <w:szCs w:val="24"/>
                <w:color w:val="auto"/>
              </w:rPr>
            </w:pPr>
          </w:p>
        </w:tc>
      </w:tr>
      <w:tr>
        <w:trPr>
          <w:trHeight w:val="952"/>
        </w:trPr>
        <w:tc>
          <w:tcPr>
            <w:tcW w:w="3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140" w:name="page141"/>
    <w:bookmarkEnd w:id="140"/>
    <w:p>
      <w:pPr>
        <w:jc w:val="right"/>
        <w:ind w:right="139"/>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1180" w:hanging="381"/>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333-211266) of Blueprint Medicines Corporation,</w:t>
      </w:r>
    </w:p>
    <w:p>
      <w:pPr>
        <w:spacing w:after="0" w:line="225" w:lineRule="exact"/>
        <w:rPr>
          <w:rFonts w:ascii="Arial" w:cs="Arial" w:eastAsia="Arial" w:hAnsi="Arial"/>
          <w:sz w:val="18"/>
          <w:szCs w:val="18"/>
          <w:color w:val="auto"/>
        </w:rPr>
      </w:pPr>
    </w:p>
    <w:p>
      <w:pPr>
        <w:jc w:val="both"/>
        <w:ind w:left="1120" w:right="339" w:hanging="321"/>
        <w:spacing w:after="0" w:line="264"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333-203749) pertaining to the 2011 Stock Option and Grant Plan, 2015 Stock Option and Incentive Plan, and 2015 Employee Stock Purchase Plan of Blueprint Medicines Corporation, and</w:t>
      </w:r>
    </w:p>
    <w:p>
      <w:pPr>
        <w:spacing w:after="0" w:line="181" w:lineRule="exact"/>
        <w:rPr>
          <w:rFonts w:ascii="Arial" w:cs="Arial" w:eastAsia="Arial" w:hAnsi="Arial"/>
          <w:sz w:val="18"/>
          <w:szCs w:val="18"/>
          <w:color w:val="auto"/>
        </w:rPr>
      </w:pPr>
    </w:p>
    <w:p>
      <w:pPr>
        <w:ind w:left="1120" w:right="479" w:hanging="321"/>
        <w:spacing w:after="0" w:line="277" w:lineRule="auto"/>
        <w:tabs>
          <w:tab w:leader="none" w:pos="1168"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333-210125) pertaining to the 2015 Stock Option and Incentive Plan and 2015 Employee Stock Purchase Plan of Blueprint Medicines Corporation;</w:t>
      </w:r>
    </w:p>
    <w:p>
      <w:pPr>
        <w:spacing w:after="0" w:line="170" w:lineRule="exact"/>
        <w:rPr>
          <w:sz w:val="20"/>
          <w:szCs w:val="20"/>
          <w:color w:val="auto"/>
        </w:rPr>
      </w:pPr>
    </w:p>
    <w:p>
      <w:pPr>
        <w:jc w:val="both"/>
        <w:ind w:left="160" w:right="779"/>
        <w:spacing w:after="0" w:line="264" w:lineRule="auto"/>
        <w:rPr>
          <w:sz w:val="20"/>
          <w:szCs w:val="20"/>
          <w:color w:val="auto"/>
        </w:rPr>
      </w:pPr>
      <w:r>
        <w:rPr>
          <w:rFonts w:ascii="Arial" w:cs="Arial" w:eastAsia="Arial" w:hAnsi="Arial"/>
          <w:sz w:val="18"/>
          <w:szCs w:val="18"/>
          <w:color w:val="auto"/>
        </w:rPr>
        <w:t>of our report dated March 9, 2017, with respect to the consolidated financial statements of Blueprint Medicines Corporation included in this Annual Report (Form 10-K) of Blueprint Medicines Corporation for the year ended December 31, 2016.</w:t>
      </w:r>
    </w:p>
    <w:p>
      <w:pPr>
        <w:spacing w:after="0" w:line="18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142875</wp:posOffset>
            </wp:positionV>
            <wp:extent cx="554863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1" w:name="page142"/>
    <w:bookmarkEnd w:id="141"/>
    <w:p>
      <w:pPr>
        <w:jc w:val="right"/>
        <w:ind w:right="139"/>
        <w:spacing w:after="0"/>
        <w:rPr>
          <w:sz w:val="20"/>
          <w:szCs w:val="20"/>
          <w:color w:val="auto"/>
        </w:rPr>
      </w:pPr>
      <w:r>
        <w:rPr>
          <w:rFonts w:ascii="Arial" w:cs="Arial" w:eastAsia="Arial" w:hAnsi="Arial"/>
          <w:sz w:val="18"/>
          <w:szCs w:val="18"/>
          <w:b w:val="1"/>
          <w:bCs w:val="1"/>
          <w:color w:val="auto"/>
        </w:rPr>
        <w:t>Exhibit 31.1</w:t>
      </w: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8"/>
          <w:szCs w:val="18"/>
          <w:color w:val="auto"/>
        </w:rPr>
      </w:pPr>
    </w:p>
    <w:p>
      <w:pPr>
        <w:ind w:left="2100" w:hanging="653"/>
        <w:spacing w:after="0"/>
        <w:tabs>
          <w:tab w:leader="none" w:pos="21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w:t>
      </w:r>
    </w:p>
    <w:p>
      <w:pPr>
        <w:ind w:left="800"/>
        <w:spacing w:after="0"/>
        <w:rPr>
          <w:rFonts w:ascii="Arial" w:cs="Arial" w:eastAsia="Arial" w:hAnsi="Arial"/>
          <w:sz w:val="17"/>
          <w:szCs w:val="17"/>
          <w:color w:val="auto"/>
        </w:rPr>
      </w:pPr>
      <w:r>
        <w:rPr>
          <w:rFonts w:ascii="Arial" w:cs="Arial" w:eastAsia="Arial" w:hAnsi="Arial"/>
          <w:sz w:val="18"/>
          <w:szCs w:val="18"/>
          <w:color w:val="auto"/>
        </w:rPr>
        <w:t>49313);</w:t>
      </w:r>
    </w:p>
    <w:p>
      <w:pPr>
        <w:spacing w:after="0" w:line="168" w:lineRule="exact"/>
        <w:rPr>
          <w:rFonts w:ascii="Arial" w:cs="Arial" w:eastAsia="Arial" w:hAnsi="Arial"/>
          <w:sz w:val="17"/>
          <w:szCs w:val="17"/>
          <w:color w:val="auto"/>
        </w:rPr>
      </w:pPr>
    </w:p>
    <w:p>
      <w:pPr>
        <w:ind w:left="800" w:right="259" w:firstLine="647"/>
        <w:spacing w:after="0" w:line="224" w:lineRule="auto"/>
        <w:tabs>
          <w:tab w:leader="none" w:pos="2125"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-635</wp:posOffset>
            </wp:positionV>
            <wp:extent cx="25984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Jeffrey W. Albers</w:t>
      </w:r>
    </w:p>
    <w:p>
      <w:pPr>
        <w:ind w:left="4780"/>
        <w:spacing w:after="0" w:line="204" w:lineRule="auto"/>
        <w:rPr>
          <w:sz w:val="20"/>
          <w:szCs w:val="20"/>
          <w:color w:val="auto"/>
        </w:rPr>
      </w:pPr>
      <w:r>
        <w:rPr>
          <w:rFonts w:ascii="Arial" w:cs="Arial" w:eastAsia="Arial" w:hAnsi="Arial"/>
          <w:sz w:val="18"/>
          <w:szCs w:val="18"/>
          <w:color w:val="auto"/>
        </w:rPr>
        <w:t>President and Chief Executive Officer</w:t>
      </w:r>
    </w:p>
    <w:p>
      <w:pPr>
        <w:ind w:left="4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42" w:name="page143"/>
    <w:bookmarkEnd w:id="142"/>
    <w:p>
      <w:pPr>
        <w:jc w:val="right"/>
        <w:ind w:right="139"/>
        <w:spacing w:after="0"/>
        <w:rPr>
          <w:sz w:val="20"/>
          <w:szCs w:val="20"/>
          <w:color w:val="auto"/>
        </w:rPr>
      </w:pPr>
      <w:r>
        <w:rPr>
          <w:rFonts w:ascii="Arial" w:cs="Arial" w:eastAsia="Arial" w:hAnsi="Arial"/>
          <w:sz w:val="18"/>
          <w:szCs w:val="18"/>
          <w:b w:val="1"/>
          <w:bCs w:val="1"/>
          <w:color w:val="auto"/>
        </w:rPr>
        <w:t>Exhibit 31.2</w:t>
      </w: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419" w:firstLine="639"/>
        <w:spacing w:after="0" w:line="224" w:lineRule="auto"/>
        <w:tabs>
          <w:tab w:leader="none" w:pos="1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3" w:lineRule="exact"/>
        <w:rPr>
          <w:rFonts w:ascii="Arial" w:cs="Arial" w:eastAsia="Arial" w:hAnsi="Arial"/>
          <w:sz w:val="18"/>
          <w:szCs w:val="18"/>
          <w:color w:val="auto"/>
        </w:rPr>
      </w:pPr>
    </w:p>
    <w:p>
      <w:pPr>
        <w:ind w:left="800" w:right="259" w:firstLine="647"/>
        <w:spacing w:after="0" w:line="219" w:lineRule="auto"/>
        <w:tabs>
          <w:tab w:leader="none" w:pos="209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8"/>
          <w:szCs w:val="18"/>
          <w:color w:val="auto"/>
        </w:rPr>
      </w:pPr>
    </w:p>
    <w:p>
      <w:pPr>
        <w:ind w:left="2100" w:hanging="653"/>
        <w:spacing w:after="0"/>
        <w:tabs>
          <w:tab w:leader="none" w:pos="2100" w:val="left"/>
        </w:tabs>
        <w:numPr>
          <w:ilvl w:val="1"/>
          <w:numId w:val="81"/>
        </w:numPr>
        <w:rPr>
          <w:rFonts w:ascii="Arial" w:cs="Arial" w:eastAsia="Arial" w:hAnsi="Arial"/>
          <w:sz w:val="17"/>
          <w:szCs w:val="17"/>
          <w:color w:val="auto"/>
        </w:rPr>
      </w:pPr>
      <w:r>
        <w:rPr>
          <w:rFonts w:ascii="Arial" w:cs="Arial" w:eastAsia="Arial" w:hAnsi="Arial"/>
          <w:sz w:val="17"/>
          <w:szCs w:val="17"/>
          <w:color w:val="auto"/>
        </w:rPr>
        <w:t>(Paragraph omitted pursuant to SEC Release Nos. 33-8238/34-47986 and 33-8392/34-</w:t>
      </w:r>
    </w:p>
    <w:p>
      <w:pPr>
        <w:ind w:left="800"/>
        <w:spacing w:after="0"/>
        <w:rPr>
          <w:rFonts w:ascii="Arial" w:cs="Arial" w:eastAsia="Arial" w:hAnsi="Arial"/>
          <w:sz w:val="17"/>
          <w:szCs w:val="17"/>
          <w:color w:val="auto"/>
        </w:rPr>
      </w:pPr>
      <w:r>
        <w:rPr>
          <w:rFonts w:ascii="Arial" w:cs="Arial" w:eastAsia="Arial" w:hAnsi="Arial"/>
          <w:sz w:val="18"/>
          <w:szCs w:val="18"/>
          <w:color w:val="auto"/>
        </w:rPr>
        <w:t>49313);</w:t>
      </w:r>
    </w:p>
    <w:p>
      <w:pPr>
        <w:spacing w:after="0" w:line="168" w:lineRule="exact"/>
        <w:rPr>
          <w:rFonts w:ascii="Arial" w:cs="Arial" w:eastAsia="Arial" w:hAnsi="Arial"/>
          <w:sz w:val="17"/>
          <w:szCs w:val="17"/>
          <w:color w:val="auto"/>
        </w:rPr>
      </w:pPr>
    </w:p>
    <w:p>
      <w:pPr>
        <w:ind w:left="800" w:right="259" w:firstLine="647"/>
        <w:spacing w:after="0" w:line="224" w:lineRule="auto"/>
        <w:tabs>
          <w:tab w:leader="none" w:pos="2125"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160" w:right="319" w:firstLine="639"/>
        <w:spacing w:after="0" w:line="224" w:lineRule="auto"/>
        <w:tabs>
          <w:tab w:leader="none" w:pos="14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-635</wp:posOffset>
            </wp:positionV>
            <wp:extent cx="25984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780"/>
        <w:spacing w:after="0" w:line="203" w:lineRule="auto"/>
        <w:rPr>
          <w:sz w:val="20"/>
          <w:szCs w:val="20"/>
          <w:color w:val="auto"/>
        </w:rPr>
      </w:pPr>
      <w:r>
        <w:rPr>
          <w:rFonts w:ascii="Arial" w:cs="Arial" w:eastAsia="Arial" w:hAnsi="Arial"/>
          <w:sz w:val="18"/>
          <w:szCs w:val="18"/>
          <w:color w:val="auto"/>
        </w:rPr>
        <w:t>Michael Landsittel</w:t>
      </w:r>
    </w:p>
    <w:p>
      <w:pPr>
        <w:ind w:left="4780"/>
        <w:spacing w:after="0" w:line="204" w:lineRule="auto"/>
        <w:rPr>
          <w:sz w:val="20"/>
          <w:szCs w:val="20"/>
          <w:color w:val="auto"/>
        </w:rPr>
      </w:pPr>
      <w:r>
        <w:rPr>
          <w:rFonts w:ascii="Arial" w:cs="Arial" w:eastAsia="Arial" w:hAnsi="Arial"/>
          <w:sz w:val="18"/>
          <w:szCs w:val="18"/>
          <w:color w:val="auto"/>
        </w:rPr>
        <w:t>Vice President of Finance</w:t>
      </w:r>
    </w:p>
    <w:p>
      <w:pPr>
        <w:ind w:left="4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0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In connection with the Annual Report on Form 10-K of Blueprint Medicines Corporation (the “Company”) for the year ended December 31, 2016 as filed with the Securities and Exchange Commission on the date hereof (the “Report”), each of the undersigned officers of the Company hereby certifies, pursuant to 18 U.S.C. Section 1350, that to his knowledge:</w:t>
      </w:r>
    </w:p>
    <w:p>
      <w:pPr>
        <w:spacing w:after="0" w:line="147" w:lineRule="exact"/>
        <w:rPr>
          <w:sz w:val="20"/>
          <w:szCs w:val="20"/>
          <w:color w:val="auto"/>
        </w:rPr>
      </w:pPr>
    </w:p>
    <w:p>
      <w:pPr>
        <w:ind w:left="1300" w:right="180" w:hanging="568"/>
        <w:spacing w:after="0" w:line="235" w:lineRule="auto"/>
        <w:tabs>
          <w:tab w:leader="none" w:pos="132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300" w:right="100" w:hanging="568"/>
        <w:spacing w:after="0" w:line="235" w:lineRule="auto"/>
        <w:tabs>
          <w:tab w:leader="none" w:pos="132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-635</wp:posOffset>
            </wp:positionV>
            <wp:extent cx="26073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Jeffrey W. Albers</w:t>
      </w:r>
    </w:p>
    <w:p>
      <w:pPr>
        <w:ind w:left="4960"/>
        <w:spacing w:after="0" w:line="204" w:lineRule="auto"/>
        <w:rPr>
          <w:sz w:val="20"/>
          <w:szCs w:val="20"/>
          <w:color w:val="auto"/>
        </w:rPr>
      </w:pPr>
      <w:r>
        <w:rPr>
          <w:rFonts w:ascii="Arial" w:cs="Arial" w:eastAsia="Arial" w:hAnsi="Arial"/>
          <w:sz w:val="18"/>
          <w:szCs w:val="18"/>
          <w:color w:val="auto"/>
        </w:rPr>
        <w:t>President and Chief Executive Officer</w:t>
      </w:r>
    </w:p>
    <w:p>
      <w:pPr>
        <w:ind w:left="4960"/>
        <w:spacing w:after="0"/>
        <w:rPr>
          <w:sz w:val="20"/>
          <w:szCs w:val="20"/>
          <w:color w:val="auto"/>
        </w:rPr>
      </w:pPr>
      <w:r>
        <w:rPr>
          <w:rFonts w:ascii="Arial" w:cs="Arial" w:eastAsia="Arial" w:hAnsi="Arial"/>
          <w:sz w:val="18"/>
          <w:szCs w:val="18"/>
          <w:i w:val="1"/>
          <w:iCs w:val="1"/>
          <w:color w:val="auto"/>
        </w:rPr>
        <w:t>(Principal Executive Officer)</w:t>
      </w:r>
    </w:p>
    <w:p>
      <w:pPr>
        <w:spacing w:after="0" w:line="126" w:lineRule="exact"/>
        <w:rPr>
          <w:sz w:val="20"/>
          <w:szCs w:val="20"/>
          <w:color w:val="auto"/>
        </w:rPr>
      </w:pPr>
    </w:p>
    <w:p>
      <w:pPr>
        <w:spacing w:after="0"/>
        <w:tabs>
          <w:tab w:leader="none" w:pos="4600" w:val="left"/>
        </w:tabs>
        <w:rPr>
          <w:sz w:val="20"/>
          <w:szCs w:val="20"/>
          <w:color w:val="auto"/>
        </w:rPr>
      </w:pPr>
      <w:r>
        <w:rPr>
          <w:rFonts w:ascii="Arial" w:cs="Arial" w:eastAsia="Arial" w:hAnsi="Arial"/>
          <w:sz w:val="18"/>
          <w:szCs w:val="18"/>
          <w:color w:val="auto"/>
        </w:rPr>
        <w:t>Date: March 9, 2017</w:t>
      </w:r>
      <w:r>
        <w:rPr>
          <w:sz w:val="20"/>
          <w:szCs w:val="20"/>
          <w:color w:val="auto"/>
        </w:rPr>
        <w:tab/>
      </w:r>
      <w:r>
        <w:rPr>
          <w:rFonts w:ascii="Arial" w:cs="Arial" w:eastAsia="Arial" w:hAnsi="Arial"/>
          <w:sz w:val="17"/>
          <w:szCs w:val="17"/>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-635</wp:posOffset>
            </wp:positionV>
            <wp:extent cx="26073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Michael Landsittel</w:t>
      </w:r>
    </w:p>
    <w:p>
      <w:pPr>
        <w:ind w:left="4960"/>
        <w:spacing w:after="0" w:line="204" w:lineRule="auto"/>
        <w:rPr>
          <w:sz w:val="20"/>
          <w:szCs w:val="20"/>
          <w:color w:val="auto"/>
        </w:rPr>
      </w:pPr>
      <w:r>
        <w:rPr>
          <w:rFonts w:ascii="Arial" w:cs="Arial" w:eastAsia="Arial" w:hAnsi="Arial"/>
          <w:sz w:val="18"/>
          <w:szCs w:val="18"/>
          <w:color w:val="auto"/>
        </w:rPr>
        <w:t>Vice President of Finance</w:t>
      </w:r>
    </w:p>
    <w:p>
      <w:pPr>
        <w:ind w:left="49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3"/>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554"/>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lowerRoman"/>
      <w:start w:val="3"/>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1)"/>
      <w:numFmt w:val="lowerRoman"/>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1."/>
      <w:numFmt w:val="decimal"/>
      <w:start w:val="554"/>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decimal"/>
      <w:start w:val="3"/>
    </w:lvl>
  </w:abstractNum>
  <w:abstractNum w:abstractNumId="49">
    <w:nsid w:val="1DBABF00"/>
    <w:multiLevelType w:val="hybridMultilevel"/>
    <w:lvl w:ilvl="0">
      <w:lvlJc w:val="left"/>
      <w:lvlText w:val="(%1)"/>
      <w:numFmt w:val="decimal"/>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
      <w:numFmt w:val="bullet"/>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3"/>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lowerRoman"/>
      <w:start w:val="3"/>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
      <w:numFmt w:val="bullet"/>
      <w:start w:val="1"/>
    </w:lvl>
  </w:abstractNum>
  <w:abstractNum w:abstractNumId="77">
    <w:nsid w:val="68EB2F63"/>
    <w:multiLevelType w:val="hybridMultilevel"/>
    <w:lvl w:ilvl="0">
      <w:lvlJc w:val="left"/>
      <w:lvlText w:val="+"/>
      <w:numFmt w:val="bullet"/>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2019-12-29T08:18:24Z</dcterms:created>
  <dcterms:modified xsi:type="dcterms:W3CDTF">2019-12-29T08:18:24Z</dcterms:modified>
</cp:coreProperties>
</file>