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7565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565390"/>
                    </a:xfrm>
                    <a:prstGeom prst="rect">
                      <a:avLst/>
                    </a:prstGeom>
                    <a:noFill/>
                  </pic:spPr>
                </pic:pic>
              </a:graphicData>
            </a:graphic>
          </wp:anchor>
        </w:drawing>
      </w:r>
    </w:p>
    <w:p>
      <w:pPr>
        <w:spacing w:after="0" w:line="1176" w:lineRule="exact"/>
        <w:rPr>
          <w:sz w:val="24"/>
          <w:szCs w:val="24"/>
          <w:color w:val="auto"/>
        </w:rPr>
      </w:pPr>
    </w:p>
    <w:p>
      <w:pPr>
        <w:sectPr>
          <w:pgSz w:w="11900" w:h="16891"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Namouni Fouad</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07/17/2025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881"/>
        <w:spacing w:after="0"/>
        <w:rPr>
          <w:sz w:val="20"/>
          <w:szCs w:val="20"/>
          <w:color w:val="auto"/>
        </w:rPr>
      </w:pPr>
      <w:r>
        <w:rPr>
          <w:rFonts w:ascii="Times New Roman" w:cs="Times New Roman" w:eastAsia="Times New Roman" w:hAnsi="Times New Roman"/>
          <w:sz w:val="17"/>
          <w:szCs w:val="17"/>
          <w:color w:val="0000FF"/>
        </w:rPr>
        <w:t>PRESIDENT, R &amp; D</w:t>
      </w:r>
    </w:p>
    <w:p>
      <w:pPr>
        <w:spacing w:after="0" w:line="392" w:lineRule="exact"/>
        <w:rPr>
          <w:sz w:val="20"/>
          <w:szCs w:val="20"/>
          <w:color w:val="auto"/>
        </w:rPr>
      </w:pPr>
    </w:p>
    <w:p>
      <w:pPr>
        <w:sectPr>
          <w:pgSz w:w="11900" w:h="16891" w:orient="portrait"/>
          <w:cols w:equalWidth="0" w:num="2">
            <w:col w:w="7680" w:space="59"/>
            <w:col w:w="3341"/>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80" w:type="dxa"/>
            <w:vAlign w:val="bottom"/>
            <w:gridSpan w:val="6"/>
          </w:tcPr>
          <w:p>
            <w:pPr>
              <w:jc w:val="center"/>
              <w:ind w:right="82"/>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39,456</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115,237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83,281</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1"/>
                <w:szCs w:val="11"/>
                <w:color w:val="008000"/>
                <w:w w:val="93"/>
              </w:rPr>
              <w:t>(3)(4)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31,956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31,956</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3"/>
              <w:spacing w:after="0"/>
              <w:rPr>
                <w:sz w:val="20"/>
                <w:szCs w:val="20"/>
                <w:color w:val="auto"/>
              </w:rPr>
            </w:pPr>
            <w:r>
              <w:rPr>
                <w:rFonts w:ascii="Times New Roman" w:cs="Times New Roman" w:eastAsia="Times New Roman" w:hAnsi="Times New Roman"/>
                <w:sz w:val="11"/>
                <w:szCs w:val="11"/>
                <w:color w:val="008000"/>
                <w:w w:val="93"/>
              </w:rPr>
              <w:t>(5)</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558"/>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93.93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65,000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ind w:left="10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100.13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6"/>
                <w:szCs w:val="16"/>
                <w:color w:val="auto"/>
              </w:rPr>
            </w:pPr>
          </w:p>
        </w:tc>
        <w:tc>
          <w:tcPr>
            <w:tcW w:w="72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26,125</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0000FF"/>
              </w:rPr>
              <w:t>26,125</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ind w:left="10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61.31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ind w:left="10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ind w:left="10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ind w:left="10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96.57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26,400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26,400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ind w:left="10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44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pacing w:after="0" w:line="5" w:lineRule="exact"/>
        <w:rPr>
          <w:rFonts w:ascii="Times New Roman" w:cs="Times New Roman" w:eastAsia="Times New Roman" w:hAnsi="Times New Roman"/>
          <w:sz w:val="13"/>
          <w:szCs w:val="13"/>
          <w:color w:val="008000"/>
        </w:rPr>
      </w:pPr>
    </w:p>
    <w:p>
      <w:pPr>
        <w:ind w:left="40" w:right="220"/>
        <w:spacing w:after="0" w:line="232"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3"/>
          <w:szCs w:val="13"/>
          <w:color w:val="008000"/>
        </w:rPr>
      </w:pPr>
    </w:p>
    <w:p>
      <w:pPr>
        <w:jc w:val="both"/>
        <w:ind w:left="40" w:right="200" w:firstLine="1"/>
        <w:spacing w:after="0" w:line="23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previously granted to the Reporting Person subject to performance-based vesting conditions ("PSUs"), for which the performance conditions associated with such PSUs had not yet occurred. As of the Effective Time, each PSU was deemed earned based on the greater of target and actual performance as of the Effective Time. Pursuant to the terms of the Merger Agreement, at the Effective Time, each PSU was cancelled and automatically converted into the right to receive the Offer Consideration, except that fifty percent of such PSUs that were issued in calendar year 2025 were converted into cash-based awards subject to continued vesting as described in the Merger Agreement based on the Cash Offer Price, plus one CVR for each share underlying such portion of the award.</w:t>
      </w:r>
    </w:p>
    <w:p>
      <w:pPr>
        <w:sectPr>
          <w:pgSz w:w="11900" w:h="16891" w:orient="portrait"/>
          <w:cols w:equalWidth="0" w:num="1">
            <w:col w:w="11080"/>
          </w:cols>
          <w:pgMar w:left="460" w:top="217" w:right="359" w:bottom="0" w:gutter="0" w:footer="0" w:header="0"/>
          <w:type w:val="continuous"/>
        </w:sectPr>
      </w:pPr>
    </w:p>
    <w:bookmarkStart w:id="1" w:name="page2"/>
    <w:bookmarkEnd w:id="1"/>
    <w:p>
      <w:pPr>
        <w:ind w:right="120" w:firstLine="1"/>
        <w:spacing w:after="0"/>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 except that fifty percent of such RSUs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7"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3" w:lineRule="exact"/>
        <w:rPr>
          <w:rFonts w:ascii="Times New Roman" w:cs="Times New Roman" w:eastAsia="Times New Roman" w:hAnsi="Times New Roman"/>
          <w:sz w:val="13"/>
          <w:szCs w:val="13"/>
          <w:color w:val="008000"/>
        </w:rPr>
      </w:pPr>
    </w:p>
    <w:p>
      <w:pPr>
        <w:ind w:firstLine="1"/>
        <w:spacing w:after="0" w:line="235"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60"/>
        <w:spacing w:after="0" w:line="185"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1"/>
          <w:szCs w:val="31"/>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-26670</wp:posOffset>
            </wp:positionV>
            <wp:extent cx="1337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-86360</wp:posOffset>
            </wp:positionV>
            <wp:extent cx="483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20" w:firstLine="1"/>
        <w:spacing w:after="0" w:line="335"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5851"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2025-07-21T18:47:50Z</dcterms:created>
  <dcterms:modified xsi:type="dcterms:W3CDTF">2025-07-21T18:47:50Z</dcterms:modified>
</cp:coreProperties>
</file>