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6242025_080635.xml.htm"/>
      <w:bookmarkStart w:id="1" w:name="ksform406242025_08063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Seely Lynn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BLUEPRINT MEDICINES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 SIDNEY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Blueprint Medicines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BPMC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128.12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17,156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transaction involved the Reporting Person's receipt of a grant of restricted stock units. The restricted stock units vest with respect to 100% of the shares underlying the restricted stock units on the earlier of (i) June 18, 2026 and (ii) the next annual meeting of the Issuer's stockholders. Each restricted stock unit represents a contingent right to receive one share of the Issuer's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Melissa Masse,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06/23/2025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27111" TargetMode="External"/><Relationship Id="rId5" Type="http://schemas.openxmlformats.org/officeDocument/2006/relationships/hyperlink" Target="http://www.sec.gov/cgi-bin/browse-edgar?action=getcompany&amp;CIK=000159726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627</Words>
  <Characters>3411</Characters>
  <CharactersWithSpaces>3979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