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McCain Tracey L</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03/03/2022</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45"/>
        <w:spacing w:after="0"/>
        <w:rPr>
          <w:sz w:val="20"/>
          <w:szCs w:val="20"/>
          <w:color w:val="auto"/>
        </w:rPr>
      </w:pPr>
      <w:r>
        <w:rPr>
          <w:rFonts w:ascii="Arial" w:cs="Arial" w:eastAsia="Arial" w:hAnsi="Arial"/>
          <w:sz w:val="16"/>
          <w:szCs w:val="16"/>
          <w:color w:val="0000FF"/>
        </w:rPr>
        <w:t>EVP AND CHIEF LEGAL OFFICER</w:t>
      </w:r>
    </w:p>
    <w:p>
      <w:pPr>
        <w:spacing w:after="0" w:line="414"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03/03/2022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1,667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60.28</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44,274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1,047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56.19</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43,227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ranging from $56.18 to $57.07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19"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Ariel Hurley,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03/08/2022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360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2022-03-08T15:12:43Z</dcterms:created>
  <dcterms:modified xsi:type="dcterms:W3CDTF">2022-03-08T15:12:43Z</dcterms:modified>
</cp:coreProperties>
</file>