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80"/>
          </w:cols>
          <w:pgMar w:left="1320" w:top="206" w:right="1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60"/>
          </w:cols>
          <w:pgMar w:left="1320" w:top="206" w:right="1299" w:bottom="1440" w:gutter="0" w:footer="0" w:header="0"/>
          <w:type w:val="continuous"/>
        </w:sectPr>
      </w:pPr>
    </w:p>
    <w:p>
      <w:pPr>
        <w:spacing w:after="0" w:line="358"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80"/>
          </w:cols>
          <w:pgMar w:left="1320" w:top="206" w:right="129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83185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80" w:hanging="141"/>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780" w:hanging="141"/>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760" w:hanging="121"/>
        <w:spacing w:after="0"/>
        <w:tabs>
          <w:tab w:leader="none" w:pos="7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 w:lineRule="exact"/>
        <w:rPr>
          <w:rFonts w:ascii="Arial" w:cs="Arial" w:eastAsia="Arial" w:hAnsi="Arial"/>
          <w:sz w:val="17"/>
          <w:szCs w:val="17"/>
          <w:color w:val="auto"/>
        </w:rPr>
      </w:pPr>
    </w:p>
    <w:p>
      <w:pPr>
        <w:ind w:left="760" w:hanging="121"/>
        <w:spacing w:after="0"/>
        <w:tabs>
          <w:tab w:leader="none" w:pos="7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22" w:lineRule="exact"/>
        <w:rPr>
          <w:sz w:val="24"/>
          <w:szCs w:val="24"/>
          <w:color w:val="auto"/>
        </w:rPr>
      </w:pPr>
    </w:p>
    <w:p>
      <w:pPr>
        <w:ind w:right="100" w:firstLine="648"/>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7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80"/>
          </w:cols>
          <w:pgMar w:left="1320" w:top="206" w:right="1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Blueprint Medicines Corporation (the “Company”) held its annual meeting of stockholders on June 20, 2017. The following is a summary of the matters voted on at the meeting.</w:t>
      </w:r>
    </w:p>
    <w:p>
      <w:pPr>
        <w:spacing w:after="0" w:line="62" w:lineRule="exact"/>
        <w:rPr>
          <w:sz w:val="20"/>
          <w:szCs w:val="20"/>
          <w:color w:val="auto"/>
        </w:rPr>
      </w:pPr>
    </w:p>
    <w:p>
      <w:pPr>
        <w:ind w:left="780" w:right="60" w:hanging="134"/>
        <w:spacing w:after="0" w:line="312" w:lineRule="auto"/>
        <w:rPr>
          <w:sz w:val="20"/>
          <w:szCs w:val="20"/>
          <w:color w:val="auto"/>
        </w:rPr>
      </w:pPr>
      <w:r>
        <w:rPr>
          <w:rFonts w:ascii="Arial" w:cs="Arial" w:eastAsia="Arial" w:hAnsi="Arial"/>
          <w:sz w:val="16"/>
          <w:szCs w:val="16"/>
          <w:color w:val="auto"/>
        </w:rPr>
        <w:t>1.The Company’s stockholders elected Alexis Borisy, Lonnel Coats and Charles A. Rowland, Jr. as Class II directors, each to serve until the 2020 annual meeting of stockholders and until his successor has been duly elected and qualified. The results of the stockholders’ vote with respect to the election of such Class II directors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120" w:type="dxa"/>
            <w:vAlign w:val="bottom"/>
          </w:tcPr>
          <w:p>
            <w:pPr>
              <w:ind w:left="840"/>
              <w:spacing w:after="0"/>
              <w:rPr>
                <w:sz w:val="20"/>
                <w:szCs w:val="20"/>
                <w:color w:val="auto"/>
              </w:rPr>
            </w:pPr>
            <w:r>
              <w:rPr>
                <w:rFonts w:ascii="Arial" w:cs="Arial" w:eastAsia="Arial" w:hAnsi="Arial"/>
                <w:sz w:val="18"/>
                <w:szCs w:val="18"/>
                <w:b w:val="1"/>
                <w:bCs w:val="1"/>
                <w:color w:val="auto"/>
                <w:w w:val="89"/>
              </w:rPr>
              <w:t>For</w:t>
            </w: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20" w:type="dxa"/>
            <w:vAlign w:val="bottom"/>
            <w:gridSpan w:val="2"/>
          </w:tcPr>
          <w:p>
            <w:pPr>
              <w:ind w:left="600"/>
              <w:spacing w:after="0"/>
              <w:rPr>
                <w:sz w:val="20"/>
                <w:szCs w:val="20"/>
                <w:color w:val="auto"/>
              </w:rPr>
            </w:pPr>
            <w:r>
              <w:rPr>
                <w:rFonts w:ascii="Arial" w:cs="Arial" w:eastAsia="Arial" w:hAnsi="Arial"/>
                <w:sz w:val="18"/>
                <w:szCs w:val="18"/>
                <w:b w:val="1"/>
                <w:bCs w:val="1"/>
                <w:color w:val="auto"/>
              </w:rPr>
              <w:t>Withheld</w:t>
            </w:r>
          </w:p>
        </w:tc>
        <w:tc>
          <w:tcPr>
            <w:tcW w:w="1940" w:type="dxa"/>
            <w:vAlign w:val="bottom"/>
          </w:tcPr>
          <w:p>
            <w:pPr>
              <w:jc w:val="right"/>
              <w:ind w:right="19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1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Alexis Borisy</w:t>
            </w:r>
          </w:p>
        </w:tc>
        <w:tc>
          <w:tcPr>
            <w:tcW w:w="1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25,930,858</w:t>
            </w:r>
          </w:p>
        </w:tc>
        <w:tc>
          <w:tcPr>
            <w:tcW w:w="4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7,394,588</w:t>
            </w:r>
          </w:p>
        </w:tc>
        <w:tc>
          <w:tcPr>
            <w:tcW w:w="4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2,528,982</w:t>
            </w:r>
          </w:p>
        </w:tc>
      </w:tr>
      <w:tr>
        <w:trPr>
          <w:trHeight w:val="216"/>
        </w:trPr>
        <w:tc>
          <w:tcPr>
            <w:tcW w:w="3280" w:type="dxa"/>
            <w:vAlign w:val="bottom"/>
            <w:gridSpan w:val="2"/>
          </w:tcPr>
          <w:p>
            <w:pPr>
              <w:ind w:left="100"/>
              <w:spacing w:after="0"/>
              <w:rPr>
                <w:sz w:val="20"/>
                <w:szCs w:val="20"/>
                <w:color w:val="auto"/>
              </w:rPr>
            </w:pPr>
            <w:r>
              <w:rPr>
                <w:rFonts w:ascii="Arial" w:cs="Arial" w:eastAsia="Arial" w:hAnsi="Arial"/>
                <w:sz w:val="18"/>
                <w:szCs w:val="18"/>
                <w:color w:val="auto"/>
              </w:rPr>
              <w:t>Lonnel Coats</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27,545,261</w:t>
            </w:r>
          </w:p>
        </w:tc>
        <w:tc>
          <w:tcPr>
            <w:tcW w:w="4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5,780,185</w:t>
            </w:r>
          </w:p>
        </w:tc>
        <w:tc>
          <w:tcPr>
            <w:tcW w:w="4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2,528,982</w:t>
            </w:r>
          </w:p>
        </w:tc>
      </w:tr>
      <w:tr>
        <w:trPr>
          <w:trHeight w:val="216"/>
        </w:trPr>
        <w:tc>
          <w:tcPr>
            <w:tcW w:w="3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Charles A. Rowland, Jr.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27,823,540</w:t>
            </w:r>
          </w:p>
        </w:tc>
        <w:tc>
          <w:tcPr>
            <w:tcW w:w="4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5,501,906</w:t>
            </w:r>
          </w:p>
        </w:tc>
        <w:tc>
          <w:tcPr>
            <w:tcW w:w="48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2,528,982</w:t>
            </w:r>
          </w:p>
        </w:tc>
      </w:tr>
    </w:tbl>
    <w:p>
      <w:pPr>
        <w:spacing w:after="0" w:line="337" w:lineRule="exact"/>
        <w:rPr>
          <w:sz w:val="20"/>
          <w:szCs w:val="20"/>
          <w:color w:val="auto"/>
        </w:rPr>
      </w:pPr>
    </w:p>
    <w:p>
      <w:pPr>
        <w:ind w:left="780" w:right="80" w:hanging="134"/>
        <w:spacing w:after="0" w:line="264" w:lineRule="auto"/>
        <w:rPr>
          <w:sz w:val="20"/>
          <w:szCs w:val="20"/>
          <w:color w:val="auto"/>
        </w:rPr>
      </w:pPr>
      <w:r>
        <w:rPr>
          <w:rFonts w:ascii="Arial" w:cs="Arial" w:eastAsia="Arial" w:hAnsi="Arial"/>
          <w:sz w:val="18"/>
          <w:szCs w:val="18"/>
          <w:color w:val="auto"/>
        </w:rPr>
        <w:t>2.The Company’s stockholders ratified the appointment of Ernst &amp; Young LLP as the Company’s independent registered public accounting for the fiscal year ending December 31, 2017. The results of the stockholders’ vote with respect to such ratification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gridSpan w:val="2"/>
          </w:tcPr>
          <w:p>
            <w:pPr>
              <w:ind w:left="820"/>
              <w:spacing w:after="0"/>
              <w:rPr>
                <w:sz w:val="20"/>
                <w:szCs w:val="20"/>
                <w:color w:val="auto"/>
              </w:rPr>
            </w:pPr>
            <w:r>
              <w:rPr>
                <w:rFonts w:ascii="Arial" w:cs="Arial" w:eastAsia="Arial" w:hAnsi="Arial"/>
                <w:sz w:val="18"/>
                <w:szCs w:val="18"/>
                <w:b w:val="1"/>
                <w:bCs w:val="1"/>
                <w:color w:val="auto"/>
              </w:rPr>
              <w:t>For</w:t>
            </w:r>
          </w:p>
        </w:tc>
        <w:tc>
          <w:tcPr>
            <w:tcW w:w="1920" w:type="dxa"/>
            <w:vAlign w:val="bottom"/>
          </w:tcPr>
          <w:p>
            <w:pPr>
              <w:jc w:val="right"/>
              <w:ind w:right="590"/>
              <w:spacing w:after="0"/>
              <w:rPr>
                <w:sz w:val="20"/>
                <w:szCs w:val="20"/>
                <w:color w:val="auto"/>
              </w:rPr>
            </w:pPr>
            <w:r>
              <w:rPr>
                <w:rFonts w:ascii="Arial" w:cs="Arial" w:eastAsia="Arial" w:hAnsi="Arial"/>
                <w:sz w:val="18"/>
                <w:szCs w:val="18"/>
                <w:b w:val="1"/>
                <w:bCs w:val="1"/>
                <w:color w:val="auto"/>
              </w:rPr>
              <w:t>Against</w:t>
            </w:r>
          </w:p>
        </w:tc>
        <w:tc>
          <w:tcPr>
            <w:tcW w:w="480" w:type="dxa"/>
            <w:vAlign w:val="bottom"/>
          </w:tcPr>
          <w:p>
            <w:pPr>
              <w:spacing w:after="0"/>
              <w:rPr>
                <w:sz w:val="20"/>
                <w:szCs w:val="20"/>
                <w:color w:val="auto"/>
              </w:rPr>
            </w:pPr>
          </w:p>
        </w:tc>
        <w:tc>
          <w:tcPr>
            <w:tcW w:w="1960" w:type="dxa"/>
            <w:vAlign w:val="bottom"/>
          </w:tcPr>
          <w:p>
            <w:pPr>
              <w:jc w:val="right"/>
              <w:ind w:right="590"/>
              <w:spacing w:after="0"/>
              <w:rPr>
                <w:sz w:val="20"/>
                <w:szCs w:val="20"/>
                <w:color w:val="auto"/>
              </w:rPr>
            </w:pPr>
            <w:r>
              <w:rPr>
                <w:rFonts w:ascii="Arial" w:cs="Arial" w:eastAsia="Arial" w:hAnsi="Arial"/>
                <w:sz w:val="18"/>
                <w:szCs w:val="18"/>
                <w:b w:val="1"/>
                <w:bCs w:val="1"/>
                <w:color w:val="auto"/>
              </w:rPr>
              <w:t>Abstain</w:t>
            </w:r>
          </w:p>
        </w:tc>
        <w:tc>
          <w:tcPr>
            <w:tcW w:w="2540" w:type="dxa"/>
            <w:vAlign w:val="bottom"/>
          </w:tcPr>
          <w:p>
            <w:pPr>
              <w:spacing w:after="0"/>
              <w:rPr>
                <w:sz w:val="20"/>
                <w:szCs w:val="20"/>
                <w:color w:val="auto"/>
              </w:rPr>
            </w:pPr>
          </w:p>
        </w:tc>
      </w:tr>
      <w:tr>
        <w:trPr>
          <w:trHeight w:val="210"/>
        </w:trPr>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35,793,487</w:t>
            </w:r>
          </w:p>
        </w:tc>
        <w:tc>
          <w:tcPr>
            <w:tcW w:w="46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54,981</w:t>
            </w:r>
          </w:p>
        </w:tc>
        <w:tc>
          <w:tcPr>
            <w:tcW w:w="48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2540" w:type="dxa"/>
            <w:vAlign w:val="bottom"/>
          </w:tcPr>
          <w:p>
            <w:pPr>
              <w:spacing w:after="0"/>
              <w:rPr>
                <w:sz w:val="18"/>
                <w:szCs w:val="18"/>
                <w:color w:val="auto"/>
              </w:rPr>
            </w:pPr>
          </w:p>
        </w:tc>
      </w:tr>
      <w:tr>
        <w:trPr>
          <w:trHeight w:val="864"/>
        </w:trPr>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9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29"/>
        </w:trPr>
        <w:tc>
          <w:tcPr>
            <w:tcW w:w="19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6260" w:type="dxa"/>
            <w:vAlign w:val="bottom"/>
            <w:gridSpan w:val="2"/>
          </w:tcPr>
          <w:p>
            <w:pPr>
              <w:ind w:left="1760"/>
              <w:spacing w:after="0"/>
              <w:rPr>
                <w:sz w:val="20"/>
                <w:szCs w:val="20"/>
                <w:color w:val="auto"/>
              </w:rPr>
            </w:pPr>
            <w:r>
              <w:rPr>
                <w:rFonts w:ascii="Arial" w:cs="Arial" w:eastAsia="Arial" w:hAnsi="Arial"/>
                <w:sz w:val="18"/>
                <w:szCs w:val="18"/>
                <w:b w:val="1"/>
                <w:bCs w:val="1"/>
                <w:color w:val="auto"/>
              </w:rPr>
              <w:t>BLUEPRINT MEDICINES CORPORATION</w:t>
            </w:r>
          </w:p>
        </w:tc>
      </w:tr>
      <w:tr>
        <w:trPr>
          <w:trHeight w:val="675"/>
        </w:trPr>
        <w:tc>
          <w:tcPr>
            <w:tcW w:w="3020" w:type="dxa"/>
            <w:vAlign w:val="bottom"/>
          </w:tcPr>
          <w:p>
            <w:pPr>
              <w:spacing w:after="0"/>
              <w:rPr>
                <w:sz w:val="20"/>
                <w:szCs w:val="20"/>
                <w:color w:val="auto"/>
              </w:rPr>
            </w:pPr>
            <w:r>
              <w:rPr>
                <w:rFonts w:ascii="Arial" w:cs="Arial" w:eastAsia="Arial" w:hAnsi="Arial"/>
                <w:sz w:val="18"/>
                <w:szCs w:val="18"/>
                <w:color w:val="auto"/>
              </w:rPr>
              <w:t>Date: June 23, 2017</w:t>
            </w:r>
          </w:p>
        </w:tc>
        <w:tc>
          <w:tcPr>
            <w:tcW w:w="6260" w:type="dxa"/>
            <w:vAlign w:val="bottom"/>
            <w:gridSpan w:val="2"/>
          </w:tcPr>
          <w:p>
            <w:pPr>
              <w:ind w:left="1760"/>
              <w:spacing w:after="0"/>
              <w:rPr>
                <w:sz w:val="20"/>
                <w:szCs w:val="20"/>
                <w:color w:val="auto"/>
              </w:rPr>
            </w:pPr>
            <w:r>
              <w:rPr>
                <w:rFonts w:ascii="Arial" w:cs="Arial" w:eastAsia="Arial" w:hAnsi="Arial"/>
                <w:sz w:val="18"/>
                <w:szCs w:val="18"/>
                <w:color w:val="auto"/>
              </w:rPr>
              <w:t>By: /s/ Tracey L. McCain</w:t>
            </w:r>
          </w:p>
        </w:tc>
      </w:tr>
      <w:tr>
        <w:trPr>
          <w:trHeight w:val="195"/>
        </w:trPr>
        <w:tc>
          <w:tcPr>
            <w:tcW w:w="30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Tracey L. McCain</w:t>
            </w:r>
          </w:p>
        </w:tc>
      </w:tr>
      <w:tr>
        <w:trPr>
          <w:trHeight w:val="230"/>
        </w:trPr>
        <w:tc>
          <w:tcPr>
            <w:tcW w:w="3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Chief Legal Officer</w:t>
            </w:r>
          </w:p>
        </w:tc>
      </w:tr>
      <w:tr>
        <w:trPr>
          <w:trHeight w:val="891"/>
        </w:trPr>
        <w:tc>
          <w:tcPr>
            <w:tcW w:w="3020" w:type="dxa"/>
            <w:vAlign w:val="bottom"/>
          </w:tcPr>
          <w:p>
            <w:pPr>
              <w:spacing w:after="0"/>
              <w:rPr>
                <w:sz w:val="24"/>
                <w:szCs w:val="24"/>
                <w:color w:val="auto"/>
              </w:rPr>
            </w:pPr>
          </w:p>
        </w:tc>
        <w:tc>
          <w:tcPr>
            <w:tcW w:w="206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4200" w:type="dxa"/>
            <w:vAlign w:val="bottom"/>
          </w:tcPr>
          <w:p>
            <w:pPr>
              <w:spacing w:after="0"/>
              <w:rPr>
                <w:sz w:val="24"/>
                <w:szCs w:val="24"/>
                <w:color w:val="auto"/>
              </w:rPr>
            </w:pPr>
          </w:p>
        </w:tc>
      </w:tr>
      <w:tr>
        <w:trPr>
          <w:trHeight w:val="129"/>
        </w:trPr>
        <w:tc>
          <w:tcPr>
            <w:tcW w:w="30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4200" w:type="dxa"/>
            <w:vAlign w:val="bottom"/>
            <w:tcBorders>
              <w:bottom w:val="single" w:sz="8" w:color="auto"/>
            </w:tcBorders>
          </w:tcPr>
          <w:p>
            <w:pPr>
              <w:spacing w:after="0"/>
              <w:rPr>
                <w:sz w:val="11"/>
                <w:szCs w:val="11"/>
                <w:color w:val="auto"/>
              </w:rPr>
            </w:pPr>
          </w:p>
        </w:tc>
      </w:tr>
    </w:tbl>
    <w:p>
      <w:pPr>
        <w:spacing w:after="0" w:line="1" w:lineRule="exact"/>
        <w:rPr>
          <w:sz w:val="20"/>
          <w:szCs w:val="20"/>
          <w:color w:val="auto"/>
        </w:rPr>
      </w:pPr>
    </w:p>
    <w:sectPr>
      <w:pgSz w:w="11900" w:h="16838" w:orient="portrait"/>
      <w:cols w:equalWidth="0" w:num="1">
        <w:col w:w="9280"/>
      </w:cols>
      <w:pgMar w:left="1320" w:top="12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2019-12-07T22:31:39Z</dcterms:created>
  <dcterms:modified xsi:type="dcterms:W3CDTF">2019-12-07T22:31:39Z</dcterms:modified>
</cp:coreProperties>
</file>