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311785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1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of the Securities Exchange Act of 1934</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October 26,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188595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33"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Blueprint Medicines Corporation</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175895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60" w:right="339" w:bottom="1440" w:gutter="0" w:footer="0" w:header="0"/>
        </w:sectPr>
      </w:pPr>
    </w:p>
    <w:p>
      <w:pPr>
        <w:spacing w:after="0" w:line="200" w:lineRule="exact"/>
        <w:rPr>
          <w:sz w:val="24"/>
          <w:szCs w:val="24"/>
          <w:color w:val="auto"/>
        </w:rPr>
      </w:pPr>
    </w:p>
    <w:p>
      <w:pPr>
        <w:spacing w:after="0" w:line="356" w:lineRule="exact"/>
        <w:rPr>
          <w:sz w:val="24"/>
          <w:szCs w:val="24"/>
          <w:color w:val="auto"/>
        </w:rPr>
      </w:pPr>
    </w:p>
    <w:p>
      <w:pPr>
        <w:ind w:left="14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ind w:left="860"/>
        <w:spacing w:after="0"/>
        <w:rPr>
          <w:sz w:val="20"/>
          <w:szCs w:val="20"/>
          <w:color w:val="auto"/>
        </w:rPr>
      </w:pPr>
      <w:r>
        <w:rPr>
          <w:rFonts w:ascii="Arial" w:cs="Arial" w:eastAsia="Arial" w:hAnsi="Arial"/>
          <w:sz w:val="16"/>
          <w:szCs w:val="16"/>
          <w:color w:val="auto"/>
        </w:rPr>
        <w:t>(State or other jurisdiction</w:t>
      </w:r>
    </w:p>
    <w:p>
      <w:pPr>
        <w:spacing w:after="0" w:line="32" w:lineRule="exact"/>
        <w:rPr>
          <w:sz w:val="24"/>
          <w:szCs w:val="24"/>
          <w:color w:val="auto"/>
        </w:rPr>
      </w:pPr>
    </w:p>
    <w:p>
      <w:pPr>
        <w:ind w:left="1200"/>
        <w:spacing w:after="0"/>
        <w:rPr>
          <w:sz w:val="20"/>
          <w:szCs w:val="20"/>
          <w:color w:val="auto"/>
        </w:rPr>
      </w:pPr>
      <w:r>
        <w:rPr>
          <w:rFonts w:ascii="Arial" w:cs="Arial" w:eastAsia="Arial" w:hAnsi="Arial"/>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420"/>
        <w:spacing w:after="0"/>
        <w:rPr>
          <w:sz w:val="20"/>
          <w:szCs w:val="20"/>
          <w:color w:val="auto"/>
        </w:rPr>
      </w:pPr>
      <w:r>
        <w:rPr>
          <w:rFonts w:ascii="Arial" w:cs="Arial" w:eastAsia="Arial" w:hAnsi="Arial"/>
          <w:sz w:val="18"/>
          <w:szCs w:val="18"/>
          <w:b w:val="1"/>
          <w:bCs w:val="1"/>
          <w:color w:val="auto"/>
        </w:rPr>
        <w:t>001-37359</w:t>
      </w:r>
    </w:p>
    <w:p>
      <w:pPr>
        <w:spacing w:after="0" w:line="27" w:lineRule="exact"/>
        <w:rPr>
          <w:sz w:val="24"/>
          <w:szCs w:val="24"/>
          <w:color w:val="auto"/>
        </w:rPr>
      </w:pPr>
    </w:p>
    <w:p>
      <w:pPr>
        <w:jc w:val="center"/>
        <w:ind w:right="14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36" w:lineRule="exact"/>
        <w:rPr>
          <w:sz w:val="24"/>
          <w:szCs w:val="24"/>
          <w:color w:val="auto"/>
        </w:rPr>
      </w:pPr>
    </w:p>
    <w:p>
      <w:pPr>
        <w:jc w:val="center"/>
        <w:ind w:right="1120"/>
        <w:spacing w:after="0"/>
        <w:rPr>
          <w:sz w:val="20"/>
          <w:szCs w:val="20"/>
          <w:color w:val="auto"/>
        </w:rPr>
      </w:pPr>
      <w:r>
        <w:rPr>
          <w:rFonts w:ascii="Arial" w:cs="Arial" w:eastAsia="Arial" w:hAnsi="Arial"/>
          <w:sz w:val="18"/>
          <w:szCs w:val="18"/>
          <w:b w:val="1"/>
          <w:bCs w:val="1"/>
          <w:color w:val="auto"/>
        </w:rPr>
        <w:t>26-3632015</w:t>
      </w:r>
    </w:p>
    <w:p>
      <w:pPr>
        <w:spacing w:after="0" w:line="27" w:lineRule="exact"/>
        <w:rPr>
          <w:sz w:val="24"/>
          <w:szCs w:val="24"/>
          <w:color w:val="auto"/>
        </w:rPr>
      </w:pPr>
    </w:p>
    <w:p>
      <w:pPr>
        <w:jc w:val="center"/>
        <w:ind w:right="1120"/>
        <w:spacing w:after="0"/>
        <w:rPr>
          <w:sz w:val="20"/>
          <w:szCs w:val="20"/>
          <w:color w:val="auto"/>
        </w:rPr>
      </w:pPr>
      <w:r>
        <w:rPr>
          <w:rFonts w:ascii="Arial" w:cs="Arial" w:eastAsia="Arial" w:hAnsi="Arial"/>
          <w:sz w:val="18"/>
          <w:szCs w:val="18"/>
          <w:color w:val="auto"/>
        </w:rPr>
        <w:t>(I.R.S. Employer</w:t>
      </w:r>
    </w:p>
    <w:p>
      <w:pPr>
        <w:spacing w:after="0" w:line="9" w:lineRule="exact"/>
        <w:rPr>
          <w:sz w:val="24"/>
          <w:szCs w:val="24"/>
          <w:color w:val="auto"/>
        </w:rPr>
      </w:pPr>
    </w:p>
    <w:p>
      <w:pPr>
        <w:jc w:val="center"/>
        <w:ind w:right="1120"/>
        <w:spacing w:after="0"/>
        <w:rPr>
          <w:sz w:val="20"/>
          <w:szCs w:val="20"/>
          <w:color w:val="auto"/>
        </w:rPr>
      </w:pPr>
      <w:r>
        <w:rPr>
          <w:rFonts w:ascii="Arial" w:cs="Arial" w:eastAsia="Arial" w:hAnsi="Arial"/>
          <w:sz w:val="17"/>
          <w:szCs w:val="17"/>
          <w:color w:val="auto"/>
        </w:rPr>
        <w:t>Identification No.)</w:t>
      </w:r>
    </w:p>
    <w:p>
      <w:pPr>
        <w:spacing w:after="0" w:line="211" w:lineRule="exact"/>
        <w:rPr>
          <w:sz w:val="24"/>
          <w:szCs w:val="24"/>
          <w:color w:val="auto"/>
        </w:rPr>
      </w:pPr>
    </w:p>
    <w:p>
      <w:pPr>
        <w:sectPr>
          <w:pgSz w:w="11900" w:h="16838" w:orient="portrait"/>
          <w:cols w:equalWidth="0" w:num="3">
            <w:col w:w="3920" w:space="720"/>
            <w:col w:w="3420" w:space="720"/>
            <w:col w:w="2460"/>
          </w:cols>
          <w:pgMar w:left="320" w:top="760" w:right="339" w:bottom="1440" w:gutter="0" w:footer="0" w:header="0"/>
          <w:type w:val="continuous"/>
        </w:sectPr>
      </w:pPr>
    </w:p>
    <w:p>
      <w:pPr>
        <w:spacing w:after="0" w:line="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45 Sidney Street</w:t>
      </w:r>
    </w:p>
    <w:p>
      <w:pPr>
        <w:spacing w:after="0" w:line="27" w:lineRule="exact"/>
        <w:rPr>
          <w:sz w:val="24"/>
          <w:szCs w:val="24"/>
          <w:color w:val="auto"/>
        </w:rPr>
      </w:pPr>
    </w:p>
    <w:p>
      <w:pPr>
        <w:jc w:val="center"/>
        <w:ind w:right="1860"/>
        <w:spacing w:after="0"/>
        <w:rPr>
          <w:sz w:val="20"/>
          <w:szCs w:val="20"/>
          <w:color w:val="auto"/>
        </w:rPr>
      </w:pPr>
      <w:r>
        <w:rPr>
          <w:rFonts w:ascii="Arial" w:cs="Arial" w:eastAsia="Arial" w:hAnsi="Arial"/>
          <w:sz w:val="18"/>
          <w:szCs w:val="18"/>
          <w:b w:val="1"/>
          <w:bCs w:val="1"/>
          <w:color w:val="auto"/>
        </w:rPr>
        <w:t>Cambridge, Massachusetts</w:t>
      </w:r>
    </w:p>
    <w:p>
      <w:pPr>
        <w:spacing w:after="0" w:line="9" w:lineRule="exact"/>
        <w:rPr>
          <w:sz w:val="24"/>
          <w:szCs w:val="24"/>
          <w:color w:val="auto"/>
        </w:rPr>
      </w:pPr>
    </w:p>
    <w:p>
      <w:pPr>
        <w:jc w:val="center"/>
        <w:ind w:right="1860"/>
        <w:spacing w:after="0"/>
        <w:rPr>
          <w:sz w:val="20"/>
          <w:szCs w:val="20"/>
          <w:color w:val="auto"/>
        </w:rPr>
      </w:pPr>
      <w:r>
        <w:rPr>
          <w:rFonts w:ascii="Arial" w:cs="Arial" w:eastAsia="Arial" w:hAnsi="Arial"/>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03" w:lineRule="exact"/>
        <w:rPr>
          <w:sz w:val="24"/>
          <w:szCs w:val="24"/>
          <w:color w:val="auto"/>
        </w:rPr>
      </w:pPr>
    </w:p>
    <w:p>
      <w:pPr>
        <w:jc w:val="center"/>
        <w:ind w:right="2340"/>
        <w:spacing w:after="0"/>
        <w:rPr>
          <w:sz w:val="20"/>
          <w:szCs w:val="20"/>
          <w:color w:val="auto"/>
        </w:rPr>
      </w:pPr>
      <w:r>
        <w:rPr>
          <w:rFonts w:ascii="Arial" w:cs="Arial" w:eastAsia="Arial" w:hAnsi="Arial"/>
          <w:sz w:val="18"/>
          <w:szCs w:val="18"/>
          <w:b w:val="1"/>
          <w:bCs w:val="1"/>
          <w:color w:val="auto"/>
        </w:rPr>
        <w:t>02139</w:t>
      </w:r>
    </w:p>
    <w:p>
      <w:pPr>
        <w:spacing w:after="0" w:line="27" w:lineRule="exact"/>
        <w:rPr>
          <w:sz w:val="24"/>
          <w:szCs w:val="24"/>
          <w:color w:val="auto"/>
        </w:rPr>
      </w:pPr>
    </w:p>
    <w:p>
      <w:pPr>
        <w:jc w:val="center"/>
        <w:ind w:right="2340"/>
        <w:spacing w:after="0"/>
        <w:rPr>
          <w:sz w:val="20"/>
          <w:szCs w:val="20"/>
          <w:color w:val="auto"/>
        </w:rPr>
      </w:pPr>
      <w:r>
        <w:rPr>
          <w:rFonts w:ascii="Arial" w:cs="Arial" w:eastAsia="Arial" w:hAnsi="Arial"/>
          <w:sz w:val="16"/>
          <w:szCs w:val="16"/>
          <w:color w:val="auto"/>
        </w:rPr>
        <w:t>(Zip Code)</w:t>
      </w:r>
    </w:p>
    <w:p>
      <w:pPr>
        <w:spacing w:after="0" w:line="200" w:lineRule="exact"/>
        <w:rPr>
          <w:sz w:val="24"/>
          <w:szCs w:val="24"/>
          <w:color w:val="auto"/>
        </w:rPr>
      </w:pPr>
    </w:p>
    <w:p>
      <w:pPr>
        <w:sectPr>
          <w:pgSz w:w="11900" w:h="16838" w:orient="portrait"/>
          <w:cols w:equalWidth="0" w:num="2">
            <w:col w:w="7380" w:space="720"/>
            <w:col w:w="3140"/>
          </w:cols>
          <w:pgMar w:left="320" w:top="760" w:right="339" w:bottom="1440" w:gutter="0" w:footer="0" w:header="0"/>
          <w:type w:val="continuous"/>
        </w:sectPr>
      </w:pPr>
    </w:p>
    <w:p>
      <w:pPr>
        <w:spacing w:after="0" w:line="3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(617) 374-7580</w:t>
      </w:r>
    </w:p>
    <w:p>
      <w:pPr>
        <w:spacing w:after="0" w:line="22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48895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354" w:lineRule="exact"/>
        <w:rPr>
          <w:sz w:val="24"/>
          <w:szCs w:val="24"/>
          <w:color w:val="auto"/>
        </w:rPr>
      </w:pPr>
    </w:p>
    <w:p>
      <w:pPr>
        <w:ind w:right="40" w:firstLine="648"/>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980" w:hanging="324"/>
        <w:spacing w:after="0"/>
        <w:tabs>
          <w:tab w:leader="none" w:pos="98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9"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6" w:lineRule="exact"/>
        <w:rPr>
          <w:sz w:val="24"/>
          <w:szCs w:val="24"/>
          <w:color w:val="auto"/>
        </w:rPr>
      </w:pPr>
    </w:p>
    <w:p>
      <w:pPr>
        <w:ind w:left="660"/>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70" w:lineRule="exact"/>
        <w:rPr>
          <w:sz w:val="24"/>
          <w:szCs w:val="24"/>
          <w:color w:val="auto"/>
        </w:rPr>
      </w:pPr>
    </w:p>
    <w:p>
      <w:pPr>
        <w:ind w:right="160" w:firstLine="648"/>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70"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Securities registered pursuant to Section 12(b) of the Exchange Act:</w:t>
      </w:r>
    </w:p>
    <w:p>
      <w:pPr>
        <w:spacing w:after="0" w:line="219" w:lineRule="exact"/>
        <w:rPr>
          <w:sz w:val="24"/>
          <w:szCs w:val="24"/>
          <w:color w:val="auto"/>
        </w:rPr>
      </w:pPr>
    </w:p>
    <w:tbl>
      <w:tblPr>
        <w:tblLayout w:type="fixed"/>
        <w:tblInd w:w="10" w:type="dxa"/>
        <w:tblCellMar>
          <w:top w:w="0" w:type="dxa"/>
          <w:left w:w="0" w:type="dxa"/>
          <w:bottom w:w="0" w:type="dxa"/>
          <w:right w:w="0" w:type="dxa"/>
        </w:tblCellMar>
      </w:tblPr>
      <w:tr>
        <w:trPr>
          <w:trHeight w:val="215"/>
        </w:trPr>
        <w:tc>
          <w:tcPr>
            <w:tcW w:w="4520" w:type="dxa"/>
            <w:vAlign w:val="bottom"/>
            <w:tcBorders>
              <w:top w:val="single" w:sz="8" w:color="auto"/>
              <w:left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224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3"/>
              </w:rPr>
              <w:t>Trading symbol(s)</w:t>
            </w:r>
          </w:p>
        </w:tc>
        <w:tc>
          <w:tcPr>
            <w:tcW w:w="4480" w:type="dxa"/>
            <w:vAlign w:val="bottom"/>
            <w:tcBorders>
              <w:top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w:t>
            </w:r>
          </w:p>
        </w:tc>
      </w:tr>
      <w:tr>
        <w:trPr>
          <w:trHeight w:val="230"/>
        </w:trPr>
        <w:tc>
          <w:tcPr>
            <w:tcW w:w="4520" w:type="dxa"/>
            <w:vAlign w:val="bottom"/>
            <w:tcBorders>
              <w:left w:val="single" w:sz="8" w:color="auto"/>
              <w:bottom w:val="single" w:sz="8" w:color="auto"/>
              <w:right w:val="single" w:sz="8" w:color="auto"/>
            </w:tcBorders>
          </w:tcPr>
          <w:p>
            <w:pPr>
              <w:spacing w:after="0"/>
              <w:rPr>
                <w:sz w:val="20"/>
                <w:szCs w:val="20"/>
                <w:color w:val="auto"/>
              </w:rPr>
            </w:pPr>
          </w:p>
        </w:tc>
        <w:tc>
          <w:tcPr>
            <w:tcW w:w="2240" w:type="dxa"/>
            <w:vAlign w:val="bottom"/>
            <w:tcBorders>
              <w:bottom w:val="single" w:sz="8" w:color="auto"/>
              <w:right w:val="single" w:sz="8" w:color="auto"/>
            </w:tcBorders>
          </w:tcPr>
          <w:p>
            <w:pPr>
              <w:spacing w:after="0"/>
              <w:rPr>
                <w:sz w:val="20"/>
                <w:szCs w:val="20"/>
                <w:color w:val="auto"/>
              </w:rPr>
            </w:pP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7"/>
              </w:rPr>
              <w:t>registered</w:t>
            </w:r>
          </w:p>
        </w:tc>
      </w:tr>
      <w:tr>
        <w:trPr>
          <w:trHeight w:val="209"/>
        </w:trPr>
        <w:tc>
          <w:tcPr>
            <w:tcW w:w="452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Common stock, par value $0.001 per share</w:t>
            </w:r>
          </w:p>
        </w:tc>
        <w:tc>
          <w:tcPr>
            <w:tcW w:w="22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6"/>
              </w:rPr>
              <w:t>BPMC</w:t>
            </w:r>
          </w:p>
        </w:tc>
        <w:tc>
          <w:tcPr>
            <w:tcW w:w="44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Nasdaq Global Select Market</w:t>
            </w:r>
          </w:p>
        </w:tc>
      </w:tr>
      <w:tr>
        <w:trPr>
          <w:trHeight w:val="210"/>
        </w:trPr>
        <w:tc>
          <w:tcPr>
            <w:tcW w:w="4520" w:type="dxa"/>
            <w:vAlign w:val="bottom"/>
            <w:tcBorders>
              <w:bottom w:val="single" w:sz="8" w:color="auto"/>
            </w:tcBorders>
          </w:tcPr>
          <w:p>
            <w:pPr>
              <w:spacing w:after="0"/>
              <w:rPr>
                <w:sz w:val="18"/>
                <w:szCs w:val="18"/>
                <w:color w:val="auto"/>
              </w:rPr>
            </w:pPr>
          </w:p>
        </w:tc>
        <w:tc>
          <w:tcPr>
            <w:tcW w:w="2240" w:type="dxa"/>
            <w:vAlign w:val="bottom"/>
            <w:tcBorders>
              <w:bottom w:val="single" w:sz="8" w:color="auto"/>
            </w:tcBorders>
          </w:tcPr>
          <w:p>
            <w:pPr>
              <w:spacing w:after="0"/>
              <w:rPr>
                <w:sz w:val="18"/>
                <w:szCs w:val="18"/>
                <w:color w:val="auto"/>
              </w:rPr>
            </w:pPr>
          </w:p>
        </w:tc>
        <w:tc>
          <w:tcPr>
            <w:tcW w:w="4480" w:type="dxa"/>
            <w:vAlign w:val="bottom"/>
            <w:tcBorders>
              <w:bottom w:val="single" w:sz="8" w:color="auto"/>
            </w:tcBorders>
          </w:tcPr>
          <w:p>
            <w:pPr>
              <w:spacing w:after="0"/>
              <w:rPr>
                <w:sz w:val="18"/>
                <w:szCs w:val="18"/>
                <w:color w:val="auto"/>
              </w:rPr>
            </w:pPr>
          </w:p>
        </w:tc>
      </w:tr>
      <w:tr>
        <w:trPr>
          <w:trHeight w:val="28"/>
        </w:trPr>
        <w:tc>
          <w:tcPr>
            <w:tcW w:w="4520" w:type="dxa"/>
            <w:vAlign w:val="bottom"/>
            <w:tcBorders>
              <w:bottom w:val="single" w:sz="8" w:color="auto"/>
            </w:tcBorders>
          </w:tcPr>
          <w:p>
            <w:pPr>
              <w:spacing w:after="0"/>
              <w:rPr>
                <w:sz w:val="2"/>
                <w:szCs w:val="2"/>
                <w:color w:val="auto"/>
              </w:rPr>
            </w:pPr>
          </w:p>
        </w:tc>
        <w:tc>
          <w:tcPr>
            <w:tcW w:w="2240" w:type="dxa"/>
            <w:vAlign w:val="bottom"/>
            <w:tcBorders>
              <w:bottom w:val="single" w:sz="8" w:color="auto"/>
            </w:tcBorders>
          </w:tcPr>
          <w:p>
            <w:pPr>
              <w:spacing w:after="0"/>
              <w:rPr>
                <w:sz w:val="2"/>
                <w:szCs w:val="2"/>
                <w:color w:val="auto"/>
              </w:rPr>
            </w:pPr>
          </w:p>
        </w:tc>
        <w:tc>
          <w:tcPr>
            <w:tcW w:w="4480" w:type="dxa"/>
            <w:vAlign w:val="bottom"/>
            <w:tcBorders>
              <w:bottom w:val="single" w:sz="8" w:color="auto"/>
            </w:tcBorders>
          </w:tcPr>
          <w:p>
            <w:pPr>
              <w:spacing w:after="0"/>
              <w:rPr>
                <w:sz w:val="2"/>
                <w:szCs w:val="2"/>
                <w:color w:val="auto"/>
              </w:rPr>
            </w:pPr>
          </w:p>
        </w:tc>
      </w:tr>
      <w:tr>
        <w:trPr>
          <w:trHeight w:val="675"/>
        </w:trPr>
        <w:tc>
          <w:tcPr>
            <w:tcW w:w="45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44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760" w:right="339" w:bottom="1440" w:gutter="0" w:footer="0" w:header="0"/>
          <w:type w:val="continuous"/>
        </w:sectPr>
      </w:pPr>
    </w:p>
    <w:bookmarkStart w:id="1" w:name="page2"/>
    <w:bookmarkEnd w:id="1"/>
    <w:p>
      <w:pPr>
        <w:spacing w:after="0"/>
        <w:rPr>
          <w:sz w:val="20"/>
          <w:szCs w:val="20"/>
          <w:color w:val="auto"/>
        </w:rPr>
      </w:pPr>
      <w:r>
        <w:rPr>
          <w:rFonts w:ascii="Arial" w:cs="Arial" w:eastAsia="Arial" w:hAnsi="Arial"/>
          <w:sz w:val="18"/>
          <w:szCs w:val="18"/>
          <w:b w:val="1"/>
          <w:bCs w:val="1"/>
          <w:color w:val="202529"/>
        </w:rPr>
        <w:t>Item 2.02 Results of Operations and Financial Condition.</w:t>
      </w:r>
    </w:p>
    <w:p>
      <w:pPr>
        <w:spacing w:after="0" w:line="229" w:lineRule="exact"/>
        <w:rPr>
          <w:sz w:val="20"/>
          <w:szCs w:val="20"/>
          <w:color w:val="auto"/>
        </w:rPr>
      </w:pPr>
    </w:p>
    <w:p>
      <w:pPr>
        <w:ind w:right="360" w:firstLine="648"/>
        <w:spacing w:after="0" w:line="263" w:lineRule="auto"/>
        <w:rPr>
          <w:sz w:val="20"/>
          <w:szCs w:val="20"/>
          <w:color w:val="auto"/>
        </w:rPr>
      </w:pPr>
      <w:r>
        <w:rPr>
          <w:rFonts w:ascii="Arial" w:cs="Arial" w:eastAsia="Arial" w:hAnsi="Arial"/>
          <w:sz w:val="18"/>
          <w:szCs w:val="18"/>
          <w:color w:val="auto"/>
        </w:rPr>
        <w:t>On October 26, 2023, Blueprint Medicines Corporation announced its financial results for the quarter ended September 30, 2023 and other business highlights. The full text of the press release issued in connection with the announcement is furnished as Exhibit 99.1 to this Current Report on Form 8-K and is incorporated by reference herein.</w:t>
      </w:r>
    </w:p>
    <w:p>
      <w:pPr>
        <w:spacing w:after="0" w:line="184"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The information in this Current Report on Form 8-K, including Exhibit 99.1 attached hereto, is intended to be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except as expressly set forth by specific reference in such filing.</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212529"/>
        </w:rPr>
        <w:t>Item 9.01 Financial Statements and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212529"/>
        </w:rPr>
        <w:t>(d) Exhibits.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exhibit relating to Item 2.02 of this Form 8-K shall be deemed to be furnished and not filed:</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40" w:type="dxa"/>
            <w:vAlign w:val="bottom"/>
            <w:gridSpan w:val="4"/>
          </w:tcPr>
          <w:p>
            <w:pPr>
              <w:ind w:left="480"/>
              <w:spacing w:after="0"/>
              <w:rPr>
                <w:sz w:val="20"/>
                <w:szCs w:val="20"/>
                <w:color w:val="auto"/>
              </w:rPr>
            </w:pPr>
            <w:r>
              <w:rPr>
                <w:rFonts w:ascii="Arial" w:cs="Arial" w:eastAsia="Arial" w:hAnsi="Arial"/>
                <w:sz w:val="18"/>
                <w:szCs w:val="18"/>
                <w:b w:val="1"/>
                <w:bCs w:val="1"/>
                <w:color w:val="auto"/>
              </w:rPr>
              <w:t>Exhibit</w:t>
            </w:r>
          </w:p>
        </w:tc>
        <w:tc>
          <w:tcPr>
            <w:tcW w:w="5600" w:type="dxa"/>
            <w:vAlign w:val="bottom"/>
          </w:tcPr>
          <w:p>
            <w:pPr>
              <w:spacing w:after="0"/>
              <w:rPr>
                <w:sz w:val="18"/>
                <w:szCs w:val="18"/>
                <w:color w:val="auto"/>
              </w:rPr>
            </w:pPr>
          </w:p>
        </w:tc>
        <w:tc>
          <w:tcPr>
            <w:tcW w:w="3400" w:type="dxa"/>
            <w:vAlign w:val="bottom"/>
          </w:tcPr>
          <w:p>
            <w:pPr>
              <w:spacing w:after="0"/>
              <w:rPr>
                <w:sz w:val="18"/>
                <w:szCs w:val="18"/>
                <w:color w:val="auto"/>
              </w:rPr>
            </w:pPr>
          </w:p>
        </w:tc>
      </w:tr>
      <w:tr>
        <w:trPr>
          <w:trHeight w:val="234"/>
        </w:trPr>
        <w:tc>
          <w:tcPr>
            <w:tcW w:w="2240" w:type="dxa"/>
            <w:vAlign w:val="bottom"/>
            <w:gridSpan w:val="4"/>
          </w:tcPr>
          <w:p>
            <w:pPr>
              <w:ind w:left="620"/>
              <w:spacing w:after="0"/>
              <w:rPr>
                <w:sz w:val="20"/>
                <w:szCs w:val="20"/>
                <w:color w:val="auto"/>
              </w:rPr>
            </w:pPr>
            <w:r>
              <w:rPr>
                <w:rFonts w:ascii="Arial" w:cs="Arial" w:eastAsia="Arial" w:hAnsi="Arial"/>
                <w:sz w:val="18"/>
                <w:szCs w:val="18"/>
                <w:b w:val="1"/>
                <w:bCs w:val="1"/>
                <w:color w:val="auto"/>
              </w:rPr>
              <w:t>No.</w:t>
            </w:r>
          </w:p>
        </w:tc>
        <w:tc>
          <w:tcPr>
            <w:tcW w:w="9000" w:type="dxa"/>
            <w:vAlign w:val="bottom"/>
            <w:gridSpan w:val="2"/>
          </w:tcPr>
          <w:p>
            <w:pPr>
              <w:spacing w:after="0"/>
              <w:rPr>
                <w:sz w:val="20"/>
                <w:szCs w:val="20"/>
                <w:color w:val="auto"/>
              </w:rPr>
            </w:pPr>
            <w:r>
              <w:rPr>
                <w:rFonts w:ascii="Arial" w:cs="Arial" w:eastAsia="Arial" w:hAnsi="Arial"/>
                <w:sz w:val="18"/>
                <w:szCs w:val="18"/>
                <w:b w:val="1"/>
                <w:bCs w:val="1"/>
                <w:color w:val="auto"/>
              </w:rPr>
              <w:t>Description</w:t>
            </w:r>
          </w:p>
        </w:tc>
      </w:tr>
      <w:tr>
        <w:trPr>
          <w:trHeight w:val="169"/>
        </w:trPr>
        <w:tc>
          <w:tcPr>
            <w:tcW w:w="1540" w:type="dxa"/>
            <w:vAlign w:val="bottom"/>
            <w:tcBorders>
              <w:top w:val="single" w:sz="8" w:color="auto"/>
            </w:tcBorders>
            <w:gridSpan w:val="3"/>
          </w:tcPr>
          <w:p>
            <w:pPr>
              <w:ind w:left="660"/>
              <w:spacing w:after="0" w:line="169" w:lineRule="exact"/>
              <w:rPr>
                <w:sz w:val="20"/>
                <w:szCs w:val="20"/>
                <w:color w:val="auto"/>
              </w:rPr>
            </w:pPr>
            <w:r>
              <w:rPr>
                <w:rFonts w:ascii="Arial" w:cs="Arial" w:eastAsia="Arial" w:hAnsi="Arial"/>
                <w:sz w:val="18"/>
                <w:szCs w:val="18"/>
                <w:color w:val="0000EE"/>
              </w:rPr>
              <w:t>99.</w:t>
            </w:r>
            <w:r>
              <w:rPr>
                <w:rFonts w:ascii="Arial" w:cs="Arial" w:eastAsia="Arial" w:hAnsi="Arial"/>
                <w:sz w:val="18"/>
                <w:szCs w:val="18"/>
                <w:u w:val="single" w:color="auto"/>
                <w:color w:val="0000EE"/>
              </w:rPr>
              <w:t>1</w:t>
            </w:r>
          </w:p>
        </w:tc>
        <w:tc>
          <w:tcPr>
            <w:tcW w:w="700" w:type="dxa"/>
            <w:vAlign w:val="bottom"/>
          </w:tcPr>
          <w:p>
            <w:pPr>
              <w:spacing w:after="0"/>
              <w:rPr>
                <w:sz w:val="14"/>
                <w:szCs w:val="14"/>
                <w:color w:val="auto"/>
              </w:rPr>
            </w:pPr>
          </w:p>
        </w:tc>
        <w:tc>
          <w:tcPr>
            <w:tcW w:w="5600" w:type="dxa"/>
            <w:vAlign w:val="bottom"/>
            <w:tcBorders>
              <w:top w:val="single" w:sz="8" w:color="auto"/>
              <w:bottom w:val="single" w:sz="8" w:color="0000EE"/>
            </w:tcBorders>
          </w:tcPr>
          <w:p>
            <w:pPr>
              <w:spacing w:after="0" w:line="169" w:lineRule="exact"/>
              <w:rPr>
                <w:sz w:val="20"/>
                <w:szCs w:val="20"/>
                <w:color w:val="auto"/>
              </w:rPr>
            </w:pPr>
            <w:r>
              <w:rPr>
                <w:rFonts w:ascii="Arial" w:cs="Arial" w:eastAsia="Arial" w:hAnsi="Arial"/>
                <w:sz w:val="18"/>
                <w:szCs w:val="18"/>
                <w:color w:val="0000EE"/>
                <w:w w:val="89"/>
              </w:rPr>
              <w:t>Press release issued by Blueprint Medicines Corporation on October 26, 2023</w:t>
            </w:r>
          </w:p>
        </w:tc>
        <w:tc>
          <w:tcPr>
            <w:tcW w:w="3400" w:type="dxa"/>
            <w:vAlign w:val="bottom"/>
            <w:tcBorders>
              <w:top w:val="single" w:sz="8" w:color="auto"/>
            </w:tcBorders>
          </w:tcPr>
          <w:p>
            <w:pPr>
              <w:spacing w:after="0"/>
              <w:rPr>
                <w:sz w:val="14"/>
                <w:szCs w:val="14"/>
                <w:color w:val="auto"/>
              </w:rPr>
            </w:pPr>
          </w:p>
        </w:tc>
      </w:tr>
      <w:tr>
        <w:trPr>
          <w:trHeight w:val="237"/>
        </w:trPr>
        <w:tc>
          <w:tcPr>
            <w:tcW w:w="980" w:type="dxa"/>
            <w:vAlign w:val="bottom"/>
            <w:gridSpan w:val="2"/>
          </w:tcPr>
          <w:p>
            <w:pPr>
              <w:ind w:left="660"/>
              <w:spacing w:after="0"/>
              <w:rPr>
                <w:sz w:val="20"/>
                <w:szCs w:val="20"/>
                <w:color w:val="auto"/>
              </w:rPr>
            </w:pPr>
            <w:r>
              <w:rPr>
                <w:rFonts w:ascii="Arial" w:cs="Arial" w:eastAsia="Arial" w:hAnsi="Arial"/>
                <w:sz w:val="18"/>
                <w:szCs w:val="18"/>
                <w:color w:val="auto"/>
                <w:w w:val="99"/>
              </w:rPr>
              <w:t>104</w:t>
            </w: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9000" w:type="dxa"/>
            <w:vAlign w:val="bottom"/>
            <w:gridSpan w:val="2"/>
          </w:tcPr>
          <w:p>
            <w:pPr>
              <w:spacing w:after="0"/>
              <w:rPr>
                <w:sz w:val="20"/>
                <w:szCs w:val="20"/>
                <w:color w:val="auto"/>
              </w:rPr>
            </w:pPr>
            <w:r>
              <w:rPr>
                <w:rFonts w:ascii="Arial" w:cs="Arial" w:eastAsia="Arial" w:hAnsi="Arial"/>
                <w:sz w:val="18"/>
                <w:szCs w:val="18"/>
                <w:color w:val="auto"/>
              </w:rPr>
              <w:t>Cover Page Interactive Data File (embedded within the Inline XBRL document and incorporated as Exhibit 101)</w:t>
            </w:r>
          </w:p>
        </w:tc>
      </w:tr>
      <w:tr>
        <w:trPr>
          <w:trHeight w:val="675"/>
        </w:trPr>
        <w:tc>
          <w:tcPr>
            <w:tcW w:w="66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5600" w:type="dxa"/>
            <w:vAlign w:val="bottom"/>
            <w:tcBorders>
              <w:bottom w:val="single" w:sz="8" w:color="auto"/>
            </w:tcBorders>
          </w:tcPr>
          <w:p>
            <w:pPr>
              <w:spacing w:after="0"/>
              <w:rPr>
                <w:sz w:val="24"/>
                <w:szCs w:val="24"/>
                <w:color w:val="auto"/>
              </w:rPr>
            </w:pPr>
          </w:p>
        </w:tc>
        <w:tc>
          <w:tcPr>
            <w:tcW w:w="34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3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7580" w:type="dxa"/>
            <w:vAlign w:val="bottom"/>
            <w:gridSpan w:val="2"/>
          </w:tcPr>
          <w:p>
            <w:pPr>
              <w:ind w:left="1980"/>
              <w:spacing w:after="0"/>
              <w:rPr>
                <w:sz w:val="20"/>
                <w:szCs w:val="20"/>
                <w:color w:val="auto"/>
              </w:rPr>
            </w:pPr>
            <w:r>
              <w:rPr>
                <w:rFonts w:ascii="Arial" w:cs="Arial" w:eastAsia="Arial" w:hAnsi="Arial"/>
                <w:sz w:val="18"/>
                <w:szCs w:val="18"/>
                <w:b w:val="1"/>
                <w:bCs w:val="1"/>
                <w:color w:val="auto"/>
              </w:rPr>
              <w:t>BLUEPRINT MEDICINES CORPORATION</w:t>
            </w:r>
          </w:p>
        </w:tc>
      </w:tr>
      <w:tr>
        <w:trPr>
          <w:trHeight w:val="432"/>
        </w:trPr>
        <w:tc>
          <w:tcPr>
            <w:tcW w:w="3660" w:type="dxa"/>
            <w:vAlign w:val="bottom"/>
          </w:tcPr>
          <w:p>
            <w:pPr>
              <w:spacing w:after="0"/>
              <w:rPr>
                <w:sz w:val="20"/>
                <w:szCs w:val="20"/>
                <w:color w:val="auto"/>
              </w:rPr>
            </w:pPr>
            <w:r>
              <w:rPr>
                <w:rFonts w:ascii="Arial" w:cs="Arial" w:eastAsia="Arial" w:hAnsi="Arial"/>
                <w:sz w:val="18"/>
                <w:szCs w:val="18"/>
                <w:color w:val="auto"/>
              </w:rPr>
              <w:t>Date: October 26, 2023</w:t>
            </w:r>
          </w:p>
        </w:tc>
        <w:tc>
          <w:tcPr>
            <w:tcW w:w="7580" w:type="dxa"/>
            <w:vAlign w:val="bottom"/>
            <w:gridSpan w:val="2"/>
          </w:tcPr>
          <w:p>
            <w:pPr>
              <w:ind w:left="1980"/>
              <w:spacing w:after="0"/>
              <w:rPr>
                <w:sz w:val="20"/>
                <w:szCs w:val="20"/>
                <w:color w:val="auto"/>
              </w:rPr>
            </w:pPr>
            <w:r>
              <w:rPr>
                <w:rFonts w:ascii="Arial" w:cs="Arial" w:eastAsia="Arial" w:hAnsi="Arial"/>
                <w:sz w:val="18"/>
                <w:szCs w:val="18"/>
                <w:color w:val="auto"/>
              </w:rPr>
              <w:t>By: /s/ Kathryn Haviland</w:t>
            </w:r>
          </w:p>
        </w:tc>
      </w:tr>
      <w:tr>
        <w:trPr>
          <w:trHeight w:val="195"/>
        </w:trPr>
        <w:tc>
          <w:tcPr>
            <w:tcW w:w="366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528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Kathryn Haviland</w:t>
            </w:r>
          </w:p>
        </w:tc>
      </w:tr>
      <w:tr>
        <w:trPr>
          <w:trHeight w:val="230"/>
        </w:trPr>
        <w:tc>
          <w:tcPr>
            <w:tcW w:w="366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528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675"/>
        </w:trPr>
        <w:tc>
          <w:tcPr>
            <w:tcW w:w="366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528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99.1</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Blueprint Medicines Reports Third Quarter 2023 Results</w:t>
      </w:r>
    </w:p>
    <w:p>
      <w:pPr>
        <w:spacing w:after="0" w:line="229" w:lineRule="exact"/>
        <w:rPr>
          <w:sz w:val="20"/>
          <w:szCs w:val="20"/>
          <w:color w:val="auto"/>
        </w:rPr>
      </w:pPr>
    </w:p>
    <w:p>
      <w:pPr>
        <w:ind w:left="180" w:hanging="171"/>
        <w:spacing w:after="0"/>
        <w:tabs>
          <w:tab w:leader="none" w:pos="180" w:val="left"/>
        </w:tabs>
        <w:numPr>
          <w:ilvl w:val="0"/>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Achieved $54.2 million in AYVAKIT®/AYVAKYT® (avapritinib) net product revenues, representing 90% growth year-over-year, and $56.6 million in total</w:t>
      </w:r>
    </w:p>
    <w:p>
      <w:pPr>
        <w:spacing w:after="0" w:line="46" w:lineRule="exact"/>
        <w:rPr>
          <w:rFonts w:ascii="Arial" w:cs="Arial" w:eastAsia="Arial" w:hAnsi="Arial"/>
          <w:sz w:val="16"/>
          <w:szCs w:val="16"/>
          <w:i w:val="1"/>
          <w:iCs w:val="1"/>
          <w:color w:val="auto"/>
        </w:rPr>
      </w:pPr>
    </w:p>
    <w:p>
      <w:pPr>
        <w:ind w:left="42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revenues in the third quarter of 2023 –</w:t>
      </w:r>
    </w:p>
    <w:p>
      <w:pPr>
        <w:spacing w:after="0" w:line="210" w:lineRule="exact"/>
        <w:rPr>
          <w:rFonts w:ascii="Arial" w:cs="Arial" w:eastAsia="Arial" w:hAnsi="Arial"/>
          <w:sz w:val="16"/>
          <w:szCs w:val="16"/>
          <w:i w:val="1"/>
          <w:iCs w:val="1"/>
          <w:color w:val="auto"/>
        </w:rPr>
      </w:pPr>
    </w:p>
    <w:p>
      <w:pPr>
        <w:ind w:left="280" w:hanging="169"/>
        <w:spacing w:after="0"/>
        <w:tabs>
          <w:tab w:leader="none" w:pos="280" w:val="left"/>
        </w:tabs>
        <w:numPr>
          <w:ilvl w:val="1"/>
          <w:numId w:val="2"/>
        </w:numPr>
        <w:rPr>
          <w:rFonts w:ascii="Arial" w:cs="Arial" w:eastAsia="Arial" w:hAnsi="Arial"/>
          <w:sz w:val="16"/>
          <w:szCs w:val="16"/>
          <w:i w:val="1"/>
          <w:iCs w:val="1"/>
          <w:color w:val="auto"/>
        </w:rPr>
      </w:pPr>
      <w:r>
        <w:rPr>
          <w:rFonts w:ascii="Arial" w:cs="Arial" w:eastAsia="Arial" w:hAnsi="Arial"/>
          <w:sz w:val="16"/>
          <w:szCs w:val="16"/>
          <w:i w:val="1"/>
          <w:iCs w:val="1"/>
          <w:color w:val="auto"/>
        </w:rPr>
        <w:t>Approximately 800 patients on AYVAKIT in the U.S. at the end of the third quarter, more than 35% growth in treated patients quarter-over-quarter and</w:t>
      </w:r>
    </w:p>
    <w:p>
      <w:pPr>
        <w:spacing w:after="0" w:line="46" w:lineRule="exact"/>
        <w:rPr>
          <w:rFonts w:ascii="Arial" w:cs="Arial" w:eastAsia="Arial" w:hAnsi="Arial"/>
          <w:sz w:val="16"/>
          <w:szCs w:val="16"/>
          <w:i w:val="1"/>
          <w:iCs w:val="1"/>
          <w:color w:val="auto"/>
        </w:rPr>
      </w:pPr>
    </w:p>
    <w:p>
      <w:pPr>
        <w:ind w:left="5040"/>
        <w:spacing w:after="0"/>
        <w:rPr>
          <w:rFonts w:ascii="Arial" w:cs="Arial" w:eastAsia="Arial" w:hAnsi="Arial"/>
          <w:sz w:val="16"/>
          <w:szCs w:val="16"/>
          <w:i w:val="1"/>
          <w:iCs w:val="1"/>
          <w:color w:val="auto"/>
        </w:rPr>
      </w:pPr>
      <w:r>
        <w:rPr>
          <w:rFonts w:ascii="Arial" w:cs="Arial" w:eastAsia="Arial" w:hAnsi="Arial"/>
          <w:sz w:val="18"/>
          <w:szCs w:val="18"/>
          <w:i w:val="1"/>
          <w:iCs w:val="1"/>
          <w:color w:val="auto"/>
        </w:rPr>
        <w:t>driven by ISM --</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 Plan to present data from Part 1 of the HARBOR trial of elenestinib in ISM at ASH 2023 –</w:t>
      </w:r>
    </w:p>
    <w:p>
      <w:pPr>
        <w:spacing w:after="0" w:line="225"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CAMBRIDGE, Mass., Oct 26, 2023 – Blueprint Medicines Corporation (NASDAQ: BPMC) today reported financial results and provided a business update for the third quarter ended September 30, 2023.</w:t>
      </w:r>
    </w:p>
    <w:p>
      <w:pPr>
        <w:spacing w:after="0" w:line="170" w:lineRule="exact"/>
        <w:rPr>
          <w:sz w:val="20"/>
          <w:szCs w:val="20"/>
          <w:color w:val="auto"/>
        </w:rPr>
      </w:pPr>
    </w:p>
    <w:p>
      <w:pPr>
        <w:ind w:right="100"/>
        <w:spacing w:after="0" w:line="275" w:lineRule="auto"/>
        <w:rPr>
          <w:sz w:val="20"/>
          <w:szCs w:val="20"/>
          <w:color w:val="auto"/>
        </w:rPr>
      </w:pPr>
      <w:r>
        <w:rPr>
          <w:rFonts w:ascii="Arial" w:cs="Arial" w:eastAsia="Arial" w:hAnsi="Arial"/>
          <w:sz w:val="17"/>
          <w:szCs w:val="17"/>
          <w:color w:val="auto"/>
        </w:rPr>
        <w:t>“In the first full quarter following AYVAKIT’s launch in indolent systemic mastocytosis, we saw strong and steady growth in both patients treated and revenue, reflecting a highly favorable reception to AYVAKIT’s unique and compelling clinical profile and the effectiveness of our ongoing efforts to bring AYVAKIT to all patients who can benefit from treatment,” said Kate Haviland, Chief Executive Officer at Blueprint Medicines. “Through the end of this year and into 2024, we anticipate continued steady growth in AYVAKIT revenue driven by both existing and new prescribers as we execute a disciplined approach to managing operating expenses and allocating capital to our most important investments.”</w:t>
      </w:r>
    </w:p>
    <w:p>
      <w:pPr>
        <w:spacing w:after="0" w:line="17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Highlights and Recent Progress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Systemic mastocytosis (SM) and other mast cell disorders</w:t>
      </w:r>
    </w:p>
    <w:p>
      <w:pPr>
        <w:spacing w:after="0" w:line="229" w:lineRule="exact"/>
        <w:rPr>
          <w:sz w:val="20"/>
          <w:szCs w:val="20"/>
          <w:color w:val="auto"/>
        </w:rPr>
      </w:pPr>
    </w:p>
    <w:p>
      <w:pPr>
        <w:ind w:left="660" w:right="320" w:hanging="328"/>
        <w:spacing w:after="0" w:line="277"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Third quarter AYVAKIT net revenue grew 90 percent year-over-year to $54.2 million, with $49.1 million coming from the U.S, in the first full quarter of ISM launch.</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2023 Milestones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plans to achieve the following milestones by the end of 2023:</w:t>
      </w:r>
    </w:p>
    <w:p>
      <w:pPr>
        <w:spacing w:after="0" w:line="225" w:lineRule="exact"/>
        <w:rPr>
          <w:sz w:val="20"/>
          <w:szCs w:val="20"/>
          <w:color w:val="auto"/>
        </w:rPr>
      </w:pPr>
    </w:p>
    <w:p>
      <w:pPr>
        <w:ind w:left="660" w:right="1180" w:hanging="328"/>
        <w:spacing w:after="0" w:line="277" w:lineRule="auto"/>
        <w:tabs>
          <w:tab w:leader="none" w:pos="660" w:val="left"/>
        </w:tabs>
        <w:numPr>
          <w:ilvl w:val="0"/>
          <w:numId w:val="4"/>
        </w:numPr>
        <w:rPr>
          <w:rFonts w:ascii="Arial" w:cs="Arial" w:eastAsia="Arial" w:hAnsi="Arial"/>
          <w:sz w:val="18"/>
          <w:szCs w:val="18"/>
          <w:color w:val="auto"/>
        </w:rPr>
      </w:pPr>
      <w:r>
        <w:rPr>
          <w:rFonts w:ascii="Arial" w:cs="Arial" w:eastAsia="Arial" w:hAnsi="Arial"/>
          <w:sz w:val="18"/>
          <w:szCs w:val="18"/>
          <w:color w:val="auto"/>
        </w:rPr>
        <w:t>Present data from Part 1 of the HARBOR trial of elenestinib in indolent SM at the American Society of Hematology conference in December 2023.</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2023 Results</w:t>
      </w:r>
    </w:p>
    <w:p>
      <w:pPr>
        <w:spacing w:after="0" w:line="225" w:lineRule="exact"/>
        <w:rPr>
          <w:sz w:val="20"/>
          <w:szCs w:val="20"/>
          <w:color w:val="auto"/>
        </w:rPr>
      </w:pPr>
    </w:p>
    <w:p>
      <w:pPr>
        <w:ind w:left="340" w:right="240" w:hanging="332"/>
        <w:spacing w:after="0" w:line="289" w:lineRule="auto"/>
        <w:tabs>
          <w:tab w:leader="none" w:pos="340" w:val="left"/>
        </w:tabs>
        <w:numPr>
          <w:ilvl w:val="0"/>
          <w:numId w:val="5"/>
        </w:numPr>
        <w:rPr>
          <w:rFonts w:ascii="Arial" w:cs="Arial" w:eastAsia="Arial" w:hAnsi="Arial"/>
          <w:sz w:val="16"/>
          <w:szCs w:val="16"/>
          <w:color w:val="auto"/>
        </w:rPr>
      </w:pPr>
      <w:r>
        <w:rPr>
          <w:rFonts w:ascii="Arial" w:cs="Arial" w:eastAsia="Arial" w:hAnsi="Arial"/>
          <w:sz w:val="16"/>
          <w:szCs w:val="16"/>
          <w:b w:val="1"/>
          <w:bCs w:val="1"/>
          <w:color w:val="auto"/>
        </w:rPr>
        <w:t>Revenues</w:t>
      </w:r>
      <w:r>
        <w:rPr>
          <w:rFonts w:ascii="Arial" w:cs="Arial" w:eastAsia="Arial" w:hAnsi="Arial"/>
          <w:sz w:val="16"/>
          <w:szCs w:val="16"/>
          <w:color w:val="auto"/>
        </w:rPr>
        <w:t>: Revenues were $56.6 million for the third quarter of 2023, including $54.2 million of net product revenues from sales of</w:t>
      </w:r>
      <w:r>
        <w:rPr>
          <w:rFonts w:ascii="Arial" w:cs="Arial" w:eastAsia="Arial" w:hAnsi="Arial"/>
          <w:sz w:val="16"/>
          <w:szCs w:val="16"/>
          <w:b w:val="1"/>
          <w:bCs w:val="1"/>
          <w:color w:val="auto"/>
        </w:rPr>
        <w:t xml:space="preserve"> </w:t>
      </w:r>
      <w:r>
        <w:rPr>
          <w:rFonts w:ascii="Arial" w:cs="Arial" w:eastAsia="Arial" w:hAnsi="Arial"/>
          <w:sz w:val="16"/>
          <w:szCs w:val="16"/>
          <w:color w:val="auto"/>
        </w:rPr>
        <w:t>AYVAKIT/AYVAKYT and $2.4 million in collaboration revenues. Blueprint Medicines recorded revenues of $65.9 million in the third quarter of 2022, including $28.6 million of net product revenues from sales of AYVAKIT/AYVAKYT and $37.3 million in collaboration and license revenues.</w:t>
      </w:r>
    </w:p>
    <w:p>
      <w:pPr>
        <w:spacing w:after="0" w:line="1" w:lineRule="exact"/>
        <w:rPr>
          <w:rFonts w:ascii="Arial" w:cs="Arial" w:eastAsia="Arial" w:hAnsi="Arial"/>
          <w:sz w:val="16"/>
          <w:szCs w:val="16"/>
          <w:color w:val="auto"/>
        </w:rPr>
      </w:pPr>
    </w:p>
    <w:p>
      <w:pPr>
        <w:ind w:left="340" w:right="8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Cost of Sales: </w:t>
      </w:r>
      <w:r>
        <w:rPr>
          <w:rFonts w:ascii="Arial" w:cs="Arial" w:eastAsia="Arial" w:hAnsi="Arial"/>
          <w:sz w:val="18"/>
          <w:szCs w:val="18"/>
          <w:color w:val="auto"/>
        </w:rPr>
        <w:t>Cost of sales was $2.8 million for the third quarter of 2023, as compared to $3.0 million for the third quarter of 2022. The decrease was</w:t>
      </w:r>
      <w:r>
        <w:rPr>
          <w:rFonts w:ascii="Arial" w:cs="Arial" w:eastAsia="Arial" w:hAnsi="Arial"/>
          <w:sz w:val="18"/>
          <w:szCs w:val="18"/>
          <w:b w:val="1"/>
          <w:bCs w:val="1"/>
          <w:color w:val="auto"/>
        </w:rPr>
        <w:t xml:space="preserve"> </w:t>
      </w:r>
      <w:r>
        <w:rPr>
          <w:rFonts w:ascii="Arial" w:cs="Arial" w:eastAsia="Arial" w:hAnsi="Arial"/>
          <w:sz w:val="18"/>
          <w:szCs w:val="18"/>
          <w:color w:val="auto"/>
        </w:rPr>
        <w:t>primarily due to a decrease in the cost of collaboration-related sales.</w:t>
      </w:r>
    </w:p>
    <w:p>
      <w:pPr>
        <w:ind w:left="340" w:right="20" w:hanging="332"/>
        <w:spacing w:after="0" w:line="250"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R&amp;D Expenses: </w:t>
      </w:r>
      <w:r>
        <w:rPr>
          <w:rFonts w:ascii="Arial" w:cs="Arial" w:eastAsia="Arial" w:hAnsi="Arial"/>
          <w:sz w:val="18"/>
          <w:szCs w:val="18"/>
          <w:color w:val="auto"/>
        </w:rPr>
        <w:t>Research and development expenses were $110.3 million for the third quarter of 2023, as compared to $128.0 million for the third</w:t>
      </w:r>
      <w:r>
        <w:rPr>
          <w:rFonts w:ascii="Arial" w:cs="Arial" w:eastAsia="Arial" w:hAnsi="Arial"/>
          <w:sz w:val="18"/>
          <w:szCs w:val="18"/>
          <w:b w:val="1"/>
          <w:bCs w:val="1"/>
          <w:color w:val="auto"/>
        </w:rPr>
        <w:t xml:space="preserve"> </w:t>
      </w:r>
      <w:r>
        <w:rPr>
          <w:rFonts w:ascii="Arial" w:cs="Arial" w:eastAsia="Arial" w:hAnsi="Arial"/>
          <w:sz w:val="18"/>
          <w:szCs w:val="18"/>
          <w:color w:val="auto"/>
        </w:rPr>
        <w:t>quarter of 2022. This decrease was primarily due to a focused approach towards optimizing operational efficiency across our portfolio as we execute across our top priority programs and the timing of manufacturing of clinical trial materials. Research and development expenses included $11.2 million in stock-based compensation expenses for the third quarter of 2023.</w:t>
      </w:r>
    </w:p>
    <w:p>
      <w:pPr>
        <w:spacing w:after="0" w:line="1" w:lineRule="exact"/>
        <w:rPr>
          <w:rFonts w:ascii="Arial" w:cs="Arial" w:eastAsia="Arial" w:hAnsi="Arial"/>
          <w:sz w:val="18"/>
          <w:szCs w:val="18"/>
          <w:color w:val="auto"/>
        </w:rPr>
      </w:pPr>
    </w:p>
    <w:p>
      <w:pPr>
        <w:jc w:val="both"/>
        <w:ind w:left="340" w:right="80" w:hanging="332"/>
        <w:spacing w:after="0" w:line="253"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SG&amp;A Expenses: </w:t>
      </w:r>
      <w:r>
        <w:rPr>
          <w:rFonts w:ascii="Arial" w:cs="Arial" w:eastAsia="Arial" w:hAnsi="Arial"/>
          <w:sz w:val="18"/>
          <w:szCs w:val="18"/>
          <w:color w:val="auto"/>
        </w:rPr>
        <w:t>Selling, general and administrative expenses were $70.7 million for the third quarter of 2023, as compared to $57.6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2022. This increase was primarily due to an increase in compensation and personnel related costs driven by our first quarter field force expansion to support the AYVAKIT launch in ISM. Selling, general, and administrative expenses included $11.9 million in stock-based compensation expenses for the third quarter of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ind w:left="340" w:right="60" w:hanging="332"/>
        <w:spacing w:after="0" w:line="261" w:lineRule="auto"/>
        <w:tabs>
          <w:tab w:leader="none" w:pos="34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Net Loss</w:t>
      </w:r>
      <w:r>
        <w:rPr>
          <w:rFonts w:ascii="Arial" w:cs="Arial" w:eastAsia="Arial" w:hAnsi="Arial"/>
          <w:sz w:val="18"/>
          <w:szCs w:val="18"/>
          <w:color w:val="auto"/>
        </w:rPr>
        <w:t>: Net loss was $133.7 million for the third quarter of 2023, or a net loss per share of $2.20, as compared to a net loss of $133.2 million for the</w:t>
      </w:r>
      <w:r>
        <w:rPr>
          <w:rFonts w:ascii="Arial" w:cs="Arial" w:eastAsia="Arial" w:hAnsi="Arial"/>
          <w:sz w:val="18"/>
          <w:szCs w:val="18"/>
          <w:b w:val="1"/>
          <w:bCs w:val="1"/>
          <w:color w:val="auto"/>
        </w:rPr>
        <w:t xml:space="preserve"> </w:t>
      </w:r>
      <w:r>
        <w:rPr>
          <w:rFonts w:ascii="Arial" w:cs="Arial" w:eastAsia="Arial" w:hAnsi="Arial"/>
          <w:sz w:val="18"/>
          <w:szCs w:val="18"/>
          <w:color w:val="auto"/>
        </w:rPr>
        <w:t>third quarter of 2022, or a net loss per share of $2.23.</w:t>
      </w:r>
    </w:p>
    <w:p>
      <w:pPr>
        <w:ind w:left="340" w:right="860" w:hanging="332"/>
        <w:spacing w:after="0" w:line="323" w:lineRule="auto"/>
        <w:tabs>
          <w:tab w:leader="none" w:pos="340" w:val="left"/>
        </w:tabs>
        <w:numPr>
          <w:ilvl w:val="0"/>
          <w:numId w:val="6"/>
        </w:numPr>
        <w:rPr>
          <w:rFonts w:ascii="Arial" w:cs="Arial" w:eastAsia="Arial" w:hAnsi="Arial"/>
          <w:sz w:val="16"/>
          <w:szCs w:val="16"/>
          <w:color w:val="auto"/>
        </w:rPr>
      </w:pPr>
      <w:r>
        <w:rPr>
          <w:rFonts w:ascii="Arial" w:cs="Arial" w:eastAsia="Arial" w:hAnsi="Arial"/>
          <w:sz w:val="16"/>
          <w:szCs w:val="16"/>
          <w:b w:val="1"/>
          <w:bCs w:val="1"/>
          <w:color w:val="auto"/>
        </w:rPr>
        <w:t>Cash Position</w:t>
      </w:r>
      <w:r>
        <w:rPr>
          <w:rFonts w:ascii="Arial" w:cs="Arial" w:eastAsia="Arial" w:hAnsi="Arial"/>
          <w:sz w:val="16"/>
          <w:szCs w:val="16"/>
          <w:color w:val="auto"/>
        </w:rPr>
        <w:t>: As of September 30, 2023, cash, cash equivalents and investments were $827.2 million, as compared to $1,078.5 million as</w:t>
      </w:r>
      <w:r>
        <w:rPr>
          <w:rFonts w:ascii="Arial" w:cs="Arial" w:eastAsia="Arial" w:hAnsi="Arial"/>
          <w:sz w:val="16"/>
          <w:szCs w:val="16"/>
          <w:b w:val="1"/>
          <w:bCs w:val="1"/>
          <w:color w:val="auto"/>
        </w:rPr>
        <w:t xml:space="preserve"> </w:t>
      </w:r>
      <w:r>
        <w:rPr>
          <w:rFonts w:ascii="Arial" w:cs="Arial" w:eastAsia="Arial" w:hAnsi="Arial"/>
          <w:sz w:val="16"/>
          <w:szCs w:val="16"/>
          <w:color w:val="auto"/>
        </w:rPr>
        <w:t>of December 31, 2022. Our cash and investments provide a durable capital position which enables us to reach a self-sustainable profile.</w:t>
      </w:r>
    </w:p>
    <w:p>
      <w:pPr>
        <w:spacing w:after="0" w:line="13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Conference Call Information</w:t>
      </w:r>
    </w:p>
    <w:p>
      <w:pPr>
        <w:spacing w:after="0" w:line="229"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Blueprint Medicines will host a live conference call and webcast at 8:00 a.m. ET today to discuss third quarter 2023 financial results and recent business activities. The conference call may be accessed by dialing 833-470-1428 (domestic) and referring to conference ID 368229. A webcast of the call will also be available under "Events and Presentations" in the Investors &amp; Media section of the Blueprint Medicines website at </w:t>
      </w:r>
      <w:r>
        <w:rPr>
          <w:rFonts w:ascii="Arial" w:cs="Arial" w:eastAsia="Arial" w:hAnsi="Arial"/>
          <w:sz w:val="18"/>
          <w:szCs w:val="18"/>
          <w:u w:val="single" w:color="auto"/>
          <w:color w:val="auto"/>
        </w:rPr>
        <w:t>http://ir.blueprintmedicines.com/.</w:t>
      </w:r>
      <w:r>
        <w:rPr>
          <w:rFonts w:ascii="Arial" w:cs="Arial" w:eastAsia="Arial" w:hAnsi="Arial"/>
          <w:sz w:val="18"/>
          <w:szCs w:val="18"/>
          <w:color w:val="auto"/>
        </w:rPr>
        <w:t xml:space="preserve"> The archived webcast will be available on Blueprint Medicines' website approximately two hours after the conference call and will be available for 30 days following the call.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Upcoming Investor Conferences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will participate in the following upcoming investor conferences:</w:t>
      </w:r>
    </w:p>
    <w:p>
      <w:pPr>
        <w:spacing w:after="0" w:line="221"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Stifel Healthcare Conference </w:t>
      </w:r>
      <w:r>
        <w:rPr>
          <w:rFonts w:ascii="Arial" w:cs="Arial" w:eastAsia="Arial" w:hAnsi="Arial"/>
          <w:sz w:val="18"/>
          <w:szCs w:val="18"/>
          <w:color w:val="auto"/>
        </w:rPr>
        <w:t>on Wednesday, November 15, 2023 at 12:40 pm ET.</w:t>
      </w:r>
    </w:p>
    <w:p>
      <w:pPr>
        <w:spacing w:after="0" w:line="229" w:lineRule="exact"/>
        <w:rPr>
          <w:sz w:val="20"/>
          <w:szCs w:val="20"/>
          <w:color w:val="auto"/>
        </w:rPr>
      </w:pPr>
    </w:p>
    <w:p>
      <w:pPr>
        <w:ind w:right="720"/>
        <w:spacing w:after="0" w:line="342" w:lineRule="auto"/>
        <w:rPr>
          <w:sz w:val="20"/>
          <w:szCs w:val="20"/>
          <w:color w:val="auto"/>
        </w:rPr>
      </w:pPr>
      <w:r>
        <w:rPr>
          <w:rFonts w:ascii="Arial" w:cs="Arial" w:eastAsia="Arial" w:hAnsi="Arial"/>
          <w:sz w:val="16"/>
          <w:szCs w:val="16"/>
          <w:color w:val="auto"/>
        </w:rPr>
        <w:t xml:space="preserve">A live webcast of this presentation will be available by visiting the Investors &amp; Media section of Blueprint Medicines' website at </w:t>
      </w:r>
      <w:r>
        <w:rPr>
          <w:rFonts w:ascii="Arial" w:cs="Arial" w:eastAsia="Arial" w:hAnsi="Arial"/>
          <w:sz w:val="16"/>
          <w:szCs w:val="16"/>
          <w:u w:val="single" w:color="auto"/>
          <w:color w:val="auto"/>
        </w:rPr>
        <w:t>http://ir.blueprintmedicines.com.</w:t>
      </w:r>
      <w:r>
        <w:rPr>
          <w:rFonts w:ascii="Arial" w:cs="Arial" w:eastAsia="Arial" w:hAnsi="Arial"/>
          <w:sz w:val="16"/>
          <w:szCs w:val="16"/>
          <w:color w:val="auto"/>
        </w:rPr>
        <w:t xml:space="preserve"> A replay of the webcast will be archived on Blueprint Medicines' website for 30 days following the presentation.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Blueprint Medicines</w:t>
      </w:r>
    </w:p>
    <w:p>
      <w:pPr>
        <w:spacing w:after="0" w:line="229" w:lineRule="exact"/>
        <w:rPr>
          <w:sz w:val="20"/>
          <w:szCs w:val="20"/>
          <w:color w:val="auto"/>
        </w:rPr>
      </w:pPr>
    </w:p>
    <w:p>
      <w:pPr>
        <w:ind w:right="160"/>
        <w:spacing w:after="0" w:line="287" w:lineRule="auto"/>
        <w:rPr>
          <w:sz w:val="20"/>
          <w:szCs w:val="20"/>
          <w:color w:val="auto"/>
        </w:rPr>
      </w:pPr>
      <w:r>
        <w:rPr>
          <w:rFonts w:ascii="Arial" w:cs="Arial" w:eastAsia="Arial" w:hAnsi="Arial"/>
          <w:sz w:val="16"/>
          <w:szCs w:val="16"/>
          <w:color w:val="auto"/>
        </w:rPr>
        <w:t>Blueprint Medicines is a global precision therapy company that invents life-changing therapies for people with cancer and blood disorders. Applying an approach that is both precise and agile, we create medicines that selectively target genetic drivers, with the goal of staying one step ahead across stages of disease. Since 2011, we have leveraged our research platform, including expertise in molecular targeting and world-class drug design capabilities,</w:t>
      </w:r>
    </w:p>
    <w:p>
      <w:pPr>
        <w:spacing w:after="0" w:line="2"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 xml:space="preserve">to rapidly and reproducibly translate science into a broad pipeline of precision therapies. Today, we have brought our approved medicines to patients in the United States and Europe, and we are globally advancing multiple programs for mast cell disorders, including systemic mastocytosis and chronic urticaria, breast cancer and other cancers vulnerable to CDK2 inhibition, as well as EGFR-mutant lung cancer. For more information, visit </w:t>
      </w:r>
      <w:r>
        <w:rPr>
          <w:rFonts w:ascii="Arial" w:cs="Arial" w:eastAsia="Arial" w:hAnsi="Arial"/>
          <w:sz w:val="18"/>
          <w:szCs w:val="18"/>
          <w:u w:val="single" w:color="auto"/>
          <w:color w:val="auto"/>
        </w:rPr>
        <w:t>www.BlueprintMedicines.com</w:t>
      </w:r>
      <w:r>
        <w:rPr>
          <w:rFonts w:ascii="Arial" w:cs="Arial" w:eastAsia="Arial" w:hAnsi="Arial"/>
          <w:sz w:val="18"/>
          <w:szCs w:val="18"/>
          <w:color w:val="auto"/>
        </w:rPr>
        <w:t xml:space="preserve"> and follow us on </w:t>
      </w:r>
      <w:r>
        <w:rPr>
          <w:rFonts w:ascii="Arial" w:cs="Arial" w:eastAsia="Arial" w:hAnsi="Arial"/>
          <w:sz w:val="18"/>
          <w:szCs w:val="18"/>
          <w:u w:val="single" w:color="auto"/>
          <w:color w:val="auto"/>
        </w:rPr>
        <w:t>Twitter</w:t>
      </w:r>
      <w:r>
        <w:rPr>
          <w:rFonts w:ascii="Arial" w:cs="Arial" w:eastAsia="Arial" w:hAnsi="Arial"/>
          <w:sz w:val="18"/>
          <w:szCs w:val="18"/>
          <w:color w:val="auto"/>
        </w:rPr>
        <w:t xml:space="preserve"> (@BlueprintMeds) and </w:t>
      </w:r>
      <w:r>
        <w:rPr>
          <w:rFonts w:ascii="Arial" w:cs="Arial" w:eastAsia="Arial" w:hAnsi="Arial"/>
          <w:sz w:val="18"/>
          <w:szCs w:val="18"/>
          <w:u w:val="single" w:color="auto"/>
          <w:color w:val="auto"/>
        </w:rPr>
        <w:t>LinkedIn</w:t>
      </w: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422910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229"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This press release contains forward-looking statements within the meaning of the Private Securities Litigation Reform Act of 1995, as amended, including, without limitation, statements regarding plans, strategies, timelines and expectations for Blueprint Medicines’ current or future approved drugs and drug candidates; the potential benefits of any of Blueprint Medicines’ current or future approved drugs or drug candidates in treating patients; and Blueprint Medicines' financial performance, strategy, goals and anticipated milestones, business plans and focus. The words "aim," "may," "will," "could," "would," "should," "expect," "plan," "anticipate," "intend," "believe," "estimate," "predict," "project," "potential," "continue," "target" and similar expressions are intended to identify forward-looking statements, although not all forward-looking statements contain these identifying words. Any forward-looking statements in this press release are based on management's current expectations and beliefs and are subject to a number of risks, uncertainties and important factors that may cause actual events or results to differ materially from those expressed or implied by any forward-looking statements contained in this press release, including, without limitation: preliminary activity and safety data may not be representative of more mature data; the risk of delay of any current or planned clinical trials or the development of Blueprint Medicines' current or future drug candidates; risks related to Blueprint Medicines' ability to successfully demonstrate the safety and efficacy of its drug candidates and gain approval of its drug candidates on a timely basis, if at all; preclinical and clinical results for Blueprint Medicines' drug candidates may not support further development of such drug candidates either as monotherapies or in combination with other agents or may impact the anticipated timing of data or regulatory submissions; the timing of the initiation of clinical trials and trial cohorts at clinical trial sites and patient enrollment rates may be delayed or slower than anticipated; actions of regulatory agencies may affect the initiation, timing and progress of clinical trials; the success of Blueprint Medicines' current and future collaborations, financing arrangements, partnerships or licensing arrangements may impact Blueprint Medicines’ ability to capitalize on the market potential of its approved drugs and drug candidates; and risks related to Blueprint Medicines' ability to obtain, maintain and enforce patent and other intellectual property protection for its products and current or future drug candidates it is developing. Any forward-looking statements contained in this press release represent Blueprint Medicines' views only as of the date hereof and should not be relied upon as representing its views as of any subsequent date. Except as required by law, Blueprint Medicines explicitly disclaims any obligation to update any forward-looking statements.</w:t>
      </w:r>
    </w:p>
    <w:p>
      <w:pPr>
        <w:spacing w:after="0" w:line="3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Trademarks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13716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Arial" w:cs="Arial" w:eastAsia="Arial" w:hAnsi="Arial"/>
          <w:sz w:val="18"/>
          <w:szCs w:val="18"/>
          <w:color w:val="auto"/>
        </w:rPr>
        <w:t>Blueprint Medicines, AYVAKIT, AYVAKYT and associated logos are trademarks of Blueprint Medicines Corporation.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443230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Selected Condensed Consolidated Balance Sheet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8440" w:type="dxa"/>
            <w:vAlign w:val="bottom"/>
          </w:tcPr>
          <w:p>
            <w:pPr>
              <w:spacing w:after="0"/>
              <w:rPr>
                <w:sz w:val="19"/>
                <w:szCs w:val="19"/>
                <w:color w:val="auto"/>
              </w:rPr>
            </w:pPr>
          </w:p>
        </w:tc>
        <w:tc>
          <w:tcPr>
            <w:tcW w:w="1460" w:type="dxa"/>
            <w:vAlign w:val="bottom"/>
            <w:gridSpan w:val="3"/>
          </w:tcPr>
          <w:p>
            <w:pPr>
              <w:jc w:val="center"/>
              <w:ind w:right="200"/>
              <w:spacing w:after="0"/>
              <w:rPr>
                <w:sz w:val="20"/>
                <w:szCs w:val="20"/>
                <w:color w:val="auto"/>
              </w:rPr>
            </w:pPr>
            <w:r>
              <w:rPr>
                <w:rFonts w:ascii="Arial" w:cs="Arial" w:eastAsia="Arial" w:hAnsi="Arial"/>
                <w:sz w:val="18"/>
                <w:szCs w:val="18"/>
                <w:b w:val="1"/>
                <w:bCs w:val="1"/>
                <w:color w:val="auto"/>
                <w:w w:val="89"/>
              </w:rPr>
              <w:t>September 30,</w:t>
            </w:r>
          </w:p>
        </w:tc>
        <w:tc>
          <w:tcPr>
            <w:tcW w:w="100" w:type="dxa"/>
            <w:vAlign w:val="bottom"/>
          </w:tcPr>
          <w:p>
            <w:pPr>
              <w:spacing w:after="0"/>
              <w:rPr>
                <w:sz w:val="19"/>
                <w:szCs w:val="19"/>
                <w:color w:val="auto"/>
              </w:rPr>
            </w:pPr>
          </w:p>
        </w:tc>
        <w:tc>
          <w:tcPr>
            <w:tcW w:w="1240" w:type="dxa"/>
            <w:vAlign w:val="bottom"/>
            <w:gridSpan w:val="2"/>
          </w:tcPr>
          <w:p>
            <w:pPr>
              <w:spacing w:after="0"/>
              <w:rPr>
                <w:sz w:val="20"/>
                <w:szCs w:val="20"/>
                <w:color w:val="auto"/>
              </w:rPr>
            </w:pPr>
            <w:r>
              <w:rPr>
                <w:rFonts w:ascii="Arial" w:cs="Arial" w:eastAsia="Arial" w:hAnsi="Arial"/>
                <w:sz w:val="18"/>
                <w:szCs w:val="18"/>
                <w:b w:val="1"/>
                <w:bCs w:val="1"/>
                <w:color w:val="auto"/>
              </w:rPr>
              <w:t>December 31,</w:t>
            </w:r>
          </w:p>
        </w:tc>
      </w:tr>
      <w:tr>
        <w:trPr>
          <w:trHeight w:val="234"/>
        </w:trPr>
        <w:tc>
          <w:tcPr>
            <w:tcW w:w="844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22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100" w:type="dxa"/>
            <w:vAlign w:val="bottom"/>
            <w:tcBorders>
              <w:bottom w:val="single" w:sz="8" w:color="CCEEFF"/>
            </w:tcBorders>
          </w:tcPr>
          <w:p>
            <w:pPr>
              <w:spacing w:after="0"/>
              <w:rPr>
                <w:sz w:val="20"/>
                <w:szCs w:val="20"/>
                <w:color w:val="auto"/>
              </w:rPr>
            </w:pPr>
          </w:p>
        </w:tc>
      </w:tr>
      <w:tr>
        <w:trPr>
          <w:trHeight w:val="210"/>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Cash, cash equivalents and marketable securities</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827,226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1,078,472</w:t>
            </w:r>
          </w:p>
        </w:tc>
        <w:tc>
          <w:tcPr>
            <w:tcW w:w="100" w:type="dxa"/>
            <w:vAlign w:val="bottom"/>
            <w:shd w:val="clear" w:color="auto" w:fill="CCEEFF"/>
          </w:tcPr>
          <w:p>
            <w:pPr>
              <w:spacing w:after="0"/>
              <w:rPr>
                <w:sz w:val="18"/>
                <w:szCs w:val="18"/>
                <w:color w:val="auto"/>
              </w:rPr>
            </w:pP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Working capital (1)</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610,788</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863,417</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assets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1,105,299</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1,349,902</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Liability related to the sale of future royalties and revenues (2)</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440,147</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430,330</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Term loan (2)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238,378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139,083</w:t>
            </w:r>
          </w:p>
        </w:tc>
      </w:tr>
      <w:tr>
        <w:trPr>
          <w:trHeight w:val="216"/>
        </w:trPr>
        <w:tc>
          <w:tcPr>
            <w:tcW w:w="8440" w:type="dxa"/>
            <w:vAlign w:val="bottom"/>
          </w:tcPr>
          <w:p>
            <w:pPr>
              <w:spacing w:after="0"/>
              <w:rPr>
                <w:sz w:val="20"/>
                <w:szCs w:val="20"/>
                <w:color w:val="auto"/>
              </w:rPr>
            </w:pPr>
            <w:r>
              <w:rPr>
                <w:rFonts w:ascii="Arial" w:cs="Arial" w:eastAsia="Arial" w:hAnsi="Arial"/>
                <w:sz w:val="18"/>
                <w:szCs w:val="18"/>
                <w:color w:val="auto"/>
              </w:rPr>
              <w:t>Deferred revenue (2)</w:t>
            </w:r>
          </w:p>
        </w:tc>
        <w:tc>
          <w:tcPr>
            <w:tcW w:w="280" w:type="dxa"/>
            <w:vAlign w:val="bottom"/>
          </w:tcPr>
          <w:p>
            <w:pPr>
              <w:spacing w:after="0"/>
              <w:rPr>
                <w:sz w:val="18"/>
                <w:szCs w:val="18"/>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8,010</w:t>
            </w:r>
          </w:p>
        </w:tc>
        <w:tc>
          <w:tcPr>
            <w:tcW w:w="1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18,291</w:t>
            </w:r>
          </w:p>
        </w:tc>
      </w:tr>
      <w:tr>
        <w:trPr>
          <w:trHeight w:val="216"/>
        </w:trPr>
        <w:tc>
          <w:tcPr>
            <w:tcW w:w="8440" w:type="dxa"/>
            <w:vAlign w:val="bottom"/>
            <w:shd w:val="clear" w:color="auto" w:fill="CCEEFF"/>
          </w:tcPr>
          <w:p>
            <w:pPr>
              <w:spacing w:after="0"/>
              <w:rPr>
                <w:sz w:val="20"/>
                <w:szCs w:val="20"/>
                <w:color w:val="auto"/>
              </w:rPr>
            </w:pPr>
            <w:r>
              <w:rPr>
                <w:rFonts w:ascii="Arial" w:cs="Arial" w:eastAsia="Arial" w:hAnsi="Arial"/>
                <w:sz w:val="18"/>
                <w:szCs w:val="18"/>
                <w:color w:val="auto"/>
              </w:rPr>
              <w:t>Total liabilities</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902,688</w:t>
            </w:r>
          </w:p>
        </w:tc>
        <w:tc>
          <w:tcPr>
            <w:tcW w:w="10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835,225</w:t>
            </w:r>
          </w:p>
        </w:tc>
      </w:tr>
      <w:tr>
        <w:trPr>
          <w:trHeight w:val="230"/>
        </w:trPr>
        <w:tc>
          <w:tcPr>
            <w:tcW w:w="8440" w:type="dxa"/>
            <w:vAlign w:val="bottom"/>
          </w:tcPr>
          <w:p>
            <w:pPr>
              <w:spacing w:after="0"/>
              <w:rPr>
                <w:sz w:val="20"/>
                <w:szCs w:val="20"/>
                <w:color w:val="auto"/>
              </w:rPr>
            </w:pPr>
            <w:r>
              <w:rPr>
                <w:rFonts w:ascii="Arial" w:cs="Arial" w:eastAsia="Arial" w:hAnsi="Arial"/>
                <w:sz w:val="18"/>
                <w:szCs w:val="18"/>
                <w:color w:val="auto"/>
              </w:rPr>
              <w:t>Total stockholders’ equity</w:t>
            </w:r>
          </w:p>
        </w:tc>
        <w:tc>
          <w:tcPr>
            <w:tcW w:w="2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202,611</w:t>
            </w:r>
          </w:p>
        </w:tc>
        <w:tc>
          <w:tcPr>
            <w:tcW w:w="100" w:type="dxa"/>
            <w:vAlign w:val="bottom"/>
          </w:tcPr>
          <w:p>
            <w:pPr>
              <w:spacing w:after="0"/>
              <w:rPr>
                <w:sz w:val="20"/>
                <w:szCs w:val="20"/>
                <w:color w:val="auto"/>
              </w:rPr>
            </w:pPr>
          </w:p>
        </w:tc>
        <w:tc>
          <w:tcPr>
            <w:tcW w:w="1240" w:type="dxa"/>
            <w:vAlign w:val="bottom"/>
            <w:gridSpan w:val="2"/>
          </w:tcPr>
          <w:p>
            <w:pPr>
              <w:jc w:val="right"/>
              <w:ind w:right="100"/>
              <w:spacing w:after="0"/>
              <w:rPr>
                <w:sz w:val="20"/>
                <w:szCs w:val="20"/>
                <w:color w:val="auto"/>
              </w:rPr>
            </w:pPr>
            <w:r>
              <w:rPr>
                <w:rFonts w:ascii="Arial" w:cs="Arial" w:eastAsia="Arial" w:hAnsi="Arial"/>
                <w:sz w:val="18"/>
                <w:szCs w:val="18"/>
                <w:color w:val="auto"/>
              </w:rPr>
              <w:t>514,677</w:t>
            </w:r>
          </w:p>
        </w:tc>
      </w:tr>
    </w:tbl>
    <w:p>
      <w:pPr>
        <w:spacing w:after="0" w:line="187" w:lineRule="exact"/>
        <w:rPr>
          <w:sz w:val="20"/>
          <w:szCs w:val="20"/>
          <w:color w:val="auto"/>
        </w:rPr>
      </w:pPr>
    </w:p>
    <w:p>
      <w:pPr>
        <w:ind w:left="340"/>
        <w:spacing w:after="0"/>
        <w:rPr>
          <w:sz w:val="20"/>
          <w:szCs w:val="20"/>
          <w:color w:val="auto"/>
        </w:rPr>
      </w:pPr>
      <w:r>
        <w:rPr>
          <w:rFonts w:ascii="Arial" w:cs="Arial" w:eastAsia="Arial" w:hAnsi="Arial"/>
          <w:sz w:val="18"/>
          <w:szCs w:val="18"/>
          <w:color w:val="auto"/>
        </w:rPr>
        <w:t>(1) Blueprint Medicines defines working capital as current assets less current liabilities.</w:t>
      </w:r>
    </w:p>
    <w:p>
      <w:pPr>
        <w:spacing w:after="0" w:line="2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(2) Amounts include both current and non-current portions of the balances.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Blueprint Medicines Corporation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(Unaudited)</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660" w:type="dxa"/>
            <w:vAlign w:val="bottom"/>
            <w:gridSpan w:val="6"/>
          </w:tcPr>
          <w:p>
            <w:pPr>
              <w:jc w:val="right"/>
              <w:ind w:right="681"/>
              <w:spacing w:after="0"/>
              <w:rPr>
                <w:sz w:val="20"/>
                <w:szCs w:val="20"/>
                <w:color w:val="auto"/>
              </w:rPr>
            </w:pPr>
            <w:r>
              <w:rPr>
                <w:rFonts w:ascii="Arial" w:cs="Arial" w:eastAsia="Arial" w:hAnsi="Arial"/>
                <w:sz w:val="18"/>
                <w:szCs w:val="18"/>
                <w:b w:val="1"/>
                <w:bCs w:val="1"/>
                <w:color w:val="auto"/>
              </w:rPr>
              <w:t>Three Months Ended</w:t>
            </w:r>
          </w:p>
        </w:tc>
        <w:tc>
          <w:tcPr>
            <w:tcW w:w="260" w:type="dxa"/>
            <w:vAlign w:val="bottom"/>
          </w:tcPr>
          <w:p>
            <w:pPr>
              <w:spacing w:after="0"/>
              <w:rPr>
                <w:sz w:val="19"/>
                <w:szCs w:val="19"/>
                <w:color w:val="auto"/>
              </w:rPr>
            </w:pPr>
          </w:p>
        </w:tc>
        <w:tc>
          <w:tcPr>
            <w:tcW w:w="2520" w:type="dxa"/>
            <w:vAlign w:val="bottom"/>
            <w:gridSpan w:val="7"/>
          </w:tcPr>
          <w:p>
            <w:pPr>
              <w:jc w:val="right"/>
              <w:ind w:right="68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4"/>
        </w:trPr>
        <w:tc>
          <w:tcPr>
            <w:tcW w:w="5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640" w:type="dxa"/>
            <w:vAlign w:val="bottom"/>
            <w:gridSpan w:val="4"/>
          </w:tcPr>
          <w:p>
            <w:pPr>
              <w:jc w:val="right"/>
              <w:spacing w:after="0"/>
              <w:rPr>
                <w:sz w:val="20"/>
                <w:szCs w:val="20"/>
                <w:color w:val="auto"/>
              </w:rPr>
            </w:pPr>
            <w:r>
              <w:rPr>
                <w:rFonts w:ascii="Arial" w:cs="Arial" w:eastAsia="Arial" w:hAnsi="Arial"/>
                <w:sz w:val="18"/>
                <w:szCs w:val="18"/>
                <w:b w:val="1"/>
                <w:bCs w:val="1"/>
                <w:color w:val="auto"/>
              </w:rPr>
              <w:t>September 30,</w:t>
            </w:r>
          </w:p>
        </w:tc>
        <w:tc>
          <w:tcPr>
            <w:tcW w:w="8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520" w:type="dxa"/>
            <w:vAlign w:val="bottom"/>
            <w:gridSpan w:val="7"/>
          </w:tcPr>
          <w:p>
            <w:pPr>
              <w:jc w:val="right"/>
              <w:ind w:right="90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538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100" w:type="dxa"/>
            <w:vAlign w:val="bottom"/>
            <w:tcBorders>
              <w:top w:val="single" w:sz="8" w:color="auto"/>
              <w:bottom w:val="single" w:sz="8" w:color="CCEEFF"/>
            </w:tcBorders>
          </w:tcPr>
          <w:p>
            <w:pPr>
              <w:spacing w:after="0"/>
              <w:rPr>
                <w:sz w:val="19"/>
                <w:szCs w:val="19"/>
                <w:color w:val="auto"/>
              </w:rPr>
            </w:pPr>
          </w:p>
        </w:tc>
        <w:tc>
          <w:tcPr>
            <w:tcW w:w="4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w w:val="84"/>
              </w:rPr>
              <w:t>2022</w:t>
            </w:r>
          </w:p>
        </w:tc>
        <w:tc>
          <w:tcPr>
            <w:tcW w:w="220" w:type="dxa"/>
            <w:vAlign w:val="bottom"/>
            <w:tcBorders>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2023</w:t>
            </w:r>
          </w:p>
        </w:tc>
        <w:tc>
          <w:tcPr>
            <w:tcW w:w="140" w:type="dxa"/>
            <w:vAlign w:val="bottom"/>
            <w:tcBorders>
              <w:top w:val="single" w:sz="8" w:color="auto"/>
              <w:bottom w:val="single" w:sz="8" w:color="CCEEFF"/>
            </w:tcBorders>
          </w:tcPr>
          <w:p>
            <w:pPr>
              <w:spacing w:after="0"/>
              <w:rPr>
                <w:sz w:val="19"/>
                <w:szCs w:val="19"/>
                <w:color w:val="auto"/>
              </w:rPr>
            </w:pPr>
          </w:p>
        </w:tc>
        <w:tc>
          <w:tcPr>
            <w:tcW w:w="80" w:type="dxa"/>
            <w:vAlign w:val="bottom"/>
            <w:tcBorders>
              <w:top w:val="single" w:sz="8" w:color="auto"/>
              <w:bottom w:val="single" w:sz="8" w:color="CCEEFF"/>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Product revenue, net</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54,228</w:t>
            </w:r>
          </w:p>
        </w:tc>
        <w:tc>
          <w:tcPr>
            <w:tcW w:w="520" w:type="dxa"/>
            <w:vAlign w:val="bottom"/>
            <w:gridSpan w:val="2"/>
          </w:tcPr>
          <w:p>
            <w:pPr>
              <w:jc w:val="right"/>
              <w:ind w:right="267"/>
              <w:spacing w:after="0"/>
              <w:rPr>
                <w:sz w:val="20"/>
                <w:szCs w:val="20"/>
                <w:color w:val="auto"/>
              </w:rPr>
            </w:pPr>
            <w:r>
              <w:rPr>
                <w:rFonts w:ascii="Arial" w:cs="Arial" w:eastAsia="Arial" w:hAnsi="Arial"/>
                <w:sz w:val="18"/>
                <w:szCs w:val="18"/>
                <w:color w:val="auto"/>
              </w:rPr>
              <w:t>$</w:t>
            </w: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28,634</w:t>
            </w:r>
          </w:p>
        </w:tc>
        <w:tc>
          <w:tcPr>
            <w:tcW w:w="260" w:type="dxa"/>
            <w:vAlign w:val="bottom"/>
          </w:tcPr>
          <w:p>
            <w:pPr>
              <w:jc w:val="right"/>
              <w:ind w:right="107"/>
              <w:spacing w:after="0"/>
              <w:rPr>
                <w:sz w:val="20"/>
                <w:szCs w:val="20"/>
                <w:color w:val="auto"/>
              </w:rPr>
            </w:pPr>
            <w:r>
              <w:rPr>
                <w:rFonts w:ascii="Arial" w:cs="Arial" w:eastAsia="Arial" w:hAnsi="Arial"/>
                <w:sz w:val="15"/>
                <w:szCs w:val="15"/>
                <w:color w:val="auto"/>
                <w:w w:val="71"/>
              </w:rPr>
              <w:t>$</w:t>
            </w: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133,173</w:t>
            </w:r>
          </w:p>
        </w:tc>
        <w:tc>
          <w:tcPr>
            <w:tcW w:w="340" w:type="dxa"/>
            <w:vAlign w:val="bottom"/>
            <w:gridSpan w:val="2"/>
          </w:tcPr>
          <w:p>
            <w:pPr>
              <w:jc w:val="right"/>
              <w:ind w:right="70"/>
              <w:spacing w:after="0"/>
              <w:rPr>
                <w:sz w:val="20"/>
                <w:szCs w:val="20"/>
                <w:color w:val="auto"/>
              </w:rPr>
            </w:pPr>
            <w:r>
              <w:rPr>
                <w:rFonts w:ascii="Arial" w:cs="Arial" w:eastAsia="Arial" w:hAnsi="Arial"/>
                <w:sz w:val="18"/>
                <w:szCs w:val="18"/>
                <w:color w:val="auto"/>
              </w:rPr>
              <w:t>$</w:t>
            </w: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80,929</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Collaboration and license revenue</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2,338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9,843</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44,250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56,826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tcPr>
          <w:p>
            <w:pPr>
              <w:ind w:left="120"/>
              <w:spacing w:after="0"/>
              <w:rPr>
                <w:sz w:val="20"/>
                <w:szCs w:val="20"/>
                <w:color w:val="auto"/>
              </w:rPr>
            </w:pPr>
            <w:r>
              <w:rPr>
                <w:rFonts w:ascii="Arial" w:cs="Arial" w:eastAsia="Arial" w:hAnsi="Arial"/>
                <w:sz w:val="18"/>
                <w:szCs w:val="18"/>
                <w:color w:val="auto"/>
              </w:rPr>
              <w:t>License revenue – Related Party</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27,500</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27,500</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65,977</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177,423</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165,255</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Cost and operating expenses: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Cost of sales</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2,782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3,000</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8,280</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12,965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ind w:left="120"/>
              <w:spacing w:after="0"/>
              <w:rPr>
                <w:sz w:val="20"/>
                <w:szCs w:val="20"/>
                <w:color w:val="auto"/>
              </w:rPr>
            </w:pPr>
            <w:r>
              <w:rPr>
                <w:rFonts w:ascii="Arial" w:cs="Arial" w:eastAsia="Arial" w:hAnsi="Arial"/>
                <w:sz w:val="18"/>
                <w:szCs w:val="18"/>
                <w:color w:val="auto"/>
              </w:rPr>
              <w:t>Collaboration loss sharing</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1,771</w:t>
            </w: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1,665</w:t>
            </w:r>
          </w:p>
        </w:tc>
        <w:tc>
          <w:tcPr>
            <w:tcW w:w="260" w:type="dxa"/>
            <w:vAlign w:val="bottom"/>
          </w:tcPr>
          <w:p>
            <w:pPr>
              <w:spacing w:after="0"/>
              <w:rPr>
                <w:sz w:val="18"/>
                <w:szCs w:val="18"/>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4,301</w:t>
            </w: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7,076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110,252</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127,981</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330,184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359,579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70,741</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57,608</w:t>
            </w:r>
          </w:p>
        </w:tc>
        <w:tc>
          <w:tcPr>
            <w:tcW w:w="260" w:type="dxa"/>
            <w:vAlign w:val="bottom"/>
          </w:tcPr>
          <w:p>
            <w:pPr>
              <w:spacing w:after="0"/>
              <w:rPr>
                <w:sz w:val="19"/>
                <w:szCs w:val="19"/>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215,826</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173,354</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cost and operating expenses</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185,546</w:t>
            </w:r>
          </w:p>
        </w:tc>
        <w:tc>
          <w:tcPr>
            <w:tcW w:w="14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190,254</w:t>
            </w:r>
          </w:p>
        </w:tc>
        <w:tc>
          <w:tcPr>
            <w:tcW w:w="22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558,591</w:t>
            </w:r>
          </w:p>
        </w:tc>
        <w:tc>
          <w:tcPr>
            <w:tcW w:w="14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552,974</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tcPr>
          <w:p>
            <w:pPr>
              <w:spacing w:after="0"/>
              <w:rPr>
                <w:sz w:val="20"/>
                <w:szCs w:val="20"/>
                <w:color w:val="auto"/>
              </w:rPr>
            </w:pPr>
            <w:r>
              <w:rPr>
                <w:rFonts w:ascii="Arial" w:cs="Arial" w:eastAsia="Arial" w:hAnsi="Arial"/>
                <w:sz w:val="18"/>
                <w:szCs w:val="18"/>
                <w:color w:val="auto"/>
              </w:rPr>
              <w:t>Other income (expense):</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Interest expense, net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(3,808)</w:t>
            </w:r>
          </w:p>
        </w:tc>
        <w:tc>
          <w:tcPr>
            <w:tcW w:w="1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81"/>
              <w:spacing w:after="0"/>
              <w:rPr>
                <w:sz w:val="20"/>
                <w:szCs w:val="20"/>
                <w:color w:val="auto"/>
              </w:rPr>
            </w:pPr>
            <w:r>
              <w:rPr>
                <w:rFonts w:ascii="Arial" w:cs="Arial" w:eastAsia="Arial" w:hAnsi="Arial"/>
                <w:sz w:val="18"/>
                <w:szCs w:val="18"/>
                <w:color w:val="auto"/>
              </w:rPr>
              <w:t>(8,396)</w:t>
            </w:r>
          </w:p>
        </w:tc>
        <w:tc>
          <w:tcPr>
            <w:tcW w:w="26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1"/>
              <w:spacing w:after="0"/>
              <w:rPr>
                <w:sz w:val="20"/>
                <w:szCs w:val="20"/>
                <w:color w:val="auto"/>
              </w:rPr>
            </w:pPr>
            <w:r>
              <w:rPr>
                <w:rFonts w:ascii="Arial" w:cs="Arial" w:eastAsia="Arial" w:hAnsi="Arial"/>
                <w:sz w:val="18"/>
                <w:szCs w:val="18"/>
                <w:color w:val="auto"/>
              </w:rPr>
              <w:t>(13,624)</w:t>
            </w:r>
          </w:p>
        </w:tc>
        <w:tc>
          <w:tcPr>
            <w:tcW w:w="8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(7,527)</w:t>
            </w:r>
          </w:p>
        </w:tc>
        <w:tc>
          <w:tcPr>
            <w:tcW w:w="0" w:type="dxa"/>
            <w:vAlign w:val="bottom"/>
          </w:tcPr>
          <w:p>
            <w:pPr>
              <w:spacing w:after="0"/>
              <w:rPr>
                <w:sz w:val="1"/>
                <w:szCs w:val="1"/>
                <w:color w:val="auto"/>
              </w:rPr>
            </w:pPr>
          </w:p>
        </w:tc>
      </w:tr>
      <w:tr>
        <w:trPr>
          <w:trHeight w:val="230"/>
        </w:trPr>
        <w:tc>
          <w:tcPr>
            <w:tcW w:w="5380" w:type="dxa"/>
            <w:vAlign w:val="bottom"/>
          </w:tcPr>
          <w:p>
            <w:pPr>
              <w:ind w:left="120"/>
              <w:spacing w:after="0"/>
              <w:rPr>
                <w:sz w:val="20"/>
                <w:szCs w:val="20"/>
                <w:color w:val="auto"/>
              </w:rPr>
            </w:pPr>
            <w:r>
              <w:rPr>
                <w:rFonts w:ascii="Arial" w:cs="Arial" w:eastAsia="Arial" w:hAnsi="Arial"/>
                <w:sz w:val="18"/>
                <w:szCs w:val="18"/>
                <w:color w:val="auto"/>
              </w:rPr>
              <w:t>Other income (expense), net</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20" w:type="dxa"/>
            <w:vAlign w:val="bottom"/>
            <w:gridSpan w:val="2"/>
          </w:tcPr>
          <w:p>
            <w:pPr>
              <w:jc w:val="right"/>
              <w:ind w:right="1"/>
              <w:spacing w:after="0"/>
              <w:rPr>
                <w:sz w:val="20"/>
                <w:szCs w:val="20"/>
                <w:color w:val="auto"/>
              </w:rPr>
            </w:pPr>
            <w:r>
              <w:rPr>
                <w:rFonts w:ascii="Arial" w:cs="Arial" w:eastAsia="Arial" w:hAnsi="Arial"/>
                <w:sz w:val="18"/>
                <w:szCs w:val="18"/>
                <w:color w:val="auto"/>
              </w:rPr>
              <w:t>(728)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396</w:t>
            </w:r>
          </w:p>
        </w:tc>
        <w:tc>
          <w:tcPr>
            <w:tcW w:w="260" w:type="dxa"/>
            <w:vAlign w:val="bottom"/>
          </w:tcPr>
          <w:p>
            <w:pPr>
              <w:spacing w:after="0"/>
              <w:rPr>
                <w:sz w:val="19"/>
                <w:szCs w:val="19"/>
                <w:color w:val="auto"/>
              </w:rPr>
            </w:pPr>
          </w:p>
        </w:tc>
        <w:tc>
          <w:tcPr>
            <w:tcW w:w="1100" w:type="dxa"/>
            <w:vAlign w:val="bottom"/>
            <w:gridSpan w:val="2"/>
          </w:tcPr>
          <w:p>
            <w:pPr>
              <w:jc w:val="right"/>
              <w:ind w:right="1"/>
              <w:spacing w:after="0"/>
              <w:rPr>
                <w:sz w:val="20"/>
                <w:szCs w:val="20"/>
                <w:color w:val="auto"/>
              </w:rPr>
            </w:pPr>
            <w:r>
              <w:rPr>
                <w:rFonts w:ascii="Arial" w:cs="Arial" w:eastAsia="Arial" w:hAnsi="Arial"/>
                <w:sz w:val="18"/>
                <w:szCs w:val="18"/>
                <w:color w:val="auto"/>
              </w:rPr>
              <w:t>(369)</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575</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53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other expense</w:t>
            </w: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(4,536</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top w:val="single" w:sz="8" w:color="CCEEFF"/>
            </w:tcBorders>
            <w:shd w:val="clear" w:color="auto" w:fill="CCEEFF"/>
          </w:tcPr>
          <w:p>
            <w:pPr>
              <w:spacing w:after="0"/>
              <w:rPr>
                <w:sz w:val="18"/>
                <w:szCs w:val="18"/>
                <w:color w:val="auto"/>
              </w:rPr>
            </w:pPr>
          </w:p>
        </w:tc>
        <w:tc>
          <w:tcPr>
            <w:tcW w:w="420" w:type="dxa"/>
            <w:vAlign w:val="bottom"/>
            <w:tcBorders>
              <w:top w:val="single" w:sz="8" w:color="auto"/>
              <w:bottom w:val="single" w:sz="8" w:color="auto"/>
            </w:tcBorders>
            <w:shd w:val="clear" w:color="auto" w:fill="CCEEFF"/>
          </w:tcPr>
          <w:p>
            <w:pPr>
              <w:spacing w:after="0"/>
              <w:rPr>
                <w:sz w:val="18"/>
                <w:szCs w:val="18"/>
                <w:color w:val="auto"/>
              </w:rPr>
            </w:pPr>
          </w:p>
        </w:tc>
        <w:tc>
          <w:tcPr>
            <w:tcW w:w="8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(8,000</w:t>
            </w:r>
          </w:p>
        </w:tc>
        <w:tc>
          <w:tcPr>
            <w:tcW w:w="220" w:type="dxa"/>
            <w:vAlign w:val="bottom"/>
            <w:tcBorders>
              <w:top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(13,993</w:t>
            </w:r>
          </w:p>
        </w:tc>
        <w:tc>
          <w:tcPr>
            <w:tcW w:w="140" w:type="dxa"/>
            <w:vAlign w:val="bottom"/>
            <w:tcBorders>
              <w:top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top w:val="single" w:sz="8" w:color="CCEEFF"/>
            </w:tcBorders>
            <w:shd w:val="clear" w:color="auto" w:fill="CCEEFF"/>
          </w:tcPr>
          <w:p>
            <w:pPr>
              <w:spacing w:after="0"/>
              <w:rPr>
                <w:sz w:val="18"/>
                <w:szCs w:val="18"/>
                <w:color w:val="auto"/>
              </w:rPr>
            </w:pPr>
          </w:p>
        </w:tc>
        <w:tc>
          <w:tcPr>
            <w:tcW w:w="260" w:type="dxa"/>
            <w:vAlign w:val="bottom"/>
            <w:tcBorders>
              <w:top w:val="single" w:sz="8" w:color="auto"/>
              <w:bottom w:val="single" w:sz="8" w:color="auto"/>
            </w:tcBorders>
            <w:shd w:val="clear" w:color="auto" w:fill="CCEEFF"/>
          </w:tcPr>
          <w:p>
            <w:pPr>
              <w:spacing w:after="0"/>
              <w:rPr>
                <w:sz w:val="18"/>
                <w:szCs w:val="18"/>
                <w:color w:val="auto"/>
              </w:rPr>
            </w:pP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(6,952</w:t>
            </w:r>
          </w:p>
        </w:tc>
        <w:tc>
          <w:tcPr>
            <w:tcW w:w="100" w:type="dxa"/>
            <w:vAlign w:val="bottom"/>
            <w:tcBorders>
              <w:top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380" w:type="dxa"/>
            <w:vAlign w:val="bottom"/>
          </w:tcPr>
          <w:p>
            <w:pPr>
              <w:spacing w:after="0"/>
              <w:rPr>
                <w:sz w:val="20"/>
                <w:szCs w:val="20"/>
                <w:color w:val="auto"/>
              </w:rPr>
            </w:pPr>
            <w:r>
              <w:rPr>
                <w:rFonts w:ascii="Arial" w:cs="Arial" w:eastAsia="Arial" w:hAnsi="Arial"/>
                <w:sz w:val="18"/>
                <w:szCs w:val="18"/>
                <w:color w:val="auto"/>
              </w:rPr>
              <w:t>Loss before income taxes</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(133,516)</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(132,277)</w:t>
            </w:r>
          </w:p>
        </w:tc>
        <w:tc>
          <w:tcPr>
            <w:tcW w:w="2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(395,161)</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(394,671)</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380" w:type="dxa"/>
            <w:vAlign w:val="bottom"/>
            <w:shd w:val="clear" w:color="auto" w:fill="CCEEFF"/>
          </w:tcPr>
          <w:p>
            <w:pPr>
              <w:spacing w:after="0"/>
              <w:rPr>
                <w:sz w:val="20"/>
                <w:szCs w:val="20"/>
                <w:color w:val="auto"/>
              </w:rPr>
            </w:pPr>
            <w:r>
              <w:rPr>
                <w:rFonts w:ascii="Arial" w:cs="Arial" w:eastAsia="Arial" w:hAnsi="Arial"/>
                <w:sz w:val="18"/>
                <w:szCs w:val="18"/>
                <w:color w:val="auto"/>
              </w:rPr>
              <w:t>Income tax expense</w:t>
            </w:r>
          </w:p>
        </w:tc>
        <w:tc>
          <w:tcPr>
            <w:tcW w:w="14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12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197</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41"/>
              <w:spacing w:after="0"/>
              <w:rPr>
                <w:sz w:val="20"/>
                <w:szCs w:val="20"/>
                <w:color w:val="auto"/>
              </w:rPr>
            </w:pPr>
            <w:r>
              <w:rPr>
                <w:rFonts w:ascii="Arial" w:cs="Arial" w:eastAsia="Arial" w:hAnsi="Arial"/>
                <w:sz w:val="18"/>
                <w:szCs w:val="18"/>
                <w:color w:val="auto"/>
              </w:rPr>
              <w:t>886</w:t>
            </w:r>
          </w:p>
        </w:tc>
        <w:tc>
          <w:tcPr>
            <w:tcW w:w="260" w:type="dxa"/>
            <w:vAlign w:val="bottom"/>
            <w:shd w:val="clear" w:color="auto" w:fill="CCEEFF"/>
          </w:tcPr>
          <w:p>
            <w:pPr>
              <w:spacing w:after="0"/>
              <w:rPr>
                <w:sz w:val="19"/>
                <w:szCs w:val="19"/>
                <w:color w:val="auto"/>
              </w:rPr>
            </w:pPr>
          </w:p>
        </w:tc>
        <w:tc>
          <w:tcPr>
            <w:tcW w:w="1100" w:type="dxa"/>
            <w:vAlign w:val="bottom"/>
            <w:gridSpan w:val="2"/>
            <w:shd w:val="clear" w:color="auto" w:fill="CCEEFF"/>
          </w:tcPr>
          <w:p>
            <w:pPr>
              <w:jc w:val="right"/>
              <w:ind w:right="61"/>
              <w:spacing w:after="0"/>
              <w:rPr>
                <w:sz w:val="20"/>
                <w:szCs w:val="20"/>
                <w:color w:val="auto"/>
              </w:rPr>
            </w:pPr>
            <w:r>
              <w:rPr>
                <w:rFonts w:ascii="Arial" w:cs="Arial" w:eastAsia="Arial" w:hAnsi="Arial"/>
                <w:sz w:val="18"/>
                <w:szCs w:val="18"/>
                <w:color w:val="auto"/>
              </w:rPr>
              <w:t>907</w:t>
            </w:r>
          </w:p>
        </w:tc>
        <w:tc>
          <w:tcPr>
            <w:tcW w:w="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10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4,200</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538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w:t>
            </w:r>
          </w:p>
        </w:tc>
        <w:tc>
          <w:tcPr>
            <w:tcW w:w="140" w:type="dxa"/>
            <w:vAlign w:val="bottom"/>
            <w:tcBorders>
              <w:bottom w:val="single" w:sz="8" w:color="CCEEFF"/>
            </w:tcBorders>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(133,713</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tcPr>
          <w:p>
            <w:pPr>
              <w:spacing w:after="0"/>
              <w:rPr>
                <w:sz w:val="22"/>
                <w:szCs w:val="22"/>
                <w:color w:val="auto"/>
              </w:rPr>
            </w:pPr>
          </w:p>
        </w:tc>
        <w:tc>
          <w:tcPr>
            <w:tcW w:w="420" w:type="dxa"/>
            <w:vAlign w:val="bottom"/>
            <w:tcBorders>
              <w:top w:val="single" w:sz="8" w:color="auto"/>
              <w:bottom w:val="single" w:sz="8" w:color="auto"/>
            </w:tcBorders>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(133,163</w:t>
            </w:r>
          </w:p>
        </w:tc>
        <w:tc>
          <w:tcPr>
            <w:tcW w:w="220" w:type="dxa"/>
            <w:vAlign w:val="bottom"/>
            <w:tcBorders>
              <w:bottom w:val="single" w:sz="8" w:color="CCEEFF"/>
            </w:tcBorders>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top w:val="single" w:sz="8" w:color="auto"/>
              <w:bottom w:val="single" w:sz="8" w:color="auto"/>
            </w:tcBorders>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(396,068</w:t>
            </w:r>
          </w:p>
        </w:tc>
        <w:tc>
          <w:tcPr>
            <w:tcW w:w="140" w:type="dxa"/>
            <w:vAlign w:val="bottom"/>
            <w:tcBorders>
              <w:bottom w:val="single" w:sz="8" w:color="CCEEFF"/>
            </w:tcBorders>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tcPr>
          <w:p>
            <w:pPr>
              <w:spacing w:after="0"/>
              <w:rPr>
                <w:sz w:val="22"/>
                <w:szCs w:val="22"/>
                <w:color w:val="auto"/>
              </w:rPr>
            </w:pPr>
          </w:p>
        </w:tc>
        <w:tc>
          <w:tcPr>
            <w:tcW w:w="2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(398,871</w:t>
            </w:r>
          </w:p>
        </w:tc>
        <w:tc>
          <w:tcPr>
            <w:tcW w:w="10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197"/>
        </w:trPr>
        <w:tc>
          <w:tcPr>
            <w:tcW w:w="5380" w:type="dxa"/>
            <w:vAlign w:val="bottom"/>
            <w:tcBorders>
              <w:bottom w:val="single" w:sz="8" w:color="CCEEFF"/>
            </w:tcBorders>
            <w:shd w:val="clear" w:color="auto" w:fill="CCEEFF"/>
          </w:tcPr>
          <w:p>
            <w:pPr>
              <w:spacing w:after="0" w:line="190" w:lineRule="exact"/>
              <w:rPr>
                <w:sz w:val="20"/>
                <w:szCs w:val="20"/>
                <w:color w:val="auto"/>
              </w:rPr>
            </w:pPr>
            <w:r>
              <w:rPr>
                <w:rFonts w:ascii="Arial" w:cs="Arial" w:eastAsia="Arial" w:hAnsi="Arial"/>
                <w:sz w:val="18"/>
                <w:szCs w:val="18"/>
                <w:color w:val="auto"/>
              </w:rPr>
              <w:t>Net loss per share - basic and diluted</w:t>
            </w:r>
          </w:p>
        </w:tc>
        <w:tc>
          <w:tcPr>
            <w:tcW w:w="14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jc w:val="right"/>
              <w:ind w:right="9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(2.20</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jc w:val="right"/>
              <w:ind w:right="267"/>
              <w:spacing w:after="0"/>
              <w:rPr>
                <w:sz w:val="20"/>
                <w:szCs w:val="20"/>
                <w:color w:val="auto"/>
              </w:rPr>
            </w:pPr>
            <w:r>
              <w:rPr>
                <w:rFonts w:ascii="Arial" w:cs="Arial" w:eastAsia="Arial" w:hAnsi="Arial"/>
                <w:sz w:val="15"/>
                <w:szCs w:val="15"/>
                <w:color w:val="auto"/>
                <w:w w:val="71"/>
              </w:rPr>
              <w:t>$</w:t>
            </w:r>
          </w:p>
        </w:tc>
        <w:tc>
          <w:tcPr>
            <w:tcW w:w="8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(2.23</w:t>
            </w:r>
          </w:p>
        </w:tc>
        <w:tc>
          <w:tcPr>
            <w:tcW w:w="220" w:type="dxa"/>
            <w:vAlign w:val="bottom"/>
            <w:tcBorders>
              <w:bottom w:val="single" w:sz="8" w:color="CCEEFF"/>
            </w:tcBorders>
            <w:shd w:val="clear" w:color="auto" w:fill="CCEEFF"/>
          </w:tcPr>
          <w:p>
            <w:pPr>
              <w:jc w:val="right"/>
              <w:ind w:right="81"/>
              <w:spacing w:after="0"/>
              <w:rPr>
                <w:sz w:val="20"/>
                <w:szCs w:val="20"/>
                <w:color w:val="auto"/>
              </w:rPr>
            </w:pPr>
            <w:r>
              <w:rPr>
                <w:rFonts w:ascii="Arial" w:cs="Arial" w:eastAsia="Arial" w:hAnsi="Arial"/>
                <w:sz w:val="16"/>
                <w:szCs w:val="16"/>
                <w:color w:val="auto"/>
                <w:w w:val="74"/>
              </w:rPr>
              <w:t>)</w:t>
            </w:r>
          </w:p>
        </w:tc>
        <w:tc>
          <w:tcPr>
            <w:tcW w:w="260" w:type="dxa"/>
            <w:vAlign w:val="bottom"/>
            <w:tcBorders>
              <w:bottom w:val="single" w:sz="8" w:color="auto"/>
            </w:tcBorders>
            <w:shd w:val="clear" w:color="auto" w:fill="CCEEFF"/>
          </w:tcPr>
          <w:p>
            <w:pPr>
              <w:jc w:val="right"/>
              <w:ind w:right="107"/>
              <w:spacing w:after="0"/>
              <w:rPr>
                <w:sz w:val="20"/>
                <w:szCs w:val="20"/>
                <w:color w:val="auto"/>
              </w:rPr>
            </w:pPr>
            <w:r>
              <w:rPr>
                <w:rFonts w:ascii="Arial" w:cs="Arial" w:eastAsia="Arial" w:hAnsi="Arial"/>
                <w:sz w:val="15"/>
                <w:szCs w:val="15"/>
                <w:color w:val="auto"/>
                <w:w w:val="71"/>
              </w:rPr>
              <w:t>$</w:t>
            </w:r>
          </w:p>
        </w:tc>
        <w:tc>
          <w:tcPr>
            <w:tcW w:w="96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(6.55</w:t>
            </w:r>
          </w:p>
        </w:tc>
        <w:tc>
          <w:tcPr>
            <w:tcW w:w="140" w:type="dxa"/>
            <w:vAlign w:val="bottom"/>
            <w:tcBorders>
              <w:bottom w:val="single" w:sz="8" w:color="CCEEFF"/>
            </w:tcBorders>
            <w:shd w:val="clear" w:color="auto" w:fill="CCEEFF"/>
          </w:tcPr>
          <w:p>
            <w:pPr>
              <w:jc w:val="right"/>
              <w:ind w:right="1"/>
              <w:spacing w:after="0"/>
              <w:rPr>
                <w:sz w:val="20"/>
                <w:szCs w:val="20"/>
                <w:color w:val="auto"/>
              </w:rPr>
            </w:pPr>
            <w:r>
              <w:rPr>
                <w:rFonts w:ascii="Arial" w:cs="Arial" w:eastAsia="Arial" w:hAnsi="Arial"/>
                <w:sz w:val="16"/>
                <w:szCs w:val="16"/>
                <w:color w:val="auto"/>
                <w:w w:val="74"/>
              </w:rPr>
              <w:t>)</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jc w:val="right"/>
              <w:ind w:right="70"/>
              <w:spacing w:after="0" w:line="196" w:lineRule="exact"/>
              <w:rPr>
                <w:sz w:val="20"/>
                <w:szCs w:val="20"/>
                <w:color w:val="auto"/>
              </w:rPr>
            </w:pPr>
            <w:r>
              <w:rPr>
                <w:rFonts w:ascii="Arial" w:cs="Arial" w:eastAsia="Arial" w:hAnsi="Arial"/>
                <w:sz w:val="18"/>
                <w:szCs w:val="18"/>
                <w:color w:val="auto"/>
                <w:w w:val="79"/>
              </w:rPr>
              <w:t>$</w:t>
            </w:r>
          </w:p>
        </w:tc>
        <w:tc>
          <w:tcPr>
            <w:tcW w:w="98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(6.70</w:t>
            </w:r>
          </w:p>
        </w:tc>
        <w:tc>
          <w:tcPr>
            <w:tcW w:w="1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0"/>
        </w:trPr>
        <w:tc>
          <w:tcPr>
            <w:tcW w:w="5380" w:type="dxa"/>
            <w:vAlign w:val="bottom"/>
            <w:vMerge w:val="restart"/>
          </w:tcPr>
          <w:p>
            <w:pPr>
              <w:spacing w:after="0" w:line="195" w:lineRule="exact"/>
              <w:rPr>
                <w:sz w:val="20"/>
                <w:szCs w:val="20"/>
                <w:color w:val="auto"/>
              </w:rPr>
            </w:pPr>
            <w:r>
              <w:rPr>
                <w:rFonts w:ascii="Arial" w:cs="Arial" w:eastAsia="Arial" w:hAnsi="Arial"/>
                <w:sz w:val="18"/>
                <w:szCs w:val="18"/>
                <w:color w:val="auto"/>
                <w:w w:val="91"/>
              </w:rPr>
              <w:t>Weighted-average number of common shares used in net loss per share -</w:t>
            </w: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5380" w:type="dxa"/>
            <w:vAlign w:val="bottom"/>
            <w:vMerge w:val="continue"/>
          </w:tcPr>
          <w:p>
            <w:pPr>
              <w:spacing w:after="0"/>
              <w:rPr>
                <w:sz w:val="13"/>
                <w:szCs w:val="13"/>
                <w:color w:val="auto"/>
              </w:rPr>
            </w:pPr>
          </w:p>
        </w:tc>
        <w:tc>
          <w:tcPr>
            <w:tcW w:w="1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5380" w:type="dxa"/>
            <w:vAlign w:val="bottom"/>
          </w:tcPr>
          <w:p>
            <w:pPr>
              <w:spacing w:after="0"/>
              <w:rPr>
                <w:sz w:val="20"/>
                <w:szCs w:val="20"/>
                <w:color w:val="auto"/>
              </w:rPr>
            </w:pPr>
            <w:r>
              <w:rPr>
                <w:rFonts w:ascii="Arial" w:cs="Arial" w:eastAsia="Arial" w:hAnsi="Arial"/>
                <w:sz w:val="18"/>
                <w:szCs w:val="18"/>
                <w:color w:val="auto"/>
              </w:rPr>
              <w:t>basic and diluted</w:t>
            </w:r>
          </w:p>
        </w:tc>
        <w:tc>
          <w:tcPr>
            <w:tcW w:w="14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20" w:type="dxa"/>
            <w:vAlign w:val="bottom"/>
            <w:gridSpan w:val="2"/>
          </w:tcPr>
          <w:p>
            <w:pPr>
              <w:jc w:val="right"/>
              <w:ind w:right="61"/>
              <w:spacing w:after="0"/>
              <w:rPr>
                <w:sz w:val="20"/>
                <w:szCs w:val="20"/>
                <w:color w:val="auto"/>
              </w:rPr>
            </w:pPr>
            <w:r>
              <w:rPr>
                <w:rFonts w:ascii="Arial" w:cs="Arial" w:eastAsia="Arial" w:hAnsi="Arial"/>
                <w:sz w:val="18"/>
                <w:szCs w:val="18"/>
                <w:color w:val="auto"/>
              </w:rPr>
              <w:t>60,688</w:t>
            </w:r>
          </w:p>
        </w:tc>
        <w:tc>
          <w:tcPr>
            <w:tcW w:w="10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020" w:type="dxa"/>
            <w:vAlign w:val="bottom"/>
            <w:gridSpan w:val="2"/>
          </w:tcPr>
          <w:p>
            <w:pPr>
              <w:jc w:val="right"/>
              <w:ind w:right="141"/>
              <w:spacing w:after="0"/>
              <w:rPr>
                <w:sz w:val="20"/>
                <w:szCs w:val="20"/>
                <w:color w:val="auto"/>
              </w:rPr>
            </w:pPr>
            <w:r>
              <w:rPr>
                <w:rFonts w:ascii="Arial" w:cs="Arial" w:eastAsia="Arial" w:hAnsi="Arial"/>
                <w:sz w:val="18"/>
                <w:szCs w:val="18"/>
                <w:color w:val="auto"/>
              </w:rPr>
              <w:t>59,758</w:t>
            </w:r>
          </w:p>
        </w:tc>
        <w:tc>
          <w:tcPr>
            <w:tcW w:w="260" w:type="dxa"/>
            <w:vAlign w:val="bottom"/>
          </w:tcPr>
          <w:p>
            <w:pPr>
              <w:spacing w:after="0"/>
              <w:rPr>
                <w:sz w:val="22"/>
                <w:szCs w:val="22"/>
                <w:color w:val="auto"/>
              </w:rPr>
            </w:pPr>
          </w:p>
        </w:tc>
        <w:tc>
          <w:tcPr>
            <w:tcW w:w="1100" w:type="dxa"/>
            <w:vAlign w:val="bottom"/>
            <w:gridSpan w:val="2"/>
          </w:tcPr>
          <w:p>
            <w:pPr>
              <w:jc w:val="right"/>
              <w:ind w:right="61"/>
              <w:spacing w:after="0"/>
              <w:rPr>
                <w:sz w:val="20"/>
                <w:szCs w:val="20"/>
                <w:color w:val="auto"/>
              </w:rPr>
            </w:pPr>
            <w:r>
              <w:rPr>
                <w:rFonts w:ascii="Arial" w:cs="Arial" w:eastAsia="Arial" w:hAnsi="Arial"/>
                <w:sz w:val="18"/>
                <w:szCs w:val="18"/>
                <w:color w:val="auto"/>
              </w:rPr>
              <w:t>60,445</w:t>
            </w:r>
          </w:p>
        </w:tc>
        <w:tc>
          <w:tcPr>
            <w:tcW w:w="8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000" w:type="dxa"/>
            <w:vAlign w:val="bottom"/>
            <w:gridSpan w:val="2"/>
          </w:tcPr>
          <w:p>
            <w:pPr>
              <w:jc w:val="right"/>
              <w:spacing w:after="0"/>
              <w:rPr>
                <w:sz w:val="20"/>
                <w:szCs w:val="20"/>
                <w:color w:val="auto"/>
              </w:rPr>
            </w:pPr>
            <w:r>
              <w:rPr>
                <w:rFonts w:ascii="Arial" w:cs="Arial" w:eastAsia="Arial" w:hAnsi="Arial"/>
                <w:sz w:val="18"/>
                <w:szCs w:val="18"/>
                <w:color w:val="auto"/>
              </w:rPr>
              <w:t>59,564</w:t>
            </w: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5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Media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Sarah Mena Guerrero</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617-714-6684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media@blueprintmedicines.com</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Investor Contact</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Jenna Cohen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857-209-3147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ir@blueprintmedicines.com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sectPr>
      <w:pgSz w:w="11900" w:h="16838" w:orient="portrait"/>
      <w:cols w:equalWidth="0" w:num="1">
        <w:col w:w="11240"/>
      </w:cols>
      <w:pgMar w:left="320" w:top="90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lvl w:ilvl="1">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2023-10-26T06:14:26Z</dcterms:created>
  <dcterms:modified xsi:type="dcterms:W3CDTF">2023-10-26T06:14:26Z</dcterms:modified>
</cp:coreProperties>
</file>