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25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54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Murray Christopher K.</w:t>
              </w:r>
            </w:hyperlink>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80" w:type="dxa"/>
            <w:vAlign w:val="bottom"/>
            <w:gridSpan w:val="3"/>
          </w:tcPr>
          <w:p>
            <w:pPr>
              <w:ind w:left="80"/>
              <w:spacing w:after="0" w:line="18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54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40" w:type="dxa"/>
            <w:vAlign w:val="bottom"/>
            <w:tcBorders>
              <w:top w:val="single" w:sz="8" w:color="0000EE"/>
            </w:tcBorders>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820" w:type="dxa"/>
            <w:vAlign w:val="bottom"/>
            <w:tcBorders>
              <w:top w:val="single" w:sz="8" w:color="0000EE"/>
              <w:bottom w:val="single" w:sz="8" w:color="9A9A9A"/>
            </w:tcBorders>
          </w:tcPr>
          <w:p>
            <w:pPr>
              <w:spacing w:after="0"/>
              <w:rPr>
                <w:sz w:val="16"/>
                <w:szCs w:val="16"/>
                <w:color w:val="auto"/>
              </w:rPr>
            </w:pPr>
          </w:p>
        </w:tc>
        <w:tc>
          <w:tcPr>
            <w:tcW w:w="1160" w:type="dxa"/>
            <w:vAlign w:val="bottom"/>
            <w:tcBorders>
              <w:top w:val="single" w:sz="8" w:color="0000EE"/>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12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40" w:type="dxa"/>
            <w:vAlign w:val="bottom"/>
            <w:tcBorders>
              <w:bottom w:val="single" w:sz="8" w:color="2C2C2C"/>
            </w:tcBorders>
          </w:tcPr>
          <w:p>
            <w:pPr>
              <w:spacing w:after="0"/>
              <w:rPr>
                <w:sz w:val="2"/>
                <w:szCs w:val="2"/>
                <w:color w:val="auto"/>
              </w:rPr>
            </w:pPr>
          </w:p>
        </w:tc>
        <w:tc>
          <w:tcPr>
            <w:tcW w:w="166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720" w:type="dxa"/>
            <w:vAlign w:val="bottom"/>
            <w:gridSpan w:val="2"/>
          </w:tcPr>
          <w:p>
            <w:pPr>
              <w:ind w:left="460"/>
              <w:spacing w:after="0"/>
              <w:rPr>
                <w:sz w:val="20"/>
                <w:szCs w:val="20"/>
                <w:color w:val="auto"/>
              </w:rPr>
            </w:pPr>
            <w:r>
              <w:rPr>
                <w:rFonts w:ascii="Arial" w:cs="Arial" w:eastAsia="Arial" w:hAnsi="Arial"/>
                <w:sz w:val="13"/>
                <w:szCs w:val="13"/>
                <w:color w:val="auto"/>
              </w:rPr>
              <w:t>(First)</w:t>
            </w:r>
          </w:p>
        </w:tc>
        <w:tc>
          <w:tcPr>
            <w:tcW w:w="126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3800" w:type="dxa"/>
            <w:vAlign w:val="bottom"/>
            <w:gridSpan w:val="4"/>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2400" w:type="dxa"/>
            <w:vAlign w:val="bottom"/>
            <w:gridSpan w:val="3"/>
          </w:tcPr>
          <w:p>
            <w:pPr>
              <w:ind w:left="160"/>
              <w:spacing w:after="0"/>
              <w:rPr>
                <w:sz w:val="20"/>
                <w:szCs w:val="20"/>
                <w:color w:val="auto"/>
              </w:rPr>
            </w:pPr>
            <w:r>
              <w:rPr>
                <w:rFonts w:ascii="Arial" w:cs="Arial" w:eastAsia="Arial" w:hAnsi="Arial"/>
                <w:sz w:val="17"/>
                <w:szCs w:val="17"/>
                <w:color w:val="0000FF"/>
              </w:rPr>
              <w:t>11/01/2017</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380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38 SIDNEY STREET, SUITE 200</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706"/>
        <w:spacing w:after="0"/>
        <w:rPr>
          <w:sz w:val="20"/>
          <w:szCs w:val="20"/>
          <w:color w:val="auto"/>
        </w:rPr>
      </w:pPr>
      <w:r>
        <w:rPr>
          <w:rFonts w:ascii="Arial" w:cs="Arial" w:eastAsia="Arial" w:hAnsi="Arial"/>
          <w:sz w:val="17"/>
          <w:szCs w:val="17"/>
          <w:color w:val="0000FF"/>
        </w:rPr>
        <w:t>SVP, Technical Operations</w:t>
      </w:r>
    </w:p>
    <w:p>
      <w:pPr>
        <w:spacing w:after="0" w:line="408" w:lineRule="exact"/>
        <w:rPr>
          <w:sz w:val="20"/>
          <w:szCs w:val="20"/>
          <w:color w:val="auto"/>
        </w:rPr>
      </w:pPr>
    </w:p>
    <w:p>
      <w:pPr>
        <w:sectPr>
          <w:pgSz w:w="11900" w:h="16838" w:orient="portrait"/>
          <w:cols w:equalWidth="0" w:num="2">
            <w:col w:w="7980" w:space="74"/>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8"/>
          </w:tcPr>
          <w:p>
            <w:pPr>
              <w:jc w:val="center"/>
              <w:ind w:right="39"/>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3"/>
            <w:vMerge w:val="restart"/>
          </w:tcPr>
          <w:p>
            <w:pPr>
              <w:spacing w:after="0"/>
              <w:rPr>
                <w:sz w:val="20"/>
                <w:szCs w:val="20"/>
                <w:color w:val="auto"/>
              </w:rPr>
            </w:pPr>
            <w:r>
              <w:rPr>
                <w:rFonts w:ascii="Arial" w:cs="Arial" w:eastAsia="Arial" w:hAnsi="Arial"/>
                <w:sz w:val="17"/>
                <w:szCs w:val="17"/>
                <w:color w:val="0000FF"/>
              </w:rPr>
              <w:t>CAMBRIDGE   MA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02139</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71.8</w:t>
            </w:r>
          </w:p>
        </w:tc>
        <w:tc>
          <w:tcPr>
            <w:tcW w:w="1080" w:type="dxa"/>
            <w:vAlign w:val="bottom"/>
          </w:tcPr>
          <w:p>
            <w:pPr>
              <w:ind w:left="200"/>
              <w:spacing w:after="0" w:line="212" w:lineRule="exact"/>
              <w:rPr>
                <w:sz w:val="20"/>
                <w:szCs w:val="20"/>
                <w:color w:val="auto"/>
              </w:rPr>
            </w:pPr>
            <w:r>
              <w:rPr>
                <w:rFonts w:ascii="Arial" w:cs="Arial" w:eastAsia="Arial" w:hAnsi="Arial"/>
                <w:sz w:val="13"/>
                <w:szCs w:val="13"/>
                <w:color w:val="0000FF"/>
              </w:rPr>
              <w:t>11/01/2017</w:t>
            </w:r>
            <w:r>
              <w:rPr>
                <w:rFonts w:ascii="Arial" w:cs="Arial" w:eastAsia="Arial" w:hAnsi="Arial"/>
                <w:sz w:val="22"/>
                <w:szCs w:val="22"/>
                <w:color w:val="008000"/>
                <w:vertAlign w:val="superscript"/>
              </w:rPr>
              <w:t>(1)</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75,000</w:t>
            </w:r>
          </w:p>
        </w:tc>
        <w:tc>
          <w:tcPr>
            <w:tcW w:w="340" w:type="dxa"/>
            <w:vAlign w:val="bottom"/>
          </w:tcPr>
          <w:p>
            <w:pPr>
              <w:spacing w:after="0"/>
              <w:rPr>
                <w:sz w:val="18"/>
                <w:szCs w:val="18"/>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11/01/2027</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75,000</w:t>
            </w:r>
          </w:p>
        </w:tc>
        <w:tc>
          <w:tcPr>
            <w:tcW w:w="6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75,000</w:t>
            </w:r>
          </w:p>
        </w:tc>
        <w:tc>
          <w:tcPr>
            <w:tcW w:w="28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gridSpan w:val="2"/>
          </w:tcPr>
          <w:p>
            <w:pPr>
              <w:ind w:left="60"/>
              <w:spacing w:after="0" w:line="95" w:lineRule="exact"/>
              <w:rPr>
                <w:sz w:val="20"/>
                <w:szCs w:val="20"/>
                <w:color w:val="auto"/>
              </w:rPr>
            </w:pPr>
            <w:r>
              <w:rPr>
                <w:rFonts w:ascii="Arial" w:cs="Arial" w:eastAsia="Arial" w:hAnsi="Arial"/>
                <w:sz w:val="11"/>
                <w:szCs w:val="11"/>
                <w:color w:val="0000FF"/>
              </w:rPr>
              <w:t>(Right to</w:t>
            </w: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ind w:left="160"/>
              <w:spacing w:after="0" w:line="95"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accordance with the Issuer's equity award grant policy, this option was granted effective as of the first day of the month following the commencement of the Reporting Person's employment with the Issuer on October 10, 2017.</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vests with respect to 25% of the shares underlying the option on October 10, 2018 and as to an additional 1/48th of the shares underlying the option each month thereafter.</w:t>
      </w:r>
    </w:p>
    <w:p>
      <w:pPr>
        <w:spacing w:after="0" w:line="6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Christopher Frankenfield,</w:t>
            </w:r>
          </w:p>
        </w:tc>
        <w:tc>
          <w:tcPr>
            <w:tcW w:w="28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11/03/2017</w:t>
            </w:r>
          </w:p>
        </w:tc>
        <w:tc>
          <w:tcPr>
            <w:tcW w:w="0" w:type="dxa"/>
            <w:vAlign w:val="bottom"/>
          </w:tcPr>
          <w:p>
            <w:pPr>
              <w:spacing w:after="0"/>
              <w:rPr>
                <w:sz w:val="1"/>
                <w:szCs w:val="1"/>
                <w:color w:val="auto"/>
              </w:rPr>
            </w:pPr>
          </w:p>
        </w:tc>
      </w:tr>
      <w:tr>
        <w:trPr>
          <w:trHeight w:val="92"/>
        </w:trPr>
        <w:tc>
          <w:tcPr>
            <w:tcW w:w="1180" w:type="dxa"/>
            <w:vAlign w:val="bottom"/>
            <w:vMerge w:val="restart"/>
          </w:tcPr>
          <w:p>
            <w:pPr>
              <w:spacing w:after="0"/>
              <w:rPr>
                <w:sz w:val="20"/>
                <w:szCs w:val="20"/>
                <w:color w:val="auto"/>
              </w:rPr>
            </w:pPr>
            <w:r>
              <w:rPr>
                <w:rFonts w:ascii="Arial" w:cs="Arial" w:eastAsia="Arial" w:hAnsi="Arial"/>
                <w:sz w:val="17"/>
                <w:szCs w:val="17"/>
                <w:color w:val="0000FF"/>
                <w:w w:val="95"/>
              </w:rPr>
              <w:t>Attorney-in-Fact</w:t>
            </w:r>
          </w:p>
        </w:tc>
        <w:tc>
          <w:tcPr>
            <w:tcW w:w="11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18648"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2019-12-04T02:29:45Z</dcterms:created>
  <dcterms:modified xsi:type="dcterms:W3CDTF">2019-12-04T02:29:45Z</dcterms:modified>
</cp:coreProperties>
</file>