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32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9"/>
            <w:vMerge w:val="restart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Lydon Nicholas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55,784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-5925820</wp:posOffset>
            </wp:positionV>
            <wp:extent cx="7045325" cy="60807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08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160" w:firstLine="5"/>
        <w:spacing w:after="0" w:line="29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21, 2024 and (ii) the next annual meeting of the Issuer's stockholders. Each restricted stock unit represents a contingent right to receive one share of the Issuer's common stock.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June 21, 2024 and (ii) the next annual meeting of the Issuer's stockholders.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06/23/2023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639935" TargetMode="External"/><Relationship Id="rId9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2023-06-23T18:04:50Z</dcterms:created>
  <dcterms:modified xsi:type="dcterms:W3CDTF">2023-06-23T18:04:50Z</dcterms:modified>
</cp:coreProperties>
</file>