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8686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8680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Seely Lynn</w:t>
              </w:r>
            </w:hyperlink>
          </w:p>
        </w:tc>
        <w:tc>
          <w:tcPr>
            <w:tcW w:w="1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Blueprint Medicines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BPMC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07/17/2025</w:t>
            </w:r>
          </w:p>
        </w:tc>
        <w:tc>
          <w:tcPr>
            <w:tcW w:w="1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45 SIDNEY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3,902</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340" w:type="dxa"/>
            <w:vAlign w:val="bottom"/>
            <w:tcBorders>
              <w:bottom w:val="single" w:sz="8" w:color="2C2C2C"/>
            </w:tcBorders>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13,254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13,254</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61"/>
              <w:spacing w:after="0" w:line="129" w:lineRule="exact"/>
              <w:rPr>
                <w:sz w:val="20"/>
                <w:szCs w:val="20"/>
                <w:color w:val="auto"/>
              </w:rPr>
            </w:pPr>
            <w:r>
              <w:rPr>
                <w:rFonts w:ascii="Arial" w:cs="Arial" w:eastAsia="Arial" w:hAnsi="Arial"/>
                <w:sz w:val="12"/>
                <w:szCs w:val="12"/>
                <w:b w:val="1"/>
                <w:bCs w:val="1"/>
                <w:color w:val="auto"/>
                <w:w w:val="95"/>
              </w:rPr>
              <w:t>Expiration</w:t>
            </w:r>
          </w:p>
        </w:tc>
        <w:tc>
          <w:tcPr>
            <w:tcW w:w="60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right"/>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19.08</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21,818</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jc w:val="center"/>
              <w:ind w:right="61"/>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21,818</w:t>
            </w:r>
          </w:p>
        </w:tc>
        <w:tc>
          <w:tcPr>
            <w:tcW w:w="760" w:type="dxa"/>
            <w:vAlign w:val="bottom"/>
            <w:gridSpan w:val="2"/>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59"/>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right"/>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19.53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10,909</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jc w:val="center"/>
              <w:ind w:right="61"/>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10,909</w:t>
            </w:r>
          </w:p>
        </w:tc>
        <w:tc>
          <w:tcPr>
            <w:tcW w:w="760" w:type="dxa"/>
            <w:vAlign w:val="bottom"/>
            <w:gridSpan w:val="2"/>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59"/>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right"/>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46.02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10,909</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jc w:val="center"/>
              <w:ind w:right="61"/>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10,909</w:t>
            </w:r>
          </w:p>
        </w:tc>
        <w:tc>
          <w:tcPr>
            <w:tcW w:w="760" w:type="dxa"/>
            <w:vAlign w:val="bottom"/>
            <w:gridSpan w:val="2"/>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59"/>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right"/>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69.79</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7,500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jc w:val="center"/>
              <w:ind w:right="59"/>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7,500</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9"/>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right"/>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96.77</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4,875</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jc w:val="center"/>
              <w:ind w:right="59"/>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4,875</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9"/>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right"/>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76.24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4,500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jc w:val="center"/>
              <w:ind w:right="59"/>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4,500</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9"/>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right"/>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87.13</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4,500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jc w:val="center"/>
              <w:ind w:right="59"/>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4,500</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9"/>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right"/>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50.64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5,300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jc w:val="center"/>
              <w:ind w:right="59"/>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5,300</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9"/>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right"/>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63.66</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5,300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jc w:val="center"/>
              <w:ind w:right="59"/>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5,300</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restart"/>
          </w:tcPr>
          <w:p>
            <w:pPr>
              <w:jc w:val="center"/>
              <w:ind w:right="59"/>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09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093595"/>
                    </a:xfrm>
                    <a:prstGeom prst="rect">
                      <a:avLst/>
                    </a:prstGeom>
                    <a:noFill/>
                  </pic:spPr>
                </pic:pic>
              </a:graphicData>
            </a:graphic>
          </wp:anchor>
        </w:drawing>
        <w:t>Table II - Derivative Securities Acquired, Disposed of, or Beneficially Owned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106.14</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07/17/2025</w:t>
            </w:r>
          </w:p>
        </w:tc>
        <w:tc>
          <w:tcPr>
            <w:tcW w:w="1080" w:type="dxa"/>
            <w:vAlign w:val="bottom"/>
          </w:tcPr>
          <w:p>
            <w:pPr>
              <w:spacing w:after="0"/>
              <w:rPr>
                <w:sz w:val="12"/>
                <w:szCs w:val="12"/>
                <w:color w:val="auto"/>
              </w:rPr>
            </w:pPr>
          </w:p>
        </w:tc>
        <w:tc>
          <w:tcPr>
            <w:tcW w:w="8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4,570</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4,570</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20" w:right="420" w:firstLine="1"/>
        <w:spacing w:after="0" w:line="254"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transacted pursuant to the Agreement and Plan of Merger (the "Merger Agreement") by and among the Issuer, SANOFI, a French societe anonyme ("Parent"), Aventis Inc., a Pennsylvania corporation and wholly owned subsidiary of Parent ("Aventis"), and Rothko Merger Sub, Inc., a Delaware corporation and wholly owned subsidiary of Aventis ("Purchaser").</w:t>
      </w:r>
    </w:p>
    <w:p>
      <w:pPr>
        <w:spacing w:after="0" w:line="17"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Purchaser completed a tender offer to acquire all of the issued and outstanding shares of common stock of the Issuer, par value $0.001 per share (the "Common Stock"), for</w:t>
      </w:r>
    </w:p>
    <w:p>
      <w:pPr>
        <w:spacing w:after="0" w:line="5" w:lineRule="exact"/>
        <w:rPr>
          <w:rFonts w:ascii="Times New Roman" w:cs="Times New Roman" w:eastAsia="Times New Roman" w:hAnsi="Times New Roman"/>
          <w:sz w:val="13"/>
          <w:szCs w:val="13"/>
          <w:color w:val="008000"/>
        </w:rPr>
      </w:pPr>
    </w:p>
    <w:p>
      <w:pPr>
        <w:ind w:left="20" w:right="200"/>
        <w:spacing w:after="0" w:line="232"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 $129.00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pacing w:after="0" w:line="27" w:lineRule="exact"/>
        <w:rPr>
          <w:rFonts w:ascii="Times New Roman" w:cs="Times New Roman" w:eastAsia="Times New Roman" w:hAnsi="Times New Roman"/>
          <w:sz w:val="13"/>
          <w:szCs w:val="13"/>
          <w:color w:val="008000"/>
        </w:rPr>
      </w:pPr>
    </w:p>
    <w:p>
      <w:pPr>
        <w:ind w:left="20" w:right="300" w:firstLine="1"/>
        <w:spacing w:after="0" w:line="254"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 receive the Offer Consideration.</w:t>
      </w:r>
    </w:p>
    <w:p>
      <w:pPr>
        <w:spacing w:after="0" w:line="17"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share of Common Stock held by the Reporting Person was tendered in exchange for the Offer Consideration.</w:t>
      </w:r>
    </w:p>
    <w:p>
      <w:pPr>
        <w:spacing w:after="0" w:line="43" w:lineRule="exact"/>
        <w:rPr>
          <w:rFonts w:ascii="Times New Roman" w:cs="Times New Roman" w:eastAsia="Times New Roman" w:hAnsi="Times New Roman"/>
          <w:sz w:val="13"/>
          <w:szCs w:val="13"/>
          <w:color w:val="008000"/>
        </w:rPr>
      </w:pPr>
    </w:p>
    <w:p>
      <w:pPr>
        <w:ind w:left="20" w:right="180" w:firstLine="1"/>
        <w:spacing w:after="0" w:line="235"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80"/>
        <w:spacing w:after="0" w:line="185" w:lineRule="auto"/>
        <w:rPr>
          <w:sz w:val="20"/>
          <w:szCs w:val="20"/>
          <w:color w:val="auto"/>
        </w:rPr>
      </w:pPr>
      <w:r>
        <w:rPr>
          <w:rFonts w:ascii="Times New Roman" w:cs="Times New Roman" w:eastAsia="Times New Roman" w:hAnsi="Times New Roman"/>
          <w:sz w:val="16"/>
          <w:szCs w:val="16"/>
          <w:color w:val="0000FF"/>
        </w:rPr>
        <w:t xml:space="preserve">/s/ Melissa Masse, Attorney-in- </w:t>
      </w:r>
      <w:r>
        <w:rPr>
          <w:rFonts w:ascii="Times New Roman" w:cs="Times New Roman" w:eastAsia="Times New Roman" w:hAnsi="Times New Roman"/>
          <w:sz w:val="31"/>
          <w:szCs w:val="31"/>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-26670</wp:posOffset>
            </wp:positionV>
            <wp:extent cx="1337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20" w:right="3600" w:firstLine="1"/>
        <w:spacing w:after="0" w:line="335"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7111"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2025-07-21T18:50:06Z</dcterms:created>
  <dcterms:modified xsi:type="dcterms:W3CDTF">2025-07-21T18:50:06Z</dcterms:modified>
</cp:coreProperties>
</file>