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2764790</wp:posOffset>
            </wp:positionH>
            <wp:positionV relativeFrom="page">
              <wp:posOffset>157480</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t>UNITED STATES</w:t>
      </w:r>
    </w:p>
    <w:p>
      <w:pPr>
        <w:spacing w:after="0" w:line="36" w:lineRule="exact"/>
        <w:rPr>
          <w:sz w:val="24"/>
          <w:szCs w:val="24"/>
          <w:color w:val="auto"/>
        </w:rPr>
      </w:pPr>
    </w:p>
    <w:p>
      <w:pPr>
        <w:jc w:val="center"/>
        <w:ind w:right="-4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8"/>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133350</wp:posOffset>
            </wp:positionV>
            <wp:extent cx="20326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388" w:lineRule="exact"/>
        <w:rPr>
          <w:sz w:val="24"/>
          <w:szCs w:val="24"/>
          <w:color w:val="auto"/>
        </w:rPr>
      </w:pPr>
    </w:p>
    <w:p>
      <w:pPr>
        <w:jc w:val="center"/>
        <w:ind w:right="-48"/>
        <w:spacing w:after="0"/>
        <w:rPr>
          <w:sz w:val="20"/>
          <w:szCs w:val="20"/>
          <w:color w:val="auto"/>
        </w:rPr>
      </w:pPr>
      <w:r>
        <w:rPr>
          <w:rFonts w:ascii="Arial" w:cs="Arial" w:eastAsia="Arial" w:hAnsi="Arial"/>
          <w:sz w:val="29"/>
          <w:szCs w:val="29"/>
          <w:b w:val="1"/>
          <w:bCs w:val="1"/>
          <w:color w:val="auto"/>
        </w:rPr>
        <w:t>SCHEDULE 14A</w:t>
      </w:r>
    </w:p>
    <w:p>
      <w:pPr>
        <w:spacing w:after="0" w:line="112" w:lineRule="exact"/>
        <w:rPr>
          <w:sz w:val="24"/>
          <w:szCs w:val="24"/>
          <w:color w:val="auto"/>
        </w:rPr>
      </w:pPr>
    </w:p>
    <w:p>
      <w:pPr>
        <w:jc w:val="center"/>
        <w:ind w:right="-48"/>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8"/>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48"/>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228600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9"/>
        <w:spacing w:after="0" w:line="207" w:lineRule="exact"/>
        <w:tabs>
          <w:tab w:leader="none" w:pos="3128"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ind w:left="9"/>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529" w:hanging="529"/>
        <w:spacing w:after="0"/>
        <w:tabs>
          <w:tab w:leader="none" w:pos="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4"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529" w:hanging="529"/>
        <w:spacing w:after="0"/>
        <w:tabs>
          <w:tab w:leader="none" w:pos="52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60" w:lineRule="exact"/>
        <w:rPr>
          <w:sz w:val="24"/>
          <w:szCs w:val="24"/>
          <w:color w:val="auto"/>
        </w:rPr>
      </w:pPr>
    </w:p>
    <w:p>
      <w:pPr>
        <w:jc w:val="center"/>
        <w:ind w:right="-48"/>
        <w:spacing w:after="0"/>
        <w:rPr>
          <w:sz w:val="20"/>
          <w:szCs w:val="20"/>
          <w:color w:val="auto"/>
        </w:rPr>
      </w:pPr>
      <w:r>
        <w:rPr>
          <w:rFonts w:ascii="Arial" w:cs="Arial" w:eastAsia="Arial" w:hAnsi="Arial"/>
          <w:sz w:val="36"/>
          <w:szCs w:val="36"/>
          <w:b w:val="1"/>
          <w:bCs w:val="1"/>
          <w:color w:val="auto"/>
        </w:rPr>
        <w:t>BLUEPRINT MEDICINES CORPORATION</w:t>
      </w:r>
    </w:p>
    <w:p>
      <w:pPr>
        <w:spacing w:after="0" w:line="37" w:lineRule="exact"/>
        <w:rPr>
          <w:sz w:val="24"/>
          <w:szCs w:val="24"/>
          <w:color w:val="auto"/>
        </w:rPr>
      </w:pPr>
    </w:p>
    <w:p>
      <w:pPr>
        <w:jc w:val="center"/>
        <w:ind w:right="-48"/>
        <w:spacing w:after="0"/>
        <w:rPr>
          <w:sz w:val="20"/>
          <w:szCs w:val="20"/>
          <w:color w:val="auto"/>
        </w:rPr>
      </w:pPr>
      <w:r>
        <w:rPr>
          <w:rFonts w:ascii="Arial" w:cs="Arial" w:eastAsia="Arial" w:hAnsi="Arial"/>
          <w:sz w:val="14"/>
          <w:szCs w:val="14"/>
          <w:b w:val="1"/>
          <w:bCs w:val="1"/>
          <w:color w:val="auto"/>
        </w:rPr>
        <w:t>(Name of Registrant as Specified in Its certificate of incorporation)</w:t>
      </w:r>
    </w:p>
    <w:p>
      <w:pPr>
        <w:spacing w:after="0" w:line="53" w:lineRule="exact"/>
        <w:rPr>
          <w:sz w:val="24"/>
          <w:szCs w:val="24"/>
          <w:color w:val="auto"/>
        </w:rPr>
      </w:pPr>
    </w:p>
    <w:p>
      <w:pPr>
        <w:jc w:val="center"/>
        <w:ind w:right="-48"/>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0" w:lineRule="exact"/>
        <w:rPr>
          <w:sz w:val="24"/>
          <w:szCs w:val="24"/>
          <w:color w:val="auto"/>
        </w:rPr>
      </w:pPr>
    </w:p>
    <w:p>
      <w:pPr>
        <w:ind w:left="9"/>
        <w:spacing w:after="0"/>
        <w:rPr>
          <w:sz w:val="20"/>
          <w:szCs w:val="20"/>
          <w:color w:val="auto"/>
        </w:rPr>
      </w:pPr>
      <w:r>
        <w:rPr>
          <w:rFonts w:ascii="Arial" w:cs="Arial" w:eastAsia="Arial" w:hAnsi="Arial"/>
          <w:sz w:val="18"/>
          <w:szCs w:val="18"/>
          <w:color w:val="auto"/>
        </w:rPr>
        <w:t>Payment of Filing Fee (Check the appropriate box):</w:t>
      </w:r>
    </w:p>
    <w:p>
      <w:pPr>
        <w:spacing w:after="0" w:line="306" w:lineRule="exact"/>
        <w:rPr>
          <w:sz w:val="24"/>
          <w:szCs w:val="24"/>
          <w:color w:val="auto"/>
        </w:rPr>
      </w:pPr>
    </w:p>
    <w:p>
      <w:pPr>
        <w:ind w:left="529" w:hanging="529"/>
        <w:spacing w:after="0"/>
        <w:tabs>
          <w:tab w:leader="none" w:pos="52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529" w:hanging="529"/>
        <w:spacing w:after="0"/>
        <w:tabs>
          <w:tab w:leader="none" w:pos="52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1009" w:right="300" w:hanging="482"/>
        <w:spacing w:after="0" w:line="246" w:lineRule="auto"/>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009" w:hanging="482"/>
        <w:spacing w:after="0"/>
        <w:tabs>
          <w:tab w:leader="none" w:pos="100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529" w:hanging="529"/>
        <w:spacing w:after="0"/>
        <w:tabs>
          <w:tab w:leader="none" w:pos="529"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29" w:hanging="529"/>
        <w:spacing w:after="0" w:line="307" w:lineRule="auto"/>
        <w:tabs>
          <w:tab w:leader="none" w:pos="529"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 w:lineRule="exact"/>
        <w:rPr>
          <w:rFonts w:ascii="MS PGothic" w:cs="MS PGothic" w:eastAsia="MS PGothic" w:hAnsi="MS PGothic"/>
          <w:sz w:val="16"/>
          <w:szCs w:val="16"/>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989" w:hanging="462"/>
        <w:spacing w:after="0"/>
        <w:tabs>
          <w:tab w:leader="none" w:pos="989"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623570</wp:posOffset>
            </wp:positionH>
            <wp:positionV relativeFrom="paragraph">
              <wp:posOffset>74930</wp:posOffset>
            </wp:positionV>
            <wp:extent cx="5977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-190500</wp:posOffset>
            </wp:positionV>
            <wp:extent cx="5977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-455930</wp:posOffset>
            </wp:positionV>
            <wp:extent cx="597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623570</wp:posOffset>
            </wp:positionH>
            <wp:positionV relativeFrom="paragraph">
              <wp:posOffset>-721995</wp:posOffset>
            </wp:positionV>
            <wp:extent cx="5977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-1485265</wp:posOffset>
            </wp:positionV>
            <wp:extent cx="5960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-1751330</wp:posOffset>
            </wp:positionV>
            <wp:extent cx="5960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-2016760</wp:posOffset>
            </wp:positionV>
            <wp:extent cx="5960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-2385695</wp:posOffset>
            </wp:positionV>
            <wp:extent cx="5960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640715</wp:posOffset>
            </wp:positionH>
            <wp:positionV relativeFrom="paragraph">
              <wp:posOffset>-2651760</wp:posOffset>
            </wp:positionV>
            <wp:extent cx="5960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563880</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432"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2927350</wp:posOffset>
            </wp:positionH>
            <wp:positionV relativeFrom="page">
              <wp:posOffset>88900</wp:posOffset>
            </wp:positionV>
            <wp:extent cx="170688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06880" cy="582930"/>
                    </a:xfrm>
                    <a:prstGeom prst="rect">
                      <a:avLst/>
                    </a:prstGeom>
                    <a:noFill/>
                  </pic:spPr>
                </pic:pic>
              </a:graphicData>
            </a:graphic>
          </wp:anchor>
        </w:drawing>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 Sidney Street,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Definitive Proxy Statement Relating to 2017 Annual Meeting of Stockholders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proxy statement supplement, dated June 13, 2017, supplements the definitive proxy statement (the “Proxy Statement”) of Blueprint Medicines Corporation (the “Company”) filed with the Securities and Exchange Commission on April 28, 2017 relating to the annual meeting of stockholders of the Company to be held on June 20, 2017 beginning at 3:00 p.m., Eastern Daylight Time, at the Company’s offices located at 38 Sidney Street, Suite 200, Cambridge, Massachusetts 02139.</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purpose of this supplement is to correct an error in the table included at pages 28 through 29 of the Proxy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Statement under “Participation in Follow-On Public Offerings—April 2017,” which inadvertently omitted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purchased by entities affiliated with Wellington Management Group LLP in connection with the Company’s April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follow-on public offering, and to correct an error in the beneficial ownership table included at pages 30 through 32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under “Security Ownership of Certain Beneficial Owners and Management,” which inadvertently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omitted shares of common stock beneficially owned as of March 31, 2017 by entities affiliated with Wellington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Group LLP. The corrected tables are included below.</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Except for the information regarding entities affiliated with Wellington Management Group LLP in the two tables included below, all information set forth in the Proxy Statement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48895</wp:posOffset>
            </wp:positionV>
            <wp:extent cx="14319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2017</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March 2017, we entered into an underwriting agreement with Goldman, Sachs &amp; Co. and Morgan Stanley &amp; Co. LLC, as representatives of the several underwriters, relating to a follow-on underwritten public offering of shares of our common stock. Pursuant to the underwriting agreement, we sold an aggregate of 5,750,000 shares of our common stock to the underwriters, including 750,000 shares of common stock sold by us pursuant to the exercise in full by the underwriters of their option to purchase additional shares in connection with the offering, at a price to the public of $40.00 per share. The offering closed on April 4, 2017. Certain holders of more than 5% of our capital stock (including shares of common stock acquired in the offering) purchased shares of our common stock from the underwriters in the offering at the offering price of the shares to the public.</w:t>
      </w:r>
    </w:p>
    <w:p>
      <w:pPr>
        <w:spacing w:after="0" w:line="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number of shares of our common stock purchased and the aggregate cash purchase price paid by each of these stockholders.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5"/>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Purchaser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Purchase Price</w:t>
            </w:r>
          </w:p>
        </w:tc>
        <w:tc>
          <w:tcPr>
            <w:tcW w:w="1820" w:type="dxa"/>
            <w:vAlign w:val="bottom"/>
          </w:tcPr>
          <w:p>
            <w:pPr>
              <w:spacing w:after="0"/>
              <w:rPr>
                <w:sz w:val="16"/>
                <w:szCs w:val="16"/>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Deerfield Mgmt, L.P.</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21,000,000</w:t>
            </w:r>
          </w:p>
        </w:tc>
        <w:tc>
          <w:tcPr>
            <w:tcW w:w="182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 Group LLP</w:t>
            </w: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20,000,000</w:t>
            </w:r>
          </w:p>
        </w:tc>
        <w:tc>
          <w:tcPr>
            <w:tcW w:w="182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Management &amp; Research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14,000,000</w:t>
            </w:r>
          </w:p>
        </w:tc>
        <w:tc>
          <w:tcPr>
            <w:tcW w:w="1820" w:type="dxa"/>
            <w:vAlign w:val="bottom"/>
          </w:tcPr>
          <w:p>
            <w:pPr>
              <w:spacing w:after="0"/>
              <w:rPr>
                <w:sz w:val="18"/>
                <w:szCs w:val="18"/>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820" w:type="dxa"/>
            <w:vAlign w:val="bottom"/>
          </w:tcPr>
          <w:p>
            <w:pPr>
              <w:spacing w:after="0"/>
              <w:rPr>
                <w:sz w:val="20"/>
                <w:szCs w:val="20"/>
                <w:color w:val="auto"/>
              </w:rPr>
            </w:pPr>
          </w:p>
        </w:tc>
      </w:tr>
      <w:tr>
        <w:trPr>
          <w:trHeight w:val="222"/>
        </w:trPr>
        <w:tc>
          <w:tcPr>
            <w:tcW w:w="4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040" w:right="1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3064510</wp:posOffset>
            </wp:positionH>
            <wp:positionV relativeFrom="page">
              <wp:posOffset>88900</wp:posOffset>
            </wp:positionV>
            <wp:extent cx="14319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8890"/>
                    </a:xfrm>
                    <a:prstGeom prst="rect">
                      <a:avLst/>
                    </a:prstGeom>
                    <a:noFill/>
                  </pic:spPr>
                </pic:pic>
              </a:graphicData>
            </a:graphic>
          </wp:anchor>
        </w:drawing>
        <w:t>Security Ownership of Certain Beneficial Owners and Management</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Unless otherwise provided below, the following table sets forth information regarding beneficial ownership of our common stock as of March 31, 2017 by:</w:t>
      </w:r>
    </w:p>
    <w:p>
      <w:pPr>
        <w:spacing w:after="0" w:line="62" w:lineRule="exact"/>
        <w:rPr>
          <w:sz w:val="20"/>
          <w:szCs w:val="20"/>
          <w:color w:val="auto"/>
        </w:rPr>
      </w:pPr>
    </w:p>
    <w:p>
      <w:pPr>
        <w:ind w:left="1060" w:right="520" w:hanging="85"/>
        <w:spacing w:after="0" w:line="25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1" w:lineRule="exact"/>
        <w:rPr>
          <w:rFonts w:ascii="Arial" w:cs="Arial" w:eastAsia="Arial" w:hAnsi="Arial"/>
          <w:sz w:val="18"/>
          <w:szCs w:val="18"/>
          <w:color w:val="auto"/>
        </w:rPr>
      </w:pPr>
    </w:p>
    <w:p>
      <w:pPr>
        <w:ind w:left="1200" w:hanging="22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9" w:lineRule="exact"/>
        <w:rPr>
          <w:rFonts w:ascii="Arial" w:cs="Arial" w:eastAsia="Arial" w:hAnsi="Arial"/>
          <w:sz w:val="18"/>
          <w:szCs w:val="18"/>
          <w:color w:val="auto"/>
        </w:rPr>
      </w:pPr>
    </w:p>
    <w:p>
      <w:pPr>
        <w:ind w:left="1060" w:right="180" w:hanging="85"/>
        <w:spacing w:after="0" w:line="250"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principal executive officer and our two other executive officers who served during the year ended December 31, 2016 named in the Summary Compensation table above, whom we collectively refer to as our named executive officers; and</w:t>
      </w:r>
    </w:p>
    <w:p>
      <w:pPr>
        <w:spacing w:after="0" w:line="1" w:lineRule="exact"/>
        <w:rPr>
          <w:rFonts w:ascii="Arial" w:cs="Arial" w:eastAsia="Arial" w:hAnsi="Arial"/>
          <w:sz w:val="18"/>
          <w:szCs w:val="18"/>
          <w:color w:val="auto"/>
        </w:rPr>
      </w:pPr>
    </w:p>
    <w:p>
      <w:pPr>
        <w:ind w:left="1120" w:hanging="1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Shares of our common stock subject to options or restricted stock unit awards that are currently exercisable or will become exercisable within 60 days after March 31, 2017 are considered outstanding and beneficially owned by the person holding the options or restricted stock units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5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column entitled “Percentage of Shares Beneficially Owned” is based on a total of 33,249,614 shares of our common stock outstanding as of March 31, 2017. Except as otherwise set forth below, the address of the beneficial owner is c/o Blueprint Medicines Corporation, 38 Sidney Street, Suite 200, Cambridge, Massachusetts 02139. Beneficial ownership representing less than one percent of our outstanding common stock is denoted with an “*.”</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vMerge w:val="restart"/>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owned</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Fidelity Management &amp; Research (1)</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3,878,140</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Wellington Management Group LLP (2)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3,821,584</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Third Rock Ventures II, L.P. (3)</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3,453,753</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Biotechnology Value Fund, L.P. (4)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3,255,280</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Entities affiliated with Deerfield Mgmt, L.P. (5)</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1,842,415</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BlackRock, Inc. (6)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1,693,725</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Albers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Alexis Borisy (8)</w:t>
            </w:r>
          </w:p>
        </w:tc>
        <w:tc>
          <w:tcPr>
            <w:tcW w:w="860" w:type="dxa"/>
            <w:vAlign w:val="bottom"/>
          </w:tcPr>
          <w:p>
            <w:pPr>
              <w:jc w:val="right"/>
              <w:spacing w:after="0"/>
              <w:rPr>
                <w:sz w:val="20"/>
                <w:szCs w:val="20"/>
                <w:color w:val="auto"/>
              </w:rPr>
            </w:pPr>
            <w:r>
              <w:rPr>
                <w:rFonts w:ascii="Arial" w:cs="Arial" w:eastAsia="Arial" w:hAnsi="Arial"/>
                <w:sz w:val="18"/>
                <w:szCs w:val="18"/>
                <w:color w:val="auto"/>
              </w:rPr>
              <w:t>47,390</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Lonnel Coats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George D. Demetri (10)</w:t>
            </w:r>
          </w:p>
        </w:tc>
        <w:tc>
          <w:tcPr>
            <w:tcW w:w="860" w:type="dxa"/>
            <w:vAlign w:val="bottom"/>
          </w:tcPr>
          <w:p>
            <w:pPr>
              <w:jc w:val="right"/>
              <w:spacing w:after="0"/>
              <w:rPr>
                <w:sz w:val="20"/>
                <w:szCs w:val="20"/>
                <w:color w:val="auto"/>
              </w:rPr>
            </w:pPr>
            <w:r>
              <w:rPr>
                <w:rFonts w:ascii="Arial" w:cs="Arial" w:eastAsia="Arial" w:hAnsi="Arial"/>
                <w:sz w:val="18"/>
                <w:szCs w:val="18"/>
                <w:color w:val="auto"/>
              </w:rPr>
              <w:t>47,573</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Marion Dorsch, Ph.D.</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Mark Goldberg (11)</w:t>
            </w:r>
          </w:p>
        </w:tc>
        <w:tc>
          <w:tcPr>
            <w:tcW w:w="860" w:type="dxa"/>
            <w:vAlign w:val="bottom"/>
          </w:tcPr>
          <w:p>
            <w:pPr>
              <w:jc w:val="right"/>
              <w:spacing w:after="0"/>
              <w:rPr>
                <w:sz w:val="20"/>
                <w:szCs w:val="20"/>
                <w:color w:val="auto"/>
              </w:rPr>
            </w:pPr>
            <w:r>
              <w:rPr>
                <w:rFonts w:ascii="Arial" w:cs="Arial" w:eastAsia="Arial" w:hAnsi="Arial"/>
                <w:sz w:val="18"/>
                <w:szCs w:val="18"/>
                <w:color w:val="auto"/>
              </w:rPr>
              <w:t>13,939</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Lydon (12)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202,727</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Daniel S. Lynch (13)</w:t>
            </w:r>
          </w:p>
        </w:tc>
        <w:tc>
          <w:tcPr>
            <w:tcW w:w="860" w:type="dxa"/>
            <w:vAlign w:val="bottom"/>
          </w:tcPr>
          <w:p>
            <w:pPr>
              <w:jc w:val="right"/>
              <w:spacing w:after="0"/>
              <w:rPr>
                <w:sz w:val="20"/>
                <w:szCs w:val="20"/>
                <w:color w:val="auto"/>
              </w:rPr>
            </w:pPr>
            <w:r>
              <w:rPr>
                <w:rFonts w:ascii="Arial" w:cs="Arial" w:eastAsia="Arial" w:hAnsi="Arial"/>
                <w:sz w:val="18"/>
                <w:szCs w:val="18"/>
                <w:color w:val="auto"/>
              </w:rPr>
              <w:t>250,119</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Tracey L. McCain (14)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Charles A. Rowland, Jr. (15)</w:t>
            </w:r>
          </w:p>
        </w:tc>
        <w:tc>
          <w:tcPr>
            <w:tcW w:w="860" w:type="dxa"/>
            <w:vAlign w:val="bottom"/>
          </w:tcPr>
          <w:p>
            <w:pPr>
              <w:jc w:val="right"/>
              <w:spacing w:after="0"/>
              <w:rPr>
                <w:sz w:val="20"/>
                <w:szCs w:val="20"/>
                <w:color w:val="auto"/>
              </w:rPr>
            </w:pPr>
            <w:r>
              <w:rPr>
                <w:rFonts w:ascii="Arial" w:cs="Arial" w:eastAsia="Arial" w:hAnsi="Arial"/>
                <w:sz w:val="18"/>
                <w:szCs w:val="18"/>
                <w:color w:val="auto"/>
              </w:rPr>
              <w:t>15,757</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Seely, M.D. (16)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(14 persons) (17)</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1,149,267</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351" w:right="1419" w:bottom="1440" w:gutter="0" w:footer="0" w:header="0"/>
        </w:sectPr>
      </w:pPr>
    </w:p>
    <w:bookmarkStart w:id="3" w:name="page4"/>
    <w:bookmarkEnd w:id="3"/>
    <w:p>
      <w:pPr>
        <w:ind w:left="317" w:hanging="317"/>
        <w:spacing w:after="0" w:line="286"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t>Based solely on a schedule 13G/A filed with the SEC on February 14, 2017 by Fidelity Management and Research LLC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60" w:lineRule="exact"/>
        <w:rPr>
          <w:rFonts w:ascii="Arial" w:cs="Arial" w:eastAsia="Arial" w:hAnsi="Arial"/>
          <w:sz w:val="16"/>
          <w:szCs w:val="16"/>
          <w:color w:val="auto"/>
        </w:rPr>
      </w:pPr>
    </w:p>
    <w:p>
      <w:pPr>
        <w:ind w:left="317" w:right="20" w:hanging="317"/>
        <w:spacing w:after="0" w:line="287"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solely on a schedule 13G filed with the SEC on April 10, 2017 by Wellington Management Group LLP. Wellington Group Holdings LLP, Wellington Investment Advisors Holdings LLP and Wellington Management Company LLP. Wellington Investment Advisors Holdings LLP is owned by Wellington Group Holdings LLP. Wellington Group Holdings LLP is owned by Wellington Management Group LLP. The shares are owned of record by clients of the following investment advisers (the “Wellington Investment Advisers”): Wellington Management Company LLP, Wellington Management Canada LLC, Wellington Management Singapore Pte Ltd, Wellington Management Hong Kong Ltd, Wellington Management International Ltd, Wellington Management Japan Pte Ltd and Wellington Management Australia Pty Ltd. Wellington Investment Advisors Holdings LLP controls directly, or indirectly through Wellington Management Global Holdings, Ltd., the Wellington Investment Advisers. The address of Wellington Management Group LLP, Wellington Group Holdings LLP, Wellington Investment Advisors Holdings LLP and Wellington Management Company LLP is c/o Wellington Management Company LLP, 280 Congress Street, Boston, MA 02210.</w:t>
      </w:r>
    </w:p>
    <w:p>
      <w:pPr>
        <w:spacing w:after="0" w:line="280" w:lineRule="exact"/>
        <w:rPr>
          <w:rFonts w:ascii="Arial" w:cs="Arial" w:eastAsia="Arial" w:hAnsi="Arial"/>
          <w:sz w:val="16"/>
          <w:szCs w:val="16"/>
          <w:color w:val="auto"/>
        </w:rPr>
      </w:pPr>
    </w:p>
    <w:p>
      <w:pPr>
        <w:ind w:left="317" w:right="20" w:hanging="317"/>
        <w:spacing w:after="0" w:line="273" w:lineRule="auto"/>
        <w:tabs>
          <w:tab w:leader="none" w:pos="317"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solely on a Form 4 filed with the SEC on February 27, 2017 by Third Rock Ventures II, L.P. (“TRV LP”). TRV LP directly owns 3,453,753 shares of common stock. Each of Third Rock Ventures II GP, LP (“TRV GP”), the general partner of TRV LP, and Third Rock Ventures GP, LLC (“TRV LLC”), the general partner of TRV GP, and Mark Levin, Kevin Starr and Robert Tepper, the managers of TRV LLC, may be deemed to share voting and investment power over the shares held of record by TRV LP. The address for TRV LP, TRV GP, TRV LLC and Messrs. Levin, Starr and Tepper is c/o Third Rock Ventures, LLC, 29 Newbury Street, 3rd Floor, Boston, MA 02116.</w:t>
      </w:r>
    </w:p>
    <w:p>
      <w:pPr>
        <w:spacing w:after="0" w:line="70" w:lineRule="exact"/>
        <w:rPr>
          <w:rFonts w:ascii="Arial" w:cs="Arial" w:eastAsia="Arial" w:hAnsi="Arial"/>
          <w:sz w:val="17"/>
          <w:szCs w:val="17"/>
          <w:color w:val="auto"/>
        </w:rPr>
      </w:pPr>
    </w:p>
    <w:p>
      <w:pPr>
        <w:ind w:left="317" w:hanging="317"/>
        <w:spacing w:after="0" w:line="285"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 on February 14, 2017 by Biotechnology Value Fund, L.P. (“BVF”). As of December 31, 2016, BVF beneficially owned 1,564,734shares of common stock, Biotechnology Value Fund II, L.P. (“BVF II”) beneficially owned 959,457 shares of common stock and Biotechnology Value Trading Fund OS LP (“Trading Fund OS”) beneficially owned 238,070 shares of common stock. BVF Partners OS Ltd. (“Partners OS”), as the general partner of Trading Fund OS, may be deemed to beneficially own 238,070 shares of common stock beneficially owned by Trading Fund OS. BVF Partners L.P. (“Partners”), as the general partner of BVF, BVF II, the investment manager of Trading Fund OS, and the sole member of Partners OS, may be deemed to beneficially own 3,255,280 shares of common stock beneficially owned in the aggregate by BVF, BVF II, Trading Fund OS, and certain Partners managed accounts (the “Partners Managed Accounts”), including 493,019 shares of common stock held in the Partners Managed Accounts. BVF Inc. (“BVF, Inc.”), as the general partner of Partners, may be deemed to beneficially own 3,255,280 shares of common stock beneficially owned by Partners. Mark N. Lampert, as a director and officer of BVF Inc., may be deemed to beneficially own 3,255,280 shares of common stock beneficially owned by BVF, Inc. Partners OS disclaims beneficial ownership of the shares of common stock beneficially owned by Trading Fund OS. Each of Partners, BVF Inc. and Mr. Lampert disclaims beneficial ownership of the shares of Common Stock beneficially owned by BVF, BVF II, Trading Fund OS and the Partners Managed Accounts. The address for BVF, BVF II, Partners, BVF Inc. and Mr. Lampert is 1 Sansome Street, 30th Floor, San Francisco, CA 94104. The address for Trading Fund OS and Partners OS is PO Box 309, Ugland House, Grand Cayman, KY1-1104,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57"/>
          </w:cols>
          <w:pgMar w:left="1423" w:top="247" w:right="1419" w:bottom="1440" w:gutter="0" w:footer="0" w:header="0"/>
        </w:sectPr>
      </w:pPr>
    </w:p>
    <w:bookmarkStart w:id="4" w:name="page5"/>
    <w:bookmarkEnd w:id="4"/>
    <w:p>
      <w:pPr>
        <w:ind w:left="317" w:right="40" w:hanging="317"/>
        <w:spacing w:after="0" w:line="272"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solely on a schedule 13G/A filed with the SEC on February 14, 2017. As of December 31, 2016, Deerfield Mgmt, L.P. beneficially owned 1,842,415 shares of common stock, Deerfield Management Company, L.P. beneficially owned 1,842,415 shares of common stock, Deerfield Partners, L.P. beneficially owned 806,977 shares of common stock, Deerfield International Master Fund, L.P. beneficially owned 1,035,438 shares of common stock and James E. Flynn beneficially owned 1,842,415 shares of common stock. The address for James E. Flynn, Deerfield Mgmt, L.P., Deerfield Management Company, L.P., Deerfield Partners, L.P., Deerfield International Master Fund, L.P. is 780 Third Avenue, 37th Floor, New York, NY 10017.</w:t>
      </w:r>
    </w:p>
    <w:p>
      <w:pPr>
        <w:spacing w:after="0" w:line="69" w:lineRule="exact"/>
        <w:rPr>
          <w:rFonts w:ascii="Arial" w:cs="Arial" w:eastAsia="Arial" w:hAnsi="Arial"/>
          <w:sz w:val="17"/>
          <w:szCs w:val="17"/>
          <w:color w:val="auto"/>
        </w:rPr>
      </w:pPr>
    </w:p>
    <w:p>
      <w:pPr>
        <w:ind w:left="317" w:right="80" w:hanging="317"/>
        <w:spacing w:after="0" w:line="277"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January 30, 2017 by BlackRock Inc. (“BlackRock”). The address for BlackRock is 55 East 52nd Street, New York, NY 10055.</w:t>
      </w:r>
    </w:p>
    <w:p>
      <w:pPr>
        <w:spacing w:after="0" w:line="62" w:lineRule="exact"/>
        <w:rPr>
          <w:rFonts w:ascii="Arial" w:cs="Arial" w:eastAsia="Arial" w:hAnsi="Arial"/>
          <w:sz w:val="18"/>
          <w:szCs w:val="18"/>
          <w:color w:val="auto"/>
        </w:rPr>
      </w:pPr>
    </w:p>
    <w:p>
      <w:pPr>
        <w:ind w:left="317" w:right="360" w:hanging="317"/>
        <w:spacing w:after="0" w:line="308" w:lineRule="auto"/>
        <w:tabs>
          <w:tab w:leader="none" w:pos="317"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55,486 shares of common stock and (ii) 378,793 options to purchase shares of common stock that are exercisable as of March 31, 2017 or will become exercisable within 60 days after such date.</w:t>
      </w:r>
    </w:p>
    <w:p>
      <w:pPr>
        <w:spacing w:after="0" w:line="38" w:lineRule="exact"/>
        <w:rPr>
          <w:rFonts w:ascii="Arial" w:cs="Arial" w:eastAsia="Arial" w:hAnsi="Arial"/>
          <w:sz w:val="17"/>
          <w:szCs w:val="17"/>
          <w:color w:val="auto"/>
        </w:rPr>
      </w:pPr>
    </w:p>
    <w:p>
      <w:pPr>
        <w:ind w:left="657" w:hanging="657"/>
        <w:spacing w:after="0"/>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47,390 shares of common stock.</w:t>
      </w:r>
    </w:p>
    <w:p>
      <w:pPr>
        <w:spacing w:after="0" w:line="117" w:lineRule="exact"/>
        <w:rPr>
          <w:rFonts w:ascii="Arial" w:cs="Arial" w:eastAsia="Arial" w:hAnsi="Arial"/>
          <w:sz w:val="18"/>
          <w:szCs w:val="18"/>
          <w:color w:val="auto"/>
        </w:rPr>
      </w:pPr>
    </w:p>
    <w:p>
      <w:pPr>
        <w:ind w:left="317" w:right="100" w:hanging="317"/>
        <w:spacing w:after="0" w:line="277"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9,090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397" w:right="360" w:hanging="397"/>
        <w:spacing w:after="0" w:line="308" w:lineRule="auto"/>
        <w:tabs>
          <w:tab w:leader="none" w:pos="397"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18,181 shares of common stock and (ii) 29,392 options to purchase shares of common stock that are exercisable as of March 31, 2017 or will become exercisable within 60 days after such date.</w:t>
      </w:r>
    </w:p>
    <w:p>
      <w:pPr>
        <w:spacing w:after="0" w:line="38" w:lineRule="exact"/>
        <w:rPr>
          <w:rFonts w:ascii="Arial" w:cs="Arial" w:eastAsia="Arial" w:hAnsi="Arial"/>
          <w:sz w:val="17"/>
          <w:szCs w:val="17"/>
          <w:color w:val="auto"/>
        </w:rPr>
      </w:pPr>
    </w:p>
    <w:p>
      <w:pPr>
        <w:ind w:left="397" w:right="540" w:hanging="397"/>
        <w:spacing w:after="0" w:line="277" w:lineRule="auto"/>
        <w:tabs>
          <w:tab w:leader="none" w:pos="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13,939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857" w:hanging="857"/>
        <w:spacing w:after="0"/>
        <w:tabs>
          <w:tab w:leader="none" w:pos="85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202,727 shares of common stock.</w:t>
      </w:r>
    </w:p>
    <w:p>
      <w:pPr>
        <w:spacing w:after="0" w:line="117" w:lineRule="exact"/>
        <w:rPr>
          <w:rFonts w:ascii="Arial" w:cs="Arial" w:eastAsia="Arial" w:hAnsi="Arial"/>
          <w:sz w:val="18"/>
          <w:szCs w:val="18"/>
          <w:color w:val="auto"/>
        </w:rPr>
      </w:pPr>
    </w:p>
    <w:p>
      <w:pPr>
        <w:ind w:left="857" w:hanging="857"/>
        <w:spacing w:after="0"/>
        <w:tabs>
          <w:tab w:leader="none" w:pos="85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250,119 shares of common stock.</w:t>
      </w:r>
    </w:p>
    <w:p>
      <w:pPr>
        <w:spacing w:after="0" w:line="117" w:lineRule="exact"/>
        <w:rPr>
          <w:rFonts w:ascii="Arial" w:cs="Arial" w:eastAsia="Arial" w:hAnsi="Arial"/>
          <w:sz w:val="18"/>
          <w:szCs w:val="18"/>
          <w:color w:val="auto"/>
        </w:rPr>
      </w:pPr>
    </w:p>
    <w:p>
      <w:pPr>
        <w:ind w:left="397" w:right="140" w:hanging="397"/>
        <w:spacing w:after="0" w:line="277" w:lineRule="auto"/>
        <w:tabs>
          <w:tab w:leader="none" w:pos="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312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397" w:right="520" w:hanging="397"/>
        <w:spacing w:after="0" w:line="277" w:lineRule="auto"/>
        <w:tabs>
          <w:tab w:leader="none" w:pos="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15,757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397" w:hanging="397"/>
        <w:spacing w:after="0" w:line="277" w:lineRule="auto"/>
        <w:tabs>
          <w:tab w:leader="none" w:pos="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7,878 options to purchase shares of common stock that are exercisable as of March 31, 2017 or will become exercisable within 60 days after such date.</w:t>
      </w:r>
    </w:p>
    <w:p>
      <w:pPr>
        <w:spacing w:after="0" w:line="62" w:lineRule="exact"/>
        <w:rPr>
          <w:rFonts w:ascii="Arial" w:cs="Arial" w:eastAsia="Arial" w:hAnsi="Arial"/>
          <w:sz w:val="18"/>
          <w:szCs w:val="18"/>
          <w:color w:val="auto"/>
        </w:rPr>
      </w:pPr>
    </w:p>
    <w:p>
      <w:pPr>
        <w:ind w:left="397" w:right="180" w:hanging="397"/>
        <w:spacing w:after="0" w:line="277" w:lineRule="auto"/>
        <w:tabs>
          <w:tab w:leader="none" w:pos="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(i) 573,903 shares of common stock and (ii) 575,364 options to purchase shares of common stock that are exercisable as of March 31, 2017 or will become exercisable within 60 days after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37"/>
      </w:cols>
      <w:pgMar w:left="1423" w:top="125"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2019-12-07T22:24:58Z</dcterms:created>
  <dcterms:modified xsi:type="dcterms:W3CDTF">2019-12-07T22:24:58Z</dcterms:modified>
</cp:coreProperties>
</file>