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4"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45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09"/>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0"/>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4" w:right="339" w:bottom="1440" w:gutter="0" w:footer="0" w:header="0"/>
          <w:type w:val="continuous"/>
        </w:sectPr>
      </w:pPr>
    </w:p>
    <w:bookmarkStart w:id="1" w:name="page2"/>
    <w:bookmarkEnd w:id="1"/>
    <w:p>
      <w:pPr>
        <w:ind w:right="100"/>
        <w:spacing w:after="0" w:line="286" w:lineRule="auto"/>
        <w:rPr>
          <w:sz w:val="20"/>
          <w:szCs w:val="20"/>
          <w:color w:val="auto"/>
        </w:rPr>
      </w:pPr>
      <w:r>
        <w:rPr>
          <w:rFonts w:ascii="Times New Roman" w:cs="Times New Roman" w:eastAsia="Times New Roman" w:hAnsi="Times New Roman"/>
          <w:sz w:val="18"/>
          <w:szCs w:val="18"/>
          <w:b w:val="1"/>
          <w:bCs w:val="1"/>
          <w:color w:val="212529"/>
        </w:rPr>
        <w:t>Item 5.02(e) Departure of Directors or Certain Officers; Election of Directors; Appointment of Certain Officers; Compensatory Arrangements of Certain Officers. </w:t>
      </w:r>
    </w:p>
    <w:p>
      <w:pPr>
        <w:spacing w:after="0" w:line="15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At the 2024 Annual Meeting of Stockholders of Blueprint Medicines Corporation (the “Company”) held on June 12, 2024 (the “Annual Meeting”), the Company’s stockholders approved the Blueprint Medicines Corporation 2024 Stock Incentive Plan (the “2024 Plan”), which had previously been adopted by the Company’s board of directors (the “Board”), subject to stockholder approval.</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description of the 2024 Plan contained on pages 65 to 73 of the Company’s proxy statement for the Annual Meeting, filed with the Securities and Exchange Commission (the “SEC”) on April 25, 2024, is incorporated herein by reference. A complete copy of the 2024 Plan is attached hereto as Exhibit 99.1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Item 5.07 Submission of Matters to a Vote of Security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matters voted on at the Annual Meeting.</w:t>
      </w:r>
    </w:p>
    <w:p>
      <w:pPr>
        <w:spacing w:after="0" w:line="225" w:lineRule="exact"/>
        <w:rPr>
          <w:sz w:val="20"/>
          <w:szCs w:val="20"/>
          <w:color w:val="auto"/>
        </w:rPr>
      </w:pPr>
    </w:p>
    <w:p>
      <w:pPr>
        <w:ind w:left="680" w:right="180" w:hanging="335"/>
        <w:spacing w:after="0" w:line="266"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elected Daniella Beckman, Habib Dable and Lynn Seely, M.D. as Class III directors, each to serve for a three-year term expiring at the 2027 annual meeting of stockholders and until their successor has been duly elected and qualified. The results of the stockholders’ vote with respect to the election of such Class III directors were as follows: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09"/>
        </w:trPr>
        <w:tc>
          <w:tcPr>
            <w:tcW w:w="4620" w:type="dxa"/>
            <w:vAlign w:val="bottom"/>
            <w:tcBorders>
              <w:top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Daniella Beckman</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ind w:left="560"/>
              <w:spacing w:after="0" w:line="202" w:lineRule="exact"/>
              <w:rPr>
                <w:sz w:val="20"/>
                <w:szCs w:val="20"/>
                <w:color w:val="auto"/>
              </w:rPr>
            </w:pPr>
            <w:r>
              <w:rPr>
                <w:rFonts w:ascii="Times New Roman" w:cs="Times New Roman" w:eastAsia="Times New Roman" w:hAnsi="Times New Roman"/>
                <w:sz w:val="18"/>
                <w:szCs w:val="18"/>
                <w:color w:val="auto"/>
                <w:w w:val="98"/>
                <w:shd w:val="clear" w:color="auto" w:fill="CCEEFF"/>
              </w:rPr>
              <w:t>54,014,668</w:t>
            </w:r>
          </w:p>
        </w:tc>
        <w:tc>
          <w:tcPr>
            <w:tcW w:w="1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4,259,561</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2,067,113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Habib Dable</w:t>
            </w:r>
          </w:p>
        </w:tc>
        <w:tc>
          <w:tcPr>
            <w:tcW w:w="13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40,783,723</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17,490,506</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2,067,113</w:t>
            </w: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Lynn Seely, M.D.</w:t>
            </w:r>
          </w:p>
        </w:tc>
        <w:tc>
          <w:tcPr>
            <w:tcW w:w="1380" w:type="dxa"/>
            <w:vAlign w:val="bottom"/>
            <w:shd w:val="clear" w:color="auto" w:fill="CCEEFF"/>
          </w:tcPr>
          <w:p>
            <w:pPr>
              <w:ind w:left="560"/>
              <w:spacing w:after="0" w:line="202" w:lineRule="exact"/>
              <w:rPr>
                <w:sz w:val="20"/>
                <w:szCs w:val="20"/>
                <w:color w:val="auto"/>
              </w:rPr>
            </w:pPr>
            <w:r>
              <w:rPr>
                <w:rFonts w:ascii="Times New Roman" w:cs="Times New Roman" w:eastAsia="Times New Roman" w:hAnsi="Times New Roman"/>
                <w:sz w:val="18"/>
                <w:szCs w:val="18"/>
                <w:color w:val="auto"/>
                <w:w w:val="98"/>
                <w:shd w:val="clear" w:color="auto" w:fill="CCEEFF"/>
              </w:rPr>
              <w:t>42,706,299</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15,567,930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2,067,113</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680" w:right="80" w:hanging="335"/>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determined that future advisory votes on the compensation paid to its named executive officers would be held every year. The results of the stockholders’ non-binding, advisory vote with respect to the frequency of future advisory votes on the compensation paid to the Company’s named executive officers were as follows:</w:t>
      </w:r>
    </w:p>
    <w:p>
      <w:pPr>
        <w:spacing w:after="0" w:line="172"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2 Years</w:t>
            </w: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100" w:type="dxa"/>
            <w:vAlign w:val="bottom"/>
          </w:tcPr>
          <w:p>
            <w:pPr>
              <w:spacing w:after="0"/>
              <w:rPr>
                <w:sz w:val="20"/>
                <w:szCs w:val="20"/>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1720" w:type="dxa"/>
            <w:vAlign w:val="bottom"/>
            <w:tcBorders>
              <w:top w:val="single" w:sz="8" w:color="auto"/>
            </w:tcBorders>
            <w:shd w:val="clear" w:color="auto" w:fill="CCEEFF"/>
          </w:tcPr>
          <w:p>
            <w:pPr>
              <w:jc w:val="right"/>
              <w:ind w:right="37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57,619,425</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57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5,261</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ind w:left="56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619,900</w:t>
            </w: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67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29,643</w:t>
            </w:r>
          </w:p>
        </w:tc>
        <w:tc>
          <w:tcPr>
            <w:tcW w:w="8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55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2,067,113</w:t>
            </w:r>
          </w:p>
        </w:tc>
      </w:tr>
    </w:tbl>
    <w:p>
      <w:pPr>
        <w:spacing w:after="0" w:line="198" w:lineRule="exact"/>
        <w:rPr>
          <w:sz w:val="20"/>
          <w:szCs w:val="20"/>
          <w:color w:val="auto"/>
        </w:rPr>
      </w:pPr>
    </w:p>
    <w:p>
      <w:pPr>
        <w:ind w:left="680" w:hanging="335"/>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approved the non-binding, advisory vote on the compensation paid to its named executive officers. The results of the stockholders’ non-binding, advisory vote with respect to compensation paid to the Company’s named executive officers were as follows: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38"/>
        </w:trPr>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Abstaining</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420" w:type="dxa"/>
            <w:vAlign w:val="bottom"/>
            <w:tcBorders>
              <w:top w:val="single" w:sz="8" w:color="auto"/>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56,844,879</w:t>
            </w:r>
          </w:p>
        </w:tc>
        <w:tc>
          <w:tcPr>
            <w:tcW w:w="1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shd w:val="clear" w:color="auto" w:fill="CCEEFF"/>
              </w:rPr>
              <w:t>1,345,313</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93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84,037</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77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2,067,113</w:t>
            </w:r>
          </w:p>
        </w:tc>
      </w:tr>
    </w:tbl>
    <w:p>
      <w:pPr>
        <w:spacing w:after="0" w:line="198" w:lineRule="exact"/>
        <w:rPr>
          <w:sz w:val="20"/>
          <w:szCs w:val="20"/>
          <w:color w:val="auto"/>
        </w:rPr>
      </w:pPr>
    </w:p>
    <w:p>
      <w:pPr>
        <w:ind w:left="680" w:right="140" w:hanging="335"/>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approved the 2024 Plan. The results of the stockholders’ vote with respect to the approval of the 2024 Plan were as follows: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38"/>
        </w:trPr>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Abstaining</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420" w:type="dxa"/>
            <w:vAlign w:val="bottom"/>
            <w:tcBorders>
              <w:top w:val="single" w:sz="8" w:color="auto"/>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41,494,784</w:t>
            </w:r>
          </w:p>
        </w:tc>
        <w:tc>
          <w:tcPr>
            <w:tcW w:w="1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16,766,684</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93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12,761</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77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2,067,113</w:t>
            </w:r>
          </w:p>
        </w:tc>
      </w:tr>
    </w:tbl>
    <w:p>
      <w:pPr>
        <w:spacing w:after="0" w:line="198" w:lineRule="exact"/>
        <w:rPr>
          <w:sz w:val="20"/>
          <w:szCs w:val="20"/>
          <w:color w:val="auto"/>
        </w:rPr>
      </w:pPr>
    </w:p>
    <w:p>
      <w:pPr>
        <w:ind w:left="680" w:right="140" w:hanging="335"/>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ratified the appointment of Ernst &amp; Young LLP as the Company’s independent registered public accounting for the fiscal year ending December 31, 2024. The results of the stockholders’ vote with respect to such ratification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1140" w:type="dxa"/>
            <w:vAlign w:val="bottom"/>
          </w:tcPr>
          <w:p>
            <w:pPr>
              <w:spacing w:after="0"/>
              <w:rPr>
                <w:sz w:val="20"/>
                <w:szCs w:val="20"/>
                <w:color w:val="auto"/>
              </w:rPr>
            </w:pPr>
          </w:p>
        </w:tc>
        <w:tc>
          <w:tcPr>
            <w:tcW w:w="3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Abstaining</w:t>
            </w:r>
          </w:p>
        </w:tc>
        <w:tc>
          <w:tcPr>
            <w:tcW w:w="112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shd w:val="clear" w:color="auto" w:fill="CCEEFF"/>
              </w:rPr>
              <w:t>60,124,981</w:t>
            </w:r>
          </w:p>
        </w:tc>
        <w:tc>
          <w:tcPr>
            <w:tcW w:w="8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198,317</w:t>
            </w:r>
          </w:p>
        </w:tc>
        <w:tc>
          <w:tcPr>
            <w:tcW w:w="10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right"/>
              <w:ind w:right="111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18,044</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675"/>
        </w:trPr>
        <w:tc>
          <w:tcPr>
            <w:tcW w:w="11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3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320" w:type="dxa"/>
            <w:vAlign w:val="bottom"/>
          </w:tcPr>
          <w:p>
            <w:pPr>
              <w:spacing w:after="0"/>
              <w:rPr>
                <w:sz w:val="20"/>
                <w:szCs w:val="20"/>
                <w:color w:val="auto"/>
              </w:rPr>
            </w:pPr>
          </w:p>
        </w:tc>
      </w:tr>
      <w:tr>
        <w:trPr>
          <w:trHeight w:val="41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00" w:type="dxa"/>
            <w:vAlign w:val="bottom"/>
            <w:gridSpan w:val="3"/>
          </w:tcPr>
          <w:p>
            <w:pPr>
              <w:ind w:left="340"/>
              <w:spacing w:after="0" w:line="194" w:lineRule="exact"/>
              <w:rPr>
                <w:sz w:val="20"/>
                <w:szCs w:val="20"/>
                <w:color w:val="auto"/>
              </w:rPr>
            </w:pPr>
            <w:r>
              <w:rPr>
                <w:rFonts w:ascii="Times New Roman" w:cs="Times New Roman" w:eastAsia="Times New Roman" w:hAnsi="Times New Roman"/>
                <w:sz w:val="18"/>
                <w:szCs w:val="18"/>
                <w:color w:val="0000EE"/>
              </w:rPr>
              <w:t>Blueprint Medicines Corporation 2024 Stock Incentive Plan</w:t>
            </w:r>
          </w:p>
        </w:tc>
      </w:tr>
      <w:tr>
        <w:trPr>
          <w:trHeight w:val="20"/>
        </w:trPr>
        <w:tc>
          <w:tcPr>
            <w:tcW w:w="3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340" w:type="dxa"/>
            <w:vAlign w:val="bottom"/>
            <w:shd w:val="clear" w:color="auto" w:fill="0000EE"/>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incorporated as Exhibit 101)</w:t>
            </w:r>
          </w:p>
        </w:tc>
      </w:tr>
      <w:tr>
        <w:trPr>
          <w:trHeight w:val="675"/>
        </w:trPr>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14, 2024</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Kathryn Haviland</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2024 STOCK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PURPOSE OF THE PLAN; DEFINITIONS</w:t>
      </w:r>
    </w:p>
    <w:p>
      <w:pPr>
        <w:spacing w:after="0" w:line="22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name of the plan is the Blueprint Medicines Corporation 2024 Stock Incentive Plan (the “Plan”). The purpose of the Plan is to encourage and enable the employees, Non-Employee Directors and Consultants of Blueprint Medicines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means the Securities Act of 1933, as amended, and the rules and regulations thereunder.</w:t>
      </w:r>
    </w:p>
    <w:p>
      <w:pPr>
        <w:spacing w:after="0" w:line="225" w:lineRule="exact"/>
        <w:rPr>
          <w:sz w:val="20"/>
          <w:szCs w:val="20"/>
          <w:color w:val="auto"/>
        </w:rPr>
      </w:pPr>
    </w:p>
    <w:p>
      <w:pPr>
        <w:ind w:right="4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“Administrator” </w:t>
      </w:r>
      <w:r>
        <w:rPr>
          <w:rFonts w:ascii="Times New Roman" w:cs="Times New Roman" w:eastAsia="Times New Roman" w:hAnsi="Times New Roman"/>
          <w:sz w:val="18"/>
          <w:szCs w:val="18"/>
          <w:color w:val="auto"/>
        </w:rPr>
        <w:t>means either the Board or the compensation committee of the Board or a similar committee performing the functions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and which is comprised of not less than two Non-Employee Directors who are independent.</w:t>
      </w:r>
    </w:p>
    <w:p>
      <w:pPr>
        <w:spacing w:after="0" w:line="158"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58"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“Awards,” </w:t>
      </w:r>
      <w:r>
        <w:rPr>
          <w:rFonts w:ascii="Times New Roman" w:cs="Times New Roman" w:eastAsia="Times New Roman" w:hAnsi="Times New Roman"/>
          <w:sz w:val="18"/>
          <w:szCs w:val="18"/>
          <w:color w:val="auto"/>
        </w:rPr>
        <w:t>except where referring to a particular category of grant under the Plan, shall include Incentive Stock Options, Non-Qualified Stock Options, Stock Appreciation Rights, Restricted Stock Units, Restricted Stock Awards, Unrestricted Stock Awards, Cash-Based Awards and Dividend Equivalent Rights.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means a written or electronic document setting forth the terms and provisions applicable to an Award granted under the Plan.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Award Agreement is subject to the terms and conditions of the Plan.</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“Cash-Based Award” </w:t>
      </w:r>
      <w:r>
        <w:rPr>
          <w:rFonts w:ascii="Times New Roman" w:cs="Times New Roman" w:eastAsia="Times New Roman" w:hAnsi="Times New Roman"/>
          <w:sz w:val="18"/>
          <w:szCs w:val="18"/>
          <w:color w:val="auto"/>
        </w:rPr>
        <w:t>means an Award entitling the recipient to receive a cash-denominated payment.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and any successor Code, and related rules, regulations and interpretations.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“Consultant” </w:t>
      </w:r>
      <w:r>
        <w:rPr>
          <w:rFonts w:ascii="Times New Roman" w:cs="Times New Roman" w:eastAsia="Times New Roman" w:hAnsi="Times New Roman"/>
          <w:sz w:val="18"/>
          <w:szCs w:val="18"/>
          <w:color w:val="auto"/>
        </w:rPr>
        <w:t>means a consultant or adviser who provides</w:t>
      </w:r>
      <w:r>
        <w:rPr>
          <w:rFonts w:ascii="Times New Roman" w:cs="Times New Roman" w:eastAsia="Times New Roman" w:hAnsi="Times New Roman"/>
          <w:sz w:val="18"/>
          <w:szCs w:val="18"/>
          <w:i w:val="1"/>
          <w:iCs w:val="1"/>
          <w:color w:val="auto"/>
        </w:rPr>
        <w:t xml:space="preserve"> bona fide </w:t>
      </w:r>
      <w:r>
        <w:rPr>
          <w:rFonts w:ascii="Times New Roman" w:cs="Times New Roman" w:eastAsia="Times New Roman" w:hAnsi="Times New Roman"/>
          <w:sz w:val="18"/>
          <w:szCs w:val="18"/>
          <w:color w:val="auto"/>
        </w:rPr>
        <w:t>services to the Company or an Affiliate as an independent contractor and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qualifies as a consultant or advisor under Instruction A.1.(a)(1) of Form S-8 under the Act.</w:t>
      </w:r>
    </w:p>
    <w:p>
      <w:pPr>
        <w:spacing w:after="0" w:line="158" w:lineRule="exact"/>
        <w:rPr>
          <w:sz w:val="20"/>
          <w:szCs w:val="20"/>
          <w:color w:val="auto"/>
        </w:rPr>
      </w:pPr>
    </w:p>
    <w:p>
      <w:pPr>
        <w:jc w:val="both"/>
        <w:ind w:right="26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“Dividend Equivalent Right” </w:t>
      </w:r>
      <w:r>
        <w:rPr>
          <w:rFonts w:ascii="Times New Roman" w:cs="Times New Roman" w:eastAsia="Times New Roman" w:hAnsi="Times New Roman"/>
          <w:sz w:val="17"/>
          <w:szCs w:val="17"/>
          <w:color w:val="auto"/>
        </w:rPr>
        <w:t>means an Award entitling the grantee to receive credits based on cash dividends that would have been paid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of Stock specified in the Dividend Equivalent Right (or other award to which it relates) if such shares had been issued to and held by the grantee.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means the date on which the Plan becomes effective as set forth in Section 19.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 and the rules and regulations thereunder.</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of the Stock on any given date means the fair market value of the Stock determined in good faith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“Incentive Stock Option” </w:t>
      </w:r>
      <w:r>
        <w:rPr>
          <w:rFonts w:ascii="Times New Roman" w:cs="Times New Roman" w:eastAsia="Times New Roman" w:hAnsi="Times New Roman"/>
          <w:sz w:val="18"/>
          <w:szCs w:val="18"/>
          <w:color w:val="auto"/>
        </w:rPr>
        <w:t>means any Stock Option designated and qualified as an “incentive stock option” as defined in Section 422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“Non-Employee Director” </w:t>
      </w:r>
      <w:r>
        <w:rPr>
          <w:rFonts w:ascii="Times New Roman" w:cs="Times New Roman" w:eastAsia="Times New Roman" w:hAnsi="Times New Roman"/>
          <w:sz w:val="18"/>
          <w:szCs w:val="18"/>
          <w:color w:val="auto"/>
        </w:rPr>
        <w:t>means a member of the Board who is not also an employee of the Company or any Affiliate.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“Non-Qualified Stock Option” </w:t>
      </w:r>
      <w:r>
        <w:rPr>
          <w:rFonts w:ascii="Times New Roman" w:cs="Times New Roman" w:eastAsia="Times New Roman" w:hAnsi="Times New Roman"/>
          <w:sz w:val="18"/>
          <w:szCs w:val="18"/>
          <w:color w:val="auto"/>
        </w:rPr>
        <w:t>means any Stock Option that is not an Incentive Stock Option.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“Option”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“Stock Option” </w:t>
      </w:r>
      <w:r>
        <w:rPr>
          <w:rFonts w:ascii="Times New Roman" w:cs="Times New Roman" w:eastAsia="Times New Roman" w:hAnsi="Times New Roman"/>
          <w:sz w:val="18"/>
          <w:szCs w:val="18"/>
          <w:color w:val="auto"/>
        </w:rPr>
        <w:t>means any option to purchase shares of Stock granted pursuant to Section 5.</w:t>
      </w:r>
    </w:p>
    <w:p>
      <w:pPr>
        <w:spacing w:after="0" w:line="225" w:lineRule="exact"/>
        <w:rPr>
          <w:sz w:val="20"/>
          <w:szCs w:val="20"/>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means the shares of Stock underlying a Restricted Stock Award that remain subject to a risk of forfeiture or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of repurchase.</w:t>
      </w:r>
    </w:p>
    <w:p>
      <w:pPr>
        <w:spacing w:after="0" w:line="158"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 </w:t>
      </w:r>
      <w:r>
        <w:rPr>
          <w:rFonts w:ascii="Times New Roman" w:cs="Times New Roman" w:eastAsia="Times New Roman" w:hAnsi="Times New Roman"/>
          <w:sz w:val="18"/>
          <w:szCs w:val="18"/>
          <w:color w:val="auto"/>
        </w:rPr>
        <w:t>means an Award of Restricted Shares subject to such restrictions and conditions as the Administrator may determine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grant.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i w:val="1"/>
          <w:iCs w:val="1"/>
          <w:color w:val="auto"/>
        </w:rPr>
        <w:t xml:space="preserve">“Restricted Stock Units” </w:t>
      </w:r>
      <w:r>
        <w:rPr>
          <w:rFonts w:ascii="Times New Roman" w:cs="Times New Roman" w:eastAsia="Times New Roman" w:hAnsi="Times New Roman"/>
          <w:sz w:val="17"/>
          <w:szCs w:val="17"/>
          <w:color w:val="auto"/>
        </w:rPr>
        <w:t>means an Award of Stock units subject to such restrictions and conditions as the Administrator may determine at the time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grant.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“Sale Event” </w:t>
      </w:r>
      <w:r>
        <w:rPr>
          <w:rFonts w:ascii="Times New Roman" w:cs="Times New Roman" w:eastAsia="Times New Roman" w:hAnsi="Times New Roman"/>
          <w:sz w:val="18"/>
          <w:szCs w:val="18"/>
          <w:color w:val="auto"/>
        </w:rPr>
        <w:t>shall mean (i) the sale of all or substantially all of the assets of the Company on a consolidated basis to an unrelated person or entity,</w:t>
      </w:r>
    </w:p>
    <w:p>
      <w:pPr>
        <w:spacing w:after="0" w:line="29" w:lineRule="exact"/>
        <w:rPr>
          <w:sz w:val="20"/>
          <w:szCs w:val="20"/>
          <w:color w:val="auto"/>
        </w:rPr>
      </w:pPr>
    </w:p>
    <w:p>
      <w:pPr>
        <w:ind w:right="40" w:firstLine="8"/>
        <w:spacing w:after="0" w:line="252" w:lineRule="auto"/>
        <w:tabs>
          <w:tab w:leader="none" w:pos="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 w:name="page7"/>
    <w:bookmarkEnd w:id="6"/>
    <w:p>
      <w:pPr>
        <w:ind w:right="24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Price</w:t>
      </w:r>
      <w:r>
        <w:rPr>
          <w:rFonts w:ascii="Times New Roman" w:cs="Times New Roman" w:eastAsia="Times New Roman" w:hAnsi="Times New Roman"/>
          <w:sz w:val="18"/>
          <w:szCs w:val="18"/>
          <w:color w:val="auto"/>
        </w:rPr>
        <w:t>” means the value as determined by the Administrator of the consideration payable, or otherwise to be received by stockholders, per share of Stock pursuant to a Sale Event.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means Section 409A of the Code and the regulations and other guidance promulgated thereunder.</w:t>
      </w:r>
    </w:p>
    <w:p>
      <w:pPr>
        <w:spacing w:after="0" w:line="225" w:lineRule="exact"/>
        <w:rPr>
          <w:sz w:val="20"/>
          <w:szCs w:val="20"/>
          <w:color w:val="auto"/>
        </w:rPr>
      </w:pPr>
    </w:p>
    <w:p>
      <w:pPr>
        <w:ind w:right="6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 Relationship” </w:t>
      </w:r>
      <w:r>
        <w:rPr>
          <w:rFonts w:ascii="Times New Roman" w:cs="Times New Roman" w:eastAsia="Times New Roman" w:hAnsi="Times New Roman"/>
          <w:sz w:val="18"/>
          <w:szCs w:val="18"/>
          <w:color w:val="auto"/>
        </w:rPr>
        <w:t>means any continuous relationship with the Company or any Affiliate as an employee, Non-Employee Director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color w:val="auto"/>
        </w:rPr>
        <w:t>means the Common Stock, par value $0.001 per share, of the Company, subject to adjustments pursuant to Section 3.</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 </w:t>
      </w:r>
      <w:r>
        <w:rPr>
          <w:rFonts w:ascii="Times New Roman" w:cs="Times New Roman" w:eastAsia="Times New Roman" w:hAnsi="Times New Roman"/>
          <w:sz w:val="18"/>
          <w:szCs w:val="18"/>
          <w:color w:val="auto"/>
        </w:rPr>
        <w:t>means an Award entitling the recipient to receive shares of Stock (or cash, subject to the Administrator’s discretion,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explicitly provided for in the applicable Award Agreement)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80" w:lineRule="exact"/>
        <w:rPr>
          <w:sz w:val="20"/>
          <w:szCs w:val="20"/>
          <w:color w:val="auto"/>
        </w:rPr>
      </w:pPr>
    </w:p>
    <w:p>
      <w:pPr>
        <w:ind w:right="4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any corporation or other entity (other than the Company) in which the Company has at least a 50 percent interest,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Substitute Awards</w:t>
      </w:r>
      <w:r>
        <w:rPr>
          <w:rFonts w:ascii="Times New Roman" w:cs="Times New Roman" w:eastAsia="Times New Roman" w:hAnsi="Times New Roman"/>
          <w:sz w:val="18"/>
          <w:szCs w:val="18"/>
          <w:color w:val="auto"/>
        </w:rPr>
        <w:t>” means Awards issued under the Plan in substitution for one or more equity awards of an acquired company that are converted, replaced or adjusted in connection with the acquisition.</w:t>
      </w:r>
    </w:p>
    <w:p>
      <w:pPr>
        <w:spacing w:after="0" w:line="158"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“Ten Percent Owner” </w:t>
      </w:r>
      <w:r>
        <w:rPr>
          <w:rFonts w:ascii="Times New Roman" w:cs="Times New Roman" w:eastAsia="Times New Roman" w:hAnsi="Times New Roman"/>
          <w:sz w:val="18"/>
          <w:szCs w:val="18"/>
          <w:color w:val="auto"/>
        </w:rPr>
        <w:t>means an employee who owns or is deemed to own (by reason of the attribution rules of Section 424(d) of the Code)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 percent of the combined voting power of all classes of stock of the Company or any Affiliate.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“Unrestricted Stock Award” </w:t>
      </w:r>
      <w:r>
        <w:rPr>
          <w:rFonts w:ascii="Times New Roman" w:cs="Times New Roman" w:eastAsia="Times New Roman" w:hAnsi="Times New Roman"/>
          <w:sz w:val="18"/>
          <w:szCs w:val="18"/>
          <w:color w:val="auto"/>
        </w:rPr>
        <w:t>means an Award of shares of Stock free of any restrictions.</w:t>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ADMINISTRATION OF PLAN; ADMINISTRATOR AUTHORITY TO SELECT GRANTEES AND DETERMINE AWARDS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Administration of Plan</w:t>
      </w:r>
      <w:r>
        <w:rPr>
          <w:rFonts w:ascii="Times New Roman" w:cs="Times New Roman" w:eastAsia="Times New Roman" w:hAnsi="Times New Roman"/>
          <w:sz w:val="18"/>
          <w:szCs w:val="18"/>
          <w:color w:val="auto"/>
        </w:rPr>
        <w:t>. The Plan shall be administered by the Administrator.</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Powers of Administrator</w:t>
      </w:r>
      <w:r>
        <w:rPr>
          <w:rFonts w:ascii="Times New Roman" w:cs="Times New Roman" w:eastAsia="Times New Roman" w:hAnsi="Times New Roman"/>
          <w:sz w:val="18"/>
          <w:szCs w:val="18"/>
          <w:color w:val="auto"/>
        </w:rPr>
        <w:t>. The Administrator shall have the power and authority to administer the Plan and grant Awards consistent with the terms of the Plan, including the power and authority: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to select the individuals to whom Awards may from time to time be granted;</w:t>
      </w:r>
    </w:p>
    <w:p>
      <w:pPr>
        <w:spacing w:after="0" w:line="225"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(ii)            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to determine the number of shares of Stock to be covered by any Award;</w:t>
      </w:r>
    </w:p>
    <w:p>
      <w:pPr>
        <w:spacing w:after="0" w:line="225"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(iv)            to determine and modify from time to time the terms and conditions, including restrictions, not inconsistent with the terms of the Plan, of any Award, which terms and conditions may differ among individual Awards and grantees, and to approve the forms of Award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to accelerate at any time the exercisability or vesting of all or any portion of any Award;</w:t>
      </w:r>
    </w:p>
    <w:p>
      <w:pPr>
        <w:spacing w:after="0" w:line="225"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(vi)            subject to the provisions of Section 5(c) and 6(d), to extend at any time the period in which Stock Options or Stock Appreciation Rights, as applicable, may be exercised; and</w:t>
      </w:r>
    </w:p>
    <w:p>
      <w:pPr>
        <w:spacing w:after="0" w:line="162" w:lineRule="exact"/>
        <w:rPr>
          <w:sz w:val="20"/>
          <w:szCs w:val="20"/>
          <w:color w:val="auto"/>
        </w:rPr>
      </w:pPr>
    </w:p>
    <w:p>
      <w:pPr>
        <w:jc w:val="both"/>
        <w:ind w:right="140" w:firstLine="1296"/>
        <w:spacing w:after="0" w:line="261" w:lineRule="auto"/>
        <w:rPr>
          <w:sz w:val="20"/>
          <w:szCs w:val="20"/>
          <w:color w:val="auto"/>
        </w:rPr>
      </w:pPr>
      <w:r>
        <w:rPr>
          <w:rFonts w:ascii="Times New Roman" w:cs="Times New Roman" w:eastAsia="Times New Roman" w:hAnsi="Times New Roman"/>
          <w:sz w:val="18"/>
          <w:szCs w:val="18"/>
          <w:color w:val="auto"/>
        </w:rPr>
        <w:t>(vii)            at any time to adopt, alter and repeal such rules, guidelines and practices for administration of the Plan and for its own acts and proceedings as it shall deem advisable; to interpret the terms and provisions of the Plan and any Award (including the Award Agreements and any related written instruments); to make all determinations it deems advisable for the administration of the Plan; to decide all disputes arising in connection with the Plan; and to otherwise supervise the administration of the Plan.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Delegation of Authority to Grant Awards</w:t>
      </w:r>
      <w:r>
        <w:rPr>
          <w:rFonts w:ascii="Times New Roman" w:cs="Times New Roman" w:eastAsia="Times New Roman" w:hAnsi="Times New Roman"/>
          <w:sz w:val="18"/>
          <w:szCs w:val="18"/>
          <w:color w:val="auto"/>
        </w:rPr>
        <w:t>. Subject to applicable law, the Administrator, in its discretion, may delegate to an officer of the Company or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 w:name="page9"/>
    <w:bookmarkEnd w:id="8"/>
    <w:p>
      <w:pPr>
        <w:ind w:right="180" w:firstLine="648"/>
        <w:spacing w:after="0" w:line="312"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Award Agreement</w:t>
      </w:r>
      <w:r>
        <w:rPr>
          <w:rFonts w:ascii="Times New Roman" w:cs="Times New Roman" w:eastAsia="Times New Roman" w:hAnsi="Times New Roman"/>
          <w:sz w:val="17"/>
          <w:szCs w:val="17"/>
          <w:color w:val="auto"/>
        </w:rPr>
        <w:t>. Awards under the Plan shall be evidenced by Award Agreements that set forth the terms, conditions and limitations for each Award which may include, without limitation, the term of an Award and the provisions applicable in the event the Service Relationship terminates.</w:t>
      </w:r>
    </w:p>
    <w:p>
      <w:pPr>
        <w:spacing w:after="0" w:line="14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any directors’ and officers’ liability insurance coverage which may be in effect from time to time and/or any indemnification agreement between such individual and the Company.</w:t>
      </w:r>
    </w:p>
    <w:p>
      <w:pPr>
        <w:spacing w:after="0" w:line="18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Foreign Award Recipients</w:t>
      </w:r>
      <w:r>
        <w:rPr>
          <w:rFonts w:ascii="Times New Roman" w:cs="Times New Roman" w:eastAsia="Times New Roman" w:hAnsi="Times New Roman"/>
          <w:sz w:val="18"/>
          <w:szCs w:val="18"/>
          <w:color w:val="auto"/>
        </w:rPr>
        <w:t>. Notwithstanding any provision of the Plan to the contrary, in order to comply with the laws in other countries in which the Company and its Affiliates operate or have employees or other individuals eligible for Awards, the Administrator, in its sole discretion, shall have the power and authority to: (i) determine which Affiliates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STOCK ISSUABLE UNDER THE PLAN; MERGERS; SUBSTITUTION</w:t>
      </w:r>
    </w:p>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Stock Issuable</w:t>
      </w:r>
      <w:r>
        <w:rPr>
          <w:rFonts w:ascii="Times New Roman" w:cs="Times New Roman" w:eastAsia="Times New Roman" w:hAnsi="Times New Roman"/>
          <w:sz w:val="18"/>
          <w:szCs w:val="18"/>
          <w:color w:val="auto"/>
        </w:rPr>
        <w:t>. The maximum number of shares of Stock reserved and available for issuance under the Plan shall be 9,200,000 shares, subject to adjustment as provided in this Section 3. For purposes of this limitation, the shares of Stock underlying any awards under the Plan and under the Company’s 2015 Stock Option and Incentive Plan, as amended from time to time,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provided, however, that no more than 9,200,000 shares of the Stock may be issued in the form of Incentive Stock Options. The shares available for issuance under the Plan may be authorized but unissued shares of Stock or shares of Stock reacquired by the Company.</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Changes in Stock</w:t>
      </w:r>
      <w:r>
        <w:rPr>
          <w:rFonts w:ascii="Times New Roman" w:cs="Times New Roman" w:eastAsia="Times New Roman" w:hAnsi="Times New Roman"/>
          <w:sz w:val="18"/>
          <w:szCs w:val="18"/>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or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9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Mergers and Other Transactions</w:t>
      </w:r>
      <w:r>
        <w:rPr>
          <w:rFonts w:ascii="Times New Roman" w:cs="Times New Roman" w:eastAsia="Times New Roman" w:hAnsi="Times New Roman"/>
          <w:sz w:val="17"/>
          <w:szCs w:val="17"/>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explicitly provided in the relevant Award Agreement, all Options and Stock Appreciation Rights with time-based vesting conditions or restrictions that are not vested and/or exercisable immediately prior to the effective time of the Sale Event shall become fully vested and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to the extent specified in the relevant Award Agreement. In the event of any such termination of the Plan and outstanding Awards,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w:t>
      </w:r>
    </w:p>
    <w:p>
      <w:pPr>
        <w:spacing w:after="0" w:line="8" w:lineRule="exact"/>
        <w:rPr>
          <w:sz w:val="20"/>
          <w:szCs w:val="20"/>
          <w:color w:val="auto"/>
        </w:rPr>
      </w:pPr>
    </w:p>
    <w:p>
      <w:pPr>
        <w:ind w:right="120" w:firstLine="8"/>
        <w:spacing w:after="0" w:line="253" w:lineRule="auto"/>
        <w:tabs>
          <w:tab w:leader="none" w:pos="2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grantee shall be permitted, within a specified period of time prior to the consummation of the Sale Event as determined by the Administrator, to exercise all outstanding Options and Stock Appreciation Rights (to the extent then exercisable) held by such grantee, including those that will become exercisable upon the consummation of the Sale Event (provided that such exercise shall be subject to the consummation of the Sale Event).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 w:name="page11"/>
    <w:bookmarkEnd w:id="10"/>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Maximum Awards to Non-Employee Directors</w:t>
      </w:r>
      <w:r>
        <w:rPr>
          <w:rFonts w:ascii="Times New Roman" w:cs="Times New Roman" w:eastAsia="Times New Roman" w:hAnsi="Times New Roman"/>
          <w:sz w:val="18"/>
          <w:szCs w:val="18"/>
          <w:color w:val="auto"/>
        </w:rPr>
        <w:t>. Notwithstanding anything to the contrary in this Plan, the value of all Awards awarded under this Plan and all other cash compensation paid by the Company to any Non-Employee Director for service as a Non-Employee Director in any calendar year shall not exceed: (i) $1,000,000 in the first calendar year an individual becomes a Non-Employee Director and (ii) $750,000 in any other calendar year. For the purpose of this limitation, the value of any Award shall be its grant date fair value, as determined in accordance with ASC Topic 718 or successor provision but excluding the impact of estimated forfeitures related to service-based vesting provisions.</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Substitute Awards</w:t>
      </w:r>
      <w:r>
        <w:rPr>
          <w:rFonts w:ascii="Times New Roman" w:cs="Times New Roman" w:eastAsia="Times New Roman" w:hAnsi="Times New Roman"/>
          <w:sz w:val="18"/>
          <w:szCs w:val="18"/>
          <w:color w:val="auto"/>
        </w:rPr>
        <w:t>. The Administrator may grant Substitute Awards under the Plan. To the extent consistent with the requirements of Section 422 and the regulations thereunder and other applicable legal requirements (including applicable stock exchange requirements), Stock issued under Substitute Awards will be in addition to and will not reduce the Stock reserved under the Plan, but, notwithstanding anything in Section 3(a) to the contrary, if any Substitute Award is settled in cash or expires, becomes unexercisable, terminates or is forfeited to or repurchased by the Company without the issuance of Stock, the shares of Stock previously subject to such Award will not increase the Stock reserved or be available for future issuance under the Plan. The Administrator will determine the extent to which the terms and conditions of the Plan apply to Substitute Awards, if at all.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ELIGIBILITY</w:t>
      </w:r>
    </w:p>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Grantees under the Plan will be such employees, Non-Employee Directors or Consultants of the Company and its Affiliates as are selected from time to time by the Administrator in its sole discretion; provided that Awards may not be granted to employees, Non-Employee Directors or Consultants who are providing services only to any “parent” of the Company, as such term is defined in Rule 405 of the Act, unless (i) the stock underlying the Awards is treated as “service recipient stock” under Section 409A or (ii) the Company has determined that such Awards are exempt from or otherwise comply with Section 409A.</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Award of Stock Options</w:t>
      </w:r>
      <w:r>
        <w:rPr>
          <w:rFonts w:ascii="Times New Roman" w:cs="Times New Roman" w:eastAsia="Times New Roman" w:hAnsi="Times New Roman"/>
          <w:sz w:val="18"/>
          <w:szCs w:val="18"/>
          <w:color w:val="auto"/>
        </w:rPr>
        <w:t>. The Administrator may grant Stock Options under the Plan. Any Stock Option granted under the Plan shall be in such form as the Administrator may from time to time approve.</w:t>
      </w:r>
    </w:p>
    <w:p>
      <w:pPr>
        <w:spacing w:after="0" w:line="16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Exercise Price</w:t>
      </w:r>
      <w:r>
        <w:rPr>
          <w:rFonts w:ascii="Times New Roman" w:cs="Times New Roman" w:eastAsia="Times New Roman" w:hAnsi="Times New Roman"/>
          <w:sz w:val="18"/>
          <w:szCs w:val="18"/>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187"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Exercisability; Rights of a Stockholder</w:t>
      </w:r>
      <w:r>
        <w:rPr>
          <w:rFonts w:ascii="Times New Roman" w:cs="Times New Roman" w:eastAsia="Times New Roman" w:hAnsi="Times New Roman"/>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Method of Exercise</w:t>
      </w:r>
      <w:r>
        <w:rPr>
          <w:rFonts w:ascii="Times New Roman" w:cs="Times New Roman" w:eastAsia="Times New Roman" w:hAnsi="Times New Roman"/>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In cash, by certified or bank check or other instrument acceptable to the Administrator;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2" w:name="page13"/>
    <w:bookmarkEnd w:id="12"/>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(ii)            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62"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(iii)            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80" w:lineRule="exact"/>
        <w:rPr>
          <w:sz w:val="20"/>
          <w:szCs w:val="20"/>
          <w:color w:val="auto"/>
        </w:rPr>
      </w:pPr>
    </w:p>
    <w:p>
      <w:pPr>
        <w:ind w:right="240" w:firstLine="1296"/>
        <w:spacing w:after="0" w:line="266" w:lineRule="auto"/>
        <w:rPr>
          <w:sz w:val="20"/>
          <w:szCs w:val="20"/>
          <w:color w:val="auto"/>
        </w:rPr>
      </w:pPr>
      <w:r>
        <w:rPr>
          <w:rFonts w:ascii="Times New Roman" w:cs="Times New Roman" w:eastAsia="Times New Roman" w:hAnsi="Times New Roman"/>
          <w:sz w:val="18"/>
          <w:szCs w:val="18"/>
          <w:color w:val="auto"/>
        </w:rPr>
        <w:t>(iv)            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Agreement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8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Affiliates become exercisable for the first time by an optionee during any calendar year shall not exceed $100,000. To the extent that any Stock Option exceeds this limit, it shall constitute a Non-Qualified Stock Option.</w:t>
      </w:r>
    </w:p>
    <w:p>
      <w:pPr>
        <w:spacing w:after="0" w:line="18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Except as may otherwise be provided by the Administrator either in the Award Agreement or, subject to Section 16 below, in writing after the Award is issued, any portion of a Stock Option that is not vested and exercisable on the date of termination of an optionee’s Service Relationship shall immediately expire and be null and void. Once any portion of the Stock Option becomes vested and exercisable, the optionee’s right to exercise such portion of the Stock Option (or the optionee’s representatives and legatees as applicable) in the event of a termination of the optionee’s Service Relationship shall continue until during the period as set forth in the applicable Award Agreement.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STOCK APPRECIATION RIGHTS</w:t>
      </w:r>
    </w:p>
    <w:p>
      <w:pPr>
        <w:spacing w:after="0" w:line="225"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Award of Stock Appreciation Rights</w:t>
      </w:r>
      <w:r>
        <w:rPr>
          <w:rFonts w:ascii="Times New Roman" w:cs="Times New Roman" w:eastAsia="Times New Roman" w:hAnsi="Times New Roman"/>
          <w:sz w:val="17"/>
          <w:szCs w:val="17"/>
          <w:color w:val="auto"/>
        </w:rPr>
        <w:t>. The Administrator may grant Stock Appreciation Rights under the Plan. A Stock Appreciation Right is an Award entitling the recipient to receive shares of Stock (or cash, subject to the Administrator’s discretion, to the extent explicitly provided for in the applicable Award Agreement)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6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Exercise Price of Stock Appreciation Rights</w:t>
      </w:r>
      <w:r>
        <w:rPr>
          <w:rFonts w:ascii="Times New Roman" w:cs="Times New Roman" w:eastAsia="Times New Roman" w:hAnsi="Times New Roman"/>
          <w:sz w:val="18"/>
          <w:szCs w:val="18"/>
          <w:color w:val="auto"/>
        </w:rPr>
        <w:t>. The exercise price of a Stock Appreciation Right shall not be less than 100 percent of the Fair Market Value of the Stock on the date of grant. Notwithstanding the foregoing, Stock Appreciation Rights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the Stock Appreciation Right is otherwise compliant with Section 409A.</w:t>
      </w:r>
    </w:p>
    <w:p>
      <w:pPr>
        <w:spacing w:after="0" w:line="18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Grant and Exercise of Stock Appreciation Rights</w:t>
      </w:r>
      <w:r>
        <w:rPr>
          <w:rFonts w:ascii="Times New Roman" w:cs="Times New Roman" w:eastAsia="Times New Roman" w:hAnsi="Times New Roman"/>
          <w:sz w:val="18"/>
          <w:szCs w:val="18"/>
          <w:color w:val="auto"/>
        </w:rPr>
        <w:t>. Stock Appreciation Rights may be granted by the Administrator independently of any Stock Option granted pursuant to Section 5 of the Plan.</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Terms and Conditions of Stock Appreciation Rights</w:t>
      </w:r>
      <w:r>
        <w:rPr>
          <w:rFonts w:ascii="Times New Roman" w:cs="Times New Roman" w:eastAsia="Times New Roman" w:hAnsi="Times New Roman"/>
          <w:sz w:val="18"/>
          <w:szCs w:val="18"/>
          <w:color w:val="auto"/>
        </w:rPr>
        <w:t>. Stock Appreciation Rights shall be subject to such terms and conditions not inconsistent with the terms of the Plan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Except as may otherwise be provided by the Administrator either in the Award Agreement or, subject to Section 16 below, in writing after the Award is issued, any Stock Appreciation Rights that are not vested and exercisable on the date of termination of a recipient’s Service Relationship shall immediately expire and be null and void. Once any Stock Appreciation Rights become vested and exercisable, the recipient’s right to exercise such Stock Appreciation Rights (or the recipient’s representatives and legatees as applicable) in the event of a termination of the recipient’s Service Relationship shall continue until during the period as set forth in the applicable Award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Nature of Restricted Stock Awards</w:t>
      </w:r>
      <w:r>
        <w:rPr>
          <w:rFonts w:ascii="Times New Roman" w:cs="Times New Roman" w:eastAsia="Times New Roman" w:hAnsi="Times New Roman"/>
          <w:sz w:val="18"/>
          <w:szCs w:val="18"/>
          <w:color w:val="auto"/>
        </w:rPr>
        <w:t>. The Administrator may grant Restricted Stock Awards under the Plan. A Restricted Stock Award is any Award of Restricted Shares subject to such restrictions and conditions as the Administrator may determine at the time of grant. Conditions may be based on a continuing Service Relationship and/or achievement of pre-established performance goals and objectives.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4" w:name="page15"/>
    <w:bookmarkEnd w:id="14"/>
    <w:p>
      <w:pPr>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Rights as a Stockholder</w:t>
      </w:r>
      <w:r>
        <w:rPr>
          <w:rFonts w:ascii="Times New Roman" w:cs="Times New Roman" w:eastAsia="Times New Roman" w:hAnsi="Times New Roman"/>
          <w:sz w:val="18"/>
          <w:szCs w:val="18"/>
          <w:color w:val="auto"/>
        </w:rPr>
        <w:t>. Upon the grant of the Restricted Stock Award and payment by the grantee of any applicable purchase price, the grantee shall have the rights of a stockholder with respect to the voting of the Restricted Shares and receipt of dividends; provided that if the lapse of restrictions with respect to the Restricted Stock Award is tied to the attainment of vesting conditions, any dividends paid by the Company during the vesting period shall accrue and shall not be paid to the grantee until and to the extent the vesting conditions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w:t>
      </w:r>
    </w:p>
    <w:p>
      <w:pPr>
        <w:spacing w:after="0" w:line="5" w:lineRule="exact"/>
        <w:rPr>
          <w:sz w:val="20"/>
          <w:szCs w:val="20"/>
          <w:color w:val="auto"/>
        </w:rPr>
      </w:pPr>
    </w:p>
    <w:p>
      <w:pPr>
        <w:ind w:right="140" w:firstLine="8"/>
        <w:spacing w:after="0" w:line="290" w:lineRule="auto"/>
        <w:tabs>
          <w:tab w:leader="none" w:pos="26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5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Restrictions</w:t>
      </w:r>
      <w:r>
        <w:rPr>
          <w:rFonts w:ascii="Times New Roman" w:cs="Times New Roman" w:eastAsia="Times New Roman" w:hAnsi="Times New Roman"/>
          <w:sz w:val="18"/>
          <w:szCs w:val="18"/>
          <w:color w:val="auto"/>
        </w:rPr>
        <w:t>. Restricted Shares may not be sold, assigned, transferred, pledged or otherwise encumbered or disposed of except as specifically provided herein or in the Award Agreement. Except as may otherwise be provided by the Administrator either in the Award Agreement or, subject to Section 16 below, in writing after the Award is issued, if a grantee’s Service Relationship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the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Vesting of Restricted Shares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Except as may otherwise be provided by the Administrator either in the Award Agreement or, subject to Section 16 below, in writing after the Award is issued, a grantee’s right in all Restricted Shares that have not vested shall automatically terminate upon termination of the grantee’s Service Relationship for any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RESTRICTED STOCK UNITS</w:t>
      </w:r>
    </w:p>
    <w:p>
      <w:pPr>
        <w:spacing w:after="0" w:line="22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Nature of Restricted Stock Units</w:t>
      </w:r>
      <w:r>
        <w:rPr>
          <w:rFonts w:ascii="Times New Roman" w:cs="Times New Roman" w:eastAsia="Times New Roman" w:hAnsi="Times New Roman"/>
          <w:sz w:val="18"/>
          <w:szCs w:val="18"/>
          <w:color w:val="auto"/>
        </w:rPr>
        <w:t>. The Administrator may grant Restricted Stock Units under the Plan. A Restricted Stock Unit is an Award of stock units that may be settled in shares of Stock (or cash, subject to the Administrator’s discretion, to the extent explicitly provided for in the Award Agreement) upon the satisfaction of such restrictions and conditions at the time of grant. Conditions may be based on a continuing Service Relationship and/or achievement of pre-established performance goals and objectives. The terms and conditions of each such Award shall be determined by the Administrator, provided that they are not inconsistent with the terms of the Plan, and such terms and conditions may differ among individual Awards and grantees. Except in the case of Restricted Stock Units with a deferred settlement date that complies with Section 409A, at the end of the vesting period, the Restricted Stock Units, to the extent vested, shall promptly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firstLine="648"/>
        <w:spacing w:after="0" w:line="272"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Election to Receive Restricted Stock Units in Lieu of Compensation</w:t>
      </w:r>
      <w:r>
        <w:rPr>
          <w:rFonts w:ascii="Times New Roman" w:cs="Times New Roman" w:eastAsia="Times New Roman" w:hAnsi="Times New Roman"/>
          <w:sz w:val="17"/>
          <w:szCs w:val="17"/>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Agreement.</w:t>
      </w:r>
    </w:p>
    <w:p>
      <w:pPr>
        <w:spacing w:after="0" w:line="17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Rights as a Stockholder</w:t>
      </w:r>
      <w:r>
        <w:rPr>
          <w:rFonts w:ascii="Times New Roman" w:cs="Times New Roman" w:eastAsia="Times New Roman" w:hAnsi="Times New Roman"/>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Restricted Stock Units, subject to the provisions of Section 11 and such terms and conditions as the Administrator may determine.</w:t>
      </w:r>
    </w:p>
    <w:p>
      <w:pPr>
        <w:spacing w:after="0" w:line="17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Except as may otherwise be provided by the Administrator either in the Award Agreement or, subject to Section 16 below, in writing after the Award is issued, a grantee’s right in all Restricted Stock Units that have not vested shall automatically terminate upon termination of the grantee’s Service Relationship for any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UNRESTRICTED STOCK AWARDS</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Grant or Sale of Unrestricted Stock</w:t>
      </w:r>
      <w:r>
        <w:rPr>
          <w:rFonts w:ascii="Times New Roman" w:cs="Times New Roman" w:eastAsia="Times New Roman" w:hAnsi="Times New Roman"/>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CASH-BASED AWARDS</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Grant of Cash-Based Awards</w:t>
      </w:r>
      <w:r>
        <w:rPr>
          <w:rFonts w:ascii="Times New Roman" w:cs="Times New Roman" w:eastAsia="Times New Roman" w:hAnsi="Times New Roman"/>
          <w:sz w:val="18"/>
          <w:szCs w:val="18"/>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DIVIDEND EQUIVALENT RIGHTS</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Dividend Equivalent Rights</w:t>
      </w:r>
      <w:r>
        <w:rPr>
          <w:rFonts w:ascii="Times New Roman" w:cs="Times New Roman" w:eastAsia="Times New Roman" w:hAnsi="Times New Roman"/>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another Award shall provide that such Dividend Equivalent Right shall be settled only upon vesting, settlement or payment of, or lapse of restrictions on, such other Award, and that such Dividend Equivalent Right shall expire or be forfeited or annulled under the same conditions as such other Award.</w:t>
      </w:r>
    </w:p>
    <w:p>
      <w:pPr>
        <w:spacing w:after="0" w:line="19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Except as may otherwise be provided by the Administrator either in the Award Agreement or, subject to Section 16 below, in writing after the Award is issued, a grantee’s rights in all Dividend Equivalent Rights shall automatically terminate upon termination of the grantee’s Service Relationship for any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TRANSFERABILITY OF AWARDS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Transferability</w:t>
      </w:r>
      <w:r>
        <w:rPr>
          <w:rFonts w:ascii="Times New Roman" w:cs="Times New Roman" w:eastAsia="Times New Roman" w:hAnsi="Times New Roman"/>
          <w:sz w:val="18"/>
          <w:szCs w:val="18"/>
          <w:color w:val="auto"/>
        </w:rPr>
        <w:t>. Except as provided in Section 12(b) below, a grantee’s Awards shall only be exercisable by the grantee during such grantee’s lifetime,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Administrator Action</w:t>
      </w:r>
      <w:r>
        <w:rPr>
          <w:rFonts w:ascii="Times New Roman" w:cs="Times New Roman" w:eastAsia="Times New Roman" w:hAnsi="Times New Roman"/>
          <w:sz w:val="18"/>
          <w:szCs w:val="18"/>
          <w:color w:val="auto"/>
        </w:rPr>
        <w:t>. Notwithstanding Section 12(a), the Administrator, in its discretion, may provide either in the Award Agreement regarding a given Award or by subsequent written approval that the grantee (who is an employee or Non-Employee Director) may transfer their Non-Qualified Stock Options to their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Family Member</w:t>
      </w:r>
      <w:r>
        <w:rPr>
          <w:rFonts w:ascii="Times New Roman" w:cs="Times New Roman" w:eastAsia="Times New Roman" w:hAnsi="Times New Roman"/>
          <w:sz w:val="18"/>
          <w:szCs w:val="18"/>
          <w:color w:val="auto"/>
        </w:rPr>
        <w:t>. For purposes of Section 12(b), “immediate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Designation of Beneficiary</w:t>
      </w:r>
      <w:r>
        <w:rPr>
          <w:rFonts w:ascii="Times New Roman" w:cs="Times New Roman" w:eastAsia="Times New Roman" w:hAnsi="Times New Roman"/>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TAX WITHHOLDING</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Payment by Grantee</w:t>
      </w:r>
      <w:r>
        <w:rPr>
          <w:rFonts w:ascii="Times New Roman" w:cs="Times New Roman" w:eastAsia="Times New Roman" w:hAnsi="Times New Roman"/>
          <w:sz w:val="18"/>
          <w:szCs w:val="18"/>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Affiliates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 in Stock</w:t>
      </w:r>
      <w:r>
        <w:rPr>
          <w:rFonts w:ascii="Times New Roman" w:cs="Times New Roman" w:eastAsia="Times New Roman" w:hAnsi="Times New Roman"/>
          <w:sz w:val="18"/>
          <w:szCs w:val="18"/>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on a jurisdiction-by-jurisdiction basis,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SECTION 409A AWARDS</w:t>
      </w:r>
    </w:p>
    <w:p>
      <w:pPr>
        <w:spacing w:after="0" w:line="225"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TERMINATION OF SERVICE RELATIONSHIP, TRANSFER, LEAVE OF ABSENCE, ETC.</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Termination of Service Relationship</w:t>
      </w:r>
      <w:r>
        <w:rPr>
          <w:rFonts w:ascii="Times New Roman" w:cs="Times New Roman" w:eastAsia="Times New Roman" w:hAnsi="Times New Roman"/>
          <w:sz w:val="18"/>
          <w:szCs w:val="18"/>
          <w:color w:val="auto"/>
        </w:rPr>
        <w:t>. If the grantee’s Service Relationship is with an Affiliate and such Affiliate ceases to be an Affiliate, the grantee shall be deemed to have terminated their Service Relationship for purposes of the Plan.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For purposes of the Plan, the following events shall not be deemed a termination of a Service Relationship:</w:t>
      </w:r>
    </w:p>
    <w:p>
      <w:pPr>
        <w:spacing w:after="0" w:line="225" w:lineRule="exact"/>
        <w:rPr>
          <w:sz w:val="20"/>
          <w:szCs w:val="20"/>
          <w:color w:val="auto"/>
        </w:rPr>
      </w:pPr>
    </w:p>
    <w:p>
      <w:pPr>
        <w:ind w:right="360" w:firstLine="1296"/>
        <w:spacing w:after="0" w:line="266" w:lineRule="auto"/>
        <w:rPr>
          <w:sz w:val="20"/>
          <w:szCs w:val="20"/>
          <w:color w:val="auto"/>
        </w:rPr>
      </w:pPr>
      <w:r>
        <w:rPr>
          <w:rFonts w:ascii="Times New Roman" w:cs="Times New Roman" w:eastAsia="Times New Roman" w:hAnsi="Times New Roman"/>
          <w:sz w:val="18"/>
          <w:szCs w:val="18"/>
          <w:color w:val="auto"/>
        </w:rPr>
        <w:t>(i)            a change in the type of Service Relationship (e.g., a change to or from full- or part-time employee, Non-Employee Director or Consultant) provided that the Service Relationship, regardless of type, continues without interruption including a transfer as described below in Section 15(b)(ii);</w:t>
      </w:r>
    </w:p>
    <w:p>
      <w:pPr>
        <w:spacing w:after="0" w:line="176" w:lineRule="exact"/>
        <w:rPr>
          <w:sz w:val="20"/>
          <w:szCs w:val="20"/>
          <w:color w:val="auto"/>
        </w:rPr>
      </w:pPr>
    </w:p>
    <w:p>
      <w:pPr>
        <w:ind w:right="220" w:firstLine="1296"/>
        <w:spacing w:after="0" w:line="266" w:lineRule="auto"/>
        <w:rPr>
          <w:sz w:val="20"/>
          <w:szCs w:val="20"/>
          <w:color w:val="auto"/>
        </w:rPr>
      </w:pPr>
      <w:r>
        <w:rPr>
          <w:rFonts w:ascii="Times New Roman" w:cs="Times New Roman" w:eastAsia="Times New Roman" w:hAnsi="Times New Roman"/>
          <w:sz w:val="18"/>
          <w:szCs w:val="18"/>
          <w:color w:val="auto"/>
        </w:rPr>
        <w:t>(ii)            a transfer of any Service Relationship between the Company and an Affiliate or from one Affiliate to another, provided that the transfer occurs on the date immediately following the date upon which the Service Relationship with the previous entity (the Company or Affiliate, as applicable) ends; or</w:t>
      </w:r>
    </w:p>
    <w:p>
      <w:pPr>
        <w:spacing w:after="0" w:line="176"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(iii)            an approved leave of absence for military service or sickness, or for any other purpose approved by the Company, if the employee’s right to return to active employment or to re-employment is guaranteed either by a statute, law or by contract or under the policy pursuant to which the leave of absence was granted or if the Administrator otherwise so provides in writing.</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AMENDMENTS AND TERMINATION</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3(c) or 3(e), without prior stockholder approval, in no event may the Administrator exercise its discretion to reduce the exercise price of outstanding Stock Options or Stock Appreciation Rights, effect repricing through cancellation and re-grants or cancellation of Stock Options or Stock Appreciation Rights in exchange for cash or other Awards or effect cash buyouts of underwater Stock Options or Stock Appreciation Rights. To the extent required under the rules of any securities exchange or market system on which the Stock is listed or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3(c) or 3(e).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STATUS OF PLAN</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GENERAL PROVISIONS</w:t>
      </w:r>
    </w:p>
    <w:p>
      <w:pPr>
        <w:spacing w:after="0" w:line="225"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 Distribution</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Issuance of Stock</w:t>
      </w:r>
      <w:r>
        <w:rPr>
          <w:rFonts w:ascii="Times New Roman" w:cs="Times New Roman" w:eastAsia="Times New Roman" w:hAnsi="Times New Roman"/>
          <w:sz w:val="18"/>
          <w:szCs w:val="18"/>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Stockholder Rights</w:t>
      </w:r>
      <w:r>
        <w:rPr>
          <w:rFonts w:ascii="Times New Roman" w:cs="Times New Roman" w:eastAsia="Times New Roman" w:hAnsi="Times New Roman"/>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76"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Other Compensation Arrangements; No Employment Rights</w:t>
      </w:r>
      <w:r>
        <w:rPr>
          <w:rFonts w:ascii="Times New Roman" w:cs="Times New Roman" w:eastAsia="Times New Roman" w:hAnsi="Times New Roman"/>
          <w:sz w:val="17"/>
          <w:szCs w:val="17"/>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Affiliate.</w:t>
      </w:r>
    </w:p>
    <w:p>
      <w:pPr>
        <w:spacing w:after="0" w:line="15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Trading Policy Restrictions</w:t>
      </w:r>
      <w:r>
        <w:rPr>
          <w:rFonts w:ascii="Times New Roman" w:cs="Times New Roman" w:eastAsia="Times New Roman" w:hAnsi="Times New Roman"/>
          <w:sz w:val="18"/>
          <w:szCs w:val="18"/>
          <w:color w:val="auto"/>
        </w:rPr>
        <w:t>. Option exercises and other Awards under the Plan shall be subject to the Company’s insider trading policies and procedures, as in effect from time to time.</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Clawback Policy</w:t>
      </w:r>
      <w:r>
        <w:rPr>
          <w:rFonts w:ascii="Times New Roman" w:cs="Times New Roman" w:eastAsia="Times New Roman" w:hAnsi="Times New Roman"/>
          <w:sz w:val="18"/>
          <w:szCs w:val="18"/>
          <w:color w:val="auto"/>
        </w:rPr>
        <w:t>. Awards under the Plan shall be subject to any and all clawback and recoupment policies of the Company, as may be in effect from time to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EFFECTIVE DATE OF PLAN</w:t>
      </w:r>
    </w:p>
    <w:p>
      <w:pPr>
        <w:spacing w:after="0" w:line="225"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This Plan shall become effective upon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GOVERNING LAW</w:t>
      </w:r>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Delaware, applied without regard to conflict of law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DATES APPROVED BY BOARD OF DIRECTORS: February 13, 2024 and April 24,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STOCKHOLDERS: June 12, 2024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80"/>
      </w:cols>
      <w:pgMar w:left="320" w:top="90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1)"/>
      <w:numFmt w:val="lowerRoman"/>
      <w:start w:val="2"/>
    </w:lvl>
  </w:abstractNum>
  <w:abstractNum w:abstractNumId="7">
    <w:nsid w:val="515F007C"/>
    <w:multiLevelType w:val="hybridMultilevel"/>
    <w:lvl w:ilvl="0">
      <w:lvlJc w:val="left"/>
      <w:lvlText w:val="(%1)"/>
      <w:numFmt w:val="lowerRoman"/>
      <w:start w:val="2"/>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2024-06-14T15:09:19Z</dcterms:created>
  <dcterms:modified xsi:type="dcterms:W3CDTF">2024-06-14T15:09:19Z</dcterms:modified>
</cp:coreProperties>
</file>