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0</w:t>
      </w:r>
    </w:p>
    <w:p>
      <w:pPr>
        <w:spacing w:after="0" w:line="238" w:lineRule="auto"/>
        <w:rPr>
          <w:sz w:val="20"/>
          <w:szCs w:val="20"/>
          <w:color w:val="auto"/>
        </w:rPr>
      </w:pPr>
      <w:r>
        <w:rPr>
          <w:rFonts w:ascii="Courier New" w:cs="Courier New" w:eastAsia="Courier New" w:hAnsi="Courier New"/>
          <w:sz w:val="18"/>
          <w:szCs w:val="18"/>
          <w:color w:val="auto"/>
        </w:rPr>
        <w:t>BLUEPRINT MEDICINES CORP</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#09627Y109</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spacing w:after="0"/>
        <w:tabs>
          <w:tab w:leader="none" w:pos="10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Rule 13d-1(b)</w:t>
      </w:r>
    </w:p>
    <w:p>
      <w:pPr>
        <w:ind w:left="1060" w:hanging="1052"/>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13d-1(c)</w:t>
      </w:r>
    </w:p>
    <w:p>
      <w:pPr>
        <w:spacing w:after="0" w:line="3" w:lineRule="exact"/>
        <w:rPr>
          <w:rFonts w:ascii="Courier New" w:cs="Courier New" w:eastAsia="Courier New" w:hAnsi="Courier New"/>
          <w:sz w:val="18"/>
          <w:szCs w:val="18"/>
          <w:color w:val="auto"/>
        </w:rPr>
      </w:pPr>
    </w:p>
    <w:p>
      <w:pPr>
        <w:ind w:right="7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Rule 13d-1(d) Cusip #09627Y109</w:t>
      </w:r>
    </w:p>
    <w:p>
      <w:pPr>
        <w:spacing w:after="0" w:line="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w:t>
      </w:r>
      <w:r>
        <w:rPr>
          <w:rFonts w:ascii="Courier New" w:cs="Courier New" w:eastAsia="Courier New" w:hAnsi="Courier New"/>
          <w:sz w:val="16"/>
          <w:szCs w:val="16"/>
          <w:color w:val="auto"/>
        </w:rPr>
        <w:t>Reporting Person - FMR LLC</w:t>
      </w:r>
    </w:p>
    <w:tbl>
      <w:tblPr>
        <w:tblLayout w:type="fixed"/>
        <w:tblInd w:w="0" w:type="dxa"/>
        <w:tblCellMar>
          <w:top w:w="0" w:type="dxa"/>
          <w:left w:w="0" w:type="dxa"/>
          <w:bottom w:w="0" w:type="dxa"/>
          <w:right w:w="0" w:type="dxa"/>
        </w:tblCellMar>
      </w:tblPr>
      <w:tr>
        <w:trPr>
          <w:trHeight w:val="203"/>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1100" w:type="dxa"/>
            <w:vAlign w:val="bottom"/>
          </w:tcPr>
          <w:p>
            <w:pPr>
              <w:ind w:left="260"/>
              <w:spacing w:after="0"/>
              <w:rPr>
                <w:sz w:val="20"/>
                <w:szCs w:val="20"/>
                <w:color w:val="auto"/>
              </w:rPr>
            </w:pPr>
            <w:r>
              <w:rPr>
                <w:rFonts w:ascii="Courier New" w:cs="Courier New" w:eastAsia="Courier New" w:hAnsi="Courier New"/>
                <w:sz w:val="18"/>
                <w:szCs w:val="18"/>
                <w:color w:val="auto"/>
              </w:rPr>
              <w:t>(a)</w:t>
            </w:r>
          </w:p>
        </w:tc>
        <w:tc>
          <w:tcPr>
            <w:tcW w:w="4960" w:type="dxa"/>
            <w:vAlign w:val="bottom"/>
          </w:tcPr>
          <w:p>
            <w:pPr>
              <w:spacing w:after="0"/>
              <w:rPr>
                <w:sz w:val="20"/>
                <w:szCs w:val="20"/>
                <w:color w:val="auto"/>
              </w:rPr>
            </w:pPr>
            <w:r>
              <w:rPr>
                <w:rFonts w:ascii="Courier New" w:cs="Courier New" w:eastAsia="Courier New" w:hAnsi="Courier New"/>
                <w:sz w:val="18"/>
                <w:szCs w:val="18"/>
                <w:color w:val="auto"/>
              </w:rPr>
              <w:t>[ ]</w:t>
            </w:r>
          </w:p>
        </w:tc>
      </w:tr>
      <w:tr>
        <w:trPr>
          <w:trHeight w:val="203"/>
        </w:trPr>
        <w:tc>
          <w:tcPr>
            <w:tcW w:w="22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w:t>
            </w:r>
          </w:p>
        </w:tc>
        <w:tc>
          <w:tcPr>
            <w:tcW w:w="49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Delaware</w:t>
            </w:r>
          </w:p>
        </w:tc>
        <w:tc>
          <w:tcPr>
            <w:tcW w:w="49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60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2,505,611</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49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60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2,520,454</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49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60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2,520,454</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9.757%</w:t>
            </w:r>
          </w:p>
        </w:tc>
        <w:tc>
          <w:tcPr>
            <w:tcW w:w="49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HC</w:t>
            </w:r>
          </w:p>
        </w:tc>
        <w:tc>
          <w:tcPr>
            <w:tcW w:w="49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#09627Y109</w:t>
            </w:r>
          </w:p>
        </w:tc>
        <w:tc>
          <w:tcPr>
            <w:tcW w:w="1100" w:type="dxa"/>
            <w:vAlign w:val="bottom"/>
          </w:tcPr>
          <w:p>
            <w:pPr>
              <w:spacing w:after="0"/>
              <w:rPr>
                <w:sz w:val="17"/>
                <w:szCs w:val="17"/>
                <w:color w:val="auto"/>
              </w:rPr>
            </w:pPr>
          </w:p>
        </w:tc>
        <w:tc>
          <w:tcPr>
            <w:tcW w:w="49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60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Reporting Person - Edward C. Johnson 3d</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w:t>
            </w:r>
          </w:p>
        </w:tc>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22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w:t>
            </w:r>
          </w:p>
        </w:tc>
        <w:tc>
          <w:tcPr>
            <w:tcW w:w="49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60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49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49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60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2,520,454</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49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60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2,520,454</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9.757%</w:t>
            </w:r>
          </w:p>
        </w:tc>
        <w:tc>
          <w:tcPr>
            <w:tcW w:w="49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IN</w:t>
            </w:r>
          </w:p>
        </w:tc>
        <w:tc>
          <w:tcPr>
            <w:tcW w:w="49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#09627Y109</w:t>
            </w:r>
          </w:p>
        </w:tc>
        <w:tc>
          <w:tcPr>
            <w:tcW w:w="1100" w:type="dxa"/>
            <w:vAlign w:val="bottom"/>
          </w:tcPr>
          <w:p>
            <w:pPr>
              <w:spacing w:after="0"/>
              <w:rPr>
                <w:sz w:val="17"/>
                <w:szCs w:val="17"/>
                <w:color w:val="auto"/>
              </w:rPr>
            </w:pPr>
          </w:p>
        </w:tc>
        <w:tc>
          <w:tcPr>
            <w:tcW w:w="49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60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w:t>
            </w:r>
          </w:p>
        </w:tc>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22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w:t>
            </w:r>
          </w:p>
        </w:tc>
        <w:tc>
          <w:tcPr>
            <w:tcW w:w="49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60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49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49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60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2,520,454</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49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60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2,520,454</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9.757%</w:t>
            </w:r>
          </w:p>
        </w:tc>
        <w:tc>
          <w:tcPr>
            <w:tcW w:w="49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IN</w:t>
            </w:r>
          </w:p>
        </w:tc>
        <w:tc>
          <w:tcPr>
            <w:tcW w:w="4960" w:type="dxa"/>
            <w:vAlign w:val="bottom"/>
          </w:tcPr>
          <w:p>
            <w:pPr>
              <w:spacing w:after="0"/>
              <w:rPr>
                <w:sz w:val="17"/>
                <w:szCs w:val="17"/>
                <w:color w:val="auto"/>
              </w:rPr>
            </w:pP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60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Name of Issuer:</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960" w:type="dxa"/>
            <w:vAlign w:val="bottom"/>
          </w:tcPr>
          <w:p>
            <w:pPr>
              <w:spacing w:after="0"/>
              <w:rPr>
                <w:sz w:val="20"/>
                <w:szCs w:val="20"/>
                <w:color w:val="auto"/>
              </w:rPr>
            </w:pPr>
            <w:r>
              <w:rPr>
                <w:rFonts w:ascii="Courier New" w:cs="Courier New" w:eastAsia="Courier New" w:hAnsi="Courier New"/>
                <w:sz w:val="18"/>
                <w:szCs w:val="18"/>
                <w:color w:val="auto"/>
              </w:rPr>
              <w:t>BLUEPRINT MEDICINES CORP</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0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960" w:type="dxa"/>
            <w:vAlign w:val="bottom"/>
          </w:tcPr>
          <w:p>
            <w:pPr>
              <w:spacing w:after="0"/>
              <w:rPr>
                <w:sz w:val="20"/>
                <w:szCs w:val="20"/>
                <w:color w:val="auto"/>
              </w:rPr>
            </w:pPr>
            <w:r>
              <w:rPr>
                <w:rFonts w:ascii="Courier New" w:cs="Courier New" w:eastAsia="Courier New" w:hAnsi="Courier New"/>
                <w:sz w:val="18"/>
                <w:szCs w:val="18"/>
                <w:color w:val="auto"/>
              </w:rPr>
              <w:t>215 First Street</w:t>
            </w:r>
          </w:p>
        </w:tc>
      </w:tr>
      <w:tr>
        <w:trPr>
          <w:trHeight w:val="203"/>
        </w:trPr>
        <w:tc>
          <w:tcPr>
            <w:tcW w:w="2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Cambridge, MA 02142</w:t>
            </w:r>
          </w:p>
        </w:tc>
      </w:tr>
      <w:tr>
        <w:trPr>
          <w:trHeight w:val="203"/>
        </w:trPr>
        <w:tc>
          <w:tcPr>
            <w:tcW w:w="2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USA</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606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Name of Person Filing:</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960" w:type="dxa"/>
            <w:vAlign w:val="bottom"/>
          </w:tcPr>
          <w:p>
            <w:pPr>
              <w:ind w:left="100"/>
              <w:spacing w:after="0"/>
              <w:rPr>
                <w:sz w:val="20"/>
                <w:szCs w:val="20"/>
                <w:color w:val="auto"/>
              </w:rPr>
            </w:pPr>
            <w:r>
              <w:rPr>
                <w:rFonts w:ascii="Courier New" w:cs="Courier New" w:eastAsia="Courier New" w:hAnsi="Courier New"/>
                <w:sz w:val="18"/>
                <w:szCs w:val="18"/>
                <w:color w:val="auto"/>
              </w:rPr>
              <w:t>FMR LLC</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06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Address or Principal Business Office or, if None,</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Residence:</w:t>
            </w:r>
          </w:p>
        </w:tc>
        <w:tc>
          <w:tcPr>
            <w:tcW w:w="1100" w:type="dxa"/>
            <w:vAlign w:val="bottom"/>
          </w:tcPr>
          <w:p>
            <w:pPr>
              <w:spacing w:after="0"/>
              <w:rPr>
                <w:sz w:val="17"/>
                <w:szCs w:val="17"/>
                <w:color w:val="auto"/>
              </w:rPr>
            </w:pPr>
          </w:p>
        </w:tc>
        <w:tc>
          <w:tcPr>
            <w:tcW w:w="4960" w:type="dxa"/>
            <w:vAlign w:val="bottom"/>
          </w:tcPr>
          <w:p>
            <w:pPr>
              <w:spacing w:after="0"/>
              <w:rPr>
                <w:sz w:val="17"/>
                <w:szCs w:val="17"/>
                <w:color w:val="auto"/>
              </w:rPr>
            </w:pP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960" w:type="dxa"/>
            <w:vAlign w:val="bottom"/>
          </w:tcPr>
          <w:p>
            <w:pPr>
              <w:ind w:left="100"/>
              <w:spacing w:after="0"/>
              <w:rPr>
                <w:sz w:val="20"/>
                <w:szCs w:val="20"/>
                <w:color w:val="auto"/>
              </w:rPr>
            </w:pPr>
            <w:r>
              <w:rPr>
                <w:rFonts w:ascii="Courier New" w:cs="Courier New" w:eastAsia="Courier New" w:hAnsi="Courier New"/>
                <w:sz w:val="18"/>
                <w:szCs w:val="18"/>
                <w:color w:val="auto"/>
                <w:w w:val="97"/>
              </w:rPr>
              <w:t>245 Summer Street, Boston, Massachusetts 02210</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606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Citizenship:</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960" w:type="dxa"/>
            <w:vAlign w:val="bottom"/>
          </w:tcPr>
          <w:p>
            <w:pPr>
              <w:ind w:left="100"/>
              <w:spacing w:after="0"/>
              <w:rPr>
                <w:sz w:val="20"/>
                <w:szCs w:val="20"/>
                <w:color w:val="auto"/>
              </w:rPr>
            </w:pPr>
            <w:r>
              <w:rPr>
                <w:rFonts w:ascii="Courier New" w:cs="Courier New" w:eastAsia="Courier New" w:hAnsi="Courier New"/>
                <w:sz w:val="18"/>
                <w:szCs w:val="18"/>
                <w:color w:val="auto"/>
              </w:rPr>
              <w:t>Not applicable</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606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Title of Class of Securities:</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960" w:type="dxa"/>
            <w:vAlign w:val="bottom"/>
          </w:tcPr>
          <w:p>
            <w:pPr>
              <w:ind w:left="100"/>
              <w:spacing w:after="0"/>
              <w:rPr>
                <w:sz w:val="20"/>
                <w:szCs w:val="20"/>
                <w:color w:val="auto"/>
              </w:rPr>
            </w:pPr>
            <w:r>
              <w:rPr>
                <w:rFonts w:ascii="Courier New" w:cs="Courier New" w:eastAsia="Courier New" w:hAnsi="Courier New"/>
                <w:sz w:val="18"/>
                <w:szCs w:val="18"/>
                <w:color w:val="auto"/>
              </w:rPr>
              <w:t>COMMON STOCK</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606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CUSIP Number:</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960" w:type="dxa"/>
            <w:vAlign w:val="bottom"/>
          </w:tcPr>
          <w:p>
            <w:pPr>
              <w:ind w:left="100"/>
              <w:spacing w:after="0"/>
              <w:rPr>
                <w:sz w:val="20"/>
                <w:szCs w:val="20"/>
                <w:color w:val="auto"/>
              </w:rPr>
            </w:pPr>
            <w:r>
              <w:rPr>
                <w:rFonts w:ascii="Courier New" w:cs="Courier New" w:eastAsia="Courier New" w:hAnsi="Courier New"/>
                <w:sz w:val="18"/>
                <w:szCs w:val="18"/>
                <w:color w:val="auto"/>
              </w:rPr>
              <w:t>09627Y109</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0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Not Applicable</w:t>
            </w:r>
          </w:p>
        </w:tc>
      </w:tr>
    </w:tbl>
    <w:p>
      <w:pPr>
        <w:sectPr>
          <w:pgSz w:w="11900" w:h="16838" w:orient="portrait"/>
          <w:cols w:equalWidth="0" w:num="1">
            <w:col w:w="10219"/>
          </w:cols>
          <w:pgMar w:left="240" w:top="244" w:right="1440" w:bottom="0" w:gutter="0" w:footer="0" w:header="0"/>
        </w:sectPr>
      </w:pPr>
    </w:p>
    <w:bookmarkStart w:id="1" w:name="page2"/>
    <w:bookmarkEnd w:id="1"/>
    <w:p>
      <w:pPr>
        <w:spacing w:after="0"/>
        <w:tabs>
          <w:tab w:leader="none" w:pos="252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tbl>
      <w:tblPr>
        <w:tblLayout w:type="fixed"/>
        <w:tblInd w:w="2540" w:type="dxa"/>
        <w:tblCellMar>
          <w:top w:w="0" w:type="dxa"/>
          <w:left w:w="0" w:type="dxa"/>
          <w:bottom w:w="0" w:type="dxa"/>
          <w:right w:w="0" w:type="dxa"/>
        </w:tblCellMar>
      </w:tblPr>
      <w:tr>
        <w:trPr>
          <w:trHeight w:val="204"/>
        </w:trPr>
        <w:tc>
          <w:tcPr>
            <w:tcW w:w="52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Amount Beneficially Owned:</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2,520,454</w:t>
            </w:r>
          </w:p>
        </w:tc>
      </w:tr>
      <w:tr>
        <w:trPr>
          <w:trHeight w:val="405"/>
        </w:trPr>
        <w:tc>
          <w:tcPr>
            <w:tcW w:w="52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20"/>
              <w:spacing w:after="0"/>
              <w:rPr>
                <w:sz w:val="20"/>
                <w:szCs w:val="20"/>
                <w:color w:val="auto"/>
              </w:rPr>
            </w:pPr>
            <w:r>
              <w:rPr>
                <w:rFonts w:ascii="Courier New" w:cs="Courier New" w:eastAsia="Courier New" w:hAnsi="Courier New"/>
                <w:sz w:val="18"/>
                <w:szCs w:val="18"/>
                <w:color w:val="auto"/>
              </w:rPr>
              <w:t>Percent of Class:</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9.757%</w:t>
            </w:r>
          </w:p>
        </w:tc>
        <w:tc>
          <w:tcPr>
            <w:tcW w:w="1060" w:type="dxa"/>
            <w:vAlign w:val="bottom"/>
          </w:tcPr>
          <w:p>
            <w:pPr>
              <w:spacing w:after="0"/>
              <w:rPr>
                <w:sz w:val="24"/>
                <w:szCs w:val="24"/>
                <w:color w:val="auto"/>
              </w:rPr>
            </w:pPr>
          </w:p>
        </w:tc>
      </w:tr>
    </w:tbl>
    <w:p>
      <w:pPr>
        <w:spacing w:after="0" w:line="201" w:lineRule="exact"/>
        <w:rPr>
          <w:sz w:val="20"/>
          <w:szCs w:val="20"/>
          <w:color w:val="auto"/>
        </w:rPr>
      </w:pPr>
    </w:p>
    <w:p>
      <w:pPr>
        <w:ind w:left="3280" w:hanging="743"/>
        <w:spacing w:after="0"/>
        <w:tabs>
          <w:tab w:leader="none" w:pos="3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4020" w:hanging="746"/>
        <w:spacing w:after="0"/>
        <w:tabs>
          <w:tab w:leader="none" w:pos="40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tbl>
      <w:tblPr>
        <w:tblLayout w:type="fixed"/>
        <w:tblInd w:w="0" w:type="dxa"/>
        <w:tblCellMar>
          <w:top w:w="0" w:type="dxa"/>
          <w:left w:w="0" w:type="dxa"/>
          <w:bottom w:w="0" w:type="dxa"/>
          <w:right w:w="0" w:type="dxa"/>
        </w:tblCellMar>
      </w:tblP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2,505,611</w:t>
            </w:r>
          </w:p>
        </w:tc>
        <w:tc>
          <w:tcPr>
            <w:tcW w:w="20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(ii)</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w w:val="96"/>
              </w:rPr>
              <w:t>shared power to vote or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to direct the vote: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(iii)</w:t>
            </w:r>
          </w:p>
        </w:tc>
        <w:tc>
          <w:tcPr>
            <w:tcW w:w="48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sole power to dispose 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20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2,520,454</w:t>
            </w: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(iv)</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w w:val="96"/>
              </w:rPr>
              <w:t>shared power to dispose</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20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0</w:t>
            </w: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4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Five Percent or Less of a</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Class.</w:t>
            </w: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480"/>
              <w:spacing w:after="0"/>
              <w:rPr>
                <w:sz w:val="20"/>
                <w:szCs w:val="20"/>
                <w:color w:val="auto"/>
              </w:rPr>
            </w:pPr>
            <w:r>
              <w:rPr>
                <w:rFonts w:ascii="Courier New" w:cs="Courier New" w:eastAsia="Courier New" w:hAnsi="Courier New"/>
                <w:sz w:val="18"/>
                <w:szCs w:val="18"/>
                <w:color w:val="auto"/>
                <w:w w:val="96"/>
              </w:rPr>
              <w:t>Not applicable.</w:t>
            </w:r>
          </w:p>
        </w:tc>
        <w:tc>
          <w:tcPr>
            <w:tcW w:w="24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4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More than Five Percent on</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Behalf of Another</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20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bl>
    <w:p>
      <w:pPr>
        <w:spacing w:after="0" w:line="207" w:lineRule="exact"/>
        <w:rPr>
          <w:sz w:val="20"/>
          <w:szCs w:val="20"/>
          <w:color w:val="auto"/>
        </w:rPr>
      </w:pPr>
    </w:p>
    <w:p>
      <w:pPr>
        <w:ind w:right="2099" w:firstLine="948"/>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BLUEPRINT MEDICINES CORP.</w:t>
      </w:r>
    </w:p>
    <w:p>
      <w:pPr>
        <w:spacing w:after="0" w:line="209" w:lineRule="exact"/>
        <w:rPr>
          <w:sz w:val="20"/>
          <w:szCs w:val="20"/>
          <w:color w:val="auto"/>
        </w:rPr>
      </w:pPr>
    </w:p>
    <w:p>
      <w:pPr>
        <w:ind w:right="1679" w:firstLine="948"/>
        <w:spacing w:after="0" w:line="279" w:lineRule="auto"/>
        <w:rPr>
          <w:sz w:val="20"/>
          <w:szCs w:val="20"/>
          <w:color w:val="auto"/>
        </w:rPr>
      </w:pPr>
      <w:r>
        <w:rPr>
          <w:rFonts w:ascii="Courier New" w:cs="Courier New" w:eastAsia="Courier New" w:hAnsi="Courier New"/>
          <w:sz w:val="16"/>
          <w:szCs w:val="16"/>
          <w:color w:val="auto"/>
        </w:rPr>
        <w:t>The interest of one person, Beacon Bioventures Advisors Fund III Limited Partnership, in the COMMON STOCK of BLUEPRINT MEDICINES CORP, amounted to 2,500,711 shares or 9.680% of the total outstanding COMMON STOCK at May 5, 2015.</w:t>
      </w:r>
    </w:p>
    <w:p>
      <w:pPr>
        <w:spacing w:after="0" w:line="178" w:lineRule="exact"/>
        <w:rPr>
          <w:sz w:val="20"/>
          <w:szCs w:val="20"/>
          <w:color w:val="auto"/>
        </w:rPr>
      </w:pPr>
    </w:p>
    <w:p>
      <w:pPr>
        <w:ind w:right="16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attached Exhibit A.</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Certifications.</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219"/>
          </w:cols>
          <w:pgMar w:left="240" w:top="136" w:right="1440" w:bottom="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May 7, 2015</w:t>
      </w:r>
    </w:p>
    <w:p>
      <w:pPr>
        <w:ind w:left="860"/>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Scott C. Goebel</w:t>
      </w:r>
    </w:p>
    <w:p>
      <w:pPr>
        <w:ind w:left="8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Scott C. Goebel</w:t>
      </w:r>
    </w:p>
    <w:p>
      <w:pPr>
        <w:spacing w:after="0" w:line="4"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519" w:firstLine="8"/>
        <w:spacing w:after="0" w:line="236"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B to the Schedule 13G filed by FMR LLC on June 10, 2014, accession number: 0000315066-14-003512.</w:t>
      </w:r>
    </w:p>
    <w:p>
      <w:pPr>
        <w:sectPr>
          <w:pgSz w:w="11900" w:h="16838" w:orient="portrait"/>
          <w:cols w:equalWidth="0" w:num="1">
            <w:col w:w="10219"/>
          </w:cols>
          <w:pgMar w:left="240" w:top="136"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619" w:firstLine="1791"/>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ITEM 3</w:t>
            </w:r>
          </w:p>
        </w:tc>
        <w:tc>
          <w:tcPr>
            <w:tcW w:w="1680" w:type="dxa"/>
            <w:vAlign w:val="bottom"/>
          </w:tcPr>
          <w:p>
            <w:pPr>
              <w:ind w:left="40"/>
              <w:spacing w:after="0"/>
              <w:rPr>
                <w:sz w:val="20"/>
                <w:szCs w:val="20"/>
                <w:color w:val="auto"/>
              </w:rPr>
            </w:pPr>
            <w:r>
              <w:rPr>
                <w:rFonts w:ascii="Courier New" w:cs="Courier New" w:eastAsia="Courier New" w:hAnsi="Courier New"/>
                <w:sz w:val="18"/>
                <w:szCs w:val="18"/>
                <w:color w:val="auto"/>
              </w:rPr>
              <w:t>Classification</w:t>
            </w: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1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FMR CO., INC</w:t>
            </w:r>
          </w:p>
        </w:tc>
        <w:tc>
          <w:tcPr>
            <w:tcW w:w="1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IA</w:t>
            </w: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IMPRESA</w:t>
            </w:r>
          </w:p>
        </w:tc>
        <w:tc>
          <w:tcPr>
            <w:tcW w:w="2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MANAGEMENT LLC *</w:t>
            </w:r>
          </w:p>
        </w:tc>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IA</w:t>
            </w:r>
          </w:p>
        </w:tc>
        <w:tc>
          <w:tcPr>
            <w:tcW w:w="380" w:type="dxa"/>
            <w:vAlign w:val="bottom"/>
          </w:tcPr>
          <w:p>
            <w:pPr>
              <w:spacing w:after="0"/>
              <w:rPr>
                <w:sz w:val="17"/>
                <w:szCs w:val="17"/>
                <w:color w:val="auto"/>
              </w:rPr>
            </w:pP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PYRAMIS</w:t>
            </w:r>
          </w:p>
        </w:tc>
        <w:tc>
          <w:tcPr>
            <w:tcW w:w="32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GLOBAL ADVISORS TRUST COMPANY</w:t>
            </w: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BK</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PYRAMIS</w:t>
            </w:r>
          </w:p>
        </w:tc>
        <w:tc>
          <w:tcPr>
            <w:tcW w:w="2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GLOBAL ADVISORS, LLC</w:t>
            </w:r>
          </w:p>
        </w:tc>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IA</w:t>
            </w:r>
          </w:p>
        </w:tc>
        <w:tc>
          <w:tcPr>
            <w:tcW w:w="38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right="2519" w:firstLine="8"/>
        <w:spacing w:after="0" w:line="235"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419" w:firstLine="1685"/>
        <w:spacing w:after="0" w:line="236" w:lineRule="auto"/>
        <w:rPr>
          <w:sz w:val="20"/>
          <w:szCs w:val="20"/>
          <w:color w:val="auto"/>
        </w:rPr>
      </w:pPr>
      <w:r>
        <w:rPr>
          <w:rFonts w:ascii="Courier New" w:cs="Courier New" w:eastAsia="Courier New" w:hAnsi="Courier New"/>
          <w:sz w:val="18"/>
          <w:szCs w:val="18"/>
          <w:color w:val="auto"/>
        </w:rPr>
        <w:t>Edward C. Johnson 3d is a Director and the Chairman of FMR LLC and Abigail P. Johnson is a Director, the Vice Chairman, the Chief Executive Officer and the President of FMR LLC.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319" w:firstLine="1685"/>
        <w:spacing w:after="0" w:line="268" w:lineRule="auto"/>
        <w:rPr>
          <w:sz w:val="20"/>
          <w:szCs w:val="20"/>
          <w:color w:val="auto"/>
        </w:rPr>
      </w:pPr>
      <w:r>
        <w:rPr>
          <w:rFonts w:ascii="Courier New" w:cs="Courier New" w:eastAsia="Courier New" w:hAnsi="Courier New"/>
          <w:sz w:val="16"/>
          <w:szCs w:val="16"/>
          <w:color w:val="auto"/>
        </w:rPr>
        <w:t>Members of the family of Edward C. Johnson 3d,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w:t>
      </w:r>
    </w:p>
    <w:p>
      <w:pPr>
        <w:spacing w:after="0" w:line="235" w:lineRule="auto"/>
        <w:rPr>
          <w:sz w:val="20"/>
          <w:szCs w:val="20"/>
          <w:color w:val="auto"/>
        </w:rPr>
      </w:pPr>
      <w:r>
        <w:rPr>
          <w:rFonts w:ascii="Courier New" w:cs="Courier New" w:eastAsia="Courier New" w:hAnsi="Courier New"/>
          <w:sz w:val="18"/>
          <w:szCs w:val="18"/>
          <w:color w:val="auto"/>
        </w:rPr>
        <w:t>FMR LLC.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1685"/>
        <w:spacing w:after="0" w:line="237" w:lineRule="auto"/>
        <w:rPr>
          <w:sz w:val="20"/>
          <w:szCs w:val="20"/>
          <w:color w:val="auto"/>
        </w:rPr>
      </w:pPr>
      <w:r>
        <w:rPr>
          <w:rFonts w:ascii="Courier New" w:cs="Courier New" w:eastAsia="Courier New" w:hAnsi="Courier New"/>
          <w:sz w:val="18"/>
          <w:szCs w:val="18"/>
          <w:color w:val="auto"/>
        </w:rPr>
        <w:t>Neither FMR LLC nor Edward C. Johnson 3d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0" w:lineRule="exact"/>
        <w:rPr>
          <w:sz w:val="20"/>
          <w:szCs w:val="20"/>
          <w:color w:val="auto"/>
        </w:rPr>
      </w:pPr>
    </w:p>
    <w:p>
      <w:pPr>
        <w:spacing w:after="0" w:line="209" w:lineRule="exact"/>
        <w:rPr>
          <w:sz w:val="20"/>
          <w:szCs w:val="20"/>
          <w:color w:val="auto"/>
        </w:rPr>
      </w:pPr>
    </w:p>
    <w:p>
      <w:pPr>
        <w:ind w:right="2319" w:firstLine="1685"/>
        <w:spacing w:after="0" w:line="237" w:lineRule="auto"/>
        <w:rPr>
          <w:sz w:val="20"/>
          <w:szCs w:val="20"/>
          <w:color w:val="auto"/>
        </w:rPr>
      </w:pPr>
      <w:r>
        <w:rPr>
          <w:rFonts w:ascii="Courier New" w:cs="Courier New" w:eastAsia="Courier New" w:hAnsi="Courier New"/>
          <w:sz w:val="18"/>
          <w:szCs w:val="18"/>
          <w:color w:val="auto"/>
        </w:rPr>
        <w:t>The undersigned persons, on May 7, 2015, agree and consent to the joint filing on their behalf of this Schedule 13G in connection with their beneficial ownership of the COMMON STOCK of BLUEPRINT MEDICINES CORP at May 5, 2015.</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ectPr>
          <w:pgSz w:w="11900" w:h="16838" w:orient="portrait"/>
          <w:cols w:equalWidth="0" w:num="1">
            <w:col w:w="10219"/>
          </w:cols>
          <w:pgMar w:left="240" w:top="541" w:right="1440" w:bottom="0" w:gutter="0" w:footer="0" w:header="0"/>
        </w:sectPr>
      </w:pPr>
    </w:p>
    <w:bookmarkStart w:id="3" w:name="page4"/>
    <w:bookmarkEnd w:id="3"/>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Edward C. Johnson 3d*</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187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April 24, 2014,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519" w:firstLine="8"/>
        <w:spacing w:after="0" w:line="236" w:lineRule="auto"/>
        <w:tabs>
          <w:tab w:leader="none" w:pos="21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B to the Schedule 13G filed by FMR LLC on June 10, 2014, accession number: 0000315066-14-003512.</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Roman"/>
      <w:start w:val="10"/>
    </w:lvl>
  </w:abstractNum>
  <w:abstractNum w:abstractNumId="1">
    <w:nsid w:val="2AE8944A"/>
    <w:multiLevelType w:val="hybridMultilevel"/>
    <w:lvl w:ilvl="0">
      <w:lvlJc w:val="left"/>
      <w:lvlText w:val="(%1)"/>
      <w:numFmt w:val="lowerLetter"/>
      <w:start w:val="3"/>
    </w:lvl>
    <w:lvl w:ilvl="1">
      <w:lvlJc w:val="left"/>
      <w:lvlText w:val="(%2)"/>
      <w:numFmt w:val="lowerLetter"/>
      <w:start w:val="9"/>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2019-12-09T03:54:46Z</dcterms:created>
  <dcterms:modified xsi:type="dcterms:W3CDTF">2019-12-09T03:54:46Z</dcterms:modified>
</cp:coreProperties>
</file>