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20" w:hanging="8"/>
        <w:spacing w:after="0" w:line="224" w:lineRule="exact"/>
        <w:tabs>
          <w:tab w:leader="none" w:pos="6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tc>
        <w:tc>
          <w:tcPr>
            <w:tcW w:w="2220" w:type="dxa"/>
            <w:vAlign w:val="bottom"/>
          </w:tcPr>
          <w:p>
            <w:pPr>
              <w:ind w:left="190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ind w:left="1440" w:hanging="797"/>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RA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380" w:hanging="737"/>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440" w:hanging="797"/>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4.</w:t>
            </w:r>
          </w:p>
        </w:tc>
        <w:tc>
          <w:tcPr>
            <w:tcW w:w="31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Massachusetts</w:t>
            </w: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22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6980" w:type="dxa"/>
            <w:vAlign w:val="bottom"/>
          </w:tcPr>
          <w:p>
            <w:pPr>
              <w:ind w:left="60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6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w:t>
            </w:r>
          </w:p>
        </w:tc>
        <w:tc>
          <w:tcPr>
            <w:tcW w:w="222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69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r>
        <w:trPr>
          <w:trHeight w:val="11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6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w:t>
            </w:r>
          </w:p>
        </w:tc>
        <w:tc>
          <w:tcPr>
            <w:tcW w:w="222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6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w w:val="99"/>
              </w:rPr>
              <w:t>Each Reporting</w:t>
            </w:r>
          </w:p>
        </w:tc>
        <w:tc>
          <w:tcPr>
            <w:tcW w:w="90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6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20" w:type="dxa"/>
            <w:vAlign w:val="bottom"/>
          </w:tcPr>
          <w:p>
            <w:pPr>
              <w:ind w:left="60"/>
              <w:spacing w:after="0" w:line="157" w:lineRule="exact"/>
              <w:rPr>
                <w:sz w:val="20"/>
                <w:szCs w:val="20"/>
                <w:color w:val="auto"/>
              </w:rPr>
            </w:pPr>
            <w:r>
              <w:rPr>
                <w:rFonts w:ascii="Arial" w:cs="Arial" w:eastAsia="Arial" w:hAnsi="Arial"/>
                <w:sz w:val="18"/>
                <w:szCs w:val="18"/>
                <w:color w:val="auto"/>
              </w:rPr>
              <w:t>Person With</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220" w:type="dxa"/>
            <w:vAlign w:val="bottom"/>
          </w:tcPr>
          <w:p>
            <w:pPr>
              <w:ind w:left="300"/>
              <w:spacing w:after="0"/>
              <w:rPr>
                <w:sz w:val="20"/>
                <w:szCs w:val="20"/>
                <w:color w:val="auto"/>
              </w:rPr>
            </w:pPr>
            <w:r>
              <w:rPr>
                <w:rFonts w:ascii="Arial" w:cs="Arial" w:eastAsia="Arial" w:hAnsi="Arial"/>
                <w:sz w:val="18"/>
                <w:szCs w:val="18"/>
                <w:color w:val="auto"/>
                <w:w w:val="92"/>
              </w:rPr>
              <w:t>Shared Dispositive Power</w:t>
            </w:r>
          </w:p>
        </w:tc>
        <w:tc>
          <w:tcPr>
            <w:tcW w:w="6980" w:type="dxa"/>
            <w:vAlign w:val="bottom"/>
          </w:tcPr>
          <w:p>
            <w:pPr>
              <w:ind w:left="22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97"/>
        <w:spacing w:after="0"/>
        <w:tabs>
          <w:tab w:leader="none" w:pos="144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76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878,348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1440"/>
        <w:spacing w:after="0" w:line="207" w:lineRule="exact"/>
        <w:tabs>
          <w:tab w:leader="none" w:pos="562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454"/>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11.</w:t>
            </w:r>
          </w:p>
        </w:tc>
        <w:tc>
          <w:tcPr>
            <w:tcW w:w="4060" w:type="dxa"/>
            <w:vAlign w:val="bottom"/>
          </w:tcPr>
          <w:p>
            <w:pPr>
              <w:ind w:left="280"/>
              <w:spacing w:after="0"/>
              <w:rPr>
                <w:sz w:val="20"/>
                <w:szCs w:val="20"/>
                <w:color w:val="auto"/>
              </w:rPr>
            </w:pPr>
            <w:r>
              <w:rPr>
                <w:rFonts w:ascii="Arial" w:cs="Arial" w:eastAsia="Arial" w:hAnsi="Arial"/>
                <w:sz w:val="18"/>
                <w:szCs w:val="18"/>
                <w:color w:val="auto"/>
                <w:w w:val="89"/>
              </w:rPr>
              <w:t>Percent of Class Represented by Amount in Row (9)</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12.</w:t>
            </w:r>
          </w:p>
        </w:tc>
        <w:tc>
          <w:tcPr>
            <w:tcW w:w="4060" w:type="dxa"/>
            <w:vAlign w:val="bottom"/>
          </w:tcPr>
          <w:p>
            <w:pPr>
              <w:ind w:left="2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IA</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tc>
        <w:tc>
          <w:tcPr>
            <w:tcW w:w="2220" w:type="dxa"/>
            <w:vAlign w:val="bottom"/>
          </w:tcPr>
          <w:p>
            <w:pPr>
              <w:ind w:left="190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left="1440" w:hanging="797"/>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380" w:hanging="737"/>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440" w:hanging="797"/>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4.</w:t>
            </w:r>
          </w:p>
        </w:tc>
        <w:tc>
          <w:tcPr>
            <w:tcW w:w="31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22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6980" w:type="dxa"/>
            <w:vAlign w:val="bottom"/>
          </w:tcPr>
          <w:p>
            <w:pPr>
              <w:ind w:left="5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6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w:t>
            </w:r>
          </w:p>
        </w:tc>
        <w:tc>
          <w:tcPr>
            <w:tcW w:w="222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69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r>
        <w:trPr>
          <w:trHeight w:val="11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6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w:t>
            </w:r>
          </w:p>
        </w:tc>
        <w:tc>
          <w:tcPr>
            <w:tcW w:w="222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6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w w:val="99"/>
              </w:rPr>
              <w:t>Each Reporting</w:t>
            </w:r>
          </w:p>
        </w:tc>
        <w:tc>
          <w:tcPr>
            <w:tcW w:w="90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6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20" w:type="dxa"/>
            <w:vAlign w:val="bottom"/>
          </w:tcPr>
          <w:p>
            <w:pPr>
              <w:ind w:left="60"/>
              <w:spacing w:after="0" w:line="157" w:lineRule="exact"/>
              <w:rPr>
                <w:sz w:val="20"/>
                <w:szCs w:val="20"/>
                <w:color w:val="auto"/>
              </w:rPr>
            </w:pPr>
            <w:r>
              <w:rPr>
                <w:rFonts w:ascii="Arial" w:cs="Arial" w:eastAsia="Arial" w:hAnsi="Arial"/>
                <w:sz w:val="18"/>
                <w:szCs w:val="18"/>
                <w:color w:val="auto"/>
              </w:rPr>
              <w:t>Person With</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220" w:type="dxa"/>
            <w:vAlign w:val="bottom"/>
          </w:tcPr>
          <w:p>
            <w:pPr>
              <w:ind w:left="300"/>
              <w:spacing w:after="0"/>
              <w:rPr>
                <w:sz w:val="20"/>
                <w:szCs w:val="20"/>
                <w:color w:val="auto"/>
              </w:rPr>
            </w:pPr>
            <w:r>
              <w:rPr>
                <w:rFonts w:ascii="Arial" w:cs="Arial" w:eastAsia="Arial" w:hAnsi="Arial"/>
                <w:sz w:val="18"/>
                <w:szCs w:val="18"/>
                <w:color w:val="auto"/>
                <w:w w:val="92"/>
              </w:rPr>
              <w:t>Shared Dispositive Power</w:t>
            </w:r>
          </w:p>
        </w:tc>
        <w:tc>
          <w:tcPr>
            <w:tcW w:w="6980" w:type="dxa"/>
            <w:vAlign w:val="bottom"/>
          </w:tcPr>
          <w:p>
            <w:pPr>
              <w:ind w:left="26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97"/>
        <w:spacing w:after="0"/>
        <w:tabs>
          <w:tab w:leader="none" w:pos="144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76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878,348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1440"/>
        <w:spacing w:after="0" w:line="207" w:lineRule="exact"/>
        <w:tabs>
          <w:tab w:leader="none" w:pos="562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454"/>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11.</w:t>
            </w:r>
          </w:p>
        </w:tc>
        <w:tc>
          <w:tcPr>
            <w:tcW w:w="4060" w:type="dxa"/>
            <w:vAlign w:val="bottom"/>
          </w:tcPr>
          <w:p>
            <w:pPr>
              <w:ind w:left="280"/>
              <w:spacing w:after="0"/>
              <w:rPr>
                <w:sz w:val="20"/>
                <w:szCs w:val="20"/>
                <w:color w:val="auto"/>
              </w:rPr>
            </w:pPr>
            <w:r>
              <w:rPr>
                <w:rFonts w:ascii="Arial" w:cs="Arial" w:eastAsia="Arial" w:hAnsi="Arial"/>
                <w:sz w:val="18"/>
                <w:szCs w:val="18"/>
                <w:color w:val="auto"/>
                <w:w w:val="89"/>
              </w:rPr>
              <w:t>Percent of Class Represented by Amount in Row (9)</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12.</w:t>
            </w:r>
          </w:p>
        </w:tc>
        <w:tc>
          <w:tcPr>
            <w:tcW w:w="4060" w:type="dxa"/>
            <w:vAlign w:val="bottom"/>
          </w:tcPr>
          <w:p>
            <w:pPr>
              <w:ind w:left="2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171757107</w:t>
            </w:r>
          </w:p>
        </w:tc>
        <w:tc>
          <w:tcPr>
            <w:tcW w:w="2240" w:type="dxa"/>
            <w:vAlign w:val="bottom"/>
          </w:tcPr>
          <w:p>
            <w:pPr>
              <w:ind w:left="192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ind w:left="1440" w:hanging="797"/>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1380" w:hanging="737"/>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 w:lineRule="exact"/>
        <w:rPr>
          <w:rFonts w:ascii="Arial" w:cs="Arial" w:eastAsia="Arial" w:hAnsi="Arial"/>
          <w:sz w:val="18"/>
          <w:szCs w:val="18"/>
          <w:color w:val="auto"/>
        </w:rPr>
      </w:pPr>
    </w:p>
    <w:p>
      <w:pPr>
        <w:ind w:left="2000" w:hanging="614"/>
        <w:spacing w:after="0" w:line="207" w:lineRule="exact"/>
        <w:tabs>
          <w:tab w:leader="none" w:pos="20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440" w:hanging="797"/>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4.</w:t>
            </w:r>
          </w:p>
        </w:tc>
        <w:tc>
          <w:tcPr>
            <w:tcW w:w="32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69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6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Number of</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30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6900" w:type="dxa"/>
            <w:vAlign w:val="bottom"/>
          </w:tcPr>
          <w:p>
            <w:pPr>
              <w:ind w:left="4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6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w:t>
            </w:r>
          </w:p>
        </w:tc>
        <w:tc>
          <w:tcPr>
            <w:tcW w:w="230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69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r>
        <w:trPr>
          <w:trHeight w:val="11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900" w:type="dxa"/>
            <w:vAlign w:val="bottom"/>
            <w:gridSpan w:val="2"/>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6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Owned by</w:t>
            </w: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w:t>
            </w:r>
          </w:p>
        </w:tc>
        <w:tc>
          <w:tcPr>
            <w:tcW w:w="230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69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320" w:type="dxa"/>
            <w:vAlign w:val="bottom"/>
            <w:vMerge w:val="restart"/>
          </w:tcPr>
          <w:p>
            <w:pPr>
              <w:ind w:left="60"/>
              <w:spacing w:after="0"/>
              <w:rPr>
                <w:sz w:val="20"/>
                <w:szCs w:val="20"/>
                <w:color w:val="auto"/>
              </w:rPr>
            </w:pPr>
            <w:r>
              <w:rPr>
                <w:rFonts w:ascii="Arial" w:cs="Arial" w:eastAsia="Arial" w:hAnsi="Arial"/>
                <w:sz w:val="18"/>
                <w:szCs w:val="18"/>
                <w:color w:val="auto"/>
                <w:w w:val="99"/>
              </w:rPr>
              <w:t>Each Reporting</w:t>
            </w:r>
          </w:p>
        </w:tc>
        <w:tc>
          <w:tcPr>
            <w:tcW w:w="900" w:type="dxa"/>
            <w:vAlign w:val="bottom"/>
            <w:gridSpan w:val="2"/>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6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20" w:type="dxa"/>
            <w:vAlign w:val="bottom"/>
          </w:tcPr>
          <w:p>
            <w:pPr>
              <w:ind w:left="60"/>
              <w:spacing w:after="0" w:line="157" w:lineRule="exact"/>
              <w:rPr>
                <w:sz w:val="20"/>
                <w:szCs w:val="20"/>
                <w:color w:val="auto"/>
              </w:rPr>
            </w:pPr>
            <w:r>
              <w:rPr>
                <w:rFonts w:ascii="Arial" w:cs="Arial" w:eastAsia="Arial" w:hAnsi="Arial"/>
                <w:sz w:val="18"/>
                <w:szCs w:val="18"/>
                <w:color w:val="auto"/>
              </w:rPr>
              <w:t>Person With</w:t>
            </w:r>
          </w:p>
        </w:tc>
        <w:tc>
          <w:tcPr>
            <w:tcW w:w="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6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300" w:type="dxa"/>
            <w:vAlign w:val="bottom"/>
          </w:tcPr>
          <w:p>
            <w:pPr>
              <w:ind w:left="300"/>
              <w:spacing w:after="0"/>
              <w:rPr>
                <w:sz w:val="20"/>
                <w:szCs w:val="20"/>
                <w:color w:val="auto"/>
              </w:rPr>
            </w:pPr>
            <w:r>
              <w:rPr>
                <w:rFonts w:ascii="Arial" w:cs="Arial" w:eastAsia="Arial" w:hAnsi="Arial"/>
                <w:sz w:val="18"/>
                <w:szCs w:val="18"/>
                <w:color w:val="auto"/>
                <w:w w:val="96"/>
              </w:rPr>
              <w:t>Shared Dispositive Power</w:t>
            </w:r>
          </w:p>
        </w:tc>
        <w:tc>
          <w:tcPr>
            <w:tcW w:w="6900" w:type="dxa"/>
            <w:vAlign w:val="bottom"/>
          </w:tcPr>
          <w:p>
            <w:pPr>
              <w:ind w:left="140"/>
              <w:spacing w:after="0"/>
              <w:rPr>
                <w:sz w:val="20"/>
                <w:szCs w:val="20"/>
                <w:color w:val="auto"/>
              </w:rPr>
            </w:pPr>
            <w:r>
              <w:rPr>
                <w:rFonts w:ascii="Arial" w:cs="Arial" w:eastAsia="Arial" w:hAnsi="Arial"/>
                <w:sz w:val="18"/>
                <w:szCs w:val="18"/>
                <w:b w:val="1"/>
                <w:bCs w:val="1"/>
                <w:color w:val="auto"/>
              </w:rPr>
              <w:t>878,348 shares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97"/>
        <w:spacing w:after="0"/>
        <w:tabs>
          <w:tab w:leader="none" w:pos="144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1" w:lineRule="exact"/>
        <w:rPr>
          <w:rFonts w:ascii="Arial" w:cs="Arial" w:eastAsia="Arial" w:hAnsi="Arial"/>
          <w:sz w:val="36"/>
          <w:szCs w:val="36"/>
          <w:color w:val="auto"/>
          <w:vertAlign w:val="subscript"/>
        </w:rPr>
      </w:pPr>
    </w:p>
    <w:p>
      <w:pPr>
        <w:ind w:left="176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878,348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1440"/>
        <w:spacing w:after="0" w:line="207" w:lineRule="exact"/>
        <w:tabs>
          <w:tab w:leader="none" w:pos="5620" w:val="left"/>
        </w:tabs>
        <w:rPr>
          <w:sz w:val="20"/>
          <w:szCs w:val="20"/>
          <w:color w:val="auto"/>
        </w:rPr>
      </w:pPr>
      <w:r>
        <w:rPr>
          <w:rFonts w:ascii="Arial" w:cs="Arial" w:eastAsia="Arial" w:hAnsi="Arial"/>
          <w:sz w:val="18"/>
          <w:szCs w:val="18"/>
          <w:color w:val="auto"/>
        </w:rPr>
        <w:t>Check if the Aggregate Amount in Row (9) Excludes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Arial" w:cs="Arial" w:eastAsia="Arial" w:hAnsi="Arial"/>
                <w:sz w:val="18"/>
                <w:szCs w:val="18"/>
                <w:color w:val="auto"/>
              </w:rPr>
              <w:t>Certain Shares (See Instructions)</w:t>
            </w:r>
          </w:p>
        </w:tc>
        <w:tc>
          <w:tcPr>
            <w:tcW w:w="0" w:type="dxa"/>
            <w:vAlign w:val="bottom"/>
          </w:tcPr>
          <w:p>
            <w:pPr>
              <w:spacing w:after="0"/>
              <w:rPr>
                <w:sz w:val="1"/>
                <w:szCs w:val="1"/>
                <w:color w:val="auto"/>
              </w:rPr>
            </w:pPr>
          </w:p>
        </w:tc>
      </w:tr>
      <w:tr>
        <w:trPr>
          <w:trHeight w:val="454"/>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11.</w:t>
            </w:r>
          </w:p>
        </w:tc>
        <w:tc>
          <w:tcPr>
            <w:tcW w:w="4060" w:type="dxa"/>
            <w:vAlign w:val="bottom"/>
          </w:tcPr>
          <w:p>
            <w:pPr>
              <w:ind w:left="280"/>
              <w:spacing w:after="0"/>
              <w:rPr>
                <w:sz w:val="20"/>
                <w:szCs w:val="20"/>
                <w:color w:val="auto"/>
              </w:rPr>
            </w:pPr>
            <w:r>
              <w:rPr>
                <w:rFonts w:ascii="Arial" w:cs="Arial" w:eastAsia="Arial" w:hAnsi="Arial"/>
                <w:sz w:val="18"/>
                <w:szCs w:val="18"/>
                <w:color w:val="auto"/>
                <w:w w:val="89"/>
              </w:rPr>
              <w:t>Percent of Class Represented by Amount in Row (9)</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52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12.</w:t>
            </w:r>
          </w:p>
        </w:tc>
        <w:tc>
          <w:tcPr>
            <w:tcW w:w="4060" w:type="dxa"/>
            <w:vAlign w:val="bottom"/>
          </w:tcPr>
          <w:p>
            <w:pPr>
              <w:ind w:left="2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40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PN (Limited Partnership)</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BLUEPRINT MEDICINES CORPORATION (the “Issuer”).</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Address of the Issuer’s Principal Executive Offices: </w:t>
      </w:r>
      <w:r>
        <w:rPr>
          <w:rFonts w:ascii="Arial" w:cs="Arial" w:eastAsia="Arial" w:hAnsi="Arial"/>
          <w:sz w:val="18"/>
          <w:szCs w:val="18"/>
          <w:color w:val="auto"/>
        </w:rPr>
        <w:t>215 First Street, Cambridge, MA 02142.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firstLine="8"/>
        <w:spacing w:after="0" w:line="313" w:lineRule="auto"/>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Name of Person Filing: </w:t>
      </w:r>
      <w:r>
        <w:rPr>
          <w:rFonts w:ascii="Arial" w:cs="Arial" w:eastAsia="Arial" w:hAnsi="Arial"/>
          <w:sz w:val="17"/>
          <w:szCs w:val="17"/>
          <w:color w:val="auto"/>
        </w:rPr>
        <w:t>This joint statement on Schedule 13G is being filed by Peter Kolchinsky, RA Capital Management, LLC (“Capital”), and RA</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Healthcare Fund, L.P. (the “Fund”). Mr. Kolchinsky, Capital and the Fund are collectively referred to herein as the “Reporting Persons.”</w:t>
      </w:r>
    </w:p>
    <w:p>
      <w:pPr>
        <w:spacing w:after="0" w:line="138" w:lineRule="exact"/>
        <w:rPr>
          <w:rFonts w:ascii="Arial" w:cs="Arial" w:eastAsia="Arial" w:hAnsi="Arial"/>
          <w:sz w:val="17"/>
          <w:szCs w:val="17"/>
          <w:color w:val="auto"/>
        </w:rPr>
      </w:pPr>
    </w:p>
    <w:p>
      <w:pPr>
        <w:ind w:right="20" w:firstLine="8"/>
        <w:spacing w:after="0" w:line="282"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RA Capital Management, LLC, 20 Park Plaza,</w:t>
      </w:r>
      <w:r>
        <w:rPr>
          <w:rFonts w:ascii="Arial" w:cs="Arial" w:eastAsia="Arial" w:hAnsi="Arial"/>
          <w:sz w:val="18"/>
          <w:szCs w:val="18"/>
          <w:b w:val="1"/>
          <w:bCs w:val="1"/>
          <w:color w:val="auto"/>
        </w:rPr>
        <w:t xml:space="preserve"> </w:t>
      </w:r>
      <w:r>
        <w:rPr>
          <w:rFonts w:ascii="Arial" w:cs="Arial" w:eastAsia="Arial" w:hAnsi="Arial"/>
          <w:sz w:val="18"/>
          <w:szCs w:val="18"/>
          <w:color w:val="auto"/>
        </w:rPr>
        <w:t>Suite 1200, Boston, MA 02116.</w:t>
      </w:r>
    </w:p>
    <w:p>
      <w:pPr>
        <w:spacing w:after="0" w:line="161" w:lineRule="exact"/>
        <w:rPr>
          <w:rFonts w:ascii="Arial" w:cs="Arial" w:eastAsia="Arial" w:hAnsi="Arial"/>
          <w:sz w:val="18"/>
          <w:szCs w:val="18"/>
          <w:color w:val="auto"/>
        </w:rPr>
      </w:pPr>
    </w:p>
    <w:p>
      <w:pPr>
        <w:ind w:left="680" w:hanging="672"/>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Capital is a Massachusetts limited liability company. The Fund is a Delaware limited partnership. Mr. Kolchinsky is a United States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citizen.</w:t>
      </w:r>
    </w:p>
    <w:p>
      <w:pPr>
        <w:spacing w:after="0" w:line="206" w:lineRule="exact"/>
        <w:rPr>
          <w:rFonts w:ascii="Arial" w:cs="Arial" w:eastAsia="Arial" w:hAnsi="Arial"/>
          <w:sz w:val="16"/>
          <w:szCs w:val="16"/>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(“Common Stock”).</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09627Y109</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Management, LLC – 878,348 shares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Peter Kolchinsky – 878,348 shares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Healthcare Fund, L.P. – 878,348 shares</w:t>
      </w:r>
    </w:p>
    <w:p>
      <w:pPr>
        <w:spacing w:after="0" w:line="211"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Management, LLC – 3.2%</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Peter Kolchinsky – 3.2%</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RA Capital Healthcare Fund, L.P.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p>
      <w:pPr>
        <w:spacing w:after="0" w:line="229" w:lineRule="exact"/>
        <w:rPr>
          <w:sz w:val="20"/>
          <w:szCs w:val="20"/>
          <w:color w:val="auto"/>
        </w:rPr>
      </w:pPr>
    </w:p>
    <w:p>
      <w:pPr>
        <w:ind w:left="640" w:hanging="58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00" w:hanging="563"/>
        <w:spacing w:after="0"/>
        <w:tabs>
          <w:tab w:leader="none" w:pos="1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200" w:hanging="563"/>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Management, LLC – 878,348 shares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Peter Kolchinsky – 878,348 shares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Healthcare Fund, L.P. – 878,348 shares</w:t>
      </w:r>
    </w:p>
    <w:p>
      <w:pPr>
        <w:spacing w:after="0" w:line="211" w:lineRule="exact"/>
        <w:rPr>
          <w:sz w:val="20"/>
          <w:szCs w:val="20"/>
          <w:color w:val="auto"/>
        </w:rPr>
      </w:pPr>
    </w:p>
    <w:p>
      <w:pPr>
        <w:ind w:left="1200" w:hanging="56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Management, LLC - 0 shares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Peter Kolchinsky - 0 shares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Healthcare Fund, L.P. - 0 shares</w:t>
      </w:r>
    </w:p>
    <w:p>
      <w:pPr>
        <w:spacing w:after="0" w:line="211" w:lineRule="exact"/>
        <w:rPr>
          <w:sz w:val="20"/>
          <w:szCs w:val="20"/>
          <w:color w:val="auto"/>
        </w:rPr>
      </w:pPr>
    </w:p>
    <w:p>
      <w:pPr>
        <w:ind w:left="1200" w:hanging="56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Management, LLC – 878,348 shares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Peter Kolchinsky – 878,348 shares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RA Capital Healthcare Fund, L.P. – 878,348 shares</w:t>
      </w:r>
    </w:p>
    <w:p>
      <w:pPr>
        <w:spacing w:after="0" w:line="211" w:lineRule="exact"/>
        <w:rPr>
          <w:sz w:val="20"/>
          <w:szCs w:val="20"/>
          <w:color w:val="auto"/>
        </w:rPr>
      </w:pPr>
    </w:p>
    <w:p>
      <w:pPr>
        <w:ind w:firstLine="656"/>
        <w:spacing w:after="0" w:line="270" w:lineRule="auto"/>
        <w:tabs>
          <w:tab w:leader="none" w:pos="8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RA Capital Management, LLC (“Capital”) is the general partner of RA Capital Healthcare Fund, L.P. (the “Fund”) and serves as investment adviser for a separately managed account (the “Account”). Peter Kolchinsky is the manager of Capital. Mr. Kolchinsky, Capital and the Fund are referred to herein collectively as the “Reporting Persons.” As the investment adviser to the Fund and the Account, Capital may be deemed a beneficial owner, for purposes of Section 13(d) of the Securities Exchange Act of 1934 (the “Act”), of any securities of the Issuer owned by the Fund or the Account. As the manager of Capital, Mr. Kolchinsky may be deemed a beneficial owner, for purposes of Section 13(d) of the Act, of any securities of the Issuer beneficially owned by Capital. Capital is a registered investment adviser within the meaning of Rule 13d-1(b)(1)(ii)(E) and Rule 16a-1(a)(v), and Mr. Kolchinsky is a parent or control person of Capital within the meaning of Rule 13d-1(b)(1)(ii)(G) and Rule 16a-1(a)(1)(vii). Capital and Mr. Kolchinsky disclaim beneficial ownership of the securities reported in this Schedule 13G Statement (the “Statement”) other than for the purpose of determining their obligations under Section 13(d) of the Act, and neither the filing of the Statement nor the filing of this Amendment shall not be deemed an admission that either Capital or Mr. Kolchinsky is or was the beneficial owner of such securities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09627Y109</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hereby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right="5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Joint Filing Agreement by and among the Reporting Persons is incorporated herein by reference to Exhibit 1 to the Schedule 13G filed by the Reporting Persons with the Securities and Exchange Commission on May 08,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 CAPITAL MANAGEMENT,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RA Capital Management,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Rajeev Shah</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2"/>
    </w:lvl>
    <w:lvl w:ilvl="1">
      <w:lvlJc w:val="left"/>
      <w:lvlText w:val="(%2)"/>
      <w:numFmt w:val="lowerLetter"/>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lvl w:ilvl="1">
      <w:lvlJc w:val="left"/>
      <w:lvlText w:val="(%2)"/>
      <w:numFmt w:val="lowerLetter"/>
      <w:start w:val="1"/>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3"/>
    </w:lvl>
    <w:lvl w:ilvl="1">
      <w:lvlJc w:val="left"/>
      <w:lvlText w:val="(%2)"/>
      <w:numFmt w:val="lowerLetter"/>
      <w:start w:val="9"/>
    </w:lvl>
  </w:abstractNum>
  <w:abstractNum w:abstractNumId="15">
    <w:nsid w:val="431BD7B7"/>
    <w:multiLevelType w:val="hybridMultilevel"/>
    <w:lvl w:ilvl="0">
      <w:lvlJc w:val="left"/>
      <w:lvlText w:val="(%1)"/>
      <w:numFmt w:val="lowerRoman"/>
      <w:start w:val="2"/>
    </w:lvl>
  </w:abstractNum>
  <w:abstractNum w:abstractNumId="16">
    <w:nsid w:val="3F2DBA31"/>
    <w:multiLevelType w:val="hybridMultilevel"/>
    <w:lvl w:ilvl="0">
      <w:lvlJc w:val="left"/>
      <w:lvlText w:val="(%1)"/>
      <w:numFmt w:val="lowerRoman"/>
      <w:start w:val="3"/>
    </w:lvl>
  </w:abstractNum>
  <w:abstractNum w:abstractNumId="17">
    <w:nsid w:val="7C83E458"/>
    <w:multiLevelType w:val="hybridMultilevel"/>
    <w:lvl w:ilvl="0">
      <w:lvlJc w:val="left"/>
      <w:lvlText w:val="(%1)"/>
      <w:numFmt w:val="lowerRoman"/>
      <w:start w:val="4"/>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2019-12-17T06:14:02Z</dcterms:created>
  <dcterms:modified xsi:type="dcterms:W3CDTF">2019-12-17T06:14:02Z</dcterms:modified>
</cp:coreProperties>
</file>