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Blueprint Medicines Corporation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001-37359</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26-3632015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54"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45 Sidney Street</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Cambridge, Massachusetts</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02139</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54"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374-7580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11"/>
        </w:trPr>
        <w:tc>
          <w:tcPr>
            <w:tcW w:w="45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w:t>
            </w:r>
          </w:p>
        </w:tc>
        <w:tc>
          <w:tcPr>
            <w:tcW w:w="4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34"/>
        </w:trPr>
        <w:tc>
          <w:tcPr>
            <w:tcW w:w="452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09"/>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BPMC</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10"/>
        </w:trPr>
        <w:tc>
          <w:tcPr>
            <w:tcW w:w="45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r>
      <w:tr>
        <w:trPr>
          <w:trHeight w:val="28"/>
        </w:trPr>
        <w:tc>
          <w:tcPr>
            <w:tcW w:w="45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675"/>
        </w:trPr>
        <w:tc>
          <w:tcPr>
            <w:tcW w:w="45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54" w:right="339" w:bottom="1440" w:gutter="0" w:footer="0" w:header="0"/>
          <w:type w:val="continuous"/>
        </w:sectPr>
      </w:pPr>
    </w:p>
    <w:bookmarkStart w:id="1" w:name="page2"/>
    <w:bookmarkEnd w:id="1"/>
    <w:p>
      <w:pPr>
        <w:ind w:right="280"/>
        <w:spacing w:after="0" w:line="286" w:lineRule="auto"/>
        <w:rPr>
          <w:sz w:val="20"/>
          <w:szCs w:val="20"/>
          <w:color w:val="auto"/>
        </w:rPr>
      </w:pPr>
      <w:r>
        <w:rPr>
          <w:rFonts w:ascii="Times New Roman" w:cs="Times New Roman" w:eastAsia="Times New Roman" w:hAnsi="Times New Roman"/>
          <w:sz w:val="18"/>
          <w:szCs w:val="18"/>
          <w:b w:val="1"/>
          <w:bCs w:val="1"/>
          <w:color w:val="212529"/>
        </w:rPr>
        <w:t xml:space="preserve">Item 5.02 </w:t>
      </w:r>
      <w:r>
        <w:rPr>
          <w:rFonts w:ascii="Times New Roman" w:cs="Times New Roman" w:eastAsia="Times New Roman" w:hAnsi="Times New Roman"/>
          <w:sz w:val="18"/>
          <w:szCs w:val="18"/>
          <w:b w:val="1"/>
          <w:bCs w:val="1"/>
          <w:color w:val="000000"/>
        </w:rPr>
        <w:t>Departure of Directors or Certain Officers; Election of Directors; Appointment of Certain Officers; Compensatory Arrangements of</w:t>
      </w:r>
      <w:r>
        <w:rPr>
          <w:rFonts w:ascii="Times New Roman" w:cs="Times New Roman" w:eastAsia="Times New Roman" w:hAnsi="Times New Roman"/>
          <w:sz w:val="18"/>
          <w:szCs w:val="18"/>
          <w:b w:val="1"/>
          <w:bCs w:val="1"/>
          <w:color w:val="212529"/>
        </w:rPr>
        <w:t xml:space="preserve"> </w:t>
      </w:r>
      <w:r>
        <w:rPr>
          <w:rFonts w:ascii="Times New Roman" w:cs="Times New Roman" w:eastAsia="Times New Roman" w:hAnsi="Times New Roman"/>
          <w:sz w:val="18"/>
          <w:szCs w:val="18"/>
          <w:b w:val="1"/>
          <w:bCs w:val="1"/>
          <w:color w:val="000000"/>
        </w:rPr>
        <w:t>Certain Officers.</w:t>
      </w:r>
    </w:p>
    <w:p>
      <w:pPr>
        <w:spacing w:after="0" w:line="159" w:lineRule="exact"/>
        <w:rPr>
          <w:sz w:val="20"/>
          <w:szCs w:val="20"/>
          <w:color w:val="auto"/>
        </w:rPr>
      </w:pPr>
    </w:p>
    <w:p>
      <w:pPr>
        <w:ind w:right="160" w:firstLine="441"/>
        <w:spacing w:after="0" w:line="261" w:lineRule="auto"/>
        <w:rPr>
          <w:sz w:val="20"/>
          <w:szCs w:val="20"/>
          <w:color w:val="auto"/>
        </w:rPr>
      </w:pPr>
      <w:r>
        <w:rPr>
          <w:rFonts w:ascii="Times New Roman" w:cs="Times New Roman" w:eastAsia="Times New Roman" w:hAnsi="Times New Roman"/>
          <w:sz w:val="18"/>
          <w:szCs w:val="18"/>
          <w:color w:val="auto"/>
        </w:rPr>
        <w:t>Effective June 23, 2022, the Board of Directors (the “Board”) of Blueprint Medicines Corporation (the “Company”), on the recommendation of the Nominating and Corporate Governance Committee of the Board, unanimously appointed Habib J. Dable to fill a newly created vacancy on the Board resulting from the resignation of Charles A. Rowland. Mr. Dable was appointed as a Class III director of the Company, to serve in such capacity until the annual meeting of the Company’s stockholders in 2024 or until his earlier resignation, death or removal.</w:t>
      </w:r>
    </w:p>
    <w:p>
      <w:pPr>
        <w:spacing w:after="0" w:line="180"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From December 2016 until its acquisition by Merck Sharp &amp; Dohme Corp. in November 2021, Mr. Dable served as the Chief Executive Officer and President and a member of the board of directors of Acceleron Pharma Inc. (“Acceleron”), a clinical stage biopharmaceutical company targeting therapies for patients with serious and rare diseases. Prior to joining Acceleron in 2016, Mr. Dable spent 22 years at Bayer AG. During his tenure at Bayer, Mr. Dable held positions of increasing responsibility, including President of U.S. Pharmaceuticals, Executive Vice President, Global Head Specialty Medicine; Vice President, Ophthalmology; Global Launch Team Head, EYLEA®; Global Head, Neurology and Ophthalmology; and Vice President, Regional Head, Hematology and Cardiology. Mr. Dable previously served on the board of directors and a member of the compensation and transaction committees of Millendo Therapeutics, Inc. Mr. Dable earned both Bachelor’s and Master’s degrees of Business Administration from the University of New Brunswick in Canada.</w:t>
      </w:r>
    </w:p>
    <w:p>
      <w:pPr>
        <w:spacing w:after="0" w:line="192" w:lineRule="exact"/>
        <w:rPr>
          <w:sz w:val="20"/>
          <w:szCs w:val="20"/>
          <w:color w:val="auto"/>
        </w:rPr>
      </w:pPr>
    </w:p>
    <w:p>
      <w:pPr>
        <w:ind w:right="100" w:firstLine="441"/>
        <w:spacing w:after="0" w:line="256" w:lineRule="auto"/>
        <w:rPr>
          <w:sz w:val="20"/>
          <w:szCs w:val="20"/>
          <w:color w:val="auto"/>
        </w:rPr>
      </w:pPr>
      <w:r>
        <w:rPr>
          <w:rFonts w:ascii="Times New Roman" w:cs="Times New Roman" w:eastAsia="Times New Roman" w:hAnsi="Times New Roman"/>
          <w:sz w:val="18"/>
          <w:szCs w:val="18"/>
          <w:color w:val="auto"/>
        </w:rPr>
        <w:t>Upon his election to the Board, Mr. Dable was granted an option to purchase 7,950 shares of the Company’s Common Stock at an exercise price of $56.38 per share, which was the closing price of the Company’s Common Stock on the date of grant, which will vest in equal monthly installments during the three years following the grant date, subject to Mr. Dable’s continued service on the Board. Mr. Dable was also granted 3,900 restricted stock units, which will vest in equal annual installments over a three-year period beginning on the one-year anniversary of the grant date, subject to Mr. Dable’s continued service on the Board. Each restricted stock unit will entitle Mr. Dable to one share of the Company’s Common Stock if and when the restricted stock unit vests.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his election to the Board, Mr. Dable has been appointed to serve as a member of the Compensation Committee of the Board.</w:t>
      </w:r>
    </w:p>
    <w:p>
      <w:pPr>
        <w:spacing w:after="0" w:line="225" w:lineRule="exact"/>
        <w:rPr>
          <w:sz w:val="20"/>
          <w:szCs w:val="20"/>
          <w:color w:val="auto"/>
        </w:rPr>
      </w:pPr>
    </w:p>
    <w:p>
      <w:pPr>
        <w:ind w:right="260" w:firstLine="441"/>
        <w:spacing w:after="0" w:line="282" w:lineRule="auto"/>
        <w:rPr>
          <w:sz w:val="20"/>
          <w:szCs w:val="20"/>
          <w:color w:val="auto"/>
        </w:rPr>
      </w:pPr>
      <w:r>
        <w:rPr>
          <w:rFonts w:ascii="Times New Roman" w:cs="Times New Roman" w:eastAsia="Times New Roman" w:hAnsi="Times New Roman"/>
          <w:sz w:val="18"/>
          <w:szCs w:val="18"/>
          <w:color w:val="auto"/>
        </w:rPr>
        <w:t>Mr. Dable has no family relationship with any of the executive officers or directors of the Company. There are no arrangements or understandings between Mr. Dable and any other person pursuant to which she was appointed as a director of the Company.</w:t>
      </w:r>
    </w:p>
    <w:p>
      <w:pPr>
        <w:spacing w:after="0" w:line="162" w:lineRule="exact"/>
        <w:rPr>
          <w:sz w:val="20"/>
          <w:szCs w:val="20"/>
          <w:color w:val="auto"/>
        </w:rPr>
      </w:pPr>
    </w:p>
    <w:p>
      <w:pPr>
        <w:ind w:right="220" w:firstLine="441"/>
        <w:spacing w:after="0" w:line="258" w:lineRule="auto"/>
        <w:rPr>
          <w:sz w:val="20"/>
          <w:szCs w:val="20"/>
          <w:color w:val="auto"/>
        </w:rPr>
      </w:pPr>
      <w:r>
        <w:rPr>
          <w:rFonts w:ascii="Times New Roman" w:cs="Times New Roman" w:eastAsia="Times New Roman" w:hAnsi="Times New Roman"/>
          <w:sz w:val="18"/>
          <w:szCs w:val="18"/>
          <w:color w:val="auto"/>
        </w:rPr>
        <w:t>In connection with Mr. Dable’s election to the Board, Mr. Dable entered into the Company’s standard form of indemnification agreement, a copy of which was filed as Exhibit 10.11 to the Company’s Registration Statement on Form S-1 (File No. 333-202938) filed with the Securities and Exchange Commission on March 23, 2015. Pursuant to the terms of the indemnification agreement, the Company may be required, among other things, to indemnify Mr. Dable for some expenses, including attorneys’ fees, judgments, fines and settlement amounts incurred by him in any action or proceeding arising out of his service as one of the Company’s directors.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copy of the Company’s press release announcing the appointment of Mr. Dable is attached as Exhibit 99.1 to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212529"/>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gridSpan w:val="3"/>
          </w:tcPr>
          <w:p>
            <w:pPr>
              <w:spacing w:after="0"/>
              <w:rPr>
                <w:sz w:val="20"/>
                <w:szCs w:val="20"/>
                <w:color w:val="auto"/>
              </w:rPr>
            </w:pPr>
            <w:r>
              <w:rPr>
                <w:rFonts w:ascii="Times New Roman" w:cs="Times New Roman" w:eastAsia="Times New Roman" w:hAnsi="Times New Roman"/>
                <w:sz w:val="18"/>
                <w:szCs w:val="18"/>
                <w:color w:val="212529"/>
              </w:rPr>
              <w:t>(d) Exhibits.</w:t>
            </w:r>
          </w:p>
        </w:tc>
        <w:tc>
          <w:tcPr>
            <w:tcW w:w="534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414"/>
        </w:trPr>
        <w:tc>
          <w:tcPr>
            <w:tcW w:w="66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2500" w:type="dxa"/>
            <w:vAlign w:val="bottom"/>
            <w:gridSpan w:val="3"/>
          </w:tcPr>
          <w:p>
            <w:pPr>
              <w:ind w:left="660"/>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81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Press release issued by Blueprint Medicines Corporation on June 23, 2022</w:t>
            </w:r>
          </w:p>
        </w:tc>
      </w:tr>
      <w:tr>
        <w:trPr>
          <w:trHeight w:val="20"/>
        </w:trPr>
        <w:tc>
          <w:tcPr>
            <w:tcW w:w="6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340" w:type="dxa"/>
            <w:vAlign w:val="bottom"/>
            <w:shd w:val="clear" w:color="auto" w:fill="0000EE"/>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37"/>
        </w:trPr>
        <w:tc>
          <w:tcPr>
            <w:tcW w:w="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104</w:t>
            </w:r>
          </w:p>
        </w:tc>
        <w:tc>
          <w:tcPr>
            <w:tcW w:w="1520" w:type="dxa"/>
            <w:vAlign w:val="bottom"/>
          </w:tcPr>
          <w:p>
            <w:pPr>
              <w:spacing w:after="0"/>
              <w:rPr>
                <w:sz w:val="20"/>
                <w:szCs w:val="20"/>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 and incorporated as Exhibit 101)</w:t>
            </w:r>
          </w:p>
        </w:tc>
      </w:tr>
      <w:tr>
        <w:trPr>
          <w:trHeight w:val="432"/>
        </w:trPr>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120" w:type="dxa"/>
            <w:vAlign w:val="bottom"/>
            <w:gridSpan w:val="2"/>
          </w:tcPr>
          <w:p>
            <w:pPr>
              <w:ind w:left="2540"/>
              <w:spacing w:after="0"/>
              <w:rPr>
                <w:sz w:val="20"/>
                <w:szCs w:val="20"/>
                <w:color w:val="auto"/>
              </w:rPr>
            </w:pPr>
            <w:r>
              <w:rPr>
                <w:rFonts w:ascii="Times New Roman" w:cs="Times New Roman" w:eastAsia="Times New Roman" w:hAnsi="Times New Roman"/>
                <w:sz w:val="18"/>
                <w:szCs w:val="18"/>
                <w:b w:val="1"/>
                <w:bCs w:val="1"/>
                <w:color w:val="auto"/>
              </w:rPr>
              <w:t>SIGNATURES</w:t>
            </w:r>
          </w:p>
        </w:tc>
      </w:tr>
    </w:tbl>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June 23, 2022</w:t>
      </w:r>
      <w:r>
        <w:rPr>
          <w:sz w:val="20"/>
          <w:szCs w:val="20"/>
          <w:color w:val="auto"/>
        </w:rPr>
        <w:tab/>
      </w:r>
      <w:r>
        <w:rPr>
          <w:rFonts w:ascii="Times New Roman" w:cs="Times New Roman" w:eastAsia="Times New Roman" w:hAnsi="Times New Roman"/>
          <w:sz w:val="18"/>
          <w:szCs w:val="18"/>
          <w:color w:val="auto"/>
        </w:rPr>
        <w:t>By: /s/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Kathryn Haviland</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276985" cy="4540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698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Appoints Habib Dable to its Board of Directors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CAMBRIDGE, Mass., (June 23, 2022) / PRNewswire/ -- Blueprint Medicines Corporation (NASDAQ: BPMC) today announced the appointment of Habib Dable to its board of directors. Mr. Dable, who was Chief Executive Officer of Acceleron Pharma from 2016 to 2021, brings nearly 30 years of experience in strategic leadership, commercial growth and organizational scale across global pharmaceutical and emerging biotechnology companies.</w:t>
      </w:r>
    </w:p>
    <w:p>
      <w:pPr>
        <w:spacing w:after="0" w:line="176"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7"/>
          <w:szCs w:val="17"/>
          <w:color w:val="auto"/>
        </w:rPr>
        <w:t>“Habib’s experience leading global, complex organizations will be incredibly valuable as Blueprint Medicines drives our next phase of transformational growth,” said Kate Haviland, Chief Executive Officer. “We are thrilled to welcome his significant expertise and perspective to our board.”</w:t>
      </w:r>
    </w:p>
    <w:p>
      <w:pPr>
        <w:spacing w:after="0" w:line="14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“Blueprint Medicines has an impressive track record for a company of its size and age; even more impressive are the opportunities ahead across development and commercialization,” said Mr. Dable. “I look forward to working with Blueprint’s high caliber team to execute on these opportunities and continue bringing the promise of precision medicine to broad patient populations.”</w:t>
      </w:r>
    </w:p>
    <w:p>
      <w:pPr>
        <w:spacing w:after="0" w:line="17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Mr. Dable joins Blueprint Medicines with significant leadership, growth and commercial experience gained during nearly 30 years in the biopharmaceutical industry. Most recently, as CEO at Acceleron, Mr. Dable generated more than $10 billion in shareholder value over his 5-year tenure as CEO before successfully transitioning to Merck following its acquisition. Prior to joining Acceleron in 2016, Mr. Dable spent 22 years at Bayer AG. During his tenure at Bayer, Mr. Dable held positions of increasing responsibility and geographic footprint, including President of U.S. Pharmaceuticals; Executive Vice</w:t>
      </w:r>
    </w:p>
    <w:p>
      <w:pPr>
        <w:spacing w:after="0" w:line="3" w:lineRule="exact"/>
        <w:rPr>
          <w:sz w:val="20"/>
          <w:szCs w:val="20"/>
          <w:color w:val="auto"/>
        </w:rPr>
      </w:pPr>
    </w:p>
    <w:p>
      <w:pPr>
        <w:ind w:right="660"/>
        <w:spacing w:after="0" w:line="227" w:lineRule="auto"/>
        <w:rPr>
          <w:sz w:val="20"/>
          <w:szCs w:val="20"/>
          <w:color w:val="auto"/>
        </w:rPr>
      </w:pPr>
      <w:r>
        <w:rPr>
          <w:rFonts w:ascii="Times New Roman" w:cs="Times New Roman" w:eastAsia="Times New Roman" w:hAnsi="Times New Roman"/>
          <w:sz w:val="18"/>
          <w:szCs w:val="18"/>
          <w:color w:val="auto"/>
        </w:rPr>
        <w:t>President, Global Head Specialty Medicine; Vice President, Ophthalmology; Global Launch Team Head, EYLEA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Global Head, Neurology and Ophthalmology; and Vice President, Regional Head, Hematology and Cardiology. Recently, Mr. Dable served on the Board of Directors of the Biotechnology Innovation Organization (BIO). Mr. Dable received a B.B.A. in Marketing and Finance and his M.B.A. from the University of New Brunswick.</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Blueprint Medicines </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Blueprint Medicines is a global precision therapy company that invents life-changing therapies for people with cancer and blood disorders. Applying an approach that is both precise and agile, we create medicines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approved medicines directly to patients in the United States and Europe, and we are globally advancing multiple programs for systemic mastocytosis, lung cancer and other genomically defined cancers, and cancer immunotherapy. For more information, visit www.BlueprintMedicines.com and follow us on Twitter (@BlueprintMeds) and LinkedIn.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276985" cy="4540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276985" cy="45402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 </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as amended, including, without limitation, statements regarding Blueprint Medicines’ strategy, goals and anticipated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report are based on management’s current expectations and beliefs and are subject to a number of risks, uncertainties and important factors that may cause actual events or results to differ materially from those expressed or implied by any forward-looking statements contained in this report, including, without limitation, risks and uncertainties related to 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and plans in continuing to establish and expand a commercial infrastructure, and successfully launching, marketing and selling current or future approved products; Blueprint Medicines’ ability to successfully expand the approved indications for AYVAKIT/AYVAKYT and GAVRETO or obtain marketing approval for AYVAKIT/AYVAKYT in additional geographies in the future; the delay of any current or planned clinical trials or the development of Blueprint Medicines’ current or future drug candidates;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either as monotherapies or in combination with other agents or may impact the anticipated timing of data or regulatory submissions; the timing of the initiation of clinical trials and trial cohorts at clinical trial sites and patient enrollment rates; actions of regulatory agencies, which may affect the initiation, timing and progress of clinical trials; Blueprint Medicines’ ability to obtain, maintain and enforce patent and other intellectual property protection for AYVAKIT/AYVAKYT, GAVRETO or any drug candidates it is developing; Blueprint Medicines’ ability to develop and commercialize companion diagnostic tests for AYVAKIT/AYVAKYT, GAVRETO or any of its current and future drug candidates; Blueprint Medicines’ ability to successfully expand its operations, research platform and portfolio of therapeutic candidates, and the timing and costs thereof; Blueprint Medicines’ ability to realize the anticipated benefits of its executive leadership transition plan; and the success of Blueprint Medicines’ current and future collaborations, acquisitions, partnerships or licensing arrangements.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 10-Q and any other filings that Blueprint Medicines has made or may make with the SEC in the future. Any forward-looking statements contained in this report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276985" cy="4546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76985" cy="45466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Blueprint Medicines, AYVAKIT, AYVAKYT, GAVRETO and associated logos are trademarks of Blueprint Medicines Corporation.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Blueprint Medicines Contacts </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Sarah Mena Guerrero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(617) 714-6684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media@blueprintmedicines.com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Kristin Hodous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(617) 714-6674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ir@blueprintmedicines.com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2022-06-23T15:36:38Z</dcterms:created>
  <dcterms:modified xsi:type="dcterms:W3CDTF">2022-06-23T15:36:38Z</dcterms:modified>
</cp:coreProperties>
</file>