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March 9, 2017</w:t>
      </w:r>
    </w:p>
    <w:p>
      <w:pPr>
        <w:spacing w:after="0" w:line="26" w:lineRule="exact"/>
        <w:rPr>
          <w:sz w:val="24"/>
          <w:szCs w:val="24"/>
          <w:color w:val="auto"/>
        </w:rPr>
      </w:pPr>
    </w:p>
    <w:p>
      <w:pPr>
        <w:ind w:left="86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90805</wp:posOffset>
            </wp:positionV>
            <wp:extent cx="16554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1" w:lineRule="exact"/>
        <w:rPr>
          <w:sz w:val="24"/>
          <w:szCs w:val="24"/>
          <w:color w:val="auto"/>
        </w:rPr>
      </w:pPr>
    </w:p>
    <w:tbl>
      <w:tblPr>
        <w:tblLayout w:type="fixed"/>
        <w:tblInd w:w="1420" w:type="dxa"/>
        <w:tblCellMar>
          <w:top w:w="0" w:type="dxa"/>
          <w:left w:w="0" w:type="dxa"/>
          <w:bottom w:w="0" w:type="dxa"/>
          <w:right w:w="0" w:type="dxa"/>
        </w:tblCellMar>
      </w:tblPr>
      <w:tr>
        <w:trPr>
          <w:trHeight w:val="297"/>
        </w:trPr>
        <w:tc>
          <w:tcPr>
            <w:tcW w:w="2500" w:type="dxa"/>
            <w:vAlign w:val="bottom"/>
          </w:tcPr>
          <w:p>
            <w:pPr>
              <w:spacing w:after="0"/>
              <w:rPr>
                <w:sz w:val="24"/>
                <w:szCs w:val="24"/>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25"/>
                <w:szCs w:val="25"/>
                <w:b w:val="1"/>
                <w:bCs w:val="1"/>
                <w:color w:val="auto"/>
                <w:w w:val="98"/>
              </w:rPr>
              <w:t>FORM S-8</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760" w:type="dxa"/>
            <w:vAlign w:val="bottom"/>
            <w:gridSpan w:val="3"/>
          </w:tcPr>
          <w:p>
            <w:pPr>
              <w:jc w:val="center"/>
              <w:ind w:left="1740"/>
              <w:spacing w:after="0"/>
              <w:rPr>
                <w:sz w:val="20"/>
                <w:szCs w:val="20"/>
                <w:color w:val="auto"/>
              </w:rPr>
            </w:pPr>
            <w:r>
              <w:rPr>
                <w:rFonts w:ascii="Arial" w:cs="Arial" w:eastAsia="Arial" w:hAnsi="Arial"/>
                <w:sz w:val="25"/>
                <w:szCs w:val="25"/>
                <w:b w:val="1"/>
                <w:bCs w:val="1"/>
                <w:color w:val="auto"/>
              </w:rPr>
              <w:t>REGISTRATION STATEMENT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9"/>
              </w:rPr>
              <w:t>UNDER THE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3260" w:type="dxa"/>
            <w:vAlign w:val="bottom"/>
            <w:gridSpan w:val="2"/>
          </w:tcPr>
          <w:p>
            <w:pPr>
              <w:jc w:val="center"/>
              <w:ind w:right="660"/>
              <w:spacing w:after="0"/>
              <w:rPr>
                <w:sz w:val="20"/>
                <w:szCs w:val="20"/>
                <w:color w:val="auto"/>
              </w:rPr>
            </w:pPr>
            <w:r>
              <w:rPr>
                <w:rFonts w:ascii="Arial" w:cs="Arial" w:eastAsia="Arial" w:hAnsi="Arial"/>
                <w:sz w:val="18"/>
                <w:szCs w:val="18"/>
                <w:b w:val="1"/>
                <w:bCs w:val="1"/>
                <w:i w:val="1"/>
                <w:iCs w:val="1"/>
                <w:color w:val="auto"/>
                <w:w w:val="95"/>
              </w:rPr>
              <w:t>SECURITIES ACT OF 1933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26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5760" w:type="dxa"/>
            <w:vAlign w:val="bottom"/>
            <w:gridSpan w:val="3"/>
          </w:tcPr>
          <w:p>
            <w:pPr>
              <w:jc w:val="center"/>
              <w:ind w:left="1760"/>
              <w:spacing w:after="0"/>
              <w:rPr>
                <w:sz w:val="20"/>
                <w:szCs w:val="20"/>
                <w:color w:val="auto"/>
              </w:rPr>
            </w:pPr>
            <w:r>
              <w:rPr>
                <w:rFonts w:ascii="Arial" w:cs="Arial" w:eastAsia="Arial" w:hAnsi="Arial"/>
                <w:sz w:val="25"/>
                <w:szCs w:val="25"/>
                <w:b w:val="1"/>
                <w:bCs w:val="1"/>
                <w:color w:val="auto"/>
                <w:w w:val="92"/>
              </w:rPr>
              <w:t>Blueprint Medicines Corporation</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3"/>
              </w:rPr>
              <w:t>(Exact name of registrant as specified in its charter)</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08"/>
              <w:spacing w:after="0"/>
              <w:rPr>
                <w:sz w:val="20"/>
                <w:szCs w:val="20"/>
                <w:color w:val="auto"/>
              </w:rPr>
            </w:pPr>
            <w:r>
              <w:rPr>
                <w:rFonts w:ascii="Arial" w:cs="Arial" w:eastAsia="Arial" w:hAnsi="Arial"/>
                <w:sz w:val="14"/>
                <w:szCs w:val="14"/>
                <w:b w:val="1"/>
                <w:bCs w:val="1"/>
                <w:color w:val="auto"/>
              </w:rPr>
              <w:t>26-3632015</w:t>
            </w:r>
          </w:p>
        </w:tc>
        <w:tc>
          <w:tcPr>
            <w:tcW w:w="0" w:type="dxa"/>
            <w:vAlign w:val="bottom"/>
          </w:tcPr>
          <w:p>
            <w:pPr>
              <w:spacing w:after="0"/>
              <w:rPr>
                <w:sz w:val="1"/>
                <w:szCs w:val="1"/>
                <w:color w:val="auto"/>
              </w:rPr>
            </w:pPr>
          </w:p>
        </w:tc>
      </w:tr>
      <w:tr>
        <w:trPr>
          <w:trHeight w:val="149"/>
        </w:trPr>
        <w:tc>
          <w:tcPr>
            <w:tcW w:w="5760" w:type="dxa"/>
            <w:vAlign w:val="bottom"/>
            <w:gridSpan w:val="3"/>
          </w:tcPr>
          <w:p>
            <w:pPr>
              <w:jc w:val="center"/>
              <w:ind w:right="3480"/>
              <w:spacing w:after="0" w:line="149" w:lineRule="exact"/>
              <w:rPr>
                <w:sz w:val="20"/>
                <w:szCs w:val="20"/>
                <w:color w:val="auto"/>
              </w:rPr>
            </w:pPr>
            <w:r>
              <w:rPr>
                <w:rFonts w:ascii="Arial" w:cs="Arial" w:eastAsia="Arial" w:hAnsi="Arial"/>
                <w:sz w:val="14"/>
                <w:szCs w:val="14"/>
                <w:color w:val="auto"/>
                <w:w w:val="95"/>
              </w:rPr>
              <w:t>(State or other jurisdiction</w:t>
            </w: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60"/>
              <w:spacing w:after="0"/>
              <w:rPr>
                <w:sz w:val="20"/>
                <w:szCs w:val="20"/>
                <w:color w:val="auto"/>
              </w:rPr>
            </w:pPr>
            <w:r>
              <w:rPr>
                <w:rFonts w:ascii="Arial" w:cs="Arial" w:eastAsia="Arial" w:hAnsi="Arial"/>
                <w:sz w:val="14"/>
                <w:szCs w:val="14"/>
                <w:color w:val="auto"/>
                <w:w w:val="96"/>
              </w:rPr>
              <w:t>of incorporation)</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9"/>
        </w:trPr>
        <w:tc>
          <w:tcPr>
            <w:tcW w:w="5760" w:type="dxa"/>
            <w:vAlign w:val="bottom"/>
            <w:gridSpan w:val="3"/>
          </w:tcPr>
          <w:p>
            <w:pPr>
              <w:jc w:val="center"/>
              <w:ind w:right="3480"/>
              <w:spacing w:after="0"/>
              <w:rPr>
                <w:sz w:val="20"/>
                <w:szCs w:val="20"/>
                <w:color w:val="auto"/>
              </w:rPr>
            </w:pPr>
            <w:r>
              <w:rPr>
                <w:rFonts w:ascii="Arial" w:cs="Arial" w:eastAsia="Arial" w:hAnsi="Arial"/>
                <w:sz w:val="14"/>
                <w:szCs w:val="14"/>
                <w:b w:val="1"/>
                <w:bCs w:val="1"/>
                <w:color w:val="auto"/>
                <w:w w:val="92"/>
              </w:rPr>
              <w:t>38 Sidney Street, Suite 200</w:t>
            </w: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02139</w:t>
            </w:r>
          </w:p>
        </w:tc>
        <w:tc>
          <w:tcPr>
            <w:tcW w:w="0" w:type="dxa"/>
            <w:vAlign w:val="bottom"/>
          </w:tcPr>
          <w:p>
            <w:pPr>
              <w:spacing w:after="0"/>
              <w:rPr>
                <w:sz w:val="1"/>
                <w:szCs w:val="1"/>
                <w:color w:val="auto"/>
              </w:rPr>
            </w:pPr>
          </w:p>
        </w:tc>
      </w:tr>
      <w:tr>
        <w:trPr>
          <w:trHeight w:val="153"/>
        </w:trPr>
        <w:tc>
          <w:tcPr>
            <w:tcW w:w="5760" w:type="dxa"/>
            <w:vAlign w:val="bottom"/>
            <w:gridSpan w:val="3"/>
          </w:tcPr>
          <w:p>
            <w:pPr>
              <w:jc w:val="center"/>
              <w:ind w:right="3460"/>
              <w:spacing w:after="0" w:line="153" w:lineRule="exact"/>
              <w:rPr>
                <w:sz w:val="20"/>
                <w:szCs w:val="20"/>
                <w:color w:val="auto"/>
              </w:rPr>
            </w:pPr>
            <w:r>
              <w:rPr>
                <w:rFonts w:ascii="Arial" w:cs="Arial" w:eastAsia="Arial" w:hAnsi="Arial"/>
                <w:sz w:val="14"/>
                <w:szCs w:val="14"/>
                <w:b w:val="1"/>
                <w:bCs w:val="1"/>
                <w:color w:val="auto"/>
                <w:w w:val="91"/>
              </w:rPr>
              <w:t>Cambridge, Massachusetts</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right="3480"/>
              <w:spacing w:after="0"/>
              <w:rPr>
                <w:sz w:val="20"/>
                <w:szCs w:val="20"/>
                <w:color w:val="auto"/>
              </w:rPr>
            </w:pPr>
            <w:r>
              <w:rPr>
                <w:rFonts w:ascii="Arial" w:cs="Arial" w:eastAsia="Arial" w:hAnsi="Arial"/>
                <w:sz w:val="14"/>
                <w:szCs w:val="14"/>
                <w:color w:val="auto"/>
                <w:w w:val="95"/>
              </w:rPr>
              <w:t>(Address of principal executive offices)</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3"/>
              </w:rPr>
              <w:t>2015 Stock Option and Incentive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2015 Employee Stock Purchase Plan</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5"/>
              </w:rPr>
              <w:t>(Full titles of the plans)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3260" w:type="dxa"/>
            <w:vAlign w:val="bottom"/>
            <w:gridSpan w:val="2"/>
          </w:tcPr>
          <w:p>
            <w:pPr>
              <w:jc w:val="center"/>
              <w:ind w:right="660"/>
              <w:spacing w:after="0" w:line="151" w:lineRule="exact"/>
              <w:rPr>
                <w:sz w:val="20"/>
                <w:szCs w:val="20"/>
                <w:color w:val="auto"/>
              </w:rPr>
            </w:pPr>
            <w:r>
              <w:rPr>
                <w:rFonts w:ascii="Arial" w:cs="Arial" w:eastAsia="Arial" w:hAnsi="Arial"/>
                <w:sz w:val="14"/>
                <w:szCs w:val="14"/>
                <w:b w:val="1"/>
                <w:bCs w:val="1"/>
                <w:color w:val="auto"/>
                <w:w w:val="94"/>
              </w:rPr>
              <w:t>Jeffrey W. Albers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Blueprint Medicines Corporation</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38 Sidney Street, Suite 200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326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w w:val="91"/>
              </w:rPr>
              <w:t>Cambridge, Massachusetts 02139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32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(Name and address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00" w:type="dxa"/>
            <w:vAlign w:val="bottom"/>
            <w:gridSpan w:val="2"/>
          </w:tcPr>
          <w:p>
            <w:pPr>
              <w:jc w:val="center"/>
              <w:ind w:left="2360"/>
              <w:spacing w:after="0"/>
              <w:rPr>
                <w:sz w:val="20"/>
                <w:szCs w:val="20"/>
                <w:color w:val="auto"/>
              </w:rPr>
            </w:pPr>
            <w:r>
              <w:rPr>
                <w:rFonts w:ascii="Arial" w:cs="Arial" w:eastAsia="Arial" w:hAnsi="Arial"/>
                <w:sz w:val="14"/>
                <w:szCs w:val="14"/>
                <w:b w:val="1"/>
                <w:bCs w:val="1"/>
                <w:color w:val="auto"/>
                <w:w w:val="93"/>
              </w:rPr>
              <w:t>(617) 374-7580</w:t>
            </w: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60" w:type="dxa"/>
            <w:vAlign w:val="bottom"/>
            <w:gridSpan w:val="3"/>
          </w:tcPr>
          <w:p>
            <w:pPr>
              <w:jc w:val="center"/>
              <w:ind w:left="1740"/>
              <w:spacing w:after="0"/>
              <w:rPr>
                <w:sz w:val="20"/>
                <w:szCs w:val="20"/>
                <w:color w:val="auto"/>
              </w:rPr>
            </w:pPr>
            <w:r>
              <w:rPr>
                <w:rFonts w:ascii="Arial" w:cs="Arial" w:eastAsia="Arial" w:hAnsi="Arial"/>
                <w:sz w:val="14"/>
                <w:szCs w:val="14"/>
                <w:color w:val="auto"/>
                <w:w w:val="92"/>
              </w:rPr>
              <w:t>(Telephone number, including area code, of agent for service)</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760" w:type="dxa"/>
            <w:vAlign w:val="bottom"/>
            <w:gridSpan w:val="3"/>
          </w:tcPr>
          <w:p>
            <w:pPr>
              <w:jc w:val="center"/>
              <w:ind w:left="1740"/>
              <w:spacing w:after="0"/>
              <w:rPr>
                <w:sz w:val="20"/>
                <w:szCs w:val="20"/>
                <w:color w:val="auto"/>
              </w:rPr>
            </w:pPr>
            <w:r>
              <w:rPr>
                <w:rFonts w:ascii="Arial" w:cs="Arial" w:eastAsia="Arial" w:hAnsi="Arial"/>
                <w:sz w:val="14"/>
                <w:szCs w:val="14"/>
                <w:b w:val="1"/>
                <w:bCs w:val="1"/>
                <w:color w:val="auto"/>
                <w:w w:val="89"/>
              </w:rPr>
              <w:t>Please send copies of all communications to:</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Kingsley L. Taft,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Danielle M. Lauzon, Esq.</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Goodwin Procter LLP</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3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100" w:type="dxa"/>
            <w:vAlign w:val="bottom"/>
            <w:gridSpan w:val="2"/>
          </w:tcPr>
          <w:p>
            <w:pPr>
              <w:jc w:val="center"/>
              <w:ind w:left="2400"/>
              <w:spacing w:after="0"/>
              <w:rPr>
                <w:sz w:val="20"/>
                <w:szCs w:val="20"/>
                <w:color w:val="auto"/>
              </w:rPr>
            </w:pPr>
            <w:r>
              <w:rPr>
                <w:rFonts w:ascii="Arial" w:cs="Arial" w:eastAsia="Arial" w:hAnsi="Arial"/>
                <w:sz w:val="14"/>
                <w:szCs w:val="14"/>
                <w:b w:val="1"/>
                <w:bCs w:val="1"/>
                <w:color w:val="auto"/>
                <w:w w:val="93"/>
              </w:rPr>
              <w:t>(617) 570-1000</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59055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76" w:lineRule="exact"/>
        <w:rPr>
          <w:sz w:val="24"/>
          <w:szCs w:val="24"/>
          <w:color w:val="auto"/>
        </w:rPr>
      </w:pPr>
    </w:p>
    <w:p>
      <w:pPr>
        <w:ind w:left="20" w:right="18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540" w:type="dxa"/>
            <w:vAlign w:val="bottom"/>
          </w:tcPr>
          <w:p>
            <w:pPr>
              <w:ind w:left="120"/>
              <w:spacing w:after="0"/>
              <w:rPr>
                <w:sz w:val="20"/>
                <w:szCs w:val="20"/>
                <w:color w:val="auto"/>
              </w:rPr>
            </w:pPr>
            <w:r>
              <w:rPr>
                <w:rFonts w:ascii="Arial" w:cs="Arial" w:eastAsia="Arial" w:hAnsi="Arial"/>
                <w:sz w:val="14"/>
                <w:szCs w:val="14"/>
                <w:color w:val="auto"/>
              </w:rPr>
              <w:t>Large accelerated filer</w:t>
            </w:r>
          </w:p>
        </w:tc>
        <w:tc>
          <w:tcPr>
            <w:tcW w:w="106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spacing w:after="0"/>
              <w:rPr>
                <w:sz w:val="15"/>
                <w:szCs w:val="15"/>
                <w:color w:val="auto"/>
              </w:rPr>
            </w:pPr>
          </w:p>
        </w:tc>
        <w:tc>
          <w:tcPr>
            <w:tcW w:w="1480" w:type="dxa"/>
            <w:vAlign w:val="bottom"/>
            <w:gridSpan w:val="2"/>
          </w:tcPr>
          <w:p>
            <w:pPr>
              <w:ind w:left="400"/>
              <w:spacing w:after="0"/>
              <w:rPr>
                <w:sz w:val="20"/>
                <w:szCs w:val="20"/>
                <w:color w:val="auto"/>
              </w:rPr>
            </w:pPr>
            <w:r>
              <w:rPr>
                <w:rFonts w:ascii="Arial" w:cs="Arial" w:eastAsia="Arial" w:hAnsi="Arial"/>
                <w:sz w:val="14"/>
                <w:szCs w:val="14"/>
                <w:color w:val="auto"/>
              </w:rPr>
              <w:t>Accelerated filer</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jc w:val="right"/>
              <w:ind w:right="1568"/>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20"/>
              <w:spacing w:after="0"/>
              <w:rPr>
                <w:sz w:val="20"/>
                <w:szCs w:val="20"/>
                <w:color w:val="auto"/>
              </w:rPr>
            </w:pPr>
            <w:r>
              <w:rPr>
                <w:rFonts w:ascii="Arial" w:cs="Arial" w:eastAsia="Arial" w:hAnsi="Arial"/>
                <w:sz w:val="14"/>
                <w:szCs w:val="14"/>
                <w:color w:val="auto"/>
              </w:rPr>
              <w:t>Non-accelerated filer</w:t>
            </w:r>
          </w:p>
        </w:tc>
        <w:tc>
          <w:tcPr>
            <w:tcW w:w="1060" w:type="dxa"/>
            <w:vAlign w:val="bottom"/>
          </w:tcPr>
          <w:p>
            <w:pPr>
              <w:jc w:val="center"/>
              <w:ind w:left="428"/>
              <w:spacing w:after="0" w:line="141" w:lineRule="exact"/>
              <w:rPr>
                <w:sz w:val="20"/>
                <w:szCs w:val="20"/>
                <w:color w:val="auto"/>
              </w:rPr>
            </w:pPr>
            <w:r>
              <w:rPr>
                <w:rFonts w:ascii="MS PGothic" w:cs="MS PGothic" w:eastAsia="MS PGothic" w:hAnsi="MS PGothic"/>
                <w:sz w:val="14"/>
                <w:szCs w:val="14"/>
                <w:color w:val="auto"/>
                <w:w w:val="85"/>
              </w:rPr>
              <w:t>☐</w:t>
            </w:r>
          </w:p>
        </w:tc>
        <w:tc>
          <w:tcPr>
            <w:tcW w:w="320" w:type="dxa"/>
            <w:vAlign w:val="bottom"/>
          </w:tcPr>
          <w:p>
            <w:pPr>
              <w:spacing w:after="0"/>
              <w:rPr>
                <w:sz w:val="16"/>
                <w:szCs w:val="16"/>
                <w:color w:val="auto"/>
              </w:rPr>
            </w:pPr>
          </w:p>
        </w:tc>
        <w:tc>
          <w:tcPr>
            <w:tcW w:w="2700" w:type="dxa"/>
            <w:vAlign w:val="bottom"/>
            <w:gridSpan w:val="4"/>
          </w:tcPr>
          <w:p>
            <w:pPr>
              <w:jc w:val="center"/>
              <w:ind w:right="320"/>
              <w:spacing w:after="0"/>
              <w:rPr>
                <w:sz w:val="20"/>
                <w:szCs w:val="20"/>
                <w:color w:val="auto"/>
              </w:rPr>
            </w:pPr>
            <w:r>
              <w:rPr>
                <w:rFonts w:ascii="Arial" w:cs="Arial" w:eastAsia="Arial" w:hAnsi="Arial"/>
                <w:sz w:val="14"/>
                <w:szCs w:val="14"/>
                <w:color w:val="auto"/>
                <w:w w:val="94"/>
              </w:rPr>
              <w:t>Smaller reporting company</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right"/>
              <w:ind w:right="1568"/>
              <w:spacing w:after="0" w:line="141" w:lineRule="exact"/>
              <w:rPr>
                <w:sz w:val="20"/>
                <w:szCs w:val="20"/>
                <w:color w:val="auto"/>
              </w:rPr>
            </w:pPr>
            <w:r>
              <w:rPr>
                <w:rFonts w:ascii="MS PGothic" w:cs="MS PGothic" w:eastAsia="MS PGothic" w:hAnsi="MS PGothic"/>
                <w:sz w:val="14"/>
                <w:szCs w:val="14"/>
                <w:color w:val="auto"/>
                <w:w w:val="85"/>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540" w:type="dxa"/>
            <w:vAlign w:val="bottom"/>
            <w:gridSpan w:val="3"/>
          </w:tcPr>
          <w:p>
            <w:pPr>
              <w:jc w:val="center"/>
              <w:ind w:right="888"/>
              <w:spacing w:after="0" w:line="149" w:lineRule="exact"/>
              <w:rPr>
                <w:sz w:val="20"/>
                <w:szCs w:val="20"/>
                <w:color w:val="auto"/>
              </w:rPr>
            </w:pPr>
            <w:r>
              <w:rPr>
                <w:rFonts w:ascii="Arial" w:cs="Arial" w:eastAsia="Arial" w:hAnsi="Arial"/>
                <w:sz w:val="14"/>
                <w:szCs w:val="14"/>
                <w:color w:val="auto"/>
                <w:w w:val="94"/>
              </w:rPr>
              <w:t>(Do not check if a smaller</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2540" w:type="dxa"/>
            <w:vAlign w:val="bottom"/>
            <w:gridSpan w:val="3"/>
          </w:tcPr>
          <w:p>
            <w:pPr>
              <w:jc w:val="center"/>
              <w:ind w:right="888"/>
              <w:spacing w:after="0"/>
              <w:rPr>
                <w:sz w:val="20"/>
                <w:szCs w:val="20"/>
                <w:color w:val="auto"/>
              </w:rPr>
            </w:pPr>
            <w:r>
              <w:rPr>
                <w:rFonts w:ascii="Arial" w:cs="Arial" w:eastAsia="Arial" w:hAnsi="Arial"/>
                <w:sz w:val="14"/>
                <w:szCs w:val="14"/>
                <w:color w:val="auto"/>
                <w:w w:val="94"/>
              </w:rPr>
              <w:t>reporting company)</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20" w:type="dxa"/>
            <w:vAlign w:val="bottom"/>
            <w:gridSpan w:val="5"/>
          </w:tcPr>
          <w:p>
            <w:pPr>
              <w:ind w:left="240"/>
              <w:spacing w:after="0"/>
              <w:rPr>
                <w:sz w:val="20"/>
                <w:szCs w:val="20"/>
                <w:color w:val="auto"/>
              </w:rPr>
            </w:pPr>
            <w:r>
              <w:rPr>
                <w:rFonts w:ascii="Arial" w:cs="Arial" w:eastAsia="Arial" w:hAnsi="Arial"/>
                <w:sz w:val="14"/>
                <w:szCs w:val="14"/>
                <w:b w:val="1"/>
                <w:bCs w:val="1"/>
                <w:color w:val="auto"/>
              </w:rPr>
              <w:t>CALCULATION OF REGISTRATION FEE</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1"/>
        </w:trPr>
        <w:tc>
          <w:tcPr>
            <w:tcW w:w="25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4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Borders>
              <w:right w:val="single" w:sz="8" w:color="auto"/>
            </w:tcBorders>
            <w:vMerge w:val="restart"/>
          </w:tcPr>
          <w:p>
            <w:pPr>
              <w:jc w:val="center"/>
              <w:ind w:right="268"/>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0"/>
                <w:szCs w:val="10"/>
                <w:color w:val="auto"/>
              </w:rPr>
            </w:pPr>
          </w:p>
        </w:tc>
        <w:tc>
          <w:tcPr>
            <w:tcW w:w="1220" w:type="dxa"/>
            <w:vAlign w:val="bottom"/>
            <w:gridSpan w:val="2"/>
          </w:tcPr>
          <w:p>
            <w:pPr>
              <w:jc w:val="center"/>
              <w:ind w:right="120"/>
              <w:spacing w:after="0" w:line="126" w:lineRule="exact"/>
              <w:rPr>
                <w:sz w:val="20"/>
                <w:szCs w:val="20"/>
                <w:color w:val="auto"/>
              </w:rPr>
            </w:pPr>
            <w:r>
              <w:rPr>
                <w:rFonts w:ascii="Arial" w:cs="Arial" w:eastAsia="Arial" w:hAnsi="Arial"/>
                <w:sz w:val="14"/>
                <w:szCs w:val="14"/>
                <w:b w:val="1"/>
                <w:bCs w:val="1"/>
                <w:color w:val="auto"/>
                <w:w w:val="89"/>
              </w:rPr>
              <w:t>Proposed</w:t>
            </w: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jc w:val="center"/>
              <w:ind w:left="108"/>
              <w:spacing w:after="0" w:line="126" w:lineRule="exact"/>
              <w:rPr>
                <w:sz w:val="20"/>
                <w:szCs w:val="20"/>
                <w:color w:val="auto"/>
              </w:rPr>
            </w:pPr>
            <w:r>
              <w:rPr>
                <w:rFonts w:ascii="Arial" w:cs="Arial" w:eastAsia="Arial" w:hAnsi="Arial"/>
                <w:sz w:val="14"/>
                <w:szCs w:val="14"/>
                <w:b w:val="1"/>
                <w:bCs w:val="1"/>
                <w:color w:val="auto"/>
                <w:w w:val="86"/>
              </w:rPr>
              <w:t>Proposed</w:t>
            </w:r>
          </w:p>
        </w:tc>
        <w:tc>
          <w:tcPr>
            <w:tcW w:w="28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Title of Securities</w:t>
            </w:r>
          </w:p>
        </w:tc>
        <w:tc>
          <w:tcPr>
            <w:tcW w:w="10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9"/>
              </w:rPr>
              <w:t>Maximum</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left="108"/>
              <w:spacing w:after="0" w:line="145"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2540" w:type="dxa"/>
            <w:vAlign w:val="bottom"/>
            <w:vMerge w:val="continue"/>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b w:val="1"/>
                <w:bCs w:val="1"/>
                <w:color w:val="auto"/>
                <w:w w:val="89"/>
              </w:rPr>
              <w:t>to be</w:t>
            </w:r>
          </w:p>
        </w:tc>
        <w:tc>
          <w:tcPr>
            <w:tcW w:w="3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Aggregate</w:t>
            </w:r>
          </w:p>
        </w:tc>
        <w:tc>
          <w:tcPr>
            <w:tcW w:w="2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to be Registered</w:t>
            </w:r>
          </w:p>
        </w:tc>
        <w:tc>
          <w:tcPr>
            <w:tcW w:w="106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2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bottom w:val="single" w:sz="8" w:color="auto"/>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Registration Fee</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Common Stock, $0.001 par value per share</w:t>
            </w:r>
          </w:p>
        </w:tc>
        <w:tc>
          <w:tcPr>
            <w:tcW w:w="10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1,325,019</w:t>
            </w:r>
          </w:p>
        </w:tc>
        <w:tc>
          <w:tcPr>
            <w:tcW w:w="320" w:type="dxa"/>
            <w:vAlign w:val="bottom"/>
            <w:tcBorders>
              <w:bottom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35.03</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46,415,415.57</w:t>
            </w:r>
          </w:p>
        </w:tc>
        <w:tc>
          <w:tcPr>
            <w:tcW w:w="2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5,379.55</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92"/>
              </w:rPr>
              <w:t>Common Stock, $0.001 par value per share</w:t>
            </w:r>
          </w:p>
        </w:tc>
        <w:tc>
          <w:tcPr>
            <w:tcW w:w="10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331,254</w:t>
            </w:r>
          </w:p>
        </w:tc>
        <w:tc>
          <w:tcPr>
            <w:tcW w:w="320" w:type="dxa"/>
            <w:vAlign w:val="bottom"/>
            <w:tcBorders>
              <w:bottom w:val="single" w:sz="8" w:color="auto"/>
            </w:tcBorders>
          </w:tcPr>
          <w:p>
            <w:pPr>
              <w:jc w:val="center"/>
              <w:ind w:right="18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29.78</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9,864,744.12</w:t>
            </w:r>
          </w:p>
        </w:tc>
        <w:tc>
          <w:tcPr>
            <w:tcW w:w="280" w:type="dxa"/>
            <w:vAlign w:val="bottom"/>
            <w:tcBorders>
              <w:bottom w:val="single" w:sz="8" w:color="auto"/>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1,143.33</w:t>
            </w:r>
          </w:p>
        </w:tc>
        <w:tc>
          <w:tcPr>
            <w:tcW w:w="0" w:type="dxa"/>
            <w:vAlign w:val="bottom"/>
          </w:tcPr>
          <w:p>
            <w:pPr>
              <w:spacing w:after="0"/>
              <w:rPr>
                <w:sz w:val="1"/>
                <w:szCs w:val="1"/>
                <w:color w:val="auto"/>
              </w:rPr>
            </w:pPr>
          </w:p>
        </w:tc>
      </w:tr>
      <w:tr>
        <w:trPr>
          <w:trHeight w:val="149"/>
        </w:trPr>
        <w:tc>
          <w:tcPr>
            <w:tcW w:w="2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Total</w:t>
            </w:r>
          </w:p>
        </w:tc>
        <w:tc>
          <w:tcPr>
            <w:tcW w:w="1060" w:type="dxa"/>
            <w:vAlign w:val="bottom"/>
            <w:tcBorders>
              <w:bottom w:val="single" w:sz="8" w:color="auto"/>
              <w:right w:val="single" w:sz="8" w:color="auto"/>
            </w:tcBorders>
          </w:tcPr>
          <w:p>
            <w:pPr>
              <w:spacing w:after="0"/>
              <w:rPr>
                <w:sz w:val="12"/>
                <w:szCs w:val="12"/>
                <w:color w:val="auto"/>
              </w:rPr>
            </w:pPr>
          </w:p>
        </w:tc>
        <w:tc>
          <w:tcPr>
            <w:tcW w:w="1480" w:type="dxa"/>
            <w:vAlign w:val="bottom"/>
            <w:tcBorders>
              <w:bottom w:val="single" w:sz="8" w:color="auto"/>
              <w:right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1,656,273</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56,280,159.69</w:t>
            </w:r>
          </w:p>
        </w:tc>
        <w:tc>
          <w:tcPr>
            <w:tcW w:w="2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6,522.88</w:t>
            </w: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560" w:right="180" w:hanging="225"/>
        <w:spacing w:after="0" w:line="231"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416 under the Securities Act of 1933, as amended (the “Securities Act”), this registration statement shall be deemed to cover any additional shares of common stock that may from time to time be offered or issued under the above-named plans to prevent dilution resulting from stock splits, stock dividends, recapitalizations or similar transactions effected without the receipt of consideration which results in an increase in the number of the Registrant’s outstanding shares of Common Stock. Pursuant to Rule 416(c) under the Securities Act, this Registration Statement shall also cover an indeterminate amount of interests to be offered or sold pursuant to the employee benefit plans described herein.</w:t>
      </w:r>
    </w:p>
    <w:p>
      <w:pPr>
        <w:spacing w:after="0" w:line="22" w:lineRule="exact"/>
        <w:rPr>
          <w:rFonts w:ascii="Arial" w:cs="Arial" w:eastAsia="Arial" w:hAnsi="Arial"/>
          <w:sz w:val="14"/>
          <w:szCs w:val="14"/>
          <w:color w:val="auto"/>
        </w:rPr>
      </w:pPr>
    </w:p>
    <w:p>
      <w:pPr>
        <w:ind w:left="560" w:right="180" w:hanging="225"/>
        <w:spacing w:after="0" w:line="253" w:lineRule="auto"/>
        <w:tabs>
          <w:tab w:leader="none" w:pos="5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612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40" w:top="234" w:right="759" w:bottom="1440" w:gutter="0" w:footer="0" w:header="0"/>
        </w:sectPr>
      </w:pPr>
    </w:p>
    <w:bookmarkStart w:id="1" w:name="page2"/>
    <w:bookmarkEnd w:id="1"/>
    <w:p>
      <w:pPr>
        <w:jc w:val="both"/>
        <w:ind w:left="225" w:hanging="225"/>
        <w:spacing w:after="0" w:line="237" w:lineRule="auto"/>
        <w:tabs>
          <w:tab w:leader="none" w:pos="225"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457(h) of the Securities Act and based upon the average of the high and low prices of the Registrant’s Common Stock as reported on The NASDAQ Global Select Market on March 2, 2017, multiplied by 85%, which is the percentage of the price per share applicable to purchasers under the 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85725</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394335</wp:posOffset>
            </wp:positionV>
            <wp:extent cx="66122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9885"/>
          </w:cols>
          <w:pgMar w:left="1075" w:top="121" w:right="9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Registration Statement on Form S-8 relating to the 2015 Stock Option and Incentive Plan (the “2015 Plan”) and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2015 Employee Stock Purchase Plan (the “2015 ESPP”) of Blueprint Medicines Corporation (the “Registrant”) is being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registering additional securities of the same class as other securities for which a Registration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Form S-8 has previously been filed and is effective. Accordingly, this Registration Statement on Form S-8 incorporates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reference the contents of (i) the Registration Statement on Form S-8 (File No. 333-203749) filed with the Securities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“SEC”) on April 30, 2015 by the Registrant, relating to the 2015 Plan and the 2015 ESPP and</w:t>
      </w:r>
    </w:p>
    <w:p>
      <w:pPr>
        <w:spacing w:after="0" w:line="32" w:lineRule="exact"/>
        <w:rPr>
          <w:sz w:val="20"/>
          <w:szCs w:val="20"/>
          <w:color w:val="auto"/>
        </w:rPr>
      </w:pPr>
    </w:p>
    <w:p>
      <w:pPr>
        <w:ind w:right="79" w:firstLine="3"/>
        <w:spacing w:after="0" w:line="277"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Registration Statement on Form S-8 (File No. 333-210125) filed with the SEC on March 11, 2016 by the Registrant, relating to the 2015 Plan and the 2015 ESPP, in each case, except for “Item 8. Exhibits” with respect to which the Exhibit Index immediately preceding the exhibits attached hereto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this 9</w:t>
      </w:r>
      <w:r>
        <w:rPr>
          <w:rFonts w:ascii="Arial" w:cs="Arial" w:eastAsia="Arial" w:hAnsi="Arial"/>
          <w:sz w:val="8"/>
          <w:szCs w:val="8"/>
          <w:color w:val="auto"/>
        </w:rPr>
        <w:t>th</w:t>
      </w:r>
      <w:r>
        <w:rPr>
          <w:rFonts w:ascii="Arial" w:cs="Arial" w:eastAsia="Arial" w:hAnsi="Arial"/>
          <w:sz w:val="18"/>
          <w:szCs w:val="18"/>
          <w:color w:val="auto"/>
        </w:rPr>
        <w:t xml:space="preserve"> day of March, 2017.</w:t>
      </w:r>
    </w:p>
    <w:p>
      <w:pPr>
        <w:spacing w:after="0" w:line="19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38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Jeffrey W.</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Albers</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3755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 AND SIGNATURES</w:t>
      </w:r>
    </w:p>
    <w:p>
      <w:pPr>
        <w:spacing w:after="0" w:line="121"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We, the undersigned officers and directors of Blueprint Medicines Corporation, hereby severally constitute and appoint Jeffrey W. Albers and Michael Landsittel, and each of them singly, our true and lawful attorneys with full power to any of them, and to each of them singly, to sign for us and in our names in the capacities indicated below the Registration Statement on Form S-8 filed herewith and any and all amendments to said Registration Statement, and generally to do all such things in our name and on our behalf in our capacities as officers and directors to enable Blueprint Medicines Corporation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37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Jeffrey W. Albers</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Executive Officer)</w:t>
            </w:r>
          </w:p>
        </w:tc>
        <w:tc>
          <w:tcPr>
            <w:tcW w:w="1760" w:type="dxa"/>
            <w:vAlign w:val="bottom"/>
          </w:tcPr>
          <w:p>
            <w:pPr>
              <w:spacing w:after="0"/>
              <w:rPr>
                <w:sz w:val="19"/>
                <w:szCs w:val="19"/>
                <w:color w:val="auto"/>
              </w:rPr>
            </w:pPr>
          </w:p>
        </w:tc>
      </w:tr>
      <w:tr>
        <w:trPr>
          <w:trHeight w:val="418"/>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Vice President of Finance</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Michael Landsittel</w:t>
            </w:r>
          </w:p>
        </w:tc>
        <w:tc>
          <w:tcPr>
            <w:tcW w:w="4200" w:type="dxa"/>
            <w:vAlign w:val="bottom"/>
            <w:gridSpan w:val="3"/>
          </w:tcPr>
          <w:p>
            <w:pPr>
              <w:ind w:left="240"/>
              <w:spacing w:after="0"/>
              <w:rPr>
                <w:sz w:val="20"/>
                <w:szCs w:val="20"/>
                <w:color w:val="auto"/>
              </w:rPr>
            </w:pPr>
            <w:r>
              <w:rPr>
                <w:rFonts w:ascii="Arial" w:cs="Arial" w:eastAsia="Arial" w:hAnsi="Arial"/>
                <w:sz w:val="18"/>
                <w:szCs w:val="18"/>
                <w:i w:val="1"/>
                <w:iCs w:val="1"/>
                <w:color w:val="auto"/>
              </w:rPr>
              <w:t>(Principal Financial and Accounting Officer)</w:t>
            </w: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S. Lynch</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Daniel S. Lynch</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Lydon</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Nicholas Lydon, Ph.D.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Alexis Borisy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Alexis Borisy</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Goldberg</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Mark Goldberg,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A. Rowland, Jr.</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Charles A. Rowland, Jr.</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Demetri</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George Demetri,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Lonnel Coats</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Lonnel Coats</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6"/>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Seely</w:t>
            </w: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March 9, 2017</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Lynn Seely, M.D.</w:t>
            </w:r>
          </w:p>
        </w:tc>
        <w:tc>
          <w:tcPr>
            <w:tcW w:w="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654"/>
        </w:trPr>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100"/>
          </w:cols>
          <w:pgMar w:left="1420" w:top="121" w:right="1379" w:bottom="1440" w:gutter="0" w:footer="0" w:header="0"/>
        </w:sectPr>
      </w:pP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8"/>
              </w:rPr>
              <w:t>Exhibit</w:t>
            </w:r>
          </w:p>
        </w:tc>
        <w:tc>
          <w:tcPr>
            <w:tcW w:w="2200" w:type="dxa"/>
            <w:vAlign w:val="bottom"/>
            <w:vMerge w:val="restart"/>
          </w:tcPr>
          <w:p>
            <w:pPr>
              <w:ind w:left="84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1360" w:type="dxa"/>
            <w:vAlign w:val="bottom"/>
          </w:tcPr>
          <w:p>
            <w:pPr>
              <w:jc w:val="center"/>
              <w:ind w:right="788"/>
              <w:spacing w:after="0"/>
              <w:rPr>
                <w:sz w:val="20"/>
                <w:szCs w:val="20"/>
                <w:color w:val="auto"/>
              </w:rPr>
            </w:pPr>
            <w:r>
              <w:rPr>
                <w:rFonts w:ascii="Arial" w:cs="Arial" w:eastAsia="Arial" w:hAnsi="Arial"/>
                <w:sz w:val="14"/>
                <w:szCs w:val="14"/>
                <w:b w:val="1"/>
                <w:bCs w:val="1"/>
                <w:color w:val="auto"/>
                <w:w w:val="94"/>
              </w:rPr>
              <w:t>Number</w:t>
            </w:r>
          </w:p>
        </w:tc>
        <w:tc>
          <w:tcPr>
            <w:tcW w:w="2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310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ind w:left="760" w:right="140" w:hanging="755"/>
        <w:spacing w:after="0" w:line="259"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Fifth Amended and Restated Certificate of Incorporation of the Registrant</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Registrant</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Stock Certificate</w:t>
      </w:r>
    </w:p>
    <w:p>
      <w:pPr>
        <w:spacing w:after="0" w:line="117" w:lineRule="exact"/>
        <w:rPr>
          <w:sz w:val="20"/>
          <w:szCs w:val="20"/>
          <w:color w:val="auto"/>
        </w:rPr>
      </w:pPr>
    </w:p>
    <w:p>
      <w:pPr>
        <w:jc w:val="both"/>
        <w:ind w:left="760" w:hanging="755"/>
        <w:spacing w:after="0" w:line="264" w:lineRule="auto"/>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Second Amended and Restated Investors’ Rights Agreement, dated as of November 7, 2014, by and among the Registrant and the Investors listed therein</w:t>
      </w:r>
    </w:p>
    <w:p>
      <w:pPr>
        <w:spacing w:after="0" w:line="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Goodwin Procter LLP, counsel to the Registrant</w:t>
      </w:r>
    </w:p>
    <w:p>
      <w:pPr>
        <w:spacing w:after="0" w:line="117" w:lineRule="exact"/>
        <w:rPr>
          <w:sz w:val="20"/>
          <w:szCs w:val="20"/>
          <w:color w:val="auto"/>
        </w:rPr>
      </w:pPr>
    </w:p>
    <w:p>
      <w:pPr>
        <w:ind w:left="760" w:right="220" w:hanging="755"/>
        <w:spacing w:after="0" w:line="277" w:lineRule="auto"/>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Consent of Ernst &amp; Young LLP, an independent registered public accounting firm</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Goodwin Procter LLP (included in Exhibit 5.1)</w:t>
      </w:r>
    </w:p>
    <w:p>
      <w:pPr>
        <w:spacing w:after="0" w:line="117" w:lineRule="exact"/>
        <w:rPr>
          <w:sz w:val="20"/>
          <w:szCs w:val="20"/>
          <w:color w:val="auto"/>
        </w:rPr>
      </w:pPr>
    </w:p>
    <w:p>
      <w:pPr>
        <w:ind w:left="760" w:right="260" w:hanging="755"/>
        <w:spacing w:after="0" w:line="277" w:lineRule="auto"/>
        <w:tabs>
          <w:tab w:leader="none" w:pos="7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the signature pages of this registration statement)</w:t>
      </w:r>
    </w:p>
    <w:p>
      <w:pPr>
        <w:spacing w:after="0" w:line="6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2015 Stock Option and Incentive Plan</w:t>
      </w:r>
    </w:p>
    <w:p>
      <w:pPr>
        <w:spacing w:after="0" w:line="11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2015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6"/>
          </w:tcPr>
          <w:p>
            <w:pPr>
              <w:ind w:left="32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0" w:type="dxa"/>
            <w:vAlign w:val="bottom"/>
            <w:tcBorders>
              <w:top w:val="single" w:sz="8" w:color="auto"/>
            </w:tcBorders>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60" w:type="dxa"/>
            <w:vAlign w:val="bottom"/>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5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10-Q</w:t>
            </w:r>
          </w:p>
        </w:tc>
        <w:tc>
          <w:tcPr>
            <w:tcW w:w="6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001-37359</w:t>
            </w:r>
          </w:p>
        </w:tc>
        <w:tc>
          <w:tcPr>
            <w:tcW w:w="60" w:type="dxa"/>
            <w:vAlign w:val="bottom"/>
          </w:tcPr>
          <w:p>
            <w:pPr>
              <w:spacing w:after="0"/>
              <w:rPr>
                <w:sz w:val="19"/>
                <w:szCs w:val="19"/>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9"/>
                <w:szCs w:val="19"/>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512"/>
        </w:trPr>
        <w:tc>
          <w:tcPr>
            <w:tcW w:w="1520" w:type="dxa"/>
            <w:vAlign w:val="bottom"/>
            <w:gridSpan w:val="4"/>
          </w:tcPr>
          <w:p>
            <w:pPr>
              <w:ind w:left="60"/>
              <w:spacing w:after="0"/>
              <w:rPr>
                <w:sz w:val="20"/>
                <w:szCs w:val="20"/>
                <w:color w:val="auto"/>
              </w:rPr>
            </w:pPr>
            <w:r>
              <w:rPr>
                <w:rFonts w:ascii="Arial" w:cs="Arial" w:eastAsia="Arial" w:hAnsi="Arial"/>
                <w:sz w:val="18"/>
                <w:szCs w:val="18"/>
                <w:color w:val="auto"/>
              </w:rPr>
              <w:t>10-Q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November 9, 2015</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S-1/A</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April 20, 2015</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S-1</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333-202938</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23, 2015</w:t>
            </w:r>
          </w:p>
        </w:tc>
        <w:tc>
          <w:tcPr>
            <w:tcW w:w="0" w:type="dxa"/>
            <w:vAlign w:val="bottom"/>
          </w:tcPr>
          <w:p>
            <w:pPr>
              <w:spacing w:after="0"/>
              <w:rPr>
                <w:sz w:val="1"/>
                <w:szCs w:val="1"/>
                <w:color w:val="auto"/>
              </w:rPr>
            </w:pPr>
          </w:p>
        </w:tc>
      </w:tr>
      <w:tr>
        <w:trPr>
          <w:trHeight w:val="756"/>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0"/>
        </w:trPr>
        <w:tc>
          <w:tcPr>
            <w:tcW w:w="1520" w:type="dxa"/>
            <w:vAlign w:val="bottom"/>
            <w:gridSpan w:val="4"/>
          </w:tcPr>
          <w:p>
            <w:pPr>
              <w:ind w:left="60"/>
              <w:spacing w:after="0"/>
              <w:rPr>
                <w:sz w:val="20"/>
                <w:szCs w:val="20"/>
                <w:color w:val="auto"/>
              </w:rPr>
            </w:pPr>
            <w:r>
              <w:rPr>
                <w:rFonts w:ascii="Arial" w:cs="Arial" w:eastAsia="Arial" w:hAnsi="Arial"/>
                <w:sz w:val="18"/>
                <w:szCs w:val="18"/>
                <w:color w:val="auto"/>
              </w:rPr>
              <w:t>10-K  001-37359</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March 11, 2016</w:t>
            </w:r>
          </w:p>
        </w:tc>
        <w:tc>
          <w:tcPr>
            <w:tcW w:w="0" w:type="dxa"/>
            <w:vAlign w:val="bottom"/>
          </w:tcPr>
          <w:p>
            <w:pPr>
              <w:spacing w:after="0"/>
              <w:rPr>
                <w:sz w:val="1"/>
                <w:szCs w:val="1"/>
                <w:color w:val="auto"/>
              </w:rPr>
            </w:pPr>
          </w:p>
        </w:tc>
      </w:tr>
      <w:tr>
        <w:trPr>
          <w:trHeight w:val="324"/>
        </w:trPr>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S-8</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333-203749</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99.3</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April 30, 2015</w:t>
            </w:r>
          </w:p>
        </w:tc>
        <w:tc>
          <w:tcPr>
            <w:tcW w:w="0" w:type="dxa"/>
            <w:vAlign w:val="bottom"/>
          </w:tcPr>
          <w:p>
            <w:pPr>
              <w:spacing w:after="0"/>
              <w:rPr>
                <w:sz w:val="1"/>
                <w:szCs w:val="1"/>
                <w:color w:val="auto"/>
              </w:rPr>
            </w:pPr>
          </w:p>
        </w:tc>
      </w:tr>
    </w:tbl>
    <w:p>
      <w:pPr>
        <w:sectPr>
          <w:pgSz w:w="11900" w:h="16838" w:orient="portrait"/>
          <w:cols w:equalWidth="0" w:num="2">
            <w:col w:w="5180" w:space="180"/>
            <w:col w:w="3740"/>
          </w:cols>
          <w:pgMar w:left="1420" w:top="121" w:right="137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“Registration Statement”) pursuant to the Securities Act of 1933, as amended (the “Securities Act”), on or about the date hereof relating to an aggregate of 1,656,273 shares (the “Shares”) of Common Stock, $0.001 par value per share, of Blueprint Medicines Corporation, a Delaware corporation (the “Company”), that may be issued pursuant to the Company’s 2015 Stock Option and Incentive Plan and 2015 Employee Stock Purchase Plan (collectively, the “Plans”).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purposes of the opinion set forth below, we have assumed that a sufficient number of authorized but unissued shares of the Company’s Common Stock will be available for issuance when the Shares are issued.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2015 Stock Option and Incentive Plan and 2015 Employee Stock Purchase Plan of Blueprint Medicines Corporation of our report dated March 9, 2017, with respect to the consolidated financial statements of Blueprint Medicines Corporation included in its Annual Report (Form 10-K) for the year ended December 31, 2016, filed with the Securities and Exchange Commission.</w:t>
      </w:r>
    </w:p>
    <w:p>
      <w:pPr>
        <w:spacing w:after="0" w:line="154"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2019-12-07T22:19:28Z</dcterms:created>
  <dcterms:modified xsi:type="dcterms:W3CDTF">2019-12-07T22:19:28Z</dcterms:modified>
</cp:coreProperties>
</file>