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40"/>
          </w:cols>
          <w:pgMar w:left="980" w:top="970" w:right="97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970" w:right="979" w:bottom="1440" w:gutter="0" w:footer="0" w:header="0"/>
          <w:type w:val="continuous"/>
        </w:sectPr>
      </w:pPr>
    </w:p>
    <w:p>
      <w:pPr>
        <w:spacing w:after="0" w:line="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20" w:space="720"/>
            <w:col w:w="2900"/>
          </w:cols>
          <w:pgMar w:left="980" w:top="970" w:right="979" w:bottom="1440" w:gutter="0" w:footer="0" w:header="0"/>
          <w:type w:val="continuous"/>
        </w:sectPr>
      </w:pP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81"/>
        </w:trPr>
        <w:tc>
          <w:tcPr>
            <w:tcW w:w="39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r>
        <w:trPr>
          <w:trHeight w:val="857"/>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7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February 13, 2025, Blueprint Medicines Corporation announced its financial results for the year ended December 31, 2024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2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Corporate slide presentation of Blueprint Medicines Corporation dated February 13, 2025</w:t>
            </w:r>
          </w:p>
        </w:tc>
      </w:tr>
      <w:tr>
        <w:trPr>
          <w:trHeight w:val="20"/>
        </w:trPr>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8"/>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spacing w:after="0"/>
              <w:rPr>
                <w:sz w:val="20"/>
                <w:szCs w:val="20"/>
                <w:color w:val="auto"/>
              </w:rPr>
            </w:pPr>
          </w:p>
        </w:tc>
      </w:tr>
      <w:tr>
        <w:trPr>
          <w:trHeight w:val="1438"/>
        </w:trPr>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5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February 13, 2025</w:t>
            </w:r>
          </w:p>
        </w:tc>
        <w:tc>
          <w:tcPr>
            <w:tcW w:w="65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97"/>
        </w:trPr>
        <w:tc>
          <w:tcPr>
            <w:tcW w:w="3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right"/>
        <w:ind w:right="219"/>
        <w:spacing w:after="0"/>
        <w:rPr>
          <w:sz w:val="20"/>
          <w:szCs w:val="20"/>
          <w:color w:val="auto"/>
        </w:rPr>
      </w:pPr>
      <w:r>
        <w:rPr>
          <w:rFonts w:ascii="Calibri" w:cs="Calibri" w:eastAsia="Calibri" w:hAnsi="Calibri"/>
          <w:sz w:val="18"/>
          <w:szCs w:val="18"/>
          <w:b w:val="1"/>
          <w:bCs w:val="1"/>
          <w:color w:val="auto"/>
        </w:rPr>
        <w:t>EXHIBIT 99.1</w:t>
      </w: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Blueprint Medicines Reports Fourth Quarter and Full Year 2024 Results</w:t>
      </w:r>
    </w:p>
    <w:p>
      <w:pPr>
        <w:spacing w:after="0" w:line="204" w:lineRule="exact"/>
        <w:rPr>
          <w:sz w:val="20"/>
          <w:szCs w:val="20"/>
          <w:color w:val="auto"/>
        </w:rPr>
      </w:pPr>
    </w:p>
    <w:p>
      <w:pPr>
        <w:ind w:left="440" w:hanging="157"/>
        <w:spacing w:after="0"/>
        <w:tabs>
          <w:tab w:leader="none" w:pos="440" w:val="left"/>
        </w:tabs>
        <w:numPr>
          <w:ilvl w:val="0"/>
          <w:numId w:val="2"/>
        </w:numPr>
        <w:rPr>
          <w:rFonts w:ascii="Calibri" w:cs="Calibri" w:eastAsia="Calibri" w:hAnsi="Calibri"/>
          <w:sz w:val="17"/>
          <w:szCs w:val="17"/>
          <w:i w:val="1"/>
          <w:iCs w:val="1"/>
          <w:color w:val="auto"/>
        </w:rPr>
      </w:pPr>
      <w:r>
        <w:rPr>
          <w:rFonts w:ascii="Calibri" w:cs="Calibri" w:eastAsia="Calibri" w:hAnsi="Calibri"/>
          <w:sz w:val="17"/>
          <w:szCs w:val="17"/>
          <w:i w:val="1"/>
          <w:iCs w:val="1"/>
          <w:color w:val="auto"/>
        </w:rPr>
        <w:t>Achieved $479.0 million in AYVAKIT® (avapritnib) global net product revenues in 2024, including $144.1 million in the</w:t>
      </w:r>
    </w:p>
    <w:p>
      <w:pPr>
        <w:spacing w:after="0" w:line="7" w:lineRule="exact"/>
        <w:rPr>
          <w:rFonts w:ascii="Calibri" w:cs="Calibri" w:eastAsia="Calibri" w:hAnsi="Calibri"/>
          <w:sz w:val="17"/>
          <w:szCs w:val="17"/>
          <w:i w:val="1"/>
          <w:iCs w:val="1"/>
          <w:color w:val="auto"/>
        </w:rPr>
      </w:pPr>
    </w:p>
    <w:p>
      <w:pPr>
        <w:ind w:left="3920"/>
        <w:spacing w:after="0" w:line="235" w:lineRule="auto"/>
        <w:rPr>
          <w:rFonts w:ascii="Calibri" w:cs="Calibri" w:eastAsia="Calibri" w:hAnsi="Calibri"/>
          <w:sz w:val="17"/>
          <w:szCs w:val="17"/>
          <w:i w:val="1"/>
          <w:iCs w:val="1"/>
          <w:color w:val="auto"/>
        </w:rPr>
      </w:pPr>
      <w:r>
        <w:rPr>
          <w:rFonts w:ascii="Calibri" w:cs="Calibri" w:eastAsia="Calibri" w:hAnsi="Calibri"/>
          <w:sz w:val="18"/>
          <w:szCs w:val="18"/>
          <w:i w:val="1"/>
          <w:iCs w:val="1"/>
          <w:color w:val="auto"/>
        </w:rPr>
        <w:t>fourth quarter --</w:t>
      </w:r>
    </w:p>
    <w:p>
      <w:pPr>
        <w:spacing w:after="0" w:line="109" w:lineRule="exact"/>
        <w:rPr>
          <w:rFonts w:ascii="Calibri" w:cs="Calibri" w:eastAsia="Calibri" w:hAnsi="Calibri"/>
          <w:sz w:val="17"/>
          <w:szCs w:val="17"/>
          <w:i w:val="1"/>
          <w:iCs w:val="1"/>
          <w:color w:val="auto"/>
        </w:rPr>
      </w:pPr>
    </w:p>
    <w:p>
      <w:pPr>
        <w:jc w:val="center"/>
        <w:ind w:left="2620" w:right="319" w:hanging="2309"/>
        <w:spacing w:after="0" w:line="235" w:lineRule="auto"/>
        <w:tabs>
          <w:tab w:leader="none" w:pos="461" w:val="left"/>
        </w:tabs>
        <w:numPr>
          <w:ilvl w:val="1"/>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Antcipate global AYVAKIT net product revenue of approximately $680 million to $710 million in 2025, representng a 45% percent year-over-year growth at the midpoint –</w:t>
      </w:r>
    </w:p>
    <w:p>
      <w:pPr>
        <w:spacing w:after="0" w:line="109" w:lineRule="exact"/>
        <w:rPr>
          <w:rFonts w:ascii="Calibri" w:cs="Calibri" w:eastAsia="Calibri" w:hAnsi="Calibri"/>
          <w:sz w:val="18"/>
          <w:szCs w:val="18"/>
          <w:i w:val="1"/>
          <w:iCs w:val="1"/>
          <w:color w:val="auto"/>
        </w:rPr>
      </w:pPr>
    </w:p>
    <w:p>
      <w:pPr>
        <w:ind w:left="420" w:hanging="141"/>
        <w:spacing w:after="0"/>
        <w:tabs>
          <w:tab w:leader="none" w:pos="420" w:val="left"/>
        </w:tabs>
        <w:numPr>
          <w:ilvl w:val="0"/>
          <w:numId w:val="2"/>
        </w:numPr>
        <w:rPr>
          <w:rFonts w:ascii="Calibri" w:cs="Calibri" w:eastAsia="Calibri" w:hAnsi="Calibri"/>
          <w:sz w:val="17"/>
          <w:szCs w:val="17"/>
          <w:i w:val="1"/>
          <w:iCs w:val="1"/>
          <w:color w:val="auto"/>
        </w:rPr>
      </w:pPr>
      <w:r>
        <w:rPr>
          <w:rFonts w:ascii="Calibri" w:cs="Calibri" w:eastAsia="Calibri" w:hAnsi="Calibri"/>
          <w:sz w:val="17"/>
          <w:szCs w:val="17"/>
          <w:i w:val="1"/>
          <w:iCs w:val="1"/>
          <w:color w:val="auto"/>
        </w:rPr>
        <w:t>Peak systemic mastocytosis franchise revenue opportunity updated to $4 billion, with AYVAKIT expected to achieve $2</w:t>
      </w:r>
    </w:p>
    <w:p>
      <w:pPr>
        <w:spacing w:after="0" w:line="7" w:lineRule="exact"/>
        <w:rPr>
          <w:rFonts w:ascii="Calibri" w:cs="Calibri" w:eastAsia="Calibri" w:hAnsi="Calibri"/>
          <w:sz w:val="17"/>
          <w:szCs w:val="17"/>
          <w:i w:val="1"/>
          <w:iCs w:val="1"/>
          <w:color w:val="auto"/>
        </w:rPr>
      </w:pPr>
    </w:p>
    <w:p>
      <w:pPr>
        <w:ind w:left="3520"/>
        <w:spacing w:after="0" w:line="235" w:lineRule="auto"/>
        <w:rPr>
          <w:rFonts w:ascii="Calibri" w:cs="Calibri" w:eastAsia="Calibri" w:hAnsi="Calibri"/>
          <w:sz w:val="17"/>
          <w:szCs w:val="17"/>
          <w:i w:val="1"/>
          <w:iCs w:val="1"/>
          <w:color w:val="auto"/>
        </w:rPr>
      </w:pPr>
      <w:r>
        <w:rPr>
          <w:rFonts w:ascii="Calibri" w:cs="Calibri" w:eastAsia="Calibri" w:hAnsi="Calibri"/>
          <w:sz w:val="18"/>
          <w:szCs w:val="18"/>
          <w:i w:val="1"/>
          <w:iCs w:val="1"/>
          <w:color w:val="auto"/>
        </w:rPr>
        <w:t>billion in revenue by 2030 --</w:t>
      </w:r>
    </w:p>
    <w:p>
      <w:pPr>
        <w:spacing w:after="0" w:line="109" w:lineRule="exact"/>
        <w:rPr>
          <w:rFonts w:ascii="Calibri" w:cs="Calibri" w:eastAsia="Calibri" w:hAnsi="Calibri"/>
          <w:sz w:val="17"/>
          <w:szCs w:val="17"/>
          <w:i w:val="1"/>
          <w:iCs w:val="1"/>
          <w:color w:val="auto"/>
        </w:rPr>
      </w:pPr>
    </w:p>
    <w:p>
      <w:pPr>
        <w:jc w:val="center"/>
        <w:ind w:left="2200" w:right="519" w:hanging="1693"/>
        <w:spacing w:after="0" w:line="227" w:lineRule="auto"/>
        <w:tabs>
          <w:tab w:leader="none" w:pos="651" w:val="left"/>
        </w:tabs>
        <w:numPr>
          <w:ilvl w:val="2"/>
          <w:numId w:val="2"/>
        </w:numPr>
        <w:rPr>
          <w:rFonts w:ascii="Calibri" w:cs="Calibri" w:eastAsia="Calibri" w:hAnsi="Calibri"/>
          <w:sz w:val="18"/>
          <w:szCs w:val="18"/>
          <w:i w:val="1"/>
          <w:iCs w:val="1"/>
          <w:color w:val="auto"/>
        </w:rPr>
      </w:pPr>
      <w:r>
        <w:rPr>
          <w:rFonts w:ascii="Calibri" w:cs="Calibri" w:eastAsia="Calibri" w:hAnsi="Calibri"/>
          <w:sz w:val="18"/>
          <w:szCs w:val="18"/>
          <w:i w:val="1"/>
          <w:iCs w:val="1"/>
          <w:color w:val="auto"/>
        </w:rPr>
        <w:t>AYVAKIT 3-year safety and efcacy results in ISM and BLU-808 healthy volunteer data among 14 total abstracts accepted for presentaton at 2025 AAAAI / WAO Joint Congress --</w:t>
      </w:r>
    </w:p>
    <w:p>
      <w:pPr>
        <w:spacing w:after="0" w:line="200" w:lineRule="exact"/>
        <w:rPr>
          <w:sz w:val="20"/>
          <w:szCs w:val="20"/>
          <w:color w:val="auto"/>
        </w:rPr>
      </w:pPr>
    </w:p>
    <w:p>
      <w:pPr>
        <w:spacing w:after="0" w:line="235" w:lineRule="exact"/>
        <w:rPr>
          <w:sz w:val="20"/>
          <w:szCs w:val="20"/>
          <w:color w:val="auto"/>
        </w:rPr>
      </w:pPr>
    </w:p>
    <w:p>
      <w:pPr>
        <w:ind w:left="200" w:right="519"/>
        <w:spacing w:after="0" w:line="235" w:lineRule="auto"/>
        <w:rPr>
          <w:sz w:val="20"/>
          <w:szCs w:val="20"/>
          <w:color w:val="auto"/>
        </w:rPr>
      </w:pPr>
      <w:r>
        <w:rPr>
          <w:rFonts w:ascii="Calibri" w:cs="Calibri" w:eastAsia="Calibri" w:hAnsi="Calibri"/>
          <w:sz w:val="18"/>
          <w:szCs w:val="18"/>
          <w:color w:val="auto"/>
        </w:rPr>
        <w:t>CAMBRIDGE, Mass., February 13, 2025 – Blueprint Medicines Corporaton (NASDAQ: BPMC) today reported fnancial results and provided a business update for the fourth quarter and full year ended December 31, 2024 and provided fnancial guidance.</w:t>
      </w:r>
    </w:p>
    <w:p>
      <w:pPr>
        <w:spacing w:after="0" w:line="205" w:lineRule="exact"/>
        <w:rPr>
          <w:sz w:val="20"/>
          <w:szCs w:val="20"/>
          <w:color w:val="auto"/>
        </w:rPr>
      </w:pPr>
    </w:p>
    <w:p>
      <w:pPr>
        <w:ind w:left="200" w:right="319"/>
        <w:spacing w:after="0" w:line="234" w:lineRule="auto"/>
        <w:rPr>
          <w:sz w:val="20"/>
          <w:szCs w:val="20"/>
          <w:color w:val="auto"/>
        </w:rPr>
      </w:pPr>
      <w:r>
        <w:rPr>
          <w:rFonts w:ascii="Calibri" w:cs="Calibri" w:eastAsia="Calibri" w:hAnsi="Calibri"/>
          <w:sz w:val="18"/>
          <w:szCs w:val="18"/>
          <w:color w:val="auto"/>
        </w:rPr>
        <w:t>“We are entering 2025 in the strongest positon we have ever been in as a company with a focus on driving growth and innovaton through operatonal excellence. AYVAKIT is a medicine that is changing patents' lives, and the SM market is larger and growing faster than we originally expected. Our 2025 guidance of $680 to $710 million represents robust growth, putng AYVAKIT frmly on track to achieve $2 billion in revenue by 2030. And with the larger potental SM franchise peak opportunity of $4 billion, we have a plan to drive innovaton in the treatment of SM with elenestnib as we move beyond symptom control to disease modifcaton in the HARBOR registraton study, building a durable SM franchise that we antcipate will grow throughout the next decade,” said Kate Haviland, Chief Executve Ofcer of Blueprint Medicines. “Our next potental blockbuster opportunity, BLU-808, is also coming into focus with the healthy volunteer data reported last month. BLU-808 demonstrated a best-in-class profle for an oral wild-type KIT inhibitor enabling our diferentated approach to modulatng mast cell actvity across thousands of patents with mast-cell-mediated allergic and infammatory diseases. BLU-808 ofers us the opportunity to fnd the right balance of efcacy and tolerability to realize true pipeline-in-a-medicine potental. Altogether, our portolio represents a unique set of assets, targetng fundamental mast cell biology, that will drive durable and diversifed growth over the next decade with signifcant operatng leverage.”</w:t>
      </w:r>
    </w:p>
    <w:p>
      <w:pPr>
        <w:spacing w:after="0" w:line="209"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Fourth Quarter 2024 Highlights and Recent Progress</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Mast cell disorders</w:t>
      </w:r>
    </w:p>
    <w:p>
      <w:pPr>
        <w:spacing w:after="0" w:line="217" w:lineRule="exact"/>
        <w:rPr>
          <w:sz w:val="20"/>
          <w:szCs w:val="20"/>
          <w:color w:val="auto"/>
        </w:rPr>
      </w:pPr>
    </w:p>
    <w:p>
      <w:pPr>
        <w:ind w:left="540" w:right="399" w:hanging="331"/>
        <w:spacing w:after="0" w:line="235" w:lineRule="auto"/>
        <w:tabs>
          <w:tab w:leader="none" w:pos="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Achieved AYVAKIT net product revenues of $479.0 million, including $421.8 million in the US and $57.1 million ex-US, representng 135 percent growth year-over-year. In the fourth quarter of 2024, AYVAKIT achieved $144.1 million, including $124.1 million in the US and $20.0 million ex-US.</w:t>
      </w:r>
    </w:p>
    <w:p>
      <w:pPr>
        <w:spacing w:after="0" w:line="2" w:lineRule="exact"/>
        <w:rPr>
          <w:rFonts w:ascii="Times New Roman" w:cs="Times New Roman" w:eastAsia="Times New Roman" w:hAnsi="Times New Roman"/>
          <w:sz w:val="18"/>
          <w:szCs w:val="18"/>
          <w:color w:val="auto"/>
        </w:rPr>
      </w:pPr>
    </w:p>
    <w:p>
      <w:pPr>
        <w:ind w:left="540" w:right="539" w:hanging="331"/>
        <w:spacing w:after="0" w:line="235" w:lineRule="auto"/>
        <w:tabs>
          <w:tab w:leader="none" w:pos="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Blueprint estmates the peak revenue opportunity for the company's SM franchise is $4 billion, with $2 billion in annual revenues expected to be achieved by AYVAKIT by 2030.</w:t>
      </w:r>
    </w:p>
    <w:p>
      <w:pPr>
        <w:spacing w:after="0" w:line="1" w:lineRule="exact"/>
        <w:rPr>
          <w:rFonts w:ascii="Times New Roman" w:cs="Times New Roman" w:eastAsia="Times New Roman" w:hAnsi="Times New Roman"/>
          <w:sz w:val="18"/>
          <w:szCs w:val="18"/>
          <w:color w:val="auto"/>
        </w:rPr>
      </w:pPr>
    </w:p>
    <w:p>
      <w:pPr>
        <w:ind w:left="540" w:right="279" w:hanging="331"/>
        <w:spacing w:after="0" w:line="235" w:lineRule="auto"/>
        <w:tabs>
          <w:tab w:leader="none" w:pos="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Presented AYVAKIT data at the 2024 American Society of Hematology annual meetng, showing a signifcant survival beneft in treatment-naïve patents with advanced SM, and sustained improvement in bone density for advanced SM patents with low bone mass at baseline. View the presentatons here.</w:t>
      </w:r>
    </w:p>
    <w:p>
      <w:pPr>
        <w:spacing w:after="0" w:line="2" w:lineRule="exact"/>
        <w:rPr>
          <w:rFonts w:ascii="Times New Roman" w:cs="Times New Roman" w:eastAsia="Times New Roman" w:hAnsi="Times New Roman"/>
          <w:sz w:val="18"/>
          <w:szCs w:val="18"/>
          <w:color w:val="auto"/>
        </w:rPr>
      </w:pPr>
    </w:p>
    <w:p>
      <w:pPr>
        <w:ind w:left="540" w:right="219" w:hanging="331"/>
        <w:spacing w:after="0" w:line="232" w:lineRule="auto"/>
        <w:tabs>
          <w:tab w:leader="none" w:pos="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Reported in January 2025 results from the Phase 1 healthy volunteer study of BLU-808, a wild-type KIT inhibitor, showing a diferentated profle that enables the evaluaton of tunable dosing strategies. BLU-808 was well-tolerated at all doses tested, showed consistent pharmacokinetcs supportng once daily oral dosing, and achieved dose-dependent reductons in tryptase exceeding 80 percent. These positve data support initaton of multple proof-of-concept studies planned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8"/>
          <w:szCs w:val="18"/>
          <w:b w:val="1"/>
          <w:bCs w:val="1"/>
          <w:color w:val="auto"/>
        </w:rPr>
        <w:t>Corporate</w:t>
      </w:r>
    </w:p>
    <w:p>
      <w:pPr>
        <w:spacing w:after="0" w:line="217" w:lineRule="exact"/>
        <w:rPr>
          <w:sz w:val="20"/>
          <w:szCs w:val="20"/>
          <w:color w:val="auto"/>
        </w:rPr>
      </w:pPr>
    </w:p>
    <w:p>
      <w:pPr>
        <w:ind w:left="540" w:right="539" w:hanging="331"/>
        <w:spacing w:after="0" w:line="235" w:lineRule="auto"/>
        <w:tabs>
          <w:tab w:leader="none" w:pos="5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Presented the company’s 2025 corporate outlook and strategy to drive contnued growth at the 43rd Annual J.P. Morgan Healthcare Conference. View the press release here.</w:t>
      </w:r>
    </w:p>
    <w:p>
      <w:pPr>
        <w:spacing w:after="0" w:line="1" w:lineRule="exact"/>
        <w:rPr>
          <w:rFonts w:ascii="Times New Roman" w:cs="Times New Roman" w:eastAsia="Times New Roman" w:hAnsi="Times New Roman"/>
          <w:sz w:val="18"/>
          <w:szCs w:val="18"/>
          <w:color w:val="auto"/>
        </w:rPr>
      </w:pPr>
    </w:p>
    <w:p>
      <w:pPr>
        <w:ind w:left="540" w:right="379" w:hanging="331"/>
        <w:spacing w:after="0" w:line="235" w:lineRule="auto"/>
        <w:tabs>
          <w:tab w:leader="none" w:pos="5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Following closing of the IDRx acquisiton by GSK, Blueprint antcipates approximately $80 million in gross proceeds from an equity stake in IDRx.</w:t>
      </w:r>
    </w:p>
    <w:p>
      <w:pPr>
        <w:spacing w:after="0" w:line="1" w:lineRule="exact"/>
        <w:rPr>
          <w:rFonts w:ascii="Times New Roman" w:cs="Times New Roman" w:eastAsia="Times New Roman" w:hAnsi="Times New Roman"/>
          <w:sz w:val="18"/>
          <w:szCs w:val="18"/>
          <w:color w:val="auto"/>
        </w:rPr>
      </w:pPr>
    </w:p>
    <w:p>
      <w:pPr>
        <w:ind w:left="540" w:right="219" w:hanging="331"/>
        <w:spacing w:after="0" w:line="232" w:lineRule="auto"/>
        <w:tabs>
          <w:tab w:leader="none" w:pos="54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Announced the appointment of Sherwin Satarzadeh to Chief Business Ofcer, overseeing business development, portolio leadership and project management, and alliance management. His previous roles over a decade of service at Blueprint include Head of Regulatory Afairs, Chief of Staf to the Chief Executve Ofcer, and Senior Vice President of Strategic Operatons. He succeeds Helen Ho, Ph.D. who is departng the company to pursue another career opportunity.</w:t>
      </w:r>
    </w:p>
    <w:p>
      <w:pPr>
        <w:spacing w:after="0" w:line="216"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2025 Financial Guidance</w:t>
      </w:r>
    </w:p>
    <w:p>
      <w:pPr>
        <w:spacing w:after="0" w:line="204" w:lineRule="exact"/>
        <w:rPr>
          <w:sz w:val="20"/>
          <w:szCs w:val="20"/>
          <w:color w:val="auto"/>
        </w:rPr>
      </w:pPr>
    </w:p>
    <w:p>
      <w:pPr>
        <w:ind w:left="200" w:right="359"/>
        <w:spacing w:after="0" w:line="233" w:lineRule="auto"/>
        <w:rPr>
          <w:sz w:val="20"/>
          <w:szCs w:val="20"/>
          <w:color w:val="auto"/>
        </w:rPr>
      </w:pPr>
      <w:r>
        <w:rPr>
          <w:rFonts w:ascii="Calibri" w:cs="Calibri" w:eastAsia="Calibri" w:hAnsi="Calibri"/>
          <w:sz w:val="18"/>
          <w:szCs w:val="18"/>
          <w:color w:val="auto"/>
        </w:rPr>
        <w:t>Blueprint today announced it antcipates approximately $680 million to $710 million in global AYVAKIT net product revenues for all approved indicatons in 2025. The midpoint of this range represents 45 percent year-over-year revenue growth. In 2024, Blueprint reduced cash burn by more than 50 percent and expects further reducton in 2025 as the company contnues to invest in advancing prioritzed programs, balancing investng in innovaton with fnancial discipline. The company contnues to expect that its existng cash, cash equivalents and investments, together with antcipated future product revenues, will maintain a durable capital positon to enable the company to achieve a self-sustainable fnancial profle.</w:t>
      </w:r>
    </w:p>
    <w:p>
      <w:pPr>
        <w:spacing w:after="0" w:line="216"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Key Upcoming Milestones</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The company plans to achieve the following milestones in the frst half of 2025:</w:t>
      </w:r>
    </w:p>
    <w:p>
      <w:pPr>
        <w:spacing w:after="0" w:line="217" w:lineRule="exact"/>
        <w:rPr>
          <w:sz w:val="20"/>
          <w:szCs w:val="20"/>
          <w:color w:val="auto"/>
        </w:rPr>
      </w:pPr>
    </w:p>
    <w:p>
      <w:pPr>
        <w:ind w:left="540" w:right="499" w:hanging="331"/>
        <w:spacing w:after="0" w:line="227" w:lineRule="auto"/>
        <w:tabs>
          <w:tab w:leader="none" w:pos="54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Present 14 abstracts at the 2025 American Academy of Allergy, Asthma and Immunology (AAAAI) / World Allergy Organizaton (WAO) Joint Congress, including:</w:t>
      </w:r>
    </w:p>
    <w:p>
      <w:pPr>
        <w:spacing w:after="0" w:line="5" w:lineRule="exact"/>
        <w:rPr>
          <w:rFonts w:ascii="Times New Roman" w:cs="Times New Roman" w:eastAsia="Times New Roman" w:hAnsi="Times New Roman"/>
          <w:sz w:val="18"/>
          <w:szCs w:val="18"/>
          <w:color w:val="auto"/>
        </w:rPr>
      </w:pPr>
    </w:p>
    <w:p>
      <w:pPr>
        <w:ind w:left="860" w:right="2859"/>
        <w:spacing w:after="0" w:line="25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Calibri" w:cs="Calibri" w:eastAsia="Calibri" w:hAnsi="Calibri"/>
          <w:sz w:val="18"/>
          <w:szCs w:val="18"/>
          <w:color w:val="auto"/>
        </w:rPr>
        <w:t>Three-year safety and efcacy data from the PIONEER trial of AYVAKIT.</w:t>
      </w:r>
      <w:r>
        <w:rPr>
          <w:rFonts w:ascii="Courier New" w:cs="Courier New" w:eastAsia="Courier New" w:hAnsi="Courier New"/>
          <w:sz w:val="18"/>
          <w:szCs w:val="18"/>
          <w:color w:val="auto"/>
        </w:rPr>
        <w:t xml:space="preserve"> o </w:t>
      </w:r>
      <w:r>
        <w:rPr>
          <w:rFonts w:ascii="Calibri" w:cs="Calibri" w:eastAsia="Calibri" w:hAnsi="Calibri"/>
          <w:sz w:val="18"/>
          <w:szCs w:val="18"/>
          <w:color w:val="auto"/>
        </w:rPr>
        <w:t>Bone density improvements shown by AYVAKIT in the PIONEER trial.</w:t>
      </w:r>
    </w:p>
    <w:p>
      <w:pPr>
        <w:spacing w:after="0" w:line="1" w:lineRule="exact"/>
        <w:rPr>
          <w:rFonts w:ascii="Times New Roman" w:cs="Times New Roman" w:eastAsia="Times New Roman" w:hAnsi="Times New Roman"/>
          <w:sz w:val="18"/>
          <w:szCs w:val="18"/>
          <w:color w:val="auto"/>
        </w:rPr>
      </w:pPr>
    </w:p>
    <w:p>
      <w:pPr>
        <w:ind w:left="1180" w:right="499" w:hanging="324"/>
        <w:spacing w:after="0" w:line="20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Calibri" w:cs="Calibri" w:eastAsia="Calibri" w:hAnsi="Calibri"/>
          <w:sz w:val="18"/>
          <w:szCs w:val="18"/>
          <w:color w:val="auto"/>
        </w:rPr>
        <w:t>Phase 1 healthy volunteer data for BLU-808, a highly potent and selectve oral inhibitor of wild-type KIT,</w:t>
      </w:r>
      <w:r>
        <w:rPr>
          <w:rFonts w:ascii="Courier New" w:cs="Courier New" w:eastAsia="Courier New" w:hAnsi="Courier New"/>
          <w:sz w:val="18"/>
          <w:szCs w:val="18"/>
          <w:color w:val="auto"/>
        </w:rPr>
        <w:t xml:space="preserve"> </w:t>
      </w:r>
      <w:r>
        <w:rPr>
          <w:rFonts w:ascii="Calibri" w:cs="Calibri" w:eastAsia="Calibri" w:hAnsi="Calibri"/>
          <w:sz w:val="18"/>
          <w:szCs w:val="18"/>
          <w:color w:val="auto"/>
        </w:rPr>
        <w:t>consistent with top-line results reported in January 2025.</w:t>
      </w:r>
    </w:p>
    <w:p>
      <w:pPr>
        <w:spacing w:after="0" w:line="14" w:lineRule="exact"/>
        <w:rPr>
          <w:rFonts w:ascii="Times New Roman" w:cs="Times New Roman" w:eastAsia="Times New Roman" w:hAnsi="Times New Roman"/>
          <w:sz w:val="18"/>
          <w:szCs w:val="18"/>
          <w:color w:val="auto"/>
        </w:rPr>
      </w:pPr>
    </w:p>
    <w:p>
      <w:pPr>
        <w:ind w:left="540" w:right="479" w:hanging="331"/>
        <w:spacing w:after="0" w:line="227" w:lineRule="auto"/>
        <w:tabs>
          <w:tab w:leader="none" w:pos="54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two proof-of-concept studies of BLU-808 in patents with chronic spontaneous urtcaria/chronic inducible urtcaria, and allergic rhinits/allergic conjunctvits.</w:t>
      </w:r>
    </w:p>
    <w:p>
      <w:pPr>
        <w:spacing w:after="0" w:line="21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Fourth Quarter and Year End 2024 Results</w:t>
      </w:r>
    </w:p>
    <w:p>
      <w:pPr>
        <w:spacing w:after="0" w:line="217" w:lineRule="exact"/>
        <w:rPr>
          <w:sz w:val="20"/>
          <w:szCs w:val="20"/>
          <w:color w:val="auto"/>
        </w:rPr>
      </w:pPr>
    </w:p>
    <w:p>
      <w:pPr>
        <w:ind w:left="540" w:right="419" w:hanging="331"/>
        <w:spacing w:after="0" w:line="249" w:lineRule="auto"/>
        <w:tabs>
          <w:tab w:leader="none" w:pos="540" w:val="left"/>
        </w:tabs>
        <w:numPr>
          <w:ilvl w:val="0"/>
          <w:numId w:val="6"/>
        </w:numPr>
        <w:rPr>
          <w:rFonts w:ascii="Times New Roman" w:cs="Times New Roman" w:eastAsia="Times New Roman" w:hAnsi="Times New Roman"/>
          <w:sz w:val="17"/>
          <w:szCs w:val="17"/>
          <w:color w:val="auto"/>
        </w:rPr>
      </w:pPr>
      <w:r>
        <w:rPr>
          <w:rFonts w:ascii="Calibri" w:cs="Calibri" w:eastAsia="Calibri" w:hAnsi="Calibri"/>
          <w:sz w:val="17"/>
          <w:szCs w:val="17"/>
          <w:b w:val="1"/>
          <w:bCs w:val="1"/>
          <w:color w:val="auto"/>
        </w:rPr>
        <w:t xml:space="preserve">Revenues: </w:t>
      </w:r>
      <w:r>
        <w:rPr>
          <w:rFonts w:ascii="Calibri" w:cs="Calibri" w:eastAsia="Calibri" w:hAnsi="Calibri"/>
          <w:sz w:val="17"/>
          <w:szCs w:val="17"/>
          <w:color w:val="auto"/>
        </w:rPr>
        <w:t>Revenues were $146.4 million for the fourth quarter of 2024, including $144.1 million of net product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revenues from sales of AYVAKIT/AYVAKYT and $2.2 million in collaboraton revenues. Revenues for the year ended December 31, 2024 were $508.8 million, including $479.0 million of net product revenues from sales of AYVAKIT/AYVAKYT, and $29.9 million in collaboraton and license revenues. Blueprint Medicines recorded $72.0 million and $249.4 million in revenues in the fourth quarter and year ended December 31, 2023, respectvely.</w:t>
      </w:r>
    </w:p>
    <w:p>
      <w:pPr>
        <w:spacing w:after="0" w:line="2" w:lineRule="exact"/>
        <w:rPr>
          <w:rFonts w:ascii="Times New Roman" w:cs="Times New Roman" w:eastAsia="Times New Roman" w:hAnsi="Times New Roman"/>
          <w:sz w:val="17"/>
          <w:szCs w:val="17"/>
          <w:color w:val="auto"/>
        </w:rPr>
      </w:pPr>
    </w:p>
    <w:p>
      <w:pPr>
        <w:ind w:left="540" w:right="339" w:hanging="331"/>
        <w:spacing w:after="0" w:line="232" w:lineRule="auto"/>
        <w:tabs>
          <w:tab w:leader="none" w:pos="540" w:val="left"/>
        </w:tabs>
        <w:numPr>
          <w:ilvl w:val="0"/>
          <w:numId w:val="6"/>
        </w:numPr>
        <w:rPr>
          <w:rFonts w:ascii="Times New Roman" w:cs="Times New Roman" w:eastAsia="Times New Roman" w:hAnsi="Times New Roman"/>
          <w:sz w:val="18"/>
          <w:szCs w:val="18"/>
          <w:color w:val="0A0A0A"/>
        </w:rPr>
      </w:pPr>
      <w:r>
        <w:rPr>
          <w:rFonts w:ascii="Calibri" w:cs="Calibri" w:eastAsia="Calibri" w:hAnsi="Calibri"/>
          <w:sz w:val="18"/>
          <w:szCs w:val="18"/>
          <w:b w:val="1"/>
          <w:bCs w:val="1"/>
          <w:color w:val="0A0A0A"/>
        </w:rPr>
        <w:t xml:space="preserve">Cost of Sales: </w:t>
      </w:r>
      <w:r>
        <w:rPr>
          <w:rFonts w:ascii="Calibri" w:cs="Calibri" w:eastAsia="Calibri" w:hAnsi="Calibri"/>
          <w:sz w:val="18"/>
          <w:szCs w:val="18"/>
          <w:color w:val="0A0A0A"/>
        </w:rPr>
        <w:t>Cost of sales was $7.4 million for the fourth quarter of 2024 and $20.2 million for the year ended</w:t>
      </w:r>
      <w:r>
        <w:rPr>
          <w:rFonts w:ascii="Calibri" w:cs="Calibri" w:eastAsia="Calibri" w:hAnsi="Calibri"/>
          <w:sz w:val="18"/>
          <w:szCs w:val="18"/>
          <w:b w:val="1"/>
          <w:bCs w:val="1"/>
          <w:color w:val="0A0A0A"/>
        </w:rPr>
        <w:t xml:space="preserve"> </w:t>
      </w:r>
      <w:r>
        <w:rPr>
          <w:rFonts w:ascii="Calibri" w:cs="Calibri" w:eastAsia="Calibri" w:hAnsi="Calibri"/>
          <w:sz w:val="18"/>
          <w:szCs w:val="18"/>
          <w:color w:val="0A0A0A"/>
        </w:rPr>
        <w:t>December 31, 2024, as compared to $0.3 million and $8.5 million for the fourth quarter and year ended December 31, 2023, respectvely. This increase was primarily due to higher sales to our collaboraton and other partners and an increase in product sales volume.</w:t>
      </w:r>
    </w:p>
    <w:p>
      <w:pPr>
        <w:ind w:left="540" w:right="319" w:hanging="331"/>
        <w:spacing w:after="0" w:line="232" w:lineRule="auto"/>
        <w:tabs>
          <w:tab w:leader="none" w:pos="54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0A0A0A"/>
        </w:rPr>
        <w:t xml:space="preserve">R&amp;D Expenses: </w:t>
      </w:r>
      <w:r>
        <w:rPr>
          <w:rFonts w:ascii="Calibri" w:cs="Calibri" w:eastAsia="Calibri" w:hAnsi="Calibri"/>
          <w:sz w:val="18"/>
          <w:szCs w:val="18"/>
          <w:color w:val="0A0A0A"/>
        </w:rPr>
        <w:t>Research and development expenses were $83.7 million for the fourth quarter of 2024 and $341.4</w:t>
      </w:r>
      <w:r>
        <w:rPr>
          <w:rFonts w:ascii="Calibri" w:cs="Calibri" w:eastAsia="Calibri" w:hAnsi="Calibri"/>
          <w:sz w:val="18"/>
          <w:szCs w:val="18"/>
          <w:b w:val="1"/>
          <w:bCs w:val="1"/>
          <w:color w:val="0A0A0A"/>
        </w:rPr>
        <w:t xml:space="preserve"> </w:t>
      </w:r>
      <w:r>
        <w:rPr>
          <w:rFonts w:ascii="Calibri" w:cs="Calibri" w:eastAsia="Calibri" w:hAnsi="Calibri"/>
          <w:sz w:val="18"/>
          <w:szCs w:val="18"/>
          <w:color w:val="0A0A0A"/>
        </w:rPr>
        <w:t xml:space="preserve">million for the year ended December 31, 2024, as compared to $97.5 million and $427.7 million for the fourth quarter and year ended December 31, 2023, respectvely. </w:t>
      </w:r>
      <w:r>
        <w:rPr>
          <w:rFonts w:ascii="Calibri" w:cs="Calibri" w:eastAsia="Calibri" w:hAnsi="Calibri"/>
          <w:sz w:val="18"/>
          <w:szCs w:val="18"/>
          <w:color w:val="000000"/>
        </w:rPr>
        <w:t>This decrease was primarily due to operatonal efciency</w:t>
      </w:r>
      <w:r>
        <w:rPr>
          <w:rFonts w:ascii="Calibri" w:cs="Calibri" w:eastAsia="Calibri" w:hAnsi="Calibri"/>
          <w:sz w:val="18"/>
          <w:szCs w:val="18"/>
          <w:color w:val="0A0A0A"/>
        </w:rPr>
        <w:t xml:space="preserve"> </w:t>
      </w:r>
      <w:r>
        <w:rPr>
          <w:rFonts w:ascii="Calibri" w:cs="Calibri" w:eastAsia="Calibri" w:hAnsi="Calibri"/>
          <w:sz w:val="18"/>
          <w:szCs w:val="18"/>
          <w:color w:val="000000"/>
        </w:rPr>
        <w:t xml:space="preserve">across our portolio as we executed across our top priority programs, and the tming of manufacturing of clinical trial materials. </w:t>
      </w:r>
      <w:r>
        <w:rPr>
          <w:rFonts w:ascii="Calibri" w:cs="Calibri" w:eastAsia="Calibri" w:hAnsi="Calibri"/>
          <w:sz w:val="18"/>
          <w:szCs w:val="18"/>
          <w:color w:val="0A0A0A"/>
        </w:rPr>
        <w:t>Research and development expenses also include</w:t>
      </w:r>
      <w:r>
        <w:rPr>
          <w:rFonts w:ascii="Calibri" w:cs="Calibri" w:eastAsia="Calibri" w:hAnsi="Calibri"/>
          <w:sz w:val="18"/>
          <w:szCs w:val="18"/>
          <w:color w:val="000000"/>
        </w:rPr>
        <w:t>d $11.7 million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-1884680</wp:posOffset>
            </wp:positionV>
            <wp:extent cx="5452110" cy="676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67691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540" w:right="359"/>
        <w:spacing w:after="0" w:line="235" w:lineRule="auto"/>
        <w:rPr>
          <w:sz w:val="20"/>
          <w:szCs w:val="20"/>
          <w:color w:val="auto"/>
        </w:rPr>
      </w:pPr>
      <w:r>
        <w:rPr>
          <w:rFonts w:ascii="Calibri" w:cs="Calibri" w:eastAsia="Calibri" w:hAnsi="Calibri"/>
          <w:sz w:val="18"/>
          <w:szCs w:val="18"/>
          <w:color w:val="auto"/>
        </w:rPr>
        <w:t>stock-based compensaton expenses for the fourth quarter of 2024 and $47.5 million in stock-based compensaton for the year ended December 31, 2024.</w:t>
      </w:r>
    </w:p>
    <w:p>
      <w:pPr>
        <w:spacing w:after="0" w:line="2" w:lineRule="exact"/>
        <w:rPr>
          <w:sz w:val="20"/>
          <w:szCs w:val="20"/>
          <w:color w:val="auto"/>
        </w:rPr>
      </w:pPr>
    </w:p>
    <w:p>
      <w:pPr>
        <w:ind w:left="540" w:right="279" w:hanging="331"/>
        <w:spacing w:after="0" w:line="233" w:lineRule="auto"/>
        <w:tabs>
          <w:tab w:leader="none" w:pos="540" w:val="left"/>
        </w:tabs>
        <w:numPr>
          <w:ilvl w:val="0"/>
          <w:numId w:val="7"/>
        </w:numPr>
        <w:rPr>
          <w:rFonts w:ascii="Times New Roman" w:cs="Times New Roman" w:eastAsia="Times New Roman" w:hAnsi="Times New Roman"/>
          <w:sz w:val="18"/>
          <w:szCs w:val="18"/>
          <w:color w:val="0A0A0A"/>
        </w:rPr>
      </w:pPr>
      <w:r>
        <w:rPr>
          <w:rFonts w:ascii="Calibri" w:cs="Calibri" w:eastAsia="Calibri" w:hAnsi="Calibri"/>
          <w:sz w:val="18"/>
          <w:szCs w:val="18"/>
          <w:b w:val="1"/>
          <w:bCs w:val="1"/>
          <w:color w:val="0A0A0A"/>
        </w:rPr>
        <w:t xml:space="preserve">SG&amp;A Expenses: </w:t>
      </w:r>
      <w:r>
        <w:rPr>
          <w:rFonts w:ascii="Calibri" w:cs="Calibri" w:eastAsia="Calibri" w:hAnsi="Calibri"/>
          <w:sz w:val="18"/>
          <w:szCs w:val="18"/>
          <w:color w:val="0A0A0A"/>
        </w:rPr>
        <w:t>Selling, general and administratve expenses were $96.5 million for the fourth quarter of 2024 and</w:t>
      </w:r>
      <w:r>
        <w:rPr>
          <w:rFonts w:ascii="Calibri" w:cs="Calibri" w:eastAsia="Calibri" w:hAnsi="Calibri"/>
          <w:sz w:val="18"/>
          <w:szCs w:val="18"/>
          <w:b w:val="1"/>
          <w:bCs w:val="1"/>
          <w:color w:val="0A0A0A"/>
        </w:rPr>
        <w:t xml:space="preserve"> </w:t>
      </w:r>
      <w:r>
        <w:rPr>
          <w:rFonts w:ascii="Calibri" w:cs="Calibri" w:eastAsia="Calibri" w:hAnsi="Calibri"/>
          <w:sz w:val="18"/>
          <w:szCs w:val="18"/>
          <w:color w:val="0A0A0A"/>
        </w:rPr>
        <w:t xml:space="preserve">$359.3 million for the year ended December 31, 2024, as compared to $79.3 million and $295.1 million for the fourth quarter and year ended December 31, 2023, respectvely. </w:t>
      </w:r>
      <w:r>
        <w:rPr>
          <w:rFonts w:ascii="Calibri" w:cs="Calibri" w:eastAsia="Calibri" w:hAnsi="Calibri"/>
          <w:sz w:val="18"/>
          <w:szCs w:val="18"/>
          <w:color w:val="000000"/>
        </w:rPr>
        <w:t>This increase was primarily due to an increase in</w:t>
      </w:r>
      <w:r>
        <w:rPr>
          <w:rFonts w:ascii="Calibri" w:cs="Calibri" w:eastAsia="Calibri" w:hAnsi="Calibri"/>
          <w:sz w:val="18"/>
          <w:szCs w:val="18"/>
          <w:color w:val="0A0A0A"/>
        </w:rPr>
        <w:t xml:space="preserve"> </w:t>
      </w:r>
      <w:r>
        <w:rPr>
          <w:rFonts w:ascii="Calibri" w:cs="Calibri" w:eastAsia="Calibri" w:hAnsi="Calibri"/>
          <w:sz w:val="18"/>
          <w:szCs w:val="18"/>
          <w:color w:val="000000"/>
        </w:rPr>
        <w:t xml:space="preserve">actvites supportng the commercializaton of AYVAKIT/AYVAKYT. </w:t>
      </w:r>
      <w:r>
        <w:rPr>
          <w:rFonts w:ascii="Calibri" w:cs="Calibri" w:eastAsia="Calibri" w:hAnsi="Calibri"/>
          <w:sz w:val="18"/>
          <w:szCs w:val="18"/>
          <w:color w:val="0A0A0A"/>
        </w:rPr>
        <w:t>Selling, general and administratve expenses</w:t>
      </w:r>
      <w:r>
        <w:rPr>
          <w:rFonts w:ascii="Calibri" w:cs="Calibri" w:eastAsia="Calibri" w:hAnsi="Calibri"/>
          <w:sz w:val="18"/>
          <w:szCs w:val="18"/>
          <w:color w:val="000000"/>
        </w:rPr>
        <w:t xml:space="preserve"> </w:t>
      </w:r>
      <w:r>
        <w:rPr>
          <w:rFonts w:ascii="Calibri" w:cs="Calibri" w:eastAsia="Calibri" w:hAnsi="Calibri"/>
          <w:sz w:val="18"/>
          <w:szCs w:val="18"/>
          <w:color w:val="0A0A0A"/>
        </w:rPr>
        <w:t>included $16.6 million in stock-based compensaton expenses for the fourth quarter of 2024 and $61.5 million in stock-based compensaton for the year ended December 31, 2024.</w:t>
      </w:r>
    </w:p>
    <w:p>
      <w:pPr>
        <w:spacing w:after="0" w:line="2" w:lineRule="exact"/>
        <w:rPr>
          <w:rFonts w:ascii="Times New Roman" w:cs="Times New Roman" w:eastAsia="Times New Roman" w:hAnsi="Times New Roman"/>
          <w:sz w:val="18"/>
          <w:szCs w:val="18"/>
          <w:color w:val="0A0A0A"/>
        </w:rPr>
      </w:pPr>
    </w:p>
    <w:p>
      <w:pPr>
        <w:ind w:left="540" w:right="279" w:hanging="331"/>
        <w:spacing w:after="0" w:line="232" w:lineRule="auto"/>
        <w:tabs>
          <w:tab w:leader="none" w:pos="540" w:val="left"/>
        </w:tabs>
        <w:numPr>
          <w:ilvl w:val="0"/>
          <w:numId w:val="7"/>
        </w:numPr>
        <w:rPr>
          <w:rFonts w:ascii="Times New Roman" w:cs="Times New Roman" w:eastAsia="Times New Roman" w:hAnsi="Times New Roman"/>
          <w:sz w:val="18"/>
          <w:szCs w:val="18"/>
          <w:color w:val="0A0A0A"/>
        </w:rPr>
      </w:pPr>
      <w:r>
        <w:rPr>
          <w:rFonts w:ascii="Calibri" w:cs="Calibri" w:eastAsia="Calibri" w:hAnsi="Calibri"/>
          <w:sz w:val="18"/>
          <w:szCs w:val="18"/>
          <w:b w:val="1"/>
          <w:bCs w:val="1"/>
          <w:color w:val="0A0A0A"/>
        </w:rPr>
        <w:t xml:space="preserve">Net Loss: </w:t>
      </w:r>
      <w:r>
        <w:rPr>
          <w:rFonts w:ascii="Calibri" w:cs="Calibri" w:eastAsia="Calibri" w:hAnsi="Calibri"/>
          <w:sz w:val="18"/>
          <w:szCs w:val="18"/>
          <w:color w:val="0A0A0A"/>
        </w:rPr>
        <w:t>Net loss was $(50.0) million for the fourth quarter of 2024 and $(67.1) million for the year ended</w:t>
      </w:r>
      <w:r>
        <w:rPr>
          <w:rFonts w:ascii="Calibri" w:cs="Calibri" w:eastAsia="Calibri" w:hAnsi="Calibri"/>
          <w:sz w:val="18"/>
          <w:szCs w:val="18"/>
          <w:b w:val="1"/>
          <w:bCs w:val="1"/>
          <w:color w:val="0A0A0A"/>
        </w:rPr>
        <w:t xml:space="preserve"> </w:t>
      </w:r>
      <w:r>
        <w:rPr>
          <w:rFonts w:ascii="Calibri" w:cs="Calibri" w:eastAsia="Calibri" w:hAnsi="Calibri"/>
          <w:sz w:val="18"/>
          <w:szCs w:val="18"/>
          <w:color w:val="0A0A0A"/>
        </w:rPr>
        <w:t>December 31, 2024, or a diluted net loss per share of $(0.79) and diluted net loss per share of $(1.07), respectvely, as compared to a net loss of $(110.9) million for the fourth quarter of 2023 and a net loss of $(507.0) million for the year ended December 31, 2023, or a diluted net loss per share of $(1.82) and a diluted net loss per share of $(8.37), respectvely.</w:t>
      </w:r>
    </w:p>
    <w:p>
      <w:pPr>
        <w:spacing w:after="0" w:line="4" w:lineRule="exact"/>
        <w:rPr>
          <w:rFonts w:ascii="Times New Roman" w:cs="Times New Roman" w:eastAsia="Times New Roman" w:hAnsi="Times New Roman"/>
          <w:sz w:val="18"/>
          <w:szCs w:val="18"/>
          <w:color w:val="0A0A0A"/>
        </w:rPr>
      </w:pPr>
    </w:p>
    <w:p>
      <w:pPr>
        <w:ind w:left="540" w:right="319" w:hanging="331"/>
        <w:spacing w:after="0" w:line="235" w:lineRule="auto"/>
        <w:tabs>
          <w:tab w:leader="none" w:pos="54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0A0A0A"/>
        </w:rPr>
        <w:t xml:space="preserve">Cash Positon: </w:t>
      </w:r>
      <w:r>
        <w:rPr>
          <w:rFonts w:ascii="Calibri" w:cs="Calibri" w:eastAsia="Calibri" w:hAnsi="Calibri"/>
          <w:sz w:val="18"/>
          <w:szCs w:val="18"/>
          <w:color w:val="0A0A0A"/>
        </w:rPr>
        <w:t>As of December 31, 2024, cash, cash equivalents and investments were $863.9 million, as compared</w:t>
      </w:r>
      <w:r>
        <w:rPr>
          <w:rFonts w:ascii="Calibri" w:cs="Calibri" w:eastAsia="Calibri" w:hAnsi="Calibri"/>
          <w:sz w:val="18"/>
          <w:szCs w:val="18"/>
          <w:b w:val="1"/>
          <w:bCs w:val="1"/>
          <w:color w:val="0A0A0A"/>
        </w:rPr>
        <w:t xml:space="preserve"> </w:t>
      </w:r>
      <w:r>
        <w:rPr>
          <w:rFonts w:ascii="Calibri" w:cs="Calibri" w:eastAsia="Calibri" w:hAnsi="Calibri"/>
          <w:sz w:val="18"/>
          <w:szCs w:val="18"/>
          <w:color w:val="0A0A0A"/>
        </w:rPr>
        <w:t>to $767.2 million as of December 31, 2023.</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Conference Call Informaton</w:t>
      </w:r>
    </w:p>
    <w:p>
      <w:pPr>
        <w:spacing w:after="0" w:line="217" w:lineRule="exact"/>
        <w:rPr>
          <w:sz w:val="20"/>
          <w:szCs w:val="20"/>
          <w:color w:val="auto"/>
        </w:rPr>
      </w:pPr>
    </w:p>
    <w:p>
      <w:pPr>
        <w:ind w:left="200" w:right="379"/>
        <w:spacing w:after="0" w:line="245" w:lineRule="auto"/>
        <w:rPr>
          <w:sz w:val="20"/>
          <w:szCs w:val="20"/>
          <w:color w:val="auto"/>
        </w:rPr>
      </w:pPr>
      <w:r>
        <w:rPr>
          <w:rFonts w:ascii="Calibri" w:cs="Calibri" w:eastAsia="Calibri" w:hAnsi="Calibri"/>
          <w:sz w:val="17"/>
          <w:szCs w:val="17"/>
          <w:color w:val="auto"/>
        </w:rPr>
        <w:t>Blueprint Medicines will host a live conference call and webcast at 8:00 a.m. ET today to discuss fourth quarter and full year 2024 fnancial results and recent business actvites. The conference call may be accessed by dialing 833-470-1428 (domestc) or 404-975-4839 (internatonal), and referring to conference ID 349846. A webcast of the call will also be available under "Events and Presentatons" in the Investors &amp; Media secton of the Blueprint Medicines website</w:t>
      </w:r>
    </w:p>
    <w:p>
      <w:pPr>
        <w:spacing w:after="0" w:line="3" w:lineRule="exact"/>
        <w:rPr>
          <w:sz w:val="20"/>
          <w:szCs w:val="20"/>
          <w:color w:val="auto"/>
        </w:rPr>
      </w:pPr>
    </w:p>
    <w:p>
      <w:pPr>
        <w:ind w:left="200" w:right="1099"/>
        <w:spacing w:after="0" w:line="258" w:lineRule="auto"/>
        <w:rPr>
          <w:sz w:val="20"/>
          <w:szCs w:val="20"/>
          <w:color w:val="auto"/>
        </w:rPr>
      </w:pPr>
      <w:r>
        <w:rPr>
          <w:rFonts w:ascii="Calibri" w:cs="Calibri" w:eastAsia="Calibri" w:hAnsi="Calibri"/>
          <w:sz w:val="17"/>
          <w:szCs w:val="17"/>
          <w:color w:val="auto"/>
        </w:rPr>
        <w:t>at htp://ir.blueprintmedicines.com/. The archived webcast will be available on Blueprint Medicines' website approximately two hours afer the conference call and will be available for 30 days following the call.</w:t>
      </w:r>
    </w:p>
    <w:p>
      <w:pPr>
        <w:spacing w:after="0" w:line="197"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Upcoming Investor Conferences</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Blueprint Medicines will partcipate in two upcoming investor conferences:</w:t>
      </w:r>
    </w:p>
    <w:p>
      <w:pPr>
        <w:ind w:left="860" w:hanging="327"/>
        <w:spacing w:after="0" w:line="191" w:lineRule="auto"/>
        <w:tabs>
          <w:tab w:leader="none" w:pos="86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45</w:t>
      </w:r>
      <w:r>
        <w:rPr>
          <w:rFonts w:ascii="Calibri" w:cs="Calibri" w:eastAsia="Calibri" w:hAnsi="Calibri"/>
          <w:sz w:val="26"/>
          <w:szCs w:val="26"/>
          <w:b w:val="1"/>
          <w:bCs w:val="1"/>
          <w:color w:val="auto"/>
          <w:vertAlign w:val="superscript"/>
        </w:rPr>
        <w:t>th</w:t>
      </w:r>
      <w:r>
        <w:rPr>
          <w:rFonts w:ascii="Calibri" w:cs="Calibri" w:eastAsia="Calibri" w:hAnsi="Calibri"/>
          <w:sz w:val="18"/>
          <w:szCs w:val="18"/>
          <w:b w:val="1"/>
          <w:bCs w:val="1"/>
          <w:color w:val="auto"/>
        </w:rPr>
        <w:t xml:space="preserve"> Annual Cowen Health Care Conference </w:t>
      </w:r>
      <w:r>
        <w:rPr>
          <w:rFonts w:ascii="Calibri" w:cs="Calibri" w:eastAsia="Calibri" w:hAnsi="Calibri"/>
          <w:sz w:val="18"/>
          <w:szCs w:val="18"/>
          <w:color w:val="auto"/>
        </w:rPr>
        <w:t>on Monday, March 3, 2025 at 1:10 p.m. ET.</w:t>
      </w:r>
    </w:p>
    <w:p>
      <w:pPr>
        <w:ind w:left="860" w:right="239" w:hanging="327"/>
        <w:spacing w:after="0" w:line="215" w:lineRule="auto"/>
        <w:tabs>
          <w:tab w:leader="none" w:pos="86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H.C. Wainwright 3rd Annual Autoimmune &amp; Infammatory Disease Virtual Conference </w:t>
      </w:r>
      <w:r>
        <w:rPr>
          <w:rFonts w:ascii="Calibri" w:cs="Calibri" w:eastAsia="Calibri" w:hAnsi="Calibri"/>
          <w:sz w:val="18"/>
          <w:szCs w:val="18"/>
          <w:color w:val="auto"/>
        </w:rPr>
        <w:t>on Thursday, March 27,</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2025 at 12:00 p.m. ET.</w:t>
      </w:r>
    </w:p>
    <w:p>
      <w:pPr>
        <w:spacing w:after="0" w:line="218" w:lineRule="exact"/>
        <w:rPr>
          <w:sz w:val="20"/>
          <w:szCs w:val="20"/>
          <w:color w:val="auto"/>
        </w:rPr>
      </w:pPr>
    </w:p>
    <w:p>
      <w:pPr>
        <w:ind w:left="200" w:right="239"/>
        <w:spacing w:after="0" w:line="235" w:lineRule="auto"/>
        <w:rPr>
          <w:sz w:val="20"/>
          <w:szCs w:val="20"/>
          <w:color w:val="auto"/>
        </w:rPr>
      </w:pPr>
      <w:r>
        <w:rPr>
          <w:rFonts w:ascii="Calibri" w:cs="Calibri" w:eastAsia="Calibri" w:hAnsi="Calibri"/>
          <w:sz w:val="18"/>
          <w:szCs w:val="18"/>
          <w:color w:val="auto"/>
        </w:rPr>
        <w:t>Live webcasts of the presentatons will be available under "Events and Presentatons" in the Investors &amp; Media secton of the Blueprint Medicines website at htp://ir.blueprintmedicines.com. Replays of the webcasts will be archived on the Blueprint Medicines website for 30 days following the presentatons.</w:t>
      </w:r>
    </w:p>
    <w:p>
      <w:pPr>
        <w:spacing w:after="0" w:line="200"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About Blueprint Medicines</w:t>
      </w:r>
    </w:p>
    <w:p>
      <w:pPr>
        <w:spacing w:after="0" w:line="217" w:lineRule="exact"/>
        <w:rPr>
          <w:sz w:val="20"/>
          <w:szCs w:val="20"/>
          <w:color w:val="auto"/>
        </w:rPr>
      </w:pPr>
    </w:p>
    <w:p>
      <w:pPr>
        <w:ind w:left="200" w:right="239"/>
        <w:spacing w:after="0" w:line="234" w:lineRule="auto"/>
        <w:rPr>
          <w:sz w:val="20"/>
          <w:szCs w:val="20"/>
          <w:color w:val="auto"/>
        </w:rPr>
      </w:pPr>
      <w:r>
        <w:rPr>
          <w:rFonts w:ascii="Calibri" w:cs="Calibri" w:eastAsia="Calibri" w:hAnsi="Calibri"/>
          <w:sz w:val="18"/>
          <w:szCs w:val="18"/>
          <w:color w:val="auto"/>
        </w:rPr>
        <w:t>Blueprint Medicines is a fully integrated, commercial-stage, global biopharmaceutcal company that invents life-changing medicines in two core, strategic areas of allergy/infammaton and oncology/hematology. We pursue discovery, development, and commercializaton of therapies that potently and selectvely target known drivers of disease, with focused investment in therapeutc areas where we can leverage our core expertse and business infrastructure to bring scale to our science. We are bringing AYVAKIT®/AYVAKYT® (avapritnib) to people living with systemic mastocytosis (SM) in the U.S. and Europe. Additonally, we have a pipeline of research and development programs that range from early science to advanced clinical trials in mast cell-mediated diseases, including SM and chronic urtcaria, breast cancer, and other solid tumors vulnerable to CDK2 inhibiton. For more informaton, visit www.BlueprintMedicines.com and follow us on X (formerly Twiter; @BlueprintMeds) and LinkedIn.</w:t>
      </w:r>
    </w:p>
    <w:p>
      <w:pPr>
        <w:spacing w:after="0" w:line="21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Cautonary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200" w:right="219"/>
        <w:spacing w:after="0" w:line="248" w:lineRule="auto"/>
        <w:rPr>
          <w:sz w:val="20"/>
          <w:szCs w:val="20"/>
          <w:color w:val="auto"/>
        </w:rPr>
      </w:pPr>
      <w:r>
        <w:rPr>
          <w:rFonts w:ascii="Calibri" w:cs="Calibri" w:eastAsia="Calibri" w:hAnsi="Calibri"/>
          <w:sz w:val="17"/>
          <w:szCs w:val="17"/>
          <w:color w:val="auto"/>
        </w:rPr>
        <w:t xml:space="preserve">This press release contains forward-looking statements within the meaning of the Private Securites Litgaton Reform Act of 1995, as amended, including, without limitaton, statements regarding Blueprint Medicines’ </w:t>
      </w:r>
      <w:r>
        <w:rPr>
          <w:rFonts w:ascii="Calibri" w:cs="Calibri" w:eastAsia="Calibri" w:hAnsi="Calibri"/>
          <w:sz w:val="17"/>
          <w:szCs w:val="17"/>
          <w:color w:val="0A0A0A"/>
        </w:rPr>
        <w:t>views with respect to</w:t>
      </w:r>
      <w:r>
        <w:rPr>
          <w:rFonts w:ascii="Calibri" w:cs="Calibri" w:eastAsia="Calibri" w:hAnsi="Calibri"/>
          <w:sz w:val="17"/>
          <w:szCs w:val="17"/>
          <w:color w:val="auto"/>
        </w:rPr>
        <w:t xml:space="preserve"> </w:t>
      </w:r>
      <w:r>
        <w:rPr>
          <w:rFonts w:ascii="Calibri" w:cs="Calibri" w:eastAsia="Calibri" w:hAnsi="Calibri"/>
          <w:sz w:val="17"/>
          <w:szCs w:val="17"/>
          <w:color w:val="0A0A0A"/>
        </w:rPr>
        <w:t>the peak systemic mastocytosis franchise and AYVAKIT revenue opportunites; its planned commercial investments and its future business growth</w:t>
      </w:r>
      <w:r>
        <w:rPr>
          <w:rFonts w:ascii="Calibri" w:cs="Calibri" w:eastAsia="Calibri" w:hAnsi="Calibri"/>
          <w:sz w:val="17"/>
          <w:szCs w:val="17"/>
          <w:color w:val="000000"/>
        </w:rPr>
        <w:t>;</w:t>
      </w:r>
      <w:r>
        <w:rPr>
          <w:rFonts w:ascii="Calibri" w:cs="Calibri" w:eastAsia="Calibri" w:hAnsi="Calibri"/>
          <w:sz w:val="17"/>
          <w:szCs w:val="17"/>
          <w:color w:val="0A0A0A"/>
        </w:rPr>
        <w:t xml:space="preserve"> the advancement of BLU-808 and its potental to beneft patents with </w:t>
      </w:r>
      <w:r>
        <w:rPr>
          <w:rFonts w:ascii="Calibri" w:cs="Calibri" w:eastAsia="Calibri" w:hAnsi="Calibri"/>
          <w:sz w:val="17"/>
          <w:szCs w:val="17"/>
          <w:color w:val="000000"/>
        </w:rPr>
        <w:t>allergic and</w:t>
      </w:r>
      <w:r>
        <w:rPr>
          <w:rFonts w:ascii="Calibri" w:cs="Calibri" w:eastAsia="Calibri" w:hAnsi="Calibri"/>
          <w:sz w:val="17"/>
          <w:szCs w:val="17"/>
          <w:color w:val="0A0A0A"/>
        </w:rPr>
        <w:t xml:space="preserve"> </w:t>
      </w:r>
      <w:r>
        <w:rPr>
          <w:rFonts w:ascii="Calibri" w:cs="Calibri" w:eastAsia="Calibri" w:hAnsi="Calibri"/>
          <w:sz w:val="17"/>
          <w:szCs w:val="17"/>
          <w:color w:val="000000"/>
        </w:rPr>
        <w:t xml:space="preserve">infammatory </w:t>
      </w:r>
      <w:r>
        <w:rPr>
          <w:rFonts w:ascii="Calibri" w:cs="Calibri" w:eastAsia="Calibri" w:hAnsi="Calibri"/>
          <w:sz w:val="17"/>
          <w:szCs w:val="17"/>
          <w:color w:val="0A0A0A"/>
        </w:rPr>
        <w:t>diseases;</w:t>
      </w:r>
      <w:r>
        <w:rPr>
          <w:rFonts w:ascii="Calibri" w:cs="Calibri" w:eastAsia="Calibri" w:hAnsi="Calibri"/>
          <w:sz w:val="17"/>
          <w:szCs w:val="17"/>
          <w:color w:val="000000"/>
        </w:rPr>
        <w:t xml:space="preserve"> the potental benefts of any of the Blueprint Medicines’ current or future approved drugs or drug candidates in treatng patents; the tming of its pre-clinical and clinical trials; and Blueprint Medicines’ fnancial performance, strategy, including its planned investment allocaton; projected cash burn, the antcipated proceeds upon the IDRx acquisiton, goals and antcipated milestones, business plans and focus. The words "aim," "may," "will," "could," "would," "should," "expect," "plan," "antcipate,", “achieve”, "intend," "believe," "estmate," "predict," "project," "potental," "contnue," "target" and similar expressions are intended to identfy forward-looking statements, although not all forward-looking statements contain these identfying words. Any forward-looking statements in this press release are based on management's current expectatons and beliefs and are subject to a number of risks, uncertaintes and important factors that may cause actual events or results to difer materially from those expressed or implied by any forward-looking statements contained in this press release, including, without limitaton: the uncertainty of Blueprint’s ability to execute on its strategic plan for sustainable growth; the risk of delay of any current or planned clinical trials or the development of Blueprint Medicines' current or future drug candidates; risks related to Blueprint Medicines' ability to successfully demonstrate the safety and efcacy of its drug candidates and gain approval of its drug candidates on a tmely basis, if at all; preclinical and clinical results for Blueprint Medicines' drug candidates may not support further development of such drug candidates either as monotherapies or in combinaton with other agents or may impact the antcipated tming of data or regulatory submissions; the tming of the initaton of clinical trials and trial cohorts at clinical trial sites and patent enrollment rates may be delayed or slower than antcipated; actons of regulatory agencies may afect the initaton, tming and progress of clinical trials; risks related to Blueprint Medicines' ability to obtain, maintain and enforce patent and other intellectual property protecton for its products and current or future drug candidates it is developing; and the success of Blueprint Medicines' current and future collaboratons, fnancing arrangements, partnerships or licensing arrangements. </w:t>
      </w:r>
      <w:r>
        <w:rPr>
          <w:rFonts w:ascii="Calibri" w:cs="Calibri" w:eastAsia="Calibri" w:hAnsi="Calibri"/>
          <w:sz w:val="17"/>
          <w:szCs w:val="17"/>
          <w:color w:val="0A0A0A"/>
        </w:rPr>
        <w:t>These and other risks and uncertaintes are described in greater</w:t>
      </w:r>
      <w:r>
        <w:rPr>
          <w:rFonts w:ascii="Calibri" w:cs="Calibri" w:eastAsia="Calibri" w:hAnsi="Calibri"/>
          <w:sz w:val="17"/>
          <w:szCs w:val="17"/>
          <w:color w:val="000000"/>
        </w:rPr>
        <w:t xml:space="preserve"> </w:t>
      </w:r>
      <w:r>
        <w:rPr>
          <w:rFonts w:ascii="Calibri" w:cs="Calibri" w:eastAsia="Calibri" w:hAnsi="Calibri"/>
          <w:sz w:val="17"/>
          <w:szCs w:val="17"/>
          <w:color w:val="0A0A0A"/>
        </w:rPr>
        <w:t xml:space="preserve">detail in the secton enttled "Risk Factors" in Blueprint Medicines' flings with the Securites and Exchange Commission (SEC), including Blueprint Medicines' most recent Annual Report on Form 10-K, as supplemented by its most recent Quarterly Report on Form 10-Q and any other flings that Blueprint Medicines has made or may make with the SEC in the future. </w:t>
      </w:r>
      <w:r>
        <w:rPr>
          <w:rFonts w:ascii="Calibri" w:cs="Calibri" w:eastAsia="Calibri" w:hAnsi="Calibri"/>
          <w:sz w:val="17"/>
          <w:szCs w:val="17"/>
          <w:color w:val="000000"/>
        </w:rPr>
        <w:t>Any forward-looking statements contained in this press release represent Blueprint Medicines' views only as of</w:t>
      </w:r>
      <w:r>
        <w:rPr>
          <w:rFonts w:ascii="Calibri" w:cs="Calibri" w:eastAsia="Calibri" w:hAnsi="Calibri"/>
          <w:sz w:val="17"/>
          <w:szCs w:val="17"/>
          <w:color w:val="0A0A0A"/>
        </w:rPr>
        <w:t xml:space="preserve"> </w:t>
      </w:r>
      <w:r>
        <w:rPr>
          <w:rFonts w:ascii="Calibri" w:cs="Calibri" w:eastAsia="Calibri" w:hAnsi="Calibri"/>
          <w:sz w:val="17"/>
          <w:szCs w:val="17"/>
          <w:color w:val="000000"/>
        </w:rPr>
        <w:t>the date hereof and should not be relied upon as representng its views as of any subsequent date. Except as required by law, Blueprint Medicines explicitly disclaims any obligaton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545211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411480"/>
                    </a:xfrm>
                    <a:prstGeom prst="rect">
                      <a:avLst/>
                    </a:prstGeom>
                    <a:noFill/>
                  </pic:spPr>
                </pic:pic>
              </a:graphicData>
            </a:graphic>
          </wp:anchor>
        </w:drawing>
      </w:r>
    </w:p>
    <w:p>
      <w:pPr>
        <w:spacing w:after="0" w:line="19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Blueprint Medicines, AYVAKIT, AYVAKYT and associated logos are trademarks of Blueprint Medicines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495300</wp:posOffset>
            </wp:positionV>
            <wp:extent cx="5452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jc w:val="center"/>
        <w:ind w:right="-59"/>
        <w:spacing w:after="0"/>
        <w:rPr>
          <w:sz w:val="20"/>
          <w:szCs w:val="20"/>
          <w:color w:val="auto"/>
        </w:rPr>
      </w:pPr>
      <w:r>
        <w:rPr>
          <w:rFonts w:ascii="Calibri" w:cs="Calibri" w:eastAsia="Calibri" w:hAnsi="Calibri"/>
          <w:sz w:val="20"/>
          <w:szCs w:val="20"/>
          <w:b w:val="1"/>
          <w:bCs w:val="1"/>
          <w:color w:val="auto"/>
        </w:rPr>
        <w:t>Blueprint Medicines Corporaton</w:t>
      </w:r>
    </w:p>
    <w:p>
      <w:pPr>
        <w:jc w:val="center"/>
        <w:spacing w:after="0" w:line="225" w:lineRule="auto"/>
        <w:rPr>
          <w:sz w:val="20"/>
          <w:szCs w:val="20"/>
          <w:color w:val="auto"/>
        </w:rPr>
      </w:pPr>
      <w:r>
        <w:rPr>
          <w:rFonts w:ascii="Calibri" w:cs="Calibri" w:eastAsia="Calibri" w:hAnsi="Calibri"/>
          <w:sz w:val="20"/>
          <w:szCs w:val="20"/>
          <w:b w:val="1"/>
          <w:bCs w:val="1"/>
          <w:color w:val="auto"/>
        </w:rPr>
        <w:t>Selected Condensed Consolidated Balance Sheet Data</w:t>
      </w:r>
    </w:p>
    <w:p>
      <w:pPr>
        <w:jc w:val="center"/>
        <w:spacing w:after="0"/>
        <w:rPr>
          <w:sz w:val="20"/>
          <w:szCs w:val="20"/>
          <w:color w:val="auto"/>
        </w:rPr>
      </w:pPr>
      <w:r>
        <w:rPr>
          <w:rFonts w:ascii="Calibri" w:cs="Calibri" w:eastAsia="Calibri" w:hAnsi="Calibri"/>
          <w:sz w:val="20"/>
          <w:szCs w:val="20"/>
          <w:b w:val="1"/>
          <w:bCs w:val="1"/>
          <w:color w:val="auto"/>
        </w:rPr>
        <w:t>(in thousands)</w:t>
      </w:r>
    </w:p>
    <w:p>
      <w:pPr>
        <w:jc w:val="center"/>
        <w:spacing w:after="0" w:line="225" w:lineRule="auto"/>
        <w:rPr>
          <w:sz w:val="20"/>
          <w:szCs w:val="20"/>
          <w:color w:val="auto"/>
        </w:rPr>
      </w:pPr>
      <w:r>
        <w:rPr>
          <w:rFonts w:ascii="Calibri" w:cs="Calibri" w:eastAsia="Calibri" w:hAnsi="Calibri"/>
          <w:sz w:val="20"/>
          <w:szCs w:val="20"/>
          <w:b w:val="1"/>
          <w:bCs w:val="1"/>
          <w:i w:val="1"/>
          <w:iCs w:val="1"/>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2"/>
          </w:tcPr>
          <w:p>
            <w:pPr>
              <w:jc w:val="center"/>
              <w:ind w:right="360"/>
              <w:spacing w:after="0"/>
              <w:rPr>
                <w:sz w:val="20"/>
                <w:szCs w:val="20"/>
                <w:color w:val="auto"/>
              </w:rPr>
            </w:pPr>
            <w:r>
              <w:rPr>
                <w:rFonts w:ascii="Calibri" w:cs="Calibri" w:eastAsia="Calibri" w:hAnsi="Calibri"/>
                <w:sz w:val="18"/>
                <w:szCs w:val="18"/>
                <w:b w:val="1"/>
                <w:bCs w:val="1"/>
                <w:color w:val="auto"/>
                <w:w w:val="98"/>
              </w:rPr>
              <w:t>December 31,</w:t>
            </w:r>
          </w:p>
        </w:tc>
        <w:tc>
          <w:tcPr>
            <w:tcW w:w="1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December 31,</w:t>
            </w: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ind w:right="530"/>
              <w:spacing w:after="0" w:line="213" w:lineRule="exact"/>
              <w:rPr>
                <w:sz w:val="20"/>
                <w:szCs w:val="20"/>
                <w:color w:val="auto"/>
              </w:rPr>
            </w:pPr>
            <w:r>
              <w:rPr>
                <w:rFonts w:ascii="Calibri" w:cs="Calibri" w:eastAsia="Calibri" w:hAnsi="Calibri"/>
                <w:sz w:val="18"/>
                <w:szCs w:val="18"/>
                <w:b w:val="1"/>
                <w:bCs w:val="1"/>
                <w:color w:val="auto"/>
              </w:rPr>
              <w:t>2024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70"/>
              <w:spacing w:after="0" w:line="213" w:lineRule="exact"/>
              <w:rPr>
                <w:sz w:val="20"/>
                <w:szCs w:val="20"/>
                <w:color w:val="auto"/>
              </w:rPr>
            </w:pPr>
            <w:r>
              <w:rPr>
                <w:rFonts w:ascii="Calibri" w:cs="Calibri" w:eastAsia="Calibri" w:hAnsi="Calibri"/>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5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spacing w:after="0" w:line="195" w:lineRule="exact"/>
              <w:rPr>
                <w:sz w:val="20"/>
                <w:szCs w:val="20"/>
                <w:color w:val="auto"/>
              </w:rPr>
            </w:pPr>
            <w:r>
              <w:rPr>
                <w:rFonts w:ascii="Calibri" w:cs="Calibri" w:eastAsia="Calibri" w:hAnsi="Calibri"/>
                <w:sz w:val="18"/>
                <w:szCs w:val="18"/>
                <w:color w:val="auto"/>
              </w:rPr>
              <w:t>Cash, cash equivalents and investments</w:t>
            </w:r>
          </w:p>
        </w:tc>
        <w:tc>
          <w:tcPr>
            <w:tcW w:w="360" w:type="dxa"/>
            <w:vAlign w:val="bottom"/>
            <w:tcBorders>
              <w:bottom w:val="single" w:sz="8" w:color="CCEEFF"/>
            </w:tcBorders>
            <w:shd w:val="clear" w:color="auto" w:fill="CCEEFF"/>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158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863,937</w:t>
            </w: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180" w:type="dxa"/>
            <w:vAlign w:val="bottom"/>
            <w:tcBorders>
              <w:bottom w:val="single" w:sz="8" w:color="CCEEFF"/>
            </w:tcBorders>
            <w:shd w:val="clear" w:color="auto" w:fill="CCEEFF"/>
          </w:tcPr>
          <w:p>
            <w:pPr>
              <w:jc w:val="right"/>
              <w:spacing w:after="0" w:line="208" w:lineRule="exact"/>
              <w:rPr>
                <w:sz w:val="20"/>
                <w:szCs w:val="20"/>
                <w:color w:val="auto"/>
              </w:rPr>
            </w:pPr>
            <w:r>
              <w:rPr>
                <w:rFonts w:ascii="Calibri" w:cs="Calibri" w:eastAsia="Calibri" w:hAnsi="Calibri"/>
                <w:sz w:val="18"/>
                <w:szCs w:val="18"/>
                <w:color w:val="auto"/>
              </w:rPr>
              <w:t>767,171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line="215" w:lineRule="exact"/>
              <w:rPr>
                <w:sz w:val="20"/>
                <w:szCs w:val="20"/>
                <w:color w:val="auto"/>
              </w:rPr>
            </w:pPr>
            <w:r>
              <w:rPr>
                <w:rFonts w:ascii="Calibri" w:cs="Calibri" w:eastAsia="Calibri" w:hAnsi="Calibri"/>
                <w:sz w:val="18"/>
                <w:szCs w:val="18"/>
                <w:color w:val="auto"/>
              </w:rPr>
              <w:t>Working capital (1)</w:t>
            </w:r>
          </w:p>
        </w:tc>
        <w:tc>
          <w:tcPr>
            <w:tcW w:w="360" w:type="dxa"/>
            <w:vAlign w:val="bottom"/>
          </w:tcPr>
          <w:p>
            <w:pPr>
              <w:spacing w:after="0"/>
              <w:rPr>
                <w:sz w:val="18"/>
                <w:szCs w:val="18"/>
                <w:color w:val="auto"/>
              </w:rPr>
            </w:pPr>
          </w:p>
        </w:tc>
        <w:tc>
          <w:tcPr>
            <w:tcW w:w="190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481,882</w:t>
            </w:r>
          </w:p>
        </w:tc>
        <w:tc>
          <w:tcPr>
            <w:tcW w:w="1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593,470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300"/>
              <w:spacing w:after="0" w:line="215" w:lineRule="exact"/>
              <w:rPr>
                <w:sz w:val="20"/>
                <w:szCs w:val="20"/>
                <w:color w:val="auto"/>
              </w:rPr>
            </w:pPr>
            <w:r>
              <w:rPr>
                <w:rFonts w:ascii="Calibri" w:cs="Calibri" w:eastAsia="Calibri" w:hAnsi="Calibri"/>
                <w:sz w:val="18"/>
                <w:szCs w:val="18"/>
                <w:color w:val="auto"/>
              </w:rPr>
              <w:t>1,179,813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1,049,250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line="215" w:lineRule="exact"/>
              <w:rPr>
                <w:sz w:val="20"/>
                <w:szCs w:val="20"/>
                <w:color w:val="auto"/>
              </w:rPr>
            </w:pPr>
            <w:r>
              <w:rPr>
                <w:rFonts w:ascii="Calibri" w:cs="Calibri" w:eastAsia="Calibri" w:hAnsi="Calibri"/>
                <w:sz w:val="18"/>
                <w:szCs w:val="18"/>
                <w:color w:val="auto"/>
              </w:rPr>
              <w:t>Deferred revenue (2)</w:t>
            </w:r>
          </w:p>
        </w:tc>
        <w:tc>
          <w:tcPr>
            <w:tcW w:w="360" w:type="dxa"/>
            <w:vAlign w:val="bottom"/>
          </w:tcPr>
          <w:p>
            <w:pPr>
              <w:spacing w:after="0"/>
              <w:rPr>
                <w:sz w:val="18"/>
                <w:szCs w:val="18"/>
                <w:color w:val="auto"/>
              </w:rPr>
            </w:pPr>
          </w:p>
        </w:tc>
        <w:tc>
          <w:tcPr>
            <w:tcW w:w="190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10,198</w:t>
            </w:r>
          </w:p>
        </w:tc>
        <w:tc>
          <w:tcPr>
            <w:tcW w:w="1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5,604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Liability related to the sale of future royaltes and revenues (2)</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300"/>
              <w:spacing w:after="0" w:line="215" w:lineRule="exact"/>
              <w:rPr>
                <w:sz w:val="20"/>
                <w:szCs w:val="20"/>
                <w:color w:val="auto"/>
              </w:rPr>
            </w:pPr>
            <w:r>
              <w:rPr>
                <w:rFonts w:ascii="Calibri" w:cs="Calibri" w:eastAsia="Calibri" w:hAnsi="Calibri"/>
                <w:sz w:val="18"/>
                <w:szCs w:val="18"/>
                <w:color w:val="auto"/>
              </w:rPr>
              <w:t>255,174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441,625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line="215" w:lineRule="exact"/>
              <w:rPr>
                <w:sz w:val="20"/>
                <w:szCs w:val="20"/>
                <w:color w:val="auto"/>
              </w:rPr>
            </w:pPr>
            <w:r>
              <w:rPr>
                <w:rFonts w:ascii="Calibri" w:cs="Calibri" w:eastAsia="Calibri" w:hAnsi="Calibri"/>
                <w:sz w:val="18"/>
                <w:szCs w:val="18"/>
                <w:color w:val="auto"/>
              </w:rPr>
              <w:t>Term loan (2)</w:t>
            </w:r>
          </w:p>
        </w:tc>
        <w:tc>
          <w:tcPr>
            <w:tcW w:w="360" w:type="dxa"/>
            <w:vAlign w:val="bottom"/>
          </w:tcPr>
          <w:p>
            <w:pPr>
              <w:spacing w:after="0"/>
              <w:rPr>
                <w:sz w:val="18"/>
                <w:szCs w:val="18"/>
                <w:color w:val="auto"/>
              </w:rPr>
            </w:pPr>
          </w:p>
        </w:tc>
        <w:tc>
          <w:tcPr>
            <w:tcW w:w="190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386,970</w:t>
            </w:r>
          </w:p>
        </w:tc>
        <w:tc>
          <w:tcPr>
            <w:tcW w:w="1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238,813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Total liabilites</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300"/>
              <w:spacing w:after="0" w:line="215" w:lineRule="exact"/>
              <w:rPr>
                <w:sz w:val="20"/>
                <w:szCs w:val="20"/>
                <w:color w:val="auto"/>
              </w:rPr>
            </w:pPr>
            <w:r>
              <w:rPr>
                <w:rFonts w:ascii="Calibri" w:cs="Calibri" w:eastAsia="Calibri" w:hAnsi="Calibri"/>
                <w:sz w:val="18"/>
                <w:szCs w:val="18"/>
                <w:color w:val="auto"/>
              </w:rPr>
              <w:t>881,148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918,641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580" w:type="dxa"/>
            <w:vAlign w:val="bottom"/>
          </w:tcPr>
          <w:p>
            <w:pPr>
              <w:spacing w:after="0" w:line="215" w:lineRule="exact"/>
              <w:rPr>
                <w:sz w:val="20"/>
                <w:szCs w:val="20"/>
                <w:color w:val="auto"/>
              </w:rPr>
            </w:pPr>
            <w:r>
              <w:rPr>
                <w:rFonts w:ascii="Calibri" w:cs="Calibri" w:eastAsia="Calibri" w:hAnsi="Calibri"/>
                <w:sz w:val="18"/>
                <w:szCs w:val="18"/>
                <w:color w:val="auto"/>
              </w:rPr>
              <w:t>Total stockholders’ equity</w:t>
            </w:r>
          </w:p>
        </w:tc>
        <w:tc>
          <w:tcPr>
            <w:tcW w:w="360" w:type="dxa"/>
            <w:vAlign w:val="bottom"/>
          </w:tcPr>
          <w:p>
            <w:pPr>
              <w:spacing w:after="0"/>
              <w:rPr>
                <w:sz w:val="18"/>
                <w:szCs w:val="18"/>
                <w:color w:val="auto"/>
              </w:rPr>
            </w:pPr>
          </w:p>
        </w:tc>
        <w:tc>
          <w:tcPr>
            <w:tcW w:w="1900" w:type="dxa"/>
            <w:vAlign w:val="bottom"/>
            <w:gridSpan w:val="2"/>
          </w:tcPr>
          <w:p>
            <w:pPr>
              <w:jc w:val="right"/>
              <w:ind w:right="300"/>
              <w:spacing w:after="0" w:line="215" w:lineRule="exact"/>
              <w:rPr>
                <w:sz w:val="20"/>
                <w:szCs w:val="20"/>
                <w:color w:val="auto"/>
              </w:rPr>
            </w:pPr>
            <w:r>
              <w:rPr>
                <w:rFonts w:ascii="Calibri" w:cs="Calibri" w:eastAsia="Calibri" w:hAnsi="Calibri"/>
                <w:sz w:val="18"/>
                <w:szCs w:val="18"/>
                <w:color w:val="auto"/>
              </w:rPr>
              <w:t>298,665</w:t>
            </w:r>
          </w:p>
        </w:tc>
        <w:tc>
          <w:tcPr>
            <w:tcW w:w="12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130,609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40" w:hanging="351"/>
        <w:spacing w:after="0"/>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Blueprint Medicines defnes working capital as current assets less current liabilites.</w:t>
      </w:r>
    </w:p>
    <w:p>
      <w:pPr>
        <w:ind w:left="660" w:hanging="371"/>
        <w:spacing w:after="0" w:line="235" w:lineRule="auto"/>
        <w:tabs>
          <w:tab w:leader="none" w:pos="66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Includes both current and long-term portons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3941445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160"/>
          </w:cols>
          <w:pgMar w:left="1360" w:top="105" w:right="1379" w:bottom="1440" w:gutter="0" w:footer="0" w:header="0"/>
        </w:sectPr>
      </w:pPr>
    </w:p>
    <w:bookmarkStart w:id="8" w:name="page9"/>
    <w:bookmarkEnd w:id="8"/>
    <w:p>
      <w:pPr>
        <w:spacing w:after="0" w:line="5" w:lineRule="exact"/>
        <w:rPr>
          <w:sz w:val="20"/>
          <w:szCs w:val="20"/>
          <w:color w:val="auto"/>
        </w:rPr>
      </w:pPr>
    </w:p>
    <w:p>
      <w:pPr>
        <w:ind w:left="4220"/>
        <w:spacing w:after="0"/>
        <w:rPr>
          <w:sz w:val="20"/>
          <w:szCs w:val="20"/>
          <w:color w:val="auto"/>
        </w:rPr>
      </w:pPr>
      <w:r>
        <w:rPr>
          <w:rFonts w:ascii="Calibri" w:cs="Calibri" w:eastAsia="Calibri" w:hAnsi="Calibri"/>
          <w:sz w:val="17"/>
          <w:szCs w:val="17"/>
          <w:b w:val="1"/>
          <w:bCs w:val="1"/>
          <w:color w:val="auto"/>
        </w:rPr>
        <w:t>Three Months Ended</w:t>
      </w:r>
    </w:p>
    <w:p>
      <w:pPr>
        <w:spacing w:after="0" w:line="58" w:lineRule="exact"/>
        <w:rPr>
          <w:sz w:val="20"/>
          <w:szCs w:val="20"/>
          <w:color w:val="auto"/>
        </w:rPr>
      </w:pPr>
    </w:p>
    <w:p>
      <w:pPr>
        <w:ind w:left="4460"/>
        <w:spacing w:after="0"/>
        <w:rPr>
          <w:sz w:val="20"/>
          <w:szCs w:val="20"/>
          <w:color w:val="auto"/>
        </w:rPr>
      </w:pPr>
      <w:r>
        <w:rPr>
          <w:rFonts w:ascii="Calibri" w:cs="Calibri" w:eastAsia="Calibri" w:hAnsi="Calibri"/>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23495</wp:posOffset>
            </wp:positionV>
            <wp:extent cx="11226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0" w:lineRule="exact"/>
        <w:rPr>
          <w:sz w:val="20"/>
          <w:szCs w:val="20"/>
          <w:color w:val="auto"/>
        </w:rPr>
      </w:pPr>
    </w:p>
    <w:p>
      <w:pPr>
        <w:ind w:left="4300"/>
        <w:spacing w:after="0"/>
        <w:tabs>
          <w:tab w:leader="none" w:pos="5240" w:val="left"/>
        </w:tabs>
        <w:rPr>
          <w:sz w:val="20"/>
          <w:szCs w:val="20"/>
          <w:color w:val="auto"/>
        </w:rPr>
      </w:pPr>
      <w:r>
        <w:rPr>
          <w:rFonts w:ascii="Calibri" w:cs="Calibri" w:eastAsia="Calibri" w:hAnsi="Calibri"/>
          <w:sz w:val="18"/>
          <w:szCs w:val="18"/>
          <w:b w:val="1"/>
          <w:bCs w:val="1"/>
          <w:color w:val="auto"/>
        </w:rPr>
        <w:t>2024</w:t>
      </w:r>
      <w:r>
        <w:rPr>
          <w:sz w:val="20"/>
          <w:szCs w:val="20"/>
          <w:color w:val="auto"/>
        </w:rPr>
        <w:tab/>
      </w:r>
      <w:r>
        <w:rPr>
          <w:rFonts w:ascii="Calibri" w:cs="Calibri" w:eastAsia="Calibri" w:hAnsi="Calibri"/>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545211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alibri" w:cs="Calibri" w:eastAsia="Calibri" w:hAnsi="Calibri"/>
          <w:sz w:val="18"/>
          <w:szCs w:val="18"/>
          <w:b w:val="1"/>
          <w:bCs w:val="1"/>
          <w:color w:val="auto"/>
        </w:rPr>
        <w:t>Years Ended</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23495</wp:posOffset>
            </wp:positionV>
            <wp:extent cx="1757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120" w:val="left"/>
        </w:tabs>
        <w:rPr>
          <w:sz w:val="20"/>
          <w:szCs w:val="20"/>
          <w:color w:val="auto"/>
        </w:rPr>
      </w:pPr>
      <w:r>
        <w:rPr>
          <w:rFonts w:ascii="Calibri" w:cs="Calibri" w:eastAsia="Calibri" w:hAnsi="Calibri"/>
          <w:sz w:val="16"/>
          <w:szCs w:val="16"/>
          <w:b w:val="1"/>
          <w:bCs w:val="1"/>
          <w:color w:val="auto"/>
        </w:rPr>
        <w:t>2024</w:t>
      </w:r>
      <w:r>
        <w:rPr>
          <w:sz w:val="20"/>
          <w:szCs w:val="20"/>
          <w:color w:val="auto"/>
        </w:rPr>
        <w:tab/>
      </w:r>
      <w:r>
        <w:rPr>
          <w:rFonts w:ascii="Calibri" w:cs="Calibri" w:eastAsia="Calibri" w:hAnsi="Calibri"/>
          <w:sz w:val="16"/>
          <w:szCs w:val="16"/>
          <w:b w:val="1"/>
          <w:bCs w:val="1"/>
          <w:color w:val="auto"/>
        </w:rPr>
        <w:t>2023</w:t>
      </w:r>
    </w:p>
    <w:p>
      <w:pPr>
        <w:spacing w:after="0" w:line="69" w:lineRule="exact"/>
        <w:rPr>
          <w:sz w:val="20"/>
          <w:szCs w:val="20"/>
          <w:color w:val="auto"/>
        </w:rPr>
      </w:pPr>
    </w:p>
    <w:p>
      <w:pPr>
        <w:sectPr>
          <w:pgSz w:w="11900" w:h="16838" w:orient="portrait"/>
          <w:cols w:equalWidth="0" w:num="2">
            <w:col w:w="6160" w:space="720"/>
            <w:col w:w="2139"/>
          </w:cols>
          <w:pgMar w:left="1440" w:top="153" w:right="1440" w:bottom="1440" w:gutter="0" w:footer="0" w:header="0"/>
        </w:sectPr>
      </w:pPr>
    </w:p>
    <w:p>
      <w:pPr>
        <w:ind w:left="220"/>
        <w:spacing w:after="0"/>
        <w:rPr>
          <w:sz w:val="20"/>
          <w:szCs w:val="20"/>
          <w:color w:val="auto"/>
        </w:rPr>
      </w:pPr>
      <w:r>
        <w:rPr>
          <w:rFonts w:ascii="Calibri" w:cs="Calibri" w:eastAsia="Calibri" w:hAnsi="Calibri"/>
          <w:sz w:val="18"/>
          <w:szCs w:val="18"/>
          <w:color w:val="auto"/>
        </w:rPr>
        <w:t>Revenues:</w:t>
      </w:r>
    </w:p>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3660" w:type="dxa"/>
            <w:vAlign w:val="bottom"/>
          </w:tcPr>
          <w:p>
            <w:pPr>
              <w:ind w:left="100"/>
              <w:spacing w:after="0"/>
              <w:rPr>
                <w:sz w:val="20"/>
                <w:szCs w:val="20"/>
                <w:color w:val="auto"/>
              </w:rPr>
            </w:pPr>
            <w:r>
              <w:rPr>
                <w:rFonts w:ascii="Calibri" w:cs="Calibri" w:eastAsia="Calibri" w:hAnsi="Calibri"/>
                <w:sz w:val="18"/>
                <w:szCs w:val="18"/>
                <w:color w:val="auto"/>
              </w:rPr>
              <w:t>Product revenue, net</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auto"/>
              </w:rPr>
              <w:t>$ 144,125</w:t>
            </w:r>
          </w:p>
        </w:tc>
        <w:tc>
          <w:tcPr>
            <w:tcW w:w="1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Calibri" w:cs="Calibri" w:eastAsia="Calibri" w:hAnsi="Calibri"/>
                <w:sz w:val="18"/>
                <w:szCs w:val="18"/>
                <w:color w:val="auto"/>
                <w:w w:val="87"/>
              </w:rPr>
              <w:t>$</w:t>
            </w:r>
          </w:p>
        </w:tc>
        <w:tc>
          <w:tcPr>
            <w:tcW w:w="720" w:type="dxa"/>
            <w:vAlign w:val="bottom"/>
          </w:tcPr>
          <w:p>
            <w:pPr>
              <w:jc w:val="right"/>
              <w:spacing w:after="0"/>
              <w:rPr>
                <w:sz w:val="20"/>
                <w:szCs w:val="20"/>
                <w:color w:val="auto"/>
              </w:rPr>
            </w:pPr>
            <w:r>
              <w:rPr>
                <w:rFonts w:ascii="Calibri" w:cs="Calibri" w:eastAsia="Calibri" w:hAnsi="Calibri"/>
                <w:sz w:val="18"/>
                <w:szCs w:val="18"/>
                <w:color w:val="auto"/>
              </w:rPr>
              <w:t>71,034</w:t>
            </w: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8"/>
                <w:szCs w:val="18"/>
                <w:color w:val="auto"/>
              </w:rPr>
              <w:t>$   478,950</w:t>
            </w:r>
          </w:p>
        </w:tc>
        <w:tc>
          <w:tcPr>
            <w:tcW w:w="2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rPr>
                <w:sz w:val="20"/>
                <w:szCs w:val="20"/>
                <w:color w:val="auto"/>
              </w:rPr>
            </w:pPr>
            <w:r>
              <w:rPr>
                <w:rFonts w:ascii="Calibri" w:cs="Calibri" w:eastAsia="Calibri" w:hAnsi="Calibri"/>
                <w:sz w:val="18"/>
                <w:szCs w:val="18"/>
                <w:color w:val="auto"/>
              </w:rPr>
              <w:t>$204,207</w:t>
            </w: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3660" w:type="dxa"/>
            <w:vAlign w:val="bottom"/>
            <w:tcBorders>
              <w:bottom w:val="single" w:sz="8" w:color="CCEEFF"/>
            </w:tcBorders>
            <w:shd w:val="clear" w:color="auto" w:fill="CCEEFF"/>
          </w:tcPr>
          <w:p>
            <w:pPr>
              <w:ind w:left="100"/>
              <w:spacing w:after="0"/>
              <w:rPr>
                <w:sz w:val="20"/>
                <w:szCs w:val="20"/>
                <w:color w:val="auto"/>
              </w:rPr>
            </w:pPr>
            <w:r>
              <w:rPr>
                <w:rFonts w:ascii="Calibri" w:cs="Calibri" w:eastAsia="Calibri" w:hAnsi="Calibri"/>
                <w:sz w:val="18"/>
                <w:szCs w:val="18"/>
                <w:color w:val="auto"/>
              </w:rPr>
              <w:t>Collaboraton and license revenue</w:t>
            </w:r>
          </w:p>
        </w:tc>
        <w:tc>
          <w:tcPr>
            <w:tcW w:w="320" w:type="dxa"/>
            <w:vAlign w:val="bottom"/>
            <w:tcBorders>
              <w:bottom w:val="single" w:sz="8" w:color="CCEEFF"/>
            </w:tcBorders>
            <w:gridSpan w:val="2"/>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2,241</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923</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29,874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45,173</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bottom w:val="single" w:sz="8" w:color="CCEEFF"/>
            </w:tcBorders>
            <w:shd w:val="clear" w:color="auto" w:fill="CCEEFF"/>
          </w:tcPr>
          <w:p>
            <w:pPr>
              <w:spacing w:after="0" w:line="213" w:lineRule="exact"/>
              <w:rPr>
                <w:sz w:val="20"/>
                <w:szCs w:val="20"/>
                <w:color w:val="auto"/>
              </w:rPr>
            </w:pPr>
            <w:r>
              <w:rPr>
                <w:rFonts w:ascii="Calibri" w:cs="Calibri" w:eastAsia="Calibri" w:hAnsi="Calibri"/>
                <w:sz w:val="18"/>
                <w:szCs w:val="18"/>
                <w:color w:val="auto"/>
              </w:rPr>
              <w:t>Total revenues</w:t>
            </w:r>
          </w:p>
        </w:tc>
        <w:tc>
          <w:tcPr>
            <w:tcW w:w="3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w w:val="97"/>
              </w:rPr>
              <w:t>146,366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71,957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508,824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249,380</w:t>
            </w:r>
          </w:p>
        </w:tc>
        <w:tc>
          <w:tcPr>
            <w:tcW w:w="0" w:type="dxa"/>
            <w:vAlign w:val="bottom"/>
          </w:tcPr>
          <w:p>
            <w:pPr>
              <w:spacing w:after="0"/>
              <w:rPr>
                <w:sz w:val="1"/>
                <w:szCs w:val="1"/>
                <w:color w:val="auto"/>
              </w:rPr>
            </w:pPr>
          </w:p>
        </w:tc>
      </w:tr>
      <w:tr>
        <w:trPr>
          <w:trHeight w:val="233"/>
        </w:trPr>
        <w:tc>
          <w:tcPr>
            <w:tcW w:w="3660" w:type="dxa"/>
            <w:vAlign w:val="bottom"/>
          </w:tcPr>
          <w:p>
            <w:pPr>
              <w:spacing w:after="0"/>
              <w:rPr>
                <w:sz w:val="20"/>
                <w:szCs w:val="20"/>
                <w:color w:val="auto"/>
              </w:rPr>
            </w:pPr>
            <w:r>
              <w:rPr>
                <w:rFonts w:ascii="Calibri" w:cs="Calibri" w:eastAsia="Calibri" w:hAnsi="Calibri"/>
                <w:sz w:val="18"/>
                <w:szCs w:val="18"/>
                <w:color w:val="auto"/>
              </w:rPr>
              <w:t>Cost and operatng expenses: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00"/>
              <w:spacing w:after="0"/>
              <w:rPr>
                <w:sz w:val="20"/>
                <w:szCs w:val="20"/>
                <w:color w:val="auto"/>
              </w:rPr>
            </w:pPr>
            <w:r>
              <w:rPr>
                <w:rFonts w:ascii="Calibri" w:cs="Calibri" w:eastAsia="Calibri" w:hAnsi="Calibri"/>
                <w:sz w:val="18"/>
                <w:szCs w:val="18"/>
                <w:color w:val="auto"/>
              </w:rPr>
              <w:t>Cost of sales</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Calibri" w:cs="Calibri" w:eastAsia="Calibri" w:hAnsi="Calibri"/>
                <w:sz w:val="18"/>
                <w:szCs w:val="18"/>
                <w:color w:val="auto"/>
              </w:rPr>
              <w:t>7,447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260</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20,163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8,540</w:t>
            </w:r>
          </w:p>
        </w:tc>
        <w:tc>
          <w:tcPr>
            <w:tcW w:w="0" w:type="dxa"/>
            <w:vAlign w:val="bottom"/>
          </w:tcPr>
          <w:p>
            <w:pPr>
              <w:spacing w:after="0"/>
              <w:rPr>
                <w:sz w:val="1"/>
                <w:szCs w:val="1"/>
                <w:color w:val="auto"/>
              </w:rPr>
            </w:pPr>
          </w:p>
        </w:tc>
      </w:tr>
      <w:tr>
        <w:trPr>
          <w:trHeight w:val="233"/>
        </w:trPr>
        <w:tc>
          <w:tcPr>
            <w:tcW w:w="3660" w:type="dxa"/>
            <w:vAlign w:val="bottom"/>
          </w:tcPr>
          <w:p>
            <w:pPr>
              <w:ind w:left="100"/>
              <w:spacing w:after="0"/>
              <w:rPr>
                <w:sz w:val="20"/>
                <w:szCs w:val="20"/>
                <w:color w:val="auto"/>
              </w:rPr>
            </w:pPr>
            <w:r>
              <w:rPr>
                <w:rFonts w:ascii="Calibri" w:cs="Calibri" w:eastAsia="Calibri" w:hAnsi="Calibri"/>
                <w:sz w:val="18"/>
                <w:szCs w:val="18"/>
                <w:color w:val="auto"/>
              </w:rPr>
              <w:t>Collaboraton loss sharing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w:t>
            </w:r>
          </w:p>
        </w:tc>
        <w:tc>
          <w:tcPr>
            <w:tcW w:w="6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4,256</w:t>
            </w: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00"/>
              <w:spacing w:after="0"/>
              <w:rPr>
                <w:sz w:val="20"/>
                <w:szCs w:val="20"/>
                <w:color w:val="auto"/>
              </w:rPr>
            </w:pPr>
            <w:r>
              <w:rPr>
                <w:rFonts w:ascii="Calibri" w:cs="Calibri" w:eastAsia="Calibri" w:hAnsi="Calibri"/>
                <w:sz w:val="18"/>
                <w:szCs w:val="18"/>
                <w:color w:val="auto"/>
              </w:rPr>
              <w:t>Research and development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Calibri" w:cs="Calibri" w:eastAsia="Calibri" w:hAnsi="Calibri"/>
                <w:sz w:val="18"/>
                <w:szCs w:val="18"/>
                <w:color w:val="auto"/>
              </w:rPr>
              <w:t>83,672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97,537</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341,433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427,720</w:t>
            </w:r>
          </w:p>
        </w:tc>
        <w:tc>
          <w:tcPr>
            <w:tcW w:w="0" w:type="dxa"/>
            <w:vAlign w:val="bottom"/>
          </w:tcPr>
          <w:p>
            <w:pPr>
              <w:spacing w:after="0"/>
              <w:rPr>
                <w:sz w:val="1"/>
                <w:szCs w:val="1"/>
                <w:color w:val="auto"/>
              </w:rPr>
            </w:pPr>
          </w:p>
        </w:tc>
      </w:tr>
      <w:tr>
        <w:trPr>
          <w:trHeight w:val="233"/>
        </w:trPr>
        <w:tc>
          <w:tcPr>
            <w:tcW w:w="3660" w:type="dxa"/>
            <w:vAlign w:val="bottom"/>
          </w:tcPr>
          <w:p>
            <w:pPr>
              <w:ind w:left="100"/>
              <w:spacing w:after="0"/>
              <w:rPr>
                <w:sz w:val="20"/>
                <w:szCs w:val="20"/>
                <w:color w:val="auto"/>
              </w:rPr>
            </w:pPr>
            <w:r>
              <w:rPr>
                <w:rFonts w:ascii="Calibri" w:cs="Calibri" w:eastAsia="Calibri" w:hAnsi="Calibri"/>
                <w:sz w:val="18"/>
                <w:szCs w:val="18"/>
                <w:color w:val="auto"/>
              </w:rPr>
              <w:t>Selling, general and administratve</w:t>
            </w:r>
          </w:p>
        </w:tc>
        <w:tc>
          <w:tcPr>
            <w:tcW w:w="980" w:type="dxa"/>
            <w:vAlign w:val="bottom"/>
            <w:gridSpan w:val="3"/>
          </w:tcPr>
          <w:p>
            <w:pPr>
              <w:jc w:val="right"/>
              <w:spacing w:after="0"/>
              <w:rPr>
                <w:sz w:val="20"/>
                <w:szCs w:val="20"/>
                <w:color w:val="auto"/>
              </w:rPr>
            </w:pPr>
            <w:r>
              <w:rPr>
                <w:rFonts w:ascii="Calibri" w:cs="Calibri" w:eastAsia="Calibri" w:hAnsi="Calibri"/>
                <w:sz w:val="18"/>
                <w:szCs w:val="18"/>
                <w:color w:val="auto"/>
              </w:rPr>
              <w:t>96,450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79,270</w:t>
            </w:r>
          </w:p>
        </w:tc>
        <w:tc>
          <w:tcPr>
            <w:tcW w:w="1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8"/>
                <w:szCs w:val="18"/>
                <w:color w:val="auto"/>
              </w:rPr>
              <w:t>359,272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295,141</w:t>
            </w:r>
          </w:p>
        </w:tc>
        <w:tc>
          <w:tcPr>
            <w:tcW w:w="0" w:type="dxa"/>
            <w:vAlign w:val="bottom"/>
          </w:tcPr>
          <w:p>
            <w:pPr>
              <w:spacing w:after="0"/>
              <w:rPr>
                <w:sz w:val="1"/>
                <w:szCs w:val="1"/>
                <w:color w:val="auto"/>
              </w:rPr>
            </w:pPr>
          </w:p>
        </w:tc>
      </w:tr>
      <w:tr>
        <w:trPr>
          <w:trHeight w:val="37"/>
        </w:trPr>
        <w:tc>
          <w:tcPr>
            <w:tcW w:w="36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spacing w:after="0" w:line="213" w:lineRule="exact"/>
              <w:rPr>
                <w:sz w:val="20"/>
                <w:szCs w:val="20"/>
                <w:color w:val="auto"/>
              </w:rPr>
            </w:pPr>
            <w:r>
              <w:rPr>
                <w:rFonts w:ascii="Calibri" w:cs="Calibri" w:eastAsia="Calibri" w:hAnsi="Calibri"/>
                <w:sz w:val="18"/>
                <w:szCs w:val="18"/>
                <w:color w:val="auto"/>
              </w:rPr>
              <w:t>Total cost and operatng expenses</w:t>
            </w:r>
          </w:p>
        </w:tc>
        <w:tc>
          <w:tcPr>
            <w:tcW w:w="980" w:type="dxa"/>
            <w:vAlign w:val="bottom"/>
            <w:tcBorders>
              <w:bottom w:val="single" w:sz="8" w:color="CCEEFF"/>
            </w:tcBorders>
            <w:gridSpan w:val="3"/>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187,569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177,067</w:t>
            </w: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720,868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735,657</w:t>
            </w:r>
          </w:p>
        </w:tc>
        <w:tc>
          <w:tcPr>
            <w:tcW w:w="0" w:type="dxa"/>
            <w:vAlign w:val="bottom"/>
          </w:tcPr>
          <w:p>
            <w:pPr>
              <w:spacing w:after="0"/>
              <w:rPr>
                <w:sz w:val="1"/>
                <w:szCs w:val="1"/>
                <w:color w:val="auto"/>
              </w:rPr>
            </w:pPr>
          </w:p>
        </w:tc>
      </w:tr>
      <w:tr>
        <w:trPr>
          <w:trHeight w:val="233"/>
        </w:trPr>
        <w:tc>
          <w:tcPr>
            <w:tcW w:w="3660" w:type="dxa"/>
            <w:vAlign w:val="bottom"/>
          </w:tcPr>
          <w:p>
            <w:pPr>
              <w:spacing w:after="0"/>
              <w:rPr>
                <w:sz w:val="20"/>
                <w:szCs w:val="20"/>
                <w:color w:val="auto"/>
              </w:rPr>
            </w:pPr>
            <w:r>
              <w:rPr>
                <w:rFonts w:ascii="Calibri" w:cs="Calibri" w:eastAsia="Calibri" w:hAnsi="Calibri"/>
                <w:sz w:val="18"/>
                <w:szCs w:val="18"/>
                <w:color w:val="auto"/>
              </w:rPr>
              <w:t>Other income (expense):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00"/>
              <w:spacing w:after="0"/>
              <w:rPr>
                <w:sz w:val="20"/>
                <w:szCs w:val="20"/>
                <w:color w:val="auto"/>
              </w:rPr>
            </w:pPr>
            <w:r>
              <w:rPr>
                <w:rFonts w:ascii="Calibri" w:cs="Calibri" w:eastAsia="Calibri" w:hAnsi="Calibri"/>
                <w:sz w:val="18"/>
                <w:szCs w:val="18"/>
                <w:color w:val="auto"/>
              </w:rPr>
              <w:t>Interest expense, net</w:t>
            </w:r>
          </w:p>
        </w:tc>
        <w:tc>
          <w:tcPr>
            <w:tcW w:w="11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Calibri" w:cs="Calibri" w:eastAsia="Calibri" w:hAnsi="Calibri"/>
                <w:sz w:val="18"/>
                <w:szCs w:val="18"/>
                <w:color w:val="auto"/>
              </w:rPr>
              <w:t>(7,775)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(5,170)</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Calibri" w:cs="Calibri" w:eastAsia="Calibri" w:hAnsi="Calibri"/>
                <w:sz w:val="18"/>
                <w:szCs w:val="18"/>
                <w:color w:val="auto"/>
              </w:rPr>
              <w:t>(28,151)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(18,793)</w:t>
            </w:r>
          </w:p>
        </w:tc>
        <w:tc>
          <w:tcPr>
            <w:tcW w:w="0" w:type="dxa"/>
            <w:vAlign w:val="bottom"/>
          </w:tcPr>
          <w:p>
            <w:pPr>
              <w:spacing w:after="0"/>
              <w:rPr>
                <w:sz w:val="1"/>
                <w:szCs w:val="1"/>
                <w:color w:val="auto"/>
              </w:rPr>
            </w:pPr>
          </w:p>
        </w:tc>
      </w:tr>
      <w:tr>
        <w:trPr>
          <w:trHeight w:val="233"/>
        </w:trPr>
        <w:tc>
          <w:tcPr>
            <w:tcW w:w="3660" w:type="dxa"/>
            <w:vAlign w:val="bottom"/>
          </w:tcPr>
          <w:p>
            <w:pPr>
              <w:ind w:left="100"/>
              <w:spacing w:after="0"/>
              <w:rPr>
                <w:sz w:val="20"/>
                <w:szCs w:val="20"/>
                <w:color w:val="auto"/>
              </w:rPr>
            </w:pPr>
            <w:r>
              <w:rPr>
                <w:rFonts w:ascii="Calibri" w:cs="Calibri" w:eastAsia="Calibri" w:hAnsi="Calibri"/>
                <w:sz w:val="18"/>
                <w:szCs w:val="18"/>
                <w:color w:val="auto"/>
              </w:rPr>
              <w:t>Other income (expense), net</w:t>
            </w:r>
          </w:p>
        </w:tc>
        <w:tc>
          <w:tcPr>
            <w:tcW w:w="1140" w:type="dxa"/>
            <w:vAlign w:val="bottom"/>
            <w:gridSpan w:val="4"/>
          </w:tcPr>
          <w:p>
            <w:pPr>
              <w:jc w:val="right"/>
              <w:ind w:right="160"/>
              <w:spacing w:after="0"/>
              <w:rPr>
                <w:sz w:val="20"/>
                <w:szCs w:val="20"/>
                <w:color w:val="auto"/>
              </w:rPr>
            </w:pPr>
            <w:r>
              <w:rPr>
                <w:rFonts w:ascii="Calibri" w:cs="Calibri" w:eastAsia="Calibri" w:hAnsi="Calibri"/>
                <w:sz w:val="18"/>
                <w:szCs w:val="18"/>
                <w:color w:val="auto"/>
              </w:rPr>
              <w:t>(306)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(577)</w:t>
            </w:r>
          </w:p>
        </w:tc>
        <w:tc>
          <w:tcPr>
            <w:tcW w:w="160" w:type="dxa"/>
            <w:vAlign w:val="bottom"/>
          </w:tcPr>
          <w:p>
            <w:pPr>
              <w:spacing w:after="0"/>
              <w:rPr>
                <w:sz w:val="20"/>
                <w:szCs w:val="20"/>
                <w:color w:val="auto"/>
              </w:rPr>
            </w:pPr>
          </w:p>
        </w:tc>
        <w:tc>
          <w:tcPr>
            <w:tcW w:w="1500" w:type="dxa"/>
            <w:vAlign w:val="bottom"/>
            <w:gridSpan w:val="3"/>
          </w:tcPr>
          <w:p>
            <w:pPr>
              <w:jc w:val="right"/>
              <w:ind w:right="20"/>
              <w:spacing w:after="0"/>
              <w:rPr>
                <w:sz w:val="20"/>
                <w:szCs w:val="20"/>
                <w:color w:val="auto"/>
              </w:rPr>
            </w:pPr>
            <w:r>
              <w:rPr>
                <w:rFonts w:ascii="Calibri" w:cs="Calibri" w:eastAsia="Calibri" w:hAnsi="Calibri"/>
                <w:sz w:val="18"/>
                <w:szCs w:val="18"/>
                <w:color w:val="auto"/>
              </w:rPr>
              <w:t>656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(946)</w:t>
            </w:r>
          </w:p>
        </w:tc>
        <w:tc>
          <w:tcPr>
            <w:tcW w:w="0" w:type="dxa"/>
            <w:vAlign w:val="bottom"/>
          </w:tcPr>
          <w:p>
            <w:pPr>
              <w:spacing w:after="0"/>
              <w:rPr>
                <w:sz w:val="1"/>
                <w:szCs w:val="1"/>
                <w:color w:val="auto"/>
              </w:rPr>
            </w:pPr>
          </w:p>
        </w:tc>
      </w:tr>
      <w:tr>
        <w:trPr>
          <w:trHeight w:val="270"/>
        </w:trPr>
        <w:tc>
          <w:tcPr>
            <w:tcW w:w="3660" w:type="dxa"/>
            <w:vAlign w:val="bottom"/>
          </w:tcPr>
          <w:p>
            <w:pPr>
              <w:ind w:left="100"/>
              <w:spacing w:after="0"/>
              <w:rPr>
                <w:sz w:val="20"/>
                <w:szCs w:val="20"/>
                <w:color w:val="auto"/>
              </w:rPr>
            </w:pPr>
            <w:r>
              <w:rPr>
                <w:rFonts w:ascii="Calibri" w:cs="Calibri" w:eastAsia="Calibri" w:hAnsi="Calibri"/>
                <w:sz w:val="18"/>
                <w:szCs w:val="18"/>
                <w:color w:val="auto"/>
              </w:rPr>
              <w:t>Debt extnguishment gain</w:t>
            </w:r>
          </w:p>
        </w:tc>
        <w:tc>
          <w:tcPr>
            <w:tcW w:w="1140" w:type="dxa"/>
            <w:vAlign w:val="bottom"/>
            <w:gridSpan w:val="4"/>
          </w:tcPr>
          <w:p>
            <w:pPr>
              <w:jc w:val="right"/>
              <w:ind w:right="160"/>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23"/>
                <w:szCs w:val="23"/>
                <w:color w:val="auto"/>
              </w:rPr>
            </w:pPr>
          </w:p>
        </w:tc>
        <w:tc>
          <w:tcPr>
            <w:tcW w:w="1500" w:type="dxa"/>
            <w:vAlign w:val="bottom"/>
            <w:gridSpan w:val="3"/>
          </w:tcPr>
          <w:p>
            <w:pPr>
              <w:jc w:val="right"/>
              <w:ind w:right="20"/>
              <w:spacing w:after="0"/>
              <w:rPr>
                <w:sz w:val="20"/>
                <w:szCs w:val="20"/>
                <w:color w:val="auto"/>
              </w:rPr>
            </w:pPr>
            <w:r>
              <w:rPr>
                <w:rFonts w:ascii="Calibri" w:cs="Calibri" w:eastAsia="Calibri" w:hAnsi="Calibri"/>
                <w:sz w:val="18"/>
                <w:szCs w:val="18"/>
                <w:color w:val="auto"/>
              </w:rPr>
              <w:t>173,676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36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spacing w:after="0" w:line="213" w:lineRule="exact"/>
              <w:rPr>
                <w:sz w:val="20"/>
                <w:szCs w:val="20"/>
                <w:color w:val="auto"/>
              </w:rPr>
            </w:pPr>
            <w:r>
              <w:rPr>
                <w:rFonts w:ascii="Calibri" w:cs="Calibri" w:eastAsia="Calibri" w:hAnsi="Calibri"/>
                <w:sz w:val="18"/>
                <w:szCs w:val="18"/>
                <w:color w:val="auto"/>
              </w:rPr>
              <w:t>Total 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160"/>
              <w:spacing w:after="0" w:line="213" w:lineRule="exact"/>
              <w:rPr>
                <w:sz w:val="20"/>
                <w:szCs w:val="20"/>
                <w:color w:val="auto"/>
              </w:rPr>
            </w:pPr>
            <w:r>
              <w:rPr>
                <w:rFonts w:ascii="Calibri" w:cs="Calibri" w:eastAsia="Calibri" w:hAnsi="Calibri"/>
                <w:sz w:val="18"/>
                <w:szCs w:val="18"/>
                <w:color w:val="auto"/>
              </w:rPr>
              <w:t>(8,081)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(5,747)</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20"/>
              <w:spacing w:after="0" w:line="213" w:lineRule="exact"/>
              <w:rPr>
                <w:sz w:val="20"/>
                <w:szCs w:val="20"/>
                <w:color w:val="auto"/>
              </w:rPr>
            </w:pPr>
            <w:r>
              <w:rPr>
                <w:rFonts w:ascii="Calibri" w:cs="Calibri" w:eastAsia="Calibri" w:hAnsi="Calibri"/>
                <w:sz w:val="18"/>
                <w:szCs w:val="18"/>
                <w:color w:val="auto"/>
              </w:rPr>
              <w:t>146,181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(19,739)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660" w:type="dxa"/>
            <w:vAlign w:val="bottom"/>
          </w:tcPr>
          <w:p>
            <w:pPr>
              <w:spacing w:after="0" w:line="213" w:lineRule="exact"/>
              <w:rPr>
                <w:sz w:val="20"/>
                <w:szCs w:val="20"/>
                <w:color w:val="auto"/>
              </w:rPr>
            </w:pPr>
            <w:r>
              <w:rPr>
                <w:rFonts w:ascii="Calibri" w:cs="Calibri" w:eastAsia="Calibri" w:hAnsi="Calibri"/>
                <w:sz w:val="18"/>
                <w:szCs w:val="18"/>
                <w:color w:val="auto"/>
              </w:rPr>
              <w:t>Loss before income taxes</w:t>
            </w:r>
          </w:p>
        </w:tc>
        <w:tc>
          <w:tcPr>
            <w:tcW w:w="220" w:type="dxa"/>
            <w:vAlign w:val="bottom"/>
          </w:tcPr>
          <w:p>
            <w:pPr>
              <w:spacing w:after="0"/>
              <w:rPr>
                <w:sz w:val="18"/>
                <w:szCs w:val="18"/>
                <w:color w:val="auto"/>
              </w:rPr>
            </w:pPr>
          </w:p>
        </w:tc>
        <w:tc>
          <w:tcPr>
            <w:tcW w:w="760" w:type="dxa"/>
            <w:vAlign w:val="bottom"/>
            <w:gridSpan w:val="2"/>
          </w:tcPr>
          <w:p>
            <w:pPr>
              <w:jc w:val="right"/>
              <w:spacing w:after="0" w:line="213" w:lineRule="exact"/>
              <w:rPr>
                <w:sz w:val="20"/>
                <w:szCs w:val="20"/>
                <w:color w:val="auto"/>
              </w:rPr>
            </w:pPr>
            <w:r>
              <w:rPr>
                <w:rFonts w:ascii="Calibri" w:cs="Calibri" w:eastAsia="Calibri" w:hAnsi="Calibri"/>
                <w:sz w:val="18"/>
                <w:szCs w:val="18"/>
                <w:color w:val="auto"/>
              </w:rPr>
              <w:t>(49,284)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60"/>
              <w:spacing w:after="0" w:line="213" w:lineRule="exact"/>
              <w:rPr>
                <w:sz w:val="20"/>
                <w:szCs w:val="20"/>
                <w:color w:val="auto"/>
              </w:rPr>
            </w:pPr>
            <w:r>
              <w:rPr>
                <w:rFonts w:ascii="Calibri" w:cs="Calibri" w:eastAsia="Calibri" w:hAnsi="Calibri"/>
                <w:sz w:val="18"/>
                <w:szCs w:val="18"/>
                <w:color w:val="auto"/>
                <w:w w:val="99"/>
              </w:rPr>
              <w:t>(110,857)</w:t>
            </w:r>
          </w:p>
        </w:tc>
        <w:tc>
          <w:tcPr>
            <w:tcW w:w="1500" w:type="dxa"/>
            <w:vAlign w:val="bottom"/>
            <w:gridSpan w:val="3"/>
          </w:tcPr>
          <w:p>
            <w:pPr>
              <w:jc w:val="right"/>
              <w:ind w:right="20"/>
              <w:spacing w:after="0" w:line="213" w:lineRule="exact"/>
              <w:rPr>
                <w:sz w:val="20"/>
                <w:szCs w:val="20"/>
                <w:color w:val="auto"/>
              </w:rPr>
            </w:pPr>
            <w:r>
              <w:rPr>
                <w:rFonts w:ascii="Calibri" w:cs="Calibri" w:eastAsia="Calibri" w:hAnsi="Calibri"/>
                <w:sz w:val="18"/>
                <w:szCs w:val="18"/>
                <w:color w:val="auto"/>
              </w:rPr>
              <w:t>(65,863)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line="213" w:lineRule="exact"/>
              <w:rPr>
                <w:sz w:val="20"/>
                <w:szCs w:val="20"/>
                <w:color w:val="auto"/>
              </w:rPr>
            </w:pPr>
            <w:r>
              <w:rPr>
                <w:rFonts w:ascii="Calibri" w:cs="Calibri" w:eastAsia="Calibri" w:hAnsi="Calibri"/>
                <w:sz w:val="18"/>
                <w:szCs w:val="18"/>
                <w:color w:val="auto"/>
              </w:rPr>
              <w:t>(506,016)</w:t>
            </w: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Calibri" w:cs="Calibri" w:eastAsia="Calibri" w:hAnsi="Calibri"/>
                <w:sz w:val="18"/>
                <w:szCs w:val="18"/>
                <w:color w:val="auto"/>
              </w:rPr>
              <w:t>Income tax expense</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672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61</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Calibri" w:cs="Calibri" w:eastAsia="Calibri" w:hAnsi="Calibri"/>
                <w:sz w:val="18"/>
                <w:szCs w:val="18"/>
                <w:color w:val="auto"/>
              </w:rPr>
              <w:t>1,226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8"/>
                <w:szCs w:val="18"/>
                <w:color w:val="auto"/>
              </w:rPr>
              <w:t>968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660" w:type="dxa"/>
            <w:vAlign w:val="bottom"/>
          </w:tcPr>
          <w:p>
            <w:pPr>
              <w:spacing w:after="0"/>
              <w:rPr>
                <w:sz w:val="20"/>
                <w:szCs w:val="20"/>
                <w:color w:val="auto"/>
              </w:rPr>
            </w:pPr>
            <w:r>
              <w:rPr>
                <w:rFonts w:ascii="Calibri" w:cs="Calibri" w:eastAsia="Calibri" w:hAnsi="Calibri"/>
                <w:sz w:val="18"/>
                <w:szCs w:val="18"/>
                <w:color w:val="auto"/>
              </w:rPr>
              <w:t>Net loss</w:t>
            </w:r>
          </w:p>
        </w:tc>
        <w:tc>
          <w:tcPr>
            <w:tcW w:w="1140" w:type="dxa"/>
            <w:vAlign w:val="bottom"/>
            <w:gridSpan w:val="4"/>
          </w:tcPr>
          <w:p>
            <w:pPr>
              <w:jc w:val="right"/>
              <w:ind w:right="160"/>
              <w:spacing w:after="0"/>
              <w:rPr>
                <w:sz w:val="20"/>
                <w:szCs w:val="20"/>
                <w:color w:val="auto"/>
              </w:rPr>
            </w:pPr>
            <w:r>
              <w:rPr>
                <w:rFonts w:ascii="Calibri" w:cs="Calibri" w:eastAsia="Calibri" w:hAnsi="Calibri"/>
                <w:sz w:val="18"/>
                <w:szCs w:val="18"/>
                <w:color w:val="auto"/>
              </w:rPr>
              <w:t>$ (49,956)</w:t>
            </w:r>
          </w:p>
        </w:tc>
        <w:tc>
          <w:tcPr>
            <w:tcW w:w="100" w:type="dxa"/>
            <w:vAlign w:val="bottom"/>
          </w:tcPr>
          <w:p>
            <w:pPr>
              <w:jc w:val="right"/>
              <w:spacing w:after="0"/>
              <w:rPr>
                <w:sz w:val="20"/>
                <w:szCs w:val="20"/>
                <w:color w:val="auto"/>
              </w:rPr>
            </w:pPr>
            <w:r>
              <w:rPr>
                <w:rFonts w:ascii="Calibri" w:cs="Calibri" w:eastAsia="Calibri" w:hAnsi="Calibri"/>
                <w:sz w:val="16"/>
                <w:szCs w:val="16"/>
                <w:color w:val="auto"/>
                <w:w w:val="73"/>
              </w:rPr>
              <w:t>$</w:t>
            </w:r>
          </w:p>
        </w:tc>
        <w:tc>
          <w:tcPr>
            <w:tcW w:w="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Calibri" w:cs="Calibri" w:eastAsia="Calibri" w:hAnsi="Calibri"/>
                <w:sz w:val="18"/>
                <w:szCs w:val="18"/>
                <w:color w:val="auto"/>
                <w:w w:val="99"/>
              </w:rPr>
              <w:t>(110,918)</w:t>
            </w:r>
          </w:p>
        </w:tc>
        <w:tc>
          <w:tcPr>
            <w:tcW w:w="1500" w:type="dxa"/>
            <w:vAlign w:val="bottom"/>
            <w:gridSpan w:val="3"/>
          </w:tcPr>
          <w:p>
            <w:pPr>
              <w:jc w:val="right"/>
              <w:ind w:right="20"/>
              <w:spacing w:after="0"/>
              <w:rPr>
                <w:sz w:val="20"/>
                <w:szCs w:val="20"/>
                <w:color w:val="auto"/>
              </w:rPr>
            </w:pPr>
            <w:r>
              <w:rPr>
                <w:rFonts w:ascii="Calibri" w:cs="Calibri" w:eastAsia="Calibri" w:hAnsi="Calibri"/>
                <w:sz w:val="18"/>
                <w:szCs w:val="18"/>
                <w:color w:val="auto"/>
              </w:rPr>
              <w:t>$ (67,089)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color w:val="auto"/>
              </w:rPr>
              <w:t>$ (506,984)</w:t>
            </w:r>
          </w:p>
        </w:tc>
        <w:tc>
          <w:tcPr>
            <w:tcW w:w="0" w:type="dxa"/>
            <w:vAlign w:val="bottom"/>
          </w:tcPr>
          <w:p>
            <w:pPr>
              <w:spacing w:after="0"/>
              <w:rPr>
                <w:sz w:val="1"/>
                <w:szCs w:val="1"/>
                <w:color w:val="auto"/>
              </w:rPr>
            </w:pPr>
          </w:p>
        </w:tc>
      </w:tr>
      <w:tr>
        <w:trPr>
          <w:trHeight w:val="63"/>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spacing w:after="0" w:line="160" w:lineRule="exact"/>
              <w:rPr>
                <w:sz w:val="20"/>
                <w:szCs w:val="20"/>
                <w:color w:val="auto"/>
              </w:rPr>
            </w:pPr>
            <w:r>
              <w:rPr>
                <w:rFonts w:ascii="Calibri" w:cs="Calibri" w:eastAsia="Calibri" w:hAnsi="Calibri"/>
                <w:sz w:val="17"/>
                <w:szCs w:val="17"/>
                <w:color w:val="auto"/>
              </w:rPr>
              <w:t>Net loss per share applicable to common</w:t>
            </w:r>
          </w:p>
        </w:tc>
        <w:tc>
          <w:tcPr>
            <w:tcW w:w="1140" w:type="dxa"/>
            <w:vAlign w:val="bottom"/>
            <w:gridSpan w:val="4"/>
            <w:vMerge w:val="restart"/>
            <w:shd w:val="clear" w:color="auto" w:fill="CCEEFF"/>
          </w:tcPr>
          <w:p>
            <w:pPr>
              <w:jc w:val="right"/>
              <w:ind w:right="160"/>
              <w:spacing w:after="0"/>
              <w:rPr>
                <w:sz w:val="20"/>
                <w:szCs w:val="20"/>
                <w:color w:val="auto"/>
              </w:rPr>
            </w:pPr>
            <w:r>
              <w:rPr>
                <w:rFonts w:ascii="Calibri" w:cs="Calibri" w:eastAsia="Calibri" w:hAnsi="Calibri"/>
                <w:sz w:val="18"/>
                <w:szCs w:val="18"/>
                <w:color w:val="auto"/>
              </w:rPr>
              <w:t>$   (0.79)</w:t>
            </w:r>
          </w:p>
        </w:tc>
        <w:tc>
          <w:tcPr>
            <w:tcW w:w="100" w:type="dxa"/>
            <w:vAlign w:val="bottom"/>
            <w:vMerge w:val="restart"/>
            <w:shd w:val="clear" w:color="auto" w:fill="CCEEFF"/>
          </w:tcPr>
          <w:p>
            <w:pPr>
              <w:jc w:val="right"/>
              <w:spacing w:after="0"/>
              <w:rPr>
                <w:sz w:val="20"/>
                <w:szCs w:val="20"/>
                <w:color w:val="auto"/>
              </w:rPr>
            </w:pPr>
            <w:r>
              <w:rPr>
                <w:rFonts w:ascii="Calibri" w:cs="Calibri" w:eastAsia="Calibri" w:hAnsi="Calibri"/>
                <w:sz w:val="16"/>
                <w:szCs w:val="16"/>
                <w:color w:val="auto"/>
                <w:w w:val="73"/>
              </w:rPr>
              <w:t>$</w:t>
            </w:r>
          </w:p>
        </w:tc>
        <w:tc>
          <w:tcPr>
            <w:tcW w:w="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Calibri" w:cs="Calibri" w:eastAsia="Calibri" w:hAnsi="Calibri"/>
                <w:sz w:val="18"/>
                <w:szCs w:val="18"/>
                <w:color w:val="auto"/>
              </w:rPr>
              <w:t>(1.82)</w:t>
            </w:r>
          </w:p>
        </w:tc>
        <w:tc>
          <w:tcPr>
            <w:tcW w:w="1500" w:type="dxa"/>
            <w:vAlign w:val="bottom"/>
            <w:gridSpan w:val="3"/>
            <w:vMerge w:val="restart"/>
            <w:shd w:val="clear" w:color="auto" w:fill="CCEEFF"/>
          </w:tcPr>
          <w:p>
            <w:pPr>
              <w:jc w:val="right"/>
              <w:ind w:right="20"/>
              <w:spacing w:after="0"/>
              <w:rPr>
                <w:sz w:val="20"/>
                <w:szCs w:val="20"/>
                <w:color w:val="auto"/>
              </w:rPr>
            </w:pPr>
            <w:r>
              <w:rPr>
                <w:rFonts w:ascii="Calibri" w:cs="Calibri" w:eastAsia="Calibri" w:hAnsi="Calibri"/>
                <w:sz w:val="18"/>
                <w:szCs w:val="18"/>
                <w:color w:val="auto"/>
              </w:rPr>
              <w:t>$ (1.07)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 (8.37)</w:t>
            </w:r>
          </w:p>
        </w:tc>
        <w:tc>
          <w:tcPr>
            <w:tcW w:w="0" w:type="dxa"/>
            <w:vAlign w:val="bottom"/>
          </w:tcPr>
          <w:p>
            <w:pPr>
              <w:spacing w:after="0"/>
              <w:rPr>
                <w:sz w:val="1"/>
                <w:szCs w:val="1"/>
                <w:color w:val="auto"/>
              </w:rPr>
            </w:pPr>
          </w:p>
        </w:tc>
      </w:tr>
      <w:tr>
        <w:trPr>
          <w:trHeight w:val="238"/>
        </w:trPr>
        <w:tc>
          <w:tcPr>
            <w:tcW w:w="3660" w:type="dxa"/>
            <w:vAlign w:val="bottom"/>
            <w:tcBorders>
              <w:bottom w:val="single" w:sz="8" w:color="CCEEFF"/>
            </w:tcBorders>
            <w:shd w:val="clear" w:color="auto" w:fill="CCEEFF"/>
          </w:tcPr>
          <w:p>
            <w:pPr>
              <w:spacing w:after="0" w:line="215" w:lineRule="exact"/>
              <w:rPr>
                <w:sz w:val="20"/>
                <w:szCs w:val="20"/>
                <w:color w:val="auto"/>
              </w:rPr>
            </w:pPr>
            <w:r>
              <w:rPr>
                <w:rFonts w:ascii="Calibri" w:cs="Calibri" w:eastAsia="Calibri" w:hAnsi="Calibri"/>
                <w:sz w:val="18"/>
                <w:szCs w:val="18"/>
                <w:color w:val="auto"/>
              </w:rPr>
              <w:t>stockholders — basic and diluted</w:t>
            </w:r>
          </w:p>
        </w:tc>
        <w:tc>
          <w:tcPr>
            <w:tcW w:w="1140" w:type="dxa"/>
            <w:vAlign w:val="bottom"/>
            <w:tcBorders>
              <w:bottom w:val="single" w:sz="8" w:color="CCEEFF"/>
            </w:tcBorders>
            <w:gridSpan w:val="4"/>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1500" w:type="dxa"/>
            <w:vAlign w:val="bottom"/>
            <w:tcBorders>
              <w:bottom w:val="single" w:sz="8" w:color="CCEEFF"/>
            </w:tcBorders>
            <w:gridSpan w:val="3"/>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line="201" w:lineRule="exact"/>
              <w:rPr>
                <w:sz w:val="20"/>
                <w:szCs w:val="20"/>
                <w:color w:val="auto"/>
              </w:rPr>
            </w:pPr>
            <w:r>
              <w:rPr>
                <w:rFonts w:ascii="Calibri" w:cs="Calibri" w:eastAsia="Calibri" w:hAnsi="Calibri"/>
                <w:sz w:val="18"/>
                <w:szCs w:val="18"/>
                <w:color w:val="auto"/>
                <w:w w:val="96"/>
              </w:rPr>
              <w:t>Weighted-average number of common shares used</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60" w:type="dxa"/>
            <w:vAlign w:val="bottom"/>
            <w:vMerge w:val="continue"/>
          </w:tcPr>
          <w:p>
            <w:pPr>
              <w:spacing w:after="0"/>
              <w:rPr>
                <w:sz w:val="13"/>
                <w:szCs w:val="13"/>
                <w:color w:val="auto"/>
              </w:rPr>
            </w:pPr>
          </w:p>
        </w:tc>
        <w:tc>
          <w:tcPr>
            <w:tcW w:w="980" w:type="dxa"/>
            <w:vAlign w:val="bottom"/>
            <w:gridSpan w:val="3"/>
            <w:vMerge w:val="restart"/>
          </w:tcPr>
          <w:p>
            <w:pPr>
              <w:jc w:val="right"/>
              <w:spacing w:after="0"/>
              <w:rPr>
                <w:sz w:val="20"/>
                <w:szCs w:val="20"/>
                <w:color w:val="auto"/>
              </w:rPr>
            </w:pPr>
            <w:r>
              <w:rPr>
                <w:rFonts w:ascii="Calibri" w:cs="Calibri" w:eastAsia="Calibri" w:hAnsi="Calibri"/>
                <w:sz w:val="18"/>
                <w:szCs w:val="18"/>
                <w:color w:val="auto"/>
              </w:rPr>
              <w:t>63,600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Calibri" w:cs="Calibri" w:eastAsia="Calibri" w:hAnsi="Calibri"/>
                <w:sz w:val="18"/>
                <w:szCs w:val="18"/>
                <w:color w:val="auto"/>
              </w:rPr>
              <w:t>60,890</w:t>
            </w:r>
          </w:p>
        </w:tc>
        <w:tc>
          <w:tcPr>
            <w:tcW w:w="160" w:type="dxa"/>
            <w:vAlign w:val="bottom"/>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Calibri" w:cs="Calibri" w:eastAsia="Calibri" w:hAnsi="Calibri"/>
                <w:sz w:val="18"/>
                <w:szCs w:val="18"/>
                <w:color w:val="auto"/>
              </w:rPr>
              <w:t>62,857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Calibri" w:cs="Calibri" w:eastAsia="Calibri" w:hAnsi="Calibri"/>
                <w:sz w:val="18"/>
                <w:szCs w:val="18"/>
                <w:color w:val="auto"/>
              </w:rPr>
              <w:t>60,558</w:t>
            </w:r>
          </w:p>
        </w:tc>
        <w:tc>
          <w:tcPr>
            <w:tcW w:w="0" w:type="dxa"/>
            <w:vAlign w:val="bottom"/>
          </w:tcPr>
          <w:p>
            <w:pPr>
              <w:spacing w:after="0"/>
              <w:rPr>
                <w:sz w:val="1"/>
                <w:szCs w:val="1"/>
                <w:color w:val="auto"/>
              </w:rPr>
            </w:pPr>
          </w:p>
        </w:tc>
      </w:tr>
      <w:tr>
        <w:trPr>
          <w:trHeight w:val="215"/>
        </w:trPr>
        <w:tc>
          <w:tcPr>
            <w:tcW w:w="3660" w:type="dxa"/>
            <w:vAlign w:val="bottom"/>
          </w:tcPr>
          <w:p>
            <w:pPr>
              <w:spacing w:after="0" w:line="215" w:lineRule="exact"/>
              <w:rPr>
                <w:sz w:val="20"/>
                <w:szCs w:val="20"/>
                <w:color w:val="auto"/>
              </w:rPr>
            </w:pPr>
            <w:r>
              <w:rPr>
                <w:rFonts w:ascii="Calibri" w:cs="Calibri" w:eastAsia="Calibri" w:hAnsi="Calibri"/>
                <w:sz w:val="18"/>
                <w:szCs w:val="18"/>
                <w:color w:val="auto"/>
              </w:rPr>
              <w:t>in net loss per share - basic and diluted</w:t>
            </w:r>
          </w:p>
        </w:tc>
        <w:tc>
          <w:tcPr>
            <w:tcW w:w="9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Media Contact</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Andrew Law</w:t>
      </w:r>
    </w:p>
    <w:p>
      <w:pPr>
        <w:ind w:left="200"/>
        <w:spacing w:after="0" w:line="235" w:lineRule="auto"/>
        <w:rPr>
          <w:sz w:val="20"/>
          <w:szCs w:val="20"/>
          <w:color w:val="auto"/>
        </w:rPr>
      </w:pPr>
      <w:r>
        <w:rPr>
          <w:rFonts w:ascii="Calibri" w:cs="Calibri" w:eastAsia="Calibri" w:hAnsi="Calibri"/>
          <w:sz w:val="18"/>
          <w:szCs w:val="18"/>
          <w:color w:val="auto"/>
        </w:rPr>
        <w:t>617-844-8205</w:t>
      </w:r>
    </w:p>
    <w:p>
      <w:pPr>
        <w:ind w:left="200"/>
        <w:spacing w:after="0" w:line="236" w:lineRule="auto"/>
        <w:rPr>
          <w:sz w:val="20"/>
          <w:szCs w:val="20"/>
          <w:color w:val="auto"/>
        </w:rPr>
      </w:pPr>
      <w:r>
        <w:rPr>
          <w:rFonts w:ascii="Calibri" w:cs="Calibri" w:eastAsia="Calibri" w:hAnsi="Calibri"/>
          <w:sz w:val="18"/>
          <w:szCs w:val="18"/>
          <w:u w:val="single" w:color="auto"/>
          <w:color w:val="0563C1"/>
        </w:rPr>
        <w:t>media@blueprintmedicines.com</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Investor Contact</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Cassie Saitow</w:t>
      </w:r>
    </w:p>
    <w:p>
      <w:pPr>
        <w:ind w:left="200"/>
        <w:spacing w:after="0" w:line="221" w:lineRule="auto"/>
        <w:rPr>
          <w:sz w:val="20"/>
          <w:szCs w:val="20"/>
          <w:color w:val="auto"/>
        </w:rPr>
      </w:pPr>
      <w:r>
        <w:rPr>
          <w:rFonts w:ascii="Calibri" w:cs="Calibri" w:eastAsia="Calibri" w:hAnsi="Calibri"/>
          <w:sz w:val="18"/>
          <w:szCs w:val="18"/>
          <w:color w:val="auto"/>
        </w:rPr>
        <w:t>617-909-3127</w:t>
      </w:r>
    </w:p>
    <w:p>
      <w:pPr>
        <w:jc w:val="right"/>
        <w:ind w:right="219"/>
        <w:spacing w:after="0" w:line="236" w:lineRule="auto"/>
        <w:rPr>
          <w:sz w:val="20"/>
          <w:szCs w:val="20"/>
          <w:color w:val="auto"/>
        </w:rPr>
      </w:pPr>
      <w:r>
        <w:rPr>
          <w:rFonts w:ascii="Calibri" w:cs="Calibri" w:eastAsia="Calibri" w:hAnsi="Calibri"/>
          <w:sz w:val="18"/>
          <w:szCs w:val="18"/>
          <w:u w:val="single" w:color="auto"/>
          <w:color w:val="0563C1"/>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5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2025-02-13T06:41:00Z</dcterms:created>
  <dcterms:modified xsi:type="dcterms:W3CDTF">2025-02-13T06:41:00Z</dcterms:modified>
</cp:coreProperties>
</file>