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17,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Blueprint Medicines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6060" w:type="dxa"/>
            <w:vAlign w:val="bottom"/>
          </w:tcPr>
          <w:p>
            <w:pPr>
              <w:jc w:val="center"/>
              <w:ind w:right="3130"/>
              <w:spacing w:after="0"/>
              <w:rPr>
                <w:sz w:val="20"/>
                <w:szCs w:val="20"/>
                <w:color w:val="auto"/>
              </w:rPr>
            </w:pPr>
            <w:r>
              <w:rPr>
                <w:rFonts w:ascii="Arial" w:cs="Arial" w:eastAsia="Arial" w:hAnsi="Arial"/>
                <w:sz w:val="18"/>
                <w:szCs w:val="18"/>
                <w:b w:val="1"/>
                <w:bCs w:val="1"/>
                <w:color w:val="auto"/>
                <w:w w:val="91"/>
              </w:rPr>
              <w:t>Delaware</w:t>
            </w: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26-3632015</w:t>
            </w:r>
          </w:p>
        </w:tc>
      </w:tr>
      <w:tr>
        <w:trPr>
          <w:trHeight w:val="216"/>
        </w:trPr>
        <w:tc>
          <w:tcPr>
            <w:tcW w:w="6060" w:type="dxa"/>
            <w:vAlign w:val="bottom"/>
          </w:tcPr>
          <w:p>
            <w:pPr>
              <w:jc w:val="center"/>
              <w:ind w:right="3130"/>
              <w:spacing w:after="0"/>
              <w:rPr>
                <w:sz w:val="20"/>
                <w:szCs w:val="20"/>
                <w:color w:val="auto"/>
              </w:rPr>
            </w:pPr>
            <w:r>
              <w:rPr>
                <w:rFonts w:ascii="Arial" w:cs="Arial" w:eastAsia="Arial" w:hAnsi="Arial"/>
                <w:sz w:val="18"/>
                <w:szCs w:val="18"/>
                <w:color w:val="auto"/>
                <w:w w:val="91"/>
              </w:rPr>
              <w:t>(State or other jurisdiction</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2"/>
              </w:rPr>
              <w:t>(I.R.S. Employer</w:t>
            </w:r>
          </w:p>
        </w:tc>
      </w:tr>
      <w:tr>
        <w:trPr>
          <w:trHeight w:val="230"/>
        </w:trPr>
        <w:tc>
          <w:tcPr>
            <w:tcW w:w="6060" w:type="dxa"/>
            <w:vAlign w:val="bottom"/>
          </w:tcPr>
          <w:p>
            <w:pPr>
              <w:jc w:val="center"/>
              <w:ind w:right="3110"/>
              <w:spacing w:after="0"/>
              <w:rPr>
                <w:sz w:val="20"/>
                <w:szCs w:val="20"/>
                <w:color w:val="auto"/>
              </w:rPr>
            </w:pPr>
            <w:r>
              <w:rPr>
                <w:rFonts w:ascii="Arial" w:cs="Arial" w:eastAsia="Arial" w:hAnsi="Arial"/>
                <w:sz w:val="18"/>
                <w:szCs w:val="18"/>
                <w:color w:val="auto"/>
                <w:w w:val="93"/>
              </w:rPr>
              <w:t>of incorporation)</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060" w:type="dxa"/>
            <w:vAlign w:val="bottom"/>
          </w:tcPr>
          <w:p>
            <w:pPr>
              <w:jc w:val="center"/>
              <w:ind w:right="3130"/>
              <w:spacing w:after="0"/>
              <w:rPr>
                <w:sz w:val="20"/>
                <w:szCs w:val="20"/>
                <w:color w:val="auto"/>
              </w:rPr>
            </w:pPr>
            <w:r>
              <w:rPr>
                <w:rFonts w:ascii="Arial" w:cs="Arial" w:eastAsia="Arial" w:hAnsi="Arial"/>
                <w:sz w:val="18"/>
                <w:szCs w:val="18"/>
                <w:b w:val="1"/>
                <w:bCs w:val="1"/>
                <w:color w:val="auto"/>
                <w:w w:val="88"/>
              </w:rPr>
              <w:t>45 Sidney Street</w:t>
            </w:r>
          </w:p>
        </w:tc>
        <w:tc>
          <w:tcPr>
            <w:tcW w:w="1700" w:type="dxa"/>
            <w:vAlign w:val="bottom"/>
          </w:tcPr>
          <w:p>
            <w:pPr>
              <w:spacing w:after="0"/>
              <w:rPr>
                <w:sz w:val="24"/>
                <w:szCs w:val="24"/>
                <w:color w:val="auto"/>
              </w:rPr>
            </w:pPr>
          </w:p>
        </w:tc>
      </w:tr>
      <w:tr>
        <w:trPr>
          <w:trHeight w:val="220"/>
        </w:trPr>
        <w:tc>
          <w:tcPr>
            <w:tcW w:w="6060" w:type="dxa"/>
            <w:vAlign w:val="bottom"/>
          </w:tcPr>
          <w:p>
            <w:pPr>
              <w:jc w:val="center"/>
              <w:ind w:right="3130"/>
              <w:spacing w:after="0"/>
              <w:rPr>
                <w:sz w:val="20"/>
                <w:szCs w:val="20"/>
                <w:color w:val="auto"/>
              </w:rPr>
            </w:pPr>
            <w:r>
              <w:rPr>
                <w:rFonts w:ascii="Arial" w:cs="Arial" w:eastAsia="Arial" w:hAnsi="Arial"/>
                <w:sz w:val="18"/>
                <w:szCs w:val="18"/>
                <w:b w:val="1"/>
                <w:bCs w:val="1"/>
                <w:color w:val="auto"/>
                <w:w w:val="89"/>
              </w:rPr>
              <w:t>Cambridge, Massachusetts</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02139</w:t>
            </w:r>
          </w:p>
        </w:tc>
      </w:tr>
      <w:tr>
        <w:trPr>
          <w:trHeight w:val="230"/>
        </w:trPr>
        <w:tc>
          <w:tcPr>
            <w:tcW w:w="6060" w:type="dxa"/>
            <w:vAlign w:val="bottom"/>
          </w:tcPr>
          <w:p>
            <w:pPr>
              <w:jc w:val="center"/>
              <w:ind w:right="311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4"/>
              </w:rPr>
              <w:t>(Zip Code)</w:t>
            </w:r>
          </w:p>
        </w:tc>
      </w:tr>
      <w:tr>
        <w:trPr>
          <w:trHeight w:val="414"/>
        </w:trPr>
        <w:tc>
          <w:tcPr>
            <w:tcW w:w="606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2015 Stock Option and Incentive Plan</w:t>
            </w:r>
          </w:p>
        </w:tc>
        <w:tc>
          <w:tcPr>
            <w:tcW w:w="1700" w:type="dxa"/>
            <w:vAlign w:val="bottom"/>
          </w:tcPr>
          <w:p>
            <w:pPr>
              <w:spacing w:after="0"/>
              <w:rPr>
                <w:sz w:val="24"/>
                <w:szCs w:val="24"/>
                <w:color w:val="auto"/>
              </w:rPr>
            </w:pPr>
          </w:p>
        </w:tc>
      </w:tr>
      <w:tr>
        <w:trPr>
          <w:trHeight w:val="220"/>
        </w:trPr>
        <w:tc>
          <w:tcPr>
            <w:tcW w:w="606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2015 Employee Stock Purchase Plan</w:t>
            </w:r>
          </w:p>
        </w:tc>
        <w:tc>
          <w:tcPr>
            <w:tcW w:w="1700" w:type="dxa"/>
            <w:vAlign w:val="bottom"/>
          </w:tcPr>
          <w:p>
            <w:pPr>
              <w:spacing w:after="0"/>
              <w:rPr>
                <w:sz w:val="19"/>
                <w:szCs w:val="19"/>
                <w:color w:val="auto"/>
              </w:rPr>
            </w:pPr>
          </w:p>
        </w:tc>
      </w:tr>
      <w:tr>
        <w:trPr>
          <w:trHeight w:val="230"/>
        </w:trPr>
        <w:tc>
          <w:tcPr>
            <w:tcW w:w="6060" w:type="dxa"/>
            <w:vAlign w:val="bottom"/>
          </w:tcPr>
          <w:p>
            <w:pPr>
              <w:jc w:val="center"/>
              <w:ind w:left="2290"/>
              <w:spacing w:after="0"/>
              <w:rPr>
                <w:sz w:val="20"/>
                <w:szCs w:val="20"/>
                <w:color w:val="auto"/>
              </w:rPr>
            </w:pPr>
            <w:r>
              <w:rPr>
                <w:rFonts w:ascii="Arial" w:cs="Arial" w:eastAsia="Arial" w:hAnsi="Arial"/>
                <w:sz w:val="18"/>
                <w:szCs w:val="18"/>
                <w:color w:val="auto"/>
                <w:w w:val="92"/>
              </w:rPr>
              <w:t>(Full titles of the plans)</w:t>
            </w:r>
          </w:p>
        </w:tc>
        <w:tc>
          <w:tcPr>
            <w:tcW w:w="1700" w:type="dxa"/>
            <w:vAlign w:val="bottom"/>
          </w:tcPr>
          <w:p>
            <w:pPr>
              <w:spacing w:after="0"/>
              <w:rPr>
                <w:sz w:val="20"/>
                <w:szCs w:val="20"/>
                <w:color w:val="auto"/>
              </w:rPr>
            </w:pPr>
          </w:p>
        </w:tc>
      </w:tr>
      <w:tr>
        <w:trPr>
          <w:trHeight w:val="414"/>
        </w:trPr>
        <w:tc>
          <w:tcPr>
            <w:tcW w:w="606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Jeffrey W. Albers</w:t>
            </w:r>
          </w:p>
        </w:tc>
        <w:tc>
          <w:tcPr>
            <w:tcW w:w="1700" w:type="dxa"/>
            <w:vAlign w:val="bottom"/>
          </w:tcPr>
          <w:p>
            <w:pPr>
              <w:spacing w:after="0"/>
              <w:rPr>
                <w:sz w:val="24"/>
                <w:szCs w:val="24"/>
                <w:color w:val="auto"/>
              </w:rPr>
            </w:pPr>
          </w:p>
        </w:tc>
      </w:tr>
      <w:tr>
        <w:trPr>
          <w:trHeight w:val="216"/>
        </w:trPr>
        <w:tc>
          <w:tcPr>
            <w:tcW w:w="6060" w:type="dxa"/>
            <w:vAlign w:val="bottom"/>
          </w:tcPr>
          <w:p>
            <w:pPr>
              <w:jc w:val="center"/>
              <w:ind w:left="229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1700" w:type="dxa"/>
            <w:vAlign w:val="bottom"/>
          </w:tcPr>
          <w:p>
            <w:pPr>
              <w:spacing w:after="0"/>
              <w:rPr>
                <w:sz w:val="18"/>
                <w:szCs w:val="18"/>
                <w:color w:val="auto"/>
              </w:rPr>
            </w:pPr>
          </w:p>
        </w:tc>
      </w:tr>
      <w:tr>
        <w:trPr>
          <w:trHeight w:val="216"/>
        </w:trPr>
        <w:tc>
          <w:tcPr>
            <w:tcW w:w="606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Blueprint Medicines Corporation</w:t>
            </w:r>
          </w:p>
        </w:tc>
        <w:tc>
          <w:tcPr>
            <w:tcW w:w="1700" w:type="dxa"/>
            <w:vAlign w:val="bottom"/>
          </w:tcPr>
          <w:p>
            <w:pPr>
              <w:spacing w:after="0"/>
              <w:rPr>
                <w:sz w:val="18"/>
                <w:szCs w:val="18"/>
                <w:color w:val="auto"/>
              </w:rPr>
            </w:pPr>
          </w:p>
        </w:tc>
      </w:tr>
      <w:tr>
        <w:trPr>
          <w:trHeight w:val="216"/>
        </w:trPr>
        <w:tc>
          <w:tcPr>
            <w:tcW w:w="6060" w:type="dxa"/>
            <w:vAlign w:val="bottom"/>
          </w:tcPr>
          <w:p>
            <w:pPr>
              <w:jc w:val="center"/>
              <w:ind w:left="2290"/>
              <w:spacing w:after="0"/>
              <w:rPr>
                <w:sz w:val="20"/>
                <w:szCs w:val="20"/>
                <w:color w:val="auto"/>
              </w:rPr>
            </w:pPr>
            <w:r>
              <w:rPr>
                <w:rFonts w:ascii="Arial" w:cs="Arial" w:eastAsia="Arial" w:hAnsi="Arial"/>
                <w:sz w:val="18"/>
                <w:szCs w:val="18"/>
                <w:b w:val="1"/>
                <w:bCs w:val="1"/>
                <w:color w:val="auto"/>
                <w:w w:val="88"/>
              </w:rPr>
              <w:t>45 Sidney Street</w:t>
            </w:r>
          </w:p>
        </w:tc>
        <w:tc>
          <w:tcPr>
            <w:tcW w:w="1700" w:type="dxa"/>
            <w:vAlign w:val="bottom"/>
          </w:tcPr>
          <w:p>
            <w:pPr>
              <w:spacing w:after="0"/>
              <w:rPr>
                <w:sz w:val="18"/>
                <w:szCs w:val="18"/>
                <w:color w:val="auto"/>
              </w:rPr>
            </w:pPr>
          </w:p>
        </w:tc>
      </w:tr>
      <w:tr>
        <w:trPr>
          <w:trHeight w:val="220"/>
        </w:trPr>
        <w:tc>
          <w:tcPr>
            <w:tcW w:w="6060" w:type="dxa"/>
            <w:vAlign w:val="bottom"/>
          </w:tcPr>
          <w:p>
            <w:pPr>
              <w:jc w:val="center"/>
              <w:ind w:left="2290"/>
              <w:spacing w:after="0"/>
              <w:rPr>
                <w:sz w:val="20"/>
                <w:szCs w:val="20"/>
                <w:color w:val="auto"/>
              </w:rPr>
            </w:pPr>
            <w:r>
              <w:rPr>
                <w:rFonts w:ascii="Arial" w:cs="Arial" w:eastAsia="Arial" w:hAnsi="Arial"/>
                <w:sz w:val="18"/>
                <w:szCs w:val="18"/>
                <w:b w:val="1"/>
                <w:bCs w:val="1"/>
                <w:color w:val="auto"/>
                <w:w w:val="88"/>
              </w:rPr>
              <w:t>Cambridge, Massachusetts 02139</w:t>
            </w:r>
          </w:p>
        </w:tc>
        <w:tc>
          <w:tcPr>
            <w:tcW w:w="1700" w:type="dxa"/>
            <w:vAlign w:val="bottom"/>
          </w:tcPr>
          <w:p>
            <w:pPr>
              <w:spacing w:after="0"/>
              <w:rPr>
                <w:sz w:val="19"/>
                <w:szCs w:val="19"/>
                <w:color w:val="auto"/>
              </w:rPr>
            </w:pPr>
          </w:p>
        </w:tc>
      </w:tr>
      <w:tr>
        <w:trPr>
          <w:trHeight w:val="230"/>
        </w:trPr>
        <w:tc>
          <w:tcPr>
            <w:tcW w:w="6060" w:type="dxa"/>
            <w:vAlign w:val="bottom"/>
          </w:tcPr>
          <w:p>
            <w:pPr>
              <w:jc w:val="center"/>
              <w:ind w:left="2290"/>
              <w:spacing w:after="0"/>
              <w:rPr>
                <w:sz w:val="20"/>
                <w:szCs w:val="20"/>
                <w:color w:val="auto"/>
              </w:rPr>
            </w:pPr>
            <w:r>
              <w:rPr>
                <w:rFonts w:ascii="Arial" w:cs="Arial" w:eastAsia="Arial" w:hAnsi="Arial"/>
                <w:sz w:val="18"/>
                <w:szCs w:val="18"/>
                <w:color w:val="auto"/>
                <w:w w:val="89"/>
              </w:rPr>
              <w:t>(Name and address of agent for service)</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374-7580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Please send copies of all communications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Kingsley L. Taft,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Danielle M. Lauzon,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1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sectPr>
      </w:pPr>
    </w:p>
    <w:p>
      <w:pPr>
        <w:spacing w:after="0" w:line="151" w:lineRule="exact"/>
        <w:rPr>
          <w:sz w:val="24"/>
          <w:szCs w:val="24"/>
          <w:color w:val="auto"/>
        </w:rPr>
      </w:pPr>
    </w:p>
    <w:p>
      <w:pPr>
        <w:ind w:left="20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0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6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jc w:val="center"/>
        <w:ind w:right="16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40" w:space="720"/>
            <w:col w:w="3780"/>
          </w:cols>
          <w:pgMar w:left="320" w:top="472" w:right="339" w:bottom="1440" w:gutter="0" w:footer="0" w:header="0"/>
          <w:type w:val="continuous"/>
        </w:sectPr>
      </w:pPr>
    </w:p>
    <w:p>
      <w:pPr>
        <w:spacing w:after="0" w:line="32"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193675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85" w:lineRule="auto"/>
        <w:rPr>
          <w:rFonts w:ascii="Arial" w:cs="Arial" w:eastAsia="Arial" w:hAnsi="Arial"/>
          <w:sz w:val="16"/>
          <w:szCs w:val="16"/>
          <w:color w:val="0000EE"/>
        </w:rPr>
      </w:pPr>
      <w:r>
        <w:rPr>
          <w:rFonts w:ascii="Arial" w:cs="Arial" w:eastAsia="Arial" w:hAnsi="Arial"/>
          <w:sz w:val="16"/>
          <w:szCs w:val="16"/>
          <w:color w:val="auto"/>
        </w:rPr>
        <w:t xml:space="preserve">This Registration Statement on Form S-8 relating to the 2015 Stock Option and Incentive Plan (as amended, the “2015 Plan”) and the 2015 Employee Stock Purchase Plan (as amended, the “2015 ESPP”) of Blueprint Medicines Corporation (the “Registrant”) is being filed for the purpose of registering additional securities of the same class as other securities for which a Registration Statement on Form S-8 has previously been filed and is effective. </w:t>
      </w:r>
      <w:hyperlink r:id="rId18">
        <w:r>
          <w:rPr>
            <w:rFonts w:ascii="Arial" w:cs="Arial" w:eastAsia="Arial" w:hAnsi="Arial"/>
            <w:sz w:val="16"/>
            <w:szCs w:val="16"/>
            <w:color w:val="auto"/>
          </w:rPr>
          <w:t xml:space="preserve">Accordingly, this Registration Statement on Form S-8 incorporates by reference the contents of (i) the </w:t>
        </w:r>
        <w:r>
          <w:rPr>
            <w:rFonts w:ascii="Arial" w:cs="Arial" w:eastAsia="Arial" w:hAnsi="Arial"/>
            <w:sz w:val="16"/>
            <w:szCs w:val="16"/>
            <w:u w:val="single" w:color="auto"/>
            <w:color w:val="0000EE"/>
          </w:rPr>
          <w:t>Registration Statement on Form S-8 (File No. 333-</w:t>
        </w:r>
      </w:hyperlink>
      <w:hyperlink r:id="rId18">
        <w:r>
          <w:rPr>
            <w:rFonts w:ascii="Arial" w:cs="Arial" w:eastAsia="Arial" w:hAnsi="Arial"/>
            <w:sz w:val="16"/>
            <w:szCs w:val="16"/>
            <w:u w:val="single" w:color="auto"/>
            <w:color w:val="0000EE"/>
          </w:rPr>
          <w:t>203749) filed with the Securities and Exchange Commission (the “SEC”) on April 30, 2015</w:t>
        </w:r>
        <w:r>
          <w:rPr>
            <w:rFonts w:ascii="Arial" w:cs="Arial" w:eastAsia="Arial" w:hAnsi="Arial"/>
            <w:sz w:val="16"/>
            <w:szCs w:val="16"/>
            <w:color w:val="0000EE"/>
          </w:rPr>
          <w:t xml:space="preserve"> </w:t>
        </w:r>
        <w:r>
          <w:rPr>
            <w:rFonts w:ascii="Arial" w:cs="Arial" w:eastAsia="Arial" w:hAnsi="Arial"/>
            <w:sz w:val="16"/>
            <w:szCs w:val="16"/>
            <w:color w:val="000000"/>
          </w:rPr>
          <w:t>by the Registrant, relating to the 2015 Plan and the 2015 ESPP,</w:t>
        </w:r>
      </w:hyperlink>
    </w:p>
    <w:p>
      <w:pPr>
        <w:spacing w:after="0" w:line="2" w:lineRule="exact"/>
        <w:rPr>
          <w:sz w:val="20"/>
          <w:szCs w:val="20"/>
          <w:color w:val="auto"/>
        </w:rPr>
      </w:pPr>
    </w:p>
    <w:p>
      <w:pPr>
        <w:ind w:right="40" w:firstLine="8"/>
        <w:spacing w:after="0" w:line="268" w:lineRule="auto"/>
        <w:tabs>
          <w:tab w:leader="none" w:pos="265" w:val="left"/>
        </w:tabs>
        <w:numPr>
          <w:ilvl w:val="0"/>
          <w:numId w:val="1"/>
        </w:numPr>
        <w:rPr>
          <w:rFonts w:ascii="Arial" w:cs="Arial" w:eastAsia="Arial" w:hAnsi="Arial"/>
          <w:sz w:val="17"/>
          <w:szCs w:val="17"/>
          <w:color w:val="0000EE"/>
        </w:rPr>
      </w:pPr>
      <w:r>
        <w:rPr>
          <w:rFonts w:ascii="Arial" w:cs="Arial" w:eastAsia="Arial" w:hAnsi="Arial"/>
          <w:sz w:val="17"/>
          <w:szCs w:val="17"/>
          <w:color w:val="auto"/>
        </w:rPr>
        <w:t xml:space="preserve">the </w:t>
      </w:r>
      <w:hyperlink r:id="rId19">
        <w:r>
          <w:rPr>
            <w:rFonts w:ascii="Arial" w:cs="Arial" w:eastAsia="Arial" w:hAnsi="Arial"/>
            <w:sz w:val="17"/>
            <w:szCs w:val="17"/>
            <w:u w:val="single" w:color="auto"/>
            <w:color w:val="0000EE"/>
          </w:rPr>
          <w:t>Registration Statement on Form S-8 (File No. 333-210125) filed with the SEC on March 11, 2016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by the Registrant, relating to the 2015 Plan and the 2015 ESPP, (iii) the </w:t>
      </w:r>
      <w:hyperlink r:id="rId20">
        <w:r>
          <w:rPr>
            <w:rFonts w:ascii="Arial" w:cs="Arial" w:eastAsia="Arial" w:hAnsi="Arial"/>
            <w:sz w:val="17"/>
            <w:szCs w:val="17"/>
            <w:u w:val="single" w:color="auto"/>
            <w:color w:val="0000EE"/>
          </w:rPr>
          <w:t>Registration Statement on Form S-8 (File No. 333-216575) filed with the SEC on March 9, 2017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by the Registrant, relating to the 2015 Plan and the 2015 ESPP, (iv) the </w:t>
      </w:r>
      <w:hyperlink r:id="rId21">
        <w:r>
          <w:rPr>
            <w:rFonts w:ascii="Arial" w:cs="Arial" w:eastAsia="Arial" w:hAnsi="Arial"/>
            <w:sz w:val="17"/>
            <w:szCs w:val="17"/>
            <w:u w:val="single" w:color="auto"/>
            <w:color w:val="0000EE"/>
          </w:rPr>
          <w:t>Registration Statement on Form S-8 (File No. 333-223131) filed with the SEC on February 21, 2018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by the </w:t>
      </w:r>
      <w:hyperlink r:id="rId22">
        <w:r>
          <w:rPr>
            <w:rFonts w:ascii="Arial" w:cs="Arial" w:eastAsia="Arial" w:hAnsi="Arial"/>
            <w:sz w:val="17"/>
            <w:szCs w:val="17"/>
            <w:color w:val="auto"/>
          </w:rPr>
          <w:t xml:space="preserve">Registrant, relating to the 2015 Plan and the 2015 ESPP, (v) the </w:t>
        </w:r>
        <w:r>
          <w:rPr>
            <w:rFonts w:ascii="Arial" w:cs="Arial" w:eastAsia="Arial" w:hAnsi="Arial"/>
            <w:sz w:val="17"/>
            <w:szCs w:val="17"/>
            <w:u w:val="single" w:color="auto"/>
            <w:color w:val="0000EE"/>
          </w:rPr>
          <w:t>Registration Statement on Form S-8 (File No. 333-229885) filed with the SEC on</w:t>
        </w:r>
      </w:hyperlink>
      <w:r>
        <w:rPr>
          <w:rFonts w:ascii="Arial" w:cs="Arial" w:eastAsia="Arial" w:hAnsi="Arial"/>
          <w:sz w:val="17"/>
          <w:szCs w:val="17"/>
          <w:color w:val="auto"/>
        </w:rPr>
        <w:t xml:space="preserve"> </w:t>
      </w:r>
      <w:hyperlink r:id="rId23">
        <w:r>
          <w:rPr>
            <w:rFonts w:ascii="Arial" w:cs="Arial" w:eastAsia="Arial" w:hAnsi="Arial"/>
            <w:sz w:val="17"/>
            <w:szCs w:val="17"/>
            <w:u w:val="single" w:color="auto"/>
            <w:color w:val="0000EE"/>
          </w:rPr>
          <w:t>February 26, 2019</w:t>
        </w:r>
        <w:r>
          <w:rPr>
            <w:rFonts w:ascii="Arial" w:cs="Arial" w:eastAsia="Arial" w:hAnsi="Arial"/>
            <w:sz w:val="17"/>
            <w:szCs w:val="17"/>
            <w:color w:val="0000EE"/>
          </w:rPr>
          <w:t xml:space="preserve"> </w:t>
        </w:r>
        <w:r>
          <w:rPr>
            <w:rFonts w:ascii="Arial" w:cs="Arial" w:eastAsia="Arial" w:hAnsi="Arial"/>
            <w:sz w:val="17"/>
            <w:szCs w:val="17"/>
            <w:color w:val="000000"/>
          </w:rPr>
          <w:t>by the Registrant, relating to the 2015 Plan and the 2015 ESPP, (vi) the</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Registration Statement on Form S-8 (File No. 333-236421) filed</w:t>
        </w:r>
      </w:hyperlink>
      <w:r>
        <w:rPr>
          <w:rFonts w:ascii="Arial" w:cs="Arial" w:eastAsia="Arial" w:hAnsi="Arial"/>
          <w:sz w:val="17"/>
          <w:szCs w:val="17"/>
          <w:color w:val="0000EE"/>
        </w:rPr>
        <w:t xml:space="preserve"> </w:t>
      </w:r>
      <w:hyperlink r:id="rId24">
        <w:r>
          <w:rPr>
            <w:rFonts w:ascii="Arial" w:cs="Arial" w:eastAsia="Arial" w:hAnsi="Arial"/>
            <w:sz w:val="17"/>
            <w:szCs w:val="17"/>
            <w:u w:val="single" w:color="auto"/>
            <w:color w:val="0000EE"/>
          </w:rPr>
          <w:t>with the SEC on February 13, 2020</w:t>
        </w:r>
        <w:r>
          <w:rPr>
            <w:rFonts w:ascii="Arial" w:cs="Arial" w:eastAsia="Arial" w:hAnsi="Arial"/>
            <w:sz w:val="17"/>
            <w:szCs w:val="17"/>
            <w:color w:val="0000EE"/>
          </w:rPr>
          <w:t xml:space="preserve"> </w:t>
        </w:r>
        <w:r>
          <w:rPr>
            <w:rFonts w:ascii="Arial" w:cs="Arial" w:eastAsia="Arial" w:hAnsi="Arial"/>
            <w:sz w:val="17"/>
            <w:szCs w:val="17"/>
            <w:color w:val="000000"/>
          </w:rPr>
          <w:t>by the Registrant, relating to the 2015 Plan and the 2015 ESPP and (vii) the</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Registration Statement on Form S-8 (File</w:t>
        </w:r>
      </w:hyperlink>
      <w:r>
        <w:rPr>
          <w:rFonts w:ascii="Arial" w:cs="Arial" w:eastAsia="Arial" w:hAnsi="Arial"/>
          <w:sz w:val="17"/>
          <w:szCs w:val="17"/>
          <w:color w:val="0000EE"/>
        </w:rPr>
        <w:t xml:space="preserve"> </w:t>
      </w:r>
      <w:hyperlink r:id="rId24">
        <w:r>
          <w:rPr>
            <w:rFonts w:ascii="Arial" w:cs="Arial" w:eastAsia="Arial" w:hAnsi="Arial"/>
            <w:sz w:val="17"/>
            <w:szCs w:val="17"/>
            <w:u w:val="single" w:color="auto"/>
            <w:color w:val="0000EE"/>
          </w:rPr>
          <w:t>No. 333-253215) filed with the SEC on February 17, 2021</w:t>
        </w:r>
        <w:r>
          <w:rPr>
            <w:rFonts w:ascii="Arial" w:cs="Arial" w:eastAsia="Arial" w:hAnsi="Arial"/>
            <w:sz w:val="17"/>
            <w:szCs w:val="17"/>
            <w:color w:val="0000EE"/>
          </w:rPr>
          <w:t xml:space="preserve"> </w:t>
        </w:r>
        <w:r>
          <w:rPr>
            <w:rFonts w:ascii="Arial" w:cs="Arial" w:eastAsia="Arial" w:hAnsi="Arial"/>
            <w:sz w:val="17"/>
            <w:szCs w:val="17"/>
            <w:color w:val="000000"/>
          </w:rPr>
          <w:t xml:space="preserve">by the Registrant, relating to the 2015 Plan and the 2015 ESPP in each case, except for “Item </w:t>
        </w:r>
      </w:hyperlink>
      <w:r>
        <w:rPr>
          <w:rFonts w:ascii="Arial" w:cs="Arial" w:eastAsia="Arial" w:hAnsi="Arial"/>
          <w:sz w:val="17"/>
          <w:szCs w:val="17"/>
          <w:color w:val="0000EE"/>
        </w:rPr>
        <w:t xml:space="preserve">8. </w:t>
      </w:r>
      <w:r>
        <w:rPr>
          <w:rFonts w:ascii="Arial" w:cs="Arial" w:eastAsia="Arial" w:hAnsi="Arial"/>
          <w:sz w:val="17"/>
          <w:szCs w:val="17"/>
          <w:color w:val="000000"/>
        </w:rPr>
        <w:t>Exhibits” with respect to which the Exhibit Index set forth below is incorporated herein by reference.</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40" w:type="dxa"/>
            <w:vAlign w:val="bottom"/>
            <w:gridSpan w:val="10"/>
          </w:tcPr>
          <w:p>
            <w:pPr>
              <w:ind w:left="1300"/>
              <w:spacing w:after="0"/>
              <w:rPr>
                <w:sz w:val="20"/>
                <w:szCs w:val="20"/>
                <w:color w:val="auto"/>
              </w:rPr>
            </w:pPr>
            <w:r>
              <w:rPr>
                <w:rFonts w:ascii="Arial" w:cs="Arial" w:eastAsia="Arial" w:hAnsi="Arial"/>
                <w:sz w:val="18"/>
                <w:szCs w:val="18"/>
                <w:b w:val="1"/>
                <w:bCs w:val="1"/>
                <w:color w:val="auto"/>
              </w:rPr>
              <w:t>EXHIBIT INDEX</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gridSpan w:val="6"/>
            <w:vMerge w:val="restart"/>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15"/>
          </w:tcPr>
          <w:p>
            <w:pPr>
              <w:ind w:left="200"/>
              <w:spacing w:after="0"/>
              <w:rPr>
                <w:sz w:val="20"/>
                <w:szCs w:val="20"/>
                <w:color w:val="auto"/>
              </w:rPr>
            </w:pPr>
            <w:r>
              <w:rPr>
                <w:rFonts w:ascii="Arial" w:cs="Arial" w:eastAsia="Arial" w:hAnsi="Arial"/>
                <w:sz w:val="18"/>
                <w:szCs w:val="18"/>
                <w:b w:val="1"/>
                <w:bCs w:val="1"/>
                <w:color w:val="auto"/>
              </w:rPr>
              <w:t>Incorporated by Reference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5"/>
          </w:tcPr>
          <w:p>
            <w:pPr>
              <w:ind w:left="160"/>
              <w:spacing w:after="0" w:line="191" w:lineRule="exact"/>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gridSpan w:val="11"/>
          </w:tcPr>
          <w:p>
            <w:pPr>
              <w:ind w:left="740"/>
              <w:spacing w:after="0"/>
              <w:rPr>
                <w:sz w:val="20"/>
                <w:szCs w:val="20"/>
                <w:color w:val="auto"/>
              </w:rPr>
            </w:pPr>
            <w:r>
              <w:rPr>
                <w:rFonts w:ascii="Arial" w:cs="Arial" w:eastAsia="Arial" w:hAnsi="Arial"/>
                <w:sz w:val="18"/>
                <w:szCs w:val="18"/>
                <w:b w:val="1"/>
                <w:bCs w:val="1"/>
                <w:color w:val="auto"/>
              </w:rPr>
              <w:t>Description of Exhibit</w:t>
            </w:r>
          </w:p>
        </w:tc>
        <w:tc>
          <w:tcPr>
            <w:tcW w:w="160" w:type="dxa"/>
            <w:vAlign w:val="bottom"/>
          </w:tcPr>
          <w:p>
            <w:pPr>
              <w:spacing w:after="0"/>
              <w:rPr>
                <w:sz w:val="20"/>
                <w:szCs w:val="20"/>
                <w:color w:val="auto"/>
              </w:rPr>
            </w:pPr>
          </w:p>
        </w:tc>
        <w:tc>
          <w:tcPr>
            <w:tcW w:w="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75"/>
              </w:rPr>
              <w:t>Form</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4"/>
          </w:tcPr>
          <w:p>
            <w:pPr>
              <w:ind w:left="100"/>
              <w:spacing w:after="0"/>
              <w:rPr>
                <w:sz w:val="20"/>
                <w:szCs w:val="20"/>
                <w:color w:val="auto"/>
              </w:rPr>
            </w:pPr>
            <w:r>
              <w:rPr>
                <w:rFonts w:ascii="Arial" w:cs="Arial" w:eastAsia="Arial" w:hAnsi="Arial"/>
                <w:sz w:val="18"/>
                <w:szCs w:val="18"/>
                <w:b w:val="1"/>
                <w:bCs w:val="1"/>
                <w:color w:val="auto"/>
              </w:rPr>
              <w:t>File No.</w:t>
            </w:r>
          </w:p>
        </w:tc>
        <w:tc>
          <w:tcPr>
            <w:tcW w:w="1000" w:type="dxa"/>
            <w:vAlign w:val="bottom"/>
            <w:gridSpan w:val="6"/>
          </w:tcPr>
          <w:p>
            <w:pPr>
              <w:ind w:left="1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gridSpan w:val="2"/>
          </w:tcPr>
          <w:p>
            <w:pPr>
              <w:ind w:left="20"/>
              <w:spacing w:after="0" w:line="169" w:lineRule="exact"/>
              <w:rPr>
                <w:rFonts w:ascii="Arial" w:cs="Arial" w:eastAsia="Arial" w:hAnsi="Arial"/>
                <w:sz w:val="18"/>
                <w:szCs w:val="18"/>
                <w:color w:val="0000EE"/>
                <w:w w:val="79"/>
              </w:rPr>
            </w:pPr>
            <w:hyperlink r:id="rId2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500" w:type="dxa"/>
            <w:vAlign w:val="bottom"/>
            <w:tcBorders>
              <w:top w:val="single" w:sz="8" w:color="auto"/>
            </w:tcBorders>
            <w:gridSpan w:val="15"/>
          </w:tcPr>
          <w:p>
            <w:pPr>
              <w:spacing w:after="0" w:line="169" w:lineRule="exact"/>
              <w:rPr>
                <w:rFonts w:ascii="Arial" w:cs="Arial" w:eastAsia="Arial" w:hAnsi="Arial"/>
                <w:sz w:val="18"/>
                <w:szCs w:val="18"/>
                <w:color w:val="0000EE"/>
                <w:w w:val="94"/>
              </w:rPr>
            </w:pPr>
            <w:hyperlink r:id="rId26">
              <w:r>
                <w:rPr>
                  <w:rFonts w:ascii="Arial" w:cs="Arial" w:eastAsia="Arial" w:hAnsi="Arial"/>
                  <w:sz w:val="18"/>
                  <w:szCs w:val="18"/>
                  <w:color w:val="0000EE"/>
                  <w:w w:val="94"/>
                </w:rPr>
                <w:t>Fifth Amended and Restated Certificate of Incorporation of the Registrant</w:t>
              </w:r>
            </w:hyperlink>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center"/>
              <w:ind w:right="100"/>
              <w:spacing w:after="0" w:line="169" w:lineRule="exact"/>
              <w:rPr>
                <w:rFonts w:ascii="Arial" w:cs="Arial" w:eastAsia="Arial" w:hAnsi="Arial"/>
                <w:sz w:val="18"/>
                <w:szCs w:val="18"/>
                <w:color w:val="0000EE"/>
                <w:w w:val="74"/>
              </w:rPr>
            </w:pPr>
            <w:hyperlink r:id="rId26">
              <w:r>
                <w:rPr>
                  <w:rFonts w:ascii="Arial" w:cs="Arial" w:eastAsia="Arial" w:hAnsi="Arial"/>
                  <w:sz w:val="18"/>
                  <w:szCs w:val="18"/>
                  <w:color w:val="0000EE"/>
                  <w:w w:val="74"/>
                </w:rPr>
                <w:t>10-Q</w:t>
              </w:r>
            </w:hyperlink>
          </w:p>
        </w:tc>
        <w:tc>
          <w:tcPr>
            <w:tcW w:w="120" w:type="dxa"/>
            <w:vAlign w:val="bottom"/>
          </w:tcPr>
          <w:p>
            <w:pPr>
              <w:spacing w:after="0"/>
              <w:rPr>
                <w:sz w:val="14"/>
                <w:szCs w:val="14"/>
                <w:color w:val="auto"/>
              </w:rPr>
            </w:pPr>
          </w:p>
        </w:tc>
        <w:tc>
          <w:tcPr>
            <w:tcW w:w="980" w:type="dxa"/>
            <w:vAlign w:val="bottom"/>
            <w:tcBorders>
              <w:top w:val="single" w:sz="8" w:color="auto"/>
            </w:tcBorders>
            <w:gridSpan w:val="4"/>
          </w:tcPr>
          <w:p>
            <w:pPr>
              <w:jc w:val="center"/>
              <w:ind w:left="30"/>
              <w:spacing w:after="0" w:line="169"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001-37359</w:t>
              </w:r>
            </w:hyperlink>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gridSpan w:val="4"/>
          </w:tcPr>
          <w:p>
            <w:pPr>
              <w:jc w:val="center"/>
              <w:ind w:left="210"/>
              <w:spacing w:after="0" w:line="169" w:lineRule="exact"/>
              <w:rPr>
                <w:rFonts w:ascii="Arial" w:cs="Arial" w:eastAsia="Arial" w:hAnsi="Arial"/>
                <w:sz w:val="18"/>
                <w:szCs w:val="18"/>
                <w:color w:val="0000EE"/>
                <w:w w:val="87"/>
              </w:rPr>
            </w:pPr>
            <w:hyperlink r:id="rId2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10"/>
          </w:tcPr>
          <w:p>
            <w:pPr>
              <w:jc w:val="center"/>
              <w:ind w:right="180"/>
              <w:spacing w:after="0" w:line="169"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November 9, 2015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rFonts w:ascii="Arial" w:cs="Arial" w:eastAsia="Arial" w:hAnsi="Arial"/>
                <w:sz w:val="18"/>
                <w:szCs w:val="18"/>
                <w:color w:val="0000EE"/>
                <w:w w:val="79"/>
              </w:rPr>
            </w:pPr>
            <w:hyperlink r:id="rId2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Amended and Restated Bylaws, as amended on April 30, 2020, of the</w:t>
              </w:r>
            </w:hyperlink>
          </w:p>
        </w:tc>
        <w:tc>
          <w:tcPr>
            <w:tcW w:w="160" w:type="dxa"/>
            <w:vAlign w:val="bottom"/>
          </w:tcPr>
          <w:p>
            <w:pPr>
              <w:spacing w:after="0"/>
              <w:rPr>
                <w:sz w:val="17"/>
                <w:szCs w:val="17"/>
                <w:color w:val="auto"/>
              </w:rPr>
            </w:pPr>
          </w:p>
        </w:tc>
        <w:tc>
          <w:tcPr>
            <w:tcW w:w="520" w:type="dxa"/>
            <w:vAlign w:val="bottom"/>
            <w:gridSpan w:val="3"/>
          </w:tcPr>
          <w:p>
            <w:pPr>
              <w:jc w:val="center"/>
              <w:ind w:right="220"/>
              <w:spacing w:after="0" w:line="196" w:lineRule="exact"/>
              <w:rPr>
                <w:rFonts w:ascii="Arial" w:cs="Arial" w:eastAsia="Arial" w:hAnsi="Arial"/>
                <w:sz w:val="18"/>
                <w:szCs w:val="18"/>
                <w:color w:val="0000EE"/>
                <w:w w:val="74"/>
              </w:rPr>
            </w:pPr>
            <w:hyperlink r:id="rId27">
              <w:r>
                <w:rPr>
                  <w:rFonts w:ascii="Arial" w:cs="Arial" w:eastAsia="Arial" w:hAnsi="Arial"/>
                  <w:sz w:val="18"/>
                  <w:szCs w:val="18"/>
                  <w:color w:val="0000EE"/>
                  <w:w w:val="74"/>
                </w:rPr>
                <w:t>10-Q</w:t>
              </w:r>
            </w:hyperlink>
          </w:p>
        </w:tc>
        <w:tc>
          <w:tcPr>
            <w:tcW w:w="980" w:type="dxa"/>
            <w:vAlign w:val="bottom"/>
            <w:gridSpan w:val="4"/>
          </w:tcPr>
          <w:p>
            <w:pPr>
              <w:jc w:val="center"/>
              <w:ind w:left="30"/>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001-37359</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center"/>
              <w:ind w:left="210"/>
              <w:spacing w:after="0" w:line="196" w:lineRule="exact"/>
              <w:rPr>
                <w:rFonts w:ascii="Arial" w:cs="Arial" w:eastAsia="Arial" w:hAnsi="Arial"/>
                <w:sz w:val="18"/>
                <w:szCs w:val="18"/>
                <w:color w:val="0000EE"/>
                <w:w w:val="87"/>
              </w:rPr>
            </w:pPr>
            <w:hyperlink r:id="rId2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8"/>
          </w:tcPr>
          <w:p>
            <w:pPr>
              <w:jc w:val="center"/>
              <w:ind w:right="300"/>
              <w:spacing w:after="0" w:line="19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May 6, 2020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Registrant</w:t>
              </w:r>
            </w:hyperlink>
          </w:p>
        </w:tc>
        <w:tc>
          <w:tcPr>
            <w:tcW w:w="6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rFonts w:ascii="Arial" w:cs="Arial" w:eastAsia="Arial" w:hAnsi="Arial"/>
                <w:sz w:val="18"/>
                <w:szCs w:val="18"/>
                <w:color w:val="0000EE"/>
                <w:w w:val="79"/>
              </w:rPr>
            </w:pPr>
            <w:hyperlink r:id="rId2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Specimen Common Stock Certificate</w:t>
              </w:r>
            </w:hyperlink>
          </w:p>
        </w:tc>
        <w:tc>
          <w:tcPr>
            <w:tcW w:w="680" w:type="dxa"/>
            <w:vAlign w:val="bottom"/>
            <w:gridSpan w:val="4"/>
          </w:tcPr>
          <w:p>
            <w:pPr>
              <w:jc w:val="center"/>
              <w:ind w:right="120"/>
              <w:spacing w:after="0" w:line="196" w:lineRule="exact"/>
              <w:rPr>
                <w:rFonts w:ascii="Arial" w:cs="Arial" w:eastAsia="Arial" w:hAnsi="Arial"/>
                <w:sz w:val="18"/>
                <w:szCs w:val="18"/>
                <w:color w:val="0000EE"/>
                <w:w w:val="97"/>
              </w:rPr>
            </w:pPr>
            <w:hyperlink r:id="rId28">
              <w:r>
                <w:rPr>
                  <w:rFonts w:ascii="Arial" w:cs="Arial" w:eastAsia="Arial" w:hAnsi="Arial"/>
                  <w:sz w:val="18"/>
                  <w:szCs w:val="18"/>
                  <w:color w:val="0000EE"/>
                  <w:w w:val="97"/>
                </w:rPr>
                <w:t>S-1/A</w:t>
              </w:r>
            </w:hyperlink>
          </w:p>
        </w:tc>
        <w:tc>
          <w:tcPr>
            <w:tcW w:w="1120" w:type="dxa"/>
            <w:vAlign w:val="bottom"/>
            <w:gridSpan w:val="5"/>
          </w:tcPr>
          <w:p>
            <w:pPr>
              <w:jc w:val="center"/>
              <w:ind w:right="20"/>
              <w:spacing w:after="0" w:line="196" w:lineRule="exact"/>
              <w:rPr>
                <w:rFonts w:ascii="Arial" w:cs="Arial" w:eastAsia="Arial" w:hAnsi="Arial"/>
                <w:sz w:val="18"/>
                <w:szCs w:val="18"/>
                <w:color w:val="0000EE"/>
                <w:w w:val="89"/>
              </w:rPr>
            </w:pPr>
            <w:hyperlink r:id="rId28">
              <w:r>
                <w:rPr>
                  <w:rFonts w:ascii="Arial" w:cs="Arial" w:eastAsia="Arial" w:hAnsi="Arial"/>
                  <w:sz w:val="18"/>
                  <w:szCs w:val="18"/>
                  <w:color w:val="0000EE"/>
                  <w:w w:val="89"/>
                </w:rPr>
                <w:t>333-202938</w:t>
              </w:r>
            </w:hyperlink>
          </w:p>
        </w:tc>
        <w:tc>
          <w:tcPr>
            <w:tcW w:w="100" w:type="dxa"/>
            <w:vAlign w:val="bottom"/>
          </w:tcPr>
          <w:p>
            <w:pPr>
              <w:spacing w:after="0"/>
              <w:rPr>
                <w:sz w:val="17"/>
                <w:szCs w:val="17"/>
                <w:color w:val="auto"/>
              </w:rPr>
            </w:pPr>
          </w:p>
        </w:tc>
        <w:tc>
          <w:tcPr>
            <w:tcW w:w="600" w:type="dxa"/>
            <w:vAlign w:val="bottom"/>
            <w:gridSpan w:val="4"/>
          </w:tcPr>
          <w:p>
            <w:pPr>
              <w:jc w:val="center"/>
              <w:ind w:left="210"/>
              <w:spacing w:after="0" w:line="196" w:lineRule="exact"/>
              <w:rPr>
                <w:rFonts w:ascii="Arial" w:cs="Arial" w:eastAsia="Arial" w:hAnsi="Arial"/>
                <w:sz w:val="18"/>
                <w:szCs w:val="18"/>
                <w:color w:val="0000EE"/>
                <w:w w:val="87"/>
              </w:rPr>
            </w:pPr>
            <w:hyperlink r:id="rId2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9"/>
          </w:tcPr>
          <w:p>
            <w:pPr>
              <w:jc w:val="center"/>
              <w:ind w:right="280"/>
              <w:spacing w:after="0" w:line="196" w:lineRule="exact"/>
              <w:rPr>
                <w:rFonts w:ascii="Arial" w:cs="Arial" w:eastAsia="Arial" w:hAnsi="Arial"/>
                <w:sz w:val="18"/>
                <w:szCs w:val="18"/>
                <w:color w:val="0000EE"/>
                <w:w w:val="95"/>
              </w:rPr>
            </w:pPr>
            <w:hyperlink r:id="rId28">
              <w:r>
                <w:rPr>
                  <w:rFonts w:ascii="Arial" w:cs="Arial" w:eastAsia="Arial" w:hAnsi="Arial"/>
                  <w:sz w:val="18"/>
                  <w:szCs w:val="18"/>
                  <w:color w:val="0000EE"/>
                  <w:w w:val="95"/>
                </w:rPr>
                <w:t>April 20, 2015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rFonts w:ascii="Arial" w:cs="Arial" w:eastAsia="Arial" w:hAnsi="Arial"/>
                <w:sz w:val="18"/>
                <w:szCs w:val="18"/>
                <w:color w:val="0000EE"/>
                <w:w w:val="79"/>
              </w:rPr>
            </w:pPr>
            <w:hyperlink r:id="rId2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Second Amended and Restated Investors’ Rights Agreement, dated as of</w:t>
              </w:r>
            </w:hyperlink>
          </w:p>
        </w:tc>
        <w:tc>
          <w:tcPr>
            <w:tcW w:w="160" w:type="dxa"/>
            <w:vAlign w:val="bottom"/>
          </w:tcPr>
          <w:p>
            <w:pPr>
              <w:spacing w:after="0"/>
              <w:rPr>
                <w:sz w:val="17"/>
                <w:szCs w:val="17"/>
                <w:color w:val="auto"/>
              </w:rPr>
            </w:pPr>
          </w:p>
        </w:tc>
        <w:tc>
          <w:tcPr>
            <w:tcW w:w="520" w:type="dxa"/>
            <w:vAlign w:val="bottom"/>
            <w:gridSpan w:val="3"/>
          </w:tcPr>
          <w:p>
            <w:pPr>
              <w:jc w:val="center"/>
              <w:ind w:right="280"/>
              <w:spacing w:after="0" w:line="196" w:lineRule="exact"/>
              <w:rPr>
                <w:rFonts w:ascii="Arial" w:cs="Arial" w:eastAsia="Arial" w:hAnsi="Arial"/>
                <w:sz w:val="18"/>
                <w:szCs w:val="18"/>
                <w:color w:val="0000EE"/>
                <w:w w:val="85"/>
              </w:rPr>
            </w:pPr>
            <w:hyperlink r:id="rId29">
              <w:r>
                <w:rPr>
                  <w:rFonts w:ascii="Arial" w:cs="Arial" w:eastAsia="Arial" w:hAnsi="Arial"/>
                  <w:sz w:val="18"/>
                  <w:szCs w:val="18"/>
                  <w:color w:val="0000EE"/>
                  <w:w w:val="85"/>
                </w:rPr>
                <w:t>S-1</w:t>
              </w:r>
            </w:hyperlink>
          </w:p>
        </w:tc>
        <w:tc>
          <w:tcPr>
            <w:tcW w:w="1120" w:type="dxa"/>
            <w:vAlign w:val="bottom"/>
            <w:gridSpan w:val="5"/>
          </w:tcPr>
          <w:p>
            <w:pPr>
              <w:jc w:val="center"/>
              <w:ind w:right="20"/>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333-202938</w:t>
              </w:r>
            </w:hyperlink>
          </w:p>
        </w:tc>
        <w:tc>
          <w:tcPr>
            <w:tcW w:w="100" w:type="dxa"/>
            <w:vAlign w:val="bottom"/>
          </w:tcPr>
          <w:p>
            <w:pPr>
              <w:spacing w:after="0"/>
              <w:rPr>
                <w:sz w:val="17"/>
                <w:szCs w:val="17"/>
                <w:color w:val="auto"/>
              </w:rPr>
            </w:pPr>
          </w:p>
        </w:tc>
        <w:tc>
          <w:tcPr>
            <w:tcW w:w="600" w:type="dxa"/>
            <w:vAlign w:val="bottom"/>
            <w:gridSpan w:val="4"/>
          </w:tcPr>
          <w:p>
            <w:pPr>
              <w:jc w:val="center"/>
              <w:ind w:left="210"/>
              <w:spacing w:after="0" w:line="196"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9"/>
          </w:tcPr>
          <w:p>
            <w:pPr>
              <w:jc w:val="center"/>
              <w:ind w:right="280"/>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March 23, 2015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top w:val="single" w:sz="8" w:color="0000EE"/>
            </w:tcBorders>
            <w:gridSpan w:val="13"/>
          </w:tcPr>
          <w:p>
            <w:pPr>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November 7, 2014, by and among the Registrant and the Investors listed</w:t>
              </w:r>
            </w:hyperlink>
          </w:p>
        </w:tc>
        <w:tc>
          <w:tcPr>
            <w:tcW w:w="4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therein</w:t>
              </w:r>
            </w:hyperlink>
          </w:p>
        </w:tc>
        <w:tc>
          <w:tcPr>
            <w:tcW w:w="4700" w:type="dxa"/>
            <w:vAlign w:val="bottom"/>
            <w:tcBorders>
              <w:top w:val="single" w:sz="8" w:color="0000EE"/>
            </w:tcBorders>
            <w:gridSpan w:val="11"/>
          </w:tcPr>
          <w:p>
            <w:pPr>
              <w:spacing w:after="0"/>
              <w:rPr>
                <w:sz w:val="17"/>
                <w:szCs w:val="17"/>
                <w:color w:val="auto"/>
              </w:rPr>
            </w:pPr>
          </w:p>
        </w:tc>
        <w:tc>
          <w:tcPr>
            <w:tcW w:w="4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gridSpan w:val="7"/>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Opinion of Goodwin Procter LLP, counsel to the Registrant</w:t>
              </w:r>
            </w:hyperlink>
          </w:p>
        </w:tc>
        <w:tc>
          <w:tcPr>
            <w:tcW w:w="134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7"/>
          </w:tcPr>
          <w:p>
            <w:pPr>
              <w:jc w:val="center"/>
              <w:ind w:left="29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4"/>
          </w:tcPr>
          <w:p>
            <w:pPr>
              <w:ind w:left="20"/>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Consent of Ernst &amp; Young LLP, an independent registered public</w:t>
              </w:r>
            </w:hyperlink>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7"/>
          </w:tcPr>
          <w:p>
            <w:pPr>
              <w:jc w:val="center"/>
              <w:ind w:left="29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accounting firm</w:t>
              </w:r>
            </w:hyperlink>
          </w:p>
        </w:tc>
        <w:tc>
          <w:tcPr>
            <w:tcW w:w="3520" w:type="dxa"/>
            <w:vAlign w:val="bottom"/>
            <w:tcBorders>
              <w:top w:val="single" w:sz="8" w:color="0000EE"/>
            </w:tcBorders>
            <w:gridSpan w:val="3"/>
          </w:tcPr>
          <w:p>
            <w:pPr>
              <w:spacing w:after="0"/>
              <w:rPr>
                <w:sz w:val="17"/>
                <w:szCs w:val="17"/>
                <w:color w:val="auto"/>
              </w:rPr>
            </w:pPr>
          </w:p>
        </w:tc>
        <w:tc>
          <w:tcPr>
            <w:tcW w:w="94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gridSpan w:val="3"/>
          </w:tcPr>
          <w:p>
            <w:pPr>
              <w:ind w:left="2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Consent of Goodwin Procter LLP (included in Exhibit 5.1)</w:t>
              </w:r>
            </w:hyperlink>
          </w:p>
        </w:tc>
        <w:tc>
          <w:tcPr>
            <w:tcW w:w="134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7"/>
          </w:tcPr>
          <w:p>
            <w:pPr>
              <w:jc w:val="center"/>
              <w:ind w:left="29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gridSpan w:val="4"/>
          </w:tcPr>
          <w:p>
            <w:pPr>
              <w:ind w:left="20"/>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Power of attorney (included on the signature pages of this registration</w:t>
              </w:r>
            </w:hyperlink>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7"/>
          </w:tcPr>
          <w:p>
            <w:pPr>
              <w:jc w:val="center"/>
              <w:ind w:left="29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statement)</w:t>
              </w:r>
            </w:hyperlink>
          </w:p>
        </w:tc>
        <w:tc>
          <w:tcPr>
            <w:tcW w:w="4280" w:type="dxa"/>
            <w:vAlign w:val="bottom"/>
            <w:tcBorders>
              <w:top w:val="single" w:sz="8" w:color="0000EE"/>
            </w:tcBorders>
            <w:gridSpan w:val="7"/>
          </w:tcPr>
          <w:p>
            <w:pPr>
              <w:spacing w:after="0"/>
              <w:rPr>
                <w:sz w:val="17"/>
                <w:szCs w:val="17"/>
                <w:color w:val="auto"/>
              </w:rPr>
            </w:pPr>
          </w:p>
        </w:tc>
        <w:tc>
          <w:tcPr>
            <w:tcW w:w="60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gridSpan w:val="4"/>
          </w:tcPr>
          <w:p>
            <w:pPr>
              <w:ind w:left="20"/>
              <w:spacing w:after="0" w:line="196" w:lineRule="exact"/>
              <w:rPr>
                <w:rFonts w:ascii="Arial" w:cs="Arial" w:eastAsia="Arial" w:hAnsi="Arial"/>
                <w:sz w:val="18"/>
                <w:szCs w:val="18"/>
                <w:color w:val="0000EE"/>
                <w:w w:val="85"/>
              </w:rPr>
            </w:pPr>
            <w:hyperlink r:id="rId3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w w:val="99"/>
              </w:rPr>
            </w:pPr>
            <w:hyperlink r:id="rId30">
              <w:r>
                <w:rPr>
                  <w:rFonts w:ascii="Arial" w:cs="Arial" w:eastAsia="Arial" w:hAnsi="Arial"/>
                  <w:sz w:val="18"/>
                  <w:szCs w:val="18"/>
                  <w:color w:val="0000EE"/>
                  <w:w w:val="99"/>
                </w:rPr>
                <w:t>2015 Stock Option and Incentive Plan and forms of award agreements</w:t>
              </w:r>
            </w:hyperlink>
          </w:p>
        </w:tc>
        <w:tc>
          <w:tcPr>
            <w:tcW w:w="160" w:type="dxa"/>
            <w:vAlign w:val="bottom"/>
          </w:tcPr>
          <w:p>
            <w:pPr>
              <w:spacing w:after="0"/>
              <w:rPr>
                <w:sz w:val="17"/>
                <w:szCs w:val="17"/>
                <w:color w:val="auto"/>
              </w:rPr>
            </w:pPr>
          </w:p>
        </w:tc>
        <w:tc>
          <w:tcPr>
            <w:tcW w:w="520" w:type="dxa"/>
            <w:vAlign w:val="bottom"/>
            <w:gridSpan w:val="3"/>
          </w:tcPr>
          <w:p>
            <w:pPr>
              <w:jc w:val="center"/>
              <w:ind w:right="220"/>
              <w:spacing w:after="0" w:line="196" w:lineRule="exact"/>
              <w:rPr>
                <w:rFonts w:ascii="Arial" w:cs="Arial" w:eastAsia="Arial" w:hAnsi="Arial"/>
                <w:sz w:val="18"/>
                <w:szCs w:val="18"/>
                <w:color w:val="0000EE"/>
                <w:w w:val="78"/>
              </w:rPr>
            </w:pPr>
            <w:hyperlink r:id="rId30">
              <w:r>
                <w:rPr>
                  <w:rFonts w:ascii="Arial" w:cs="Arial" w:eastAsia="Arial" w:hAnsi="Arial"/>
                  <w:sz w:val="18"/>
                  <w:szCs w:val="18"/>
                  <w:color w:val="0000EE"/>
                  <w:w w:val="78"/>
                </w:rPr>
                <w:t>10-K</w:t>
              </w:r>
            </w:hyperlink>
          </w:p>
        </w:tc>
        <w:tc>
          <w:tcPr>
            <w:tcW w:w="980" w:type="dxa"/>
            <w:vAlign w:val="bottom"/>
            <w:gridSpan w:val="4"/>
          </w:tcPr>
          <w:p>
            <w:pPr>
              <w:jc w:val="center"/>
              <w:ind w:left="30"/>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001-37359</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5"/>
          </w:tcPr>
          <w:p>
            <w:pPr>
              <w:jc w:val="cente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10"/>
          </w:tcPr>
          <w:p>
            <w:pPr>
              <w:jc w:val="center"/>
              <w:ind w:right="180"/>
              <w:spacing w:after="0" w:line="196"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February 13, 2020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r:id="rId30">
              <w:r>
                <w:rPr>
                  <w:rFonts w:ascii="Arial" w:cs="Arial" w:eastAsia="Arial" w:hAnsi="Arial"/>
                  <w:sz w:val="18"/>
                  <w:szCs w:val="18"/>
                  <w:color w:val="0000EE"/>
                  <w:w w:val="84"/>
                </w:rPr>
                <w:t>thereunder</w:t>
              </w:r>
            </w:hyperlink>
          </w:p>
        </w:tc>
        <w:tc>
          <w:tcPr>
            <w:tcW w:w="4280" w:type="dxa"/>
            <w:vAlign w:val="bottom"/>
            <w:tcBorders>
              <w:top w:val="single" w:sz="8" w:color="0000EE"/>
            </w:tcBorders>
            <w:gridSpan w:val="7"/>
          </w:tcPr>
          <w:p>
            <w:pPr>
              <w:spacing w:after="0"/>
              <w:rPr>
                <w:sz w:val="17"/>
                <w:szCs w:val="17"/>
                <w:color w:val="auto"/>
              </w:rPr>
            </w:pPr>
          </w:p>
        </w:tc>
        <w:tc>
          <w:tcPr>
            <w:tcW w:w="5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gridSpan w:val="4"/>
          </w:tcPr>
          <w:p>
            <w:pPr>
              <w:ind w:left="20"/>
              <w:spacing w:after="0" w:line="196" w:lineRule="exact"/>
              <w:rPr>
                <w:rFonts w:ascii="Arial" w:cs="Arial" w:eastAsia="Arial" w:hAnsi="Arial"/>
                <w:sz w:val="18"/>
                <w:szCs w:val="18"/>
                <w:color w:val="0000EE"/>
                <w:w w:val="85"/>
              </w:rPr>
            </w:pPr>
            <w:hyperlink r:id="rId31">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gridSpan w:val="6"/>
          </w:tcPr>
          <w:p>
            <w:pPr>
              <w:spacing w:after="0" w:line="196" w:lineRule="exact"/>
              <w:rPr>
                <w:rFonts w:ascii="Arial" w:cs="Arial" w:eastAsia="Arial" w:hAnsi="Arial"/>
                <w:sz w:val="18"/>
                <w:szCs w:val="18"/>
                <w:color w:val="0000EE"/>
                <w:w w:val="88"/>
              </w:rPr>
            </w:pPr>
            <w:hyperlink r:id="rId31">
              <w:r>
                <w:rPr>
                  <w:rFonts w:ascii="Arial" w:cs="Arial" w:eastAsia="Arial" w:hAnsi="Arial"/>
                  <w:sz w:val="18"/>
                  <w:szCs w:val="18"/>
                  <w:color w:val="0000EE"/>
                  <w:w w:val="88"/>
                </w:rPr>
                <w:t>2015 Employee Stock Purchase Plan</w:t>
              </w:r>
            </w:hyperlink>
          </w:p>
        </w:tc>
        <w:tc>
          <w:tcPr>
            <w:tcW w:w="29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jc w:val="center"/>
              <w:ind w:right="220"/>
              <w:spacing w:after="0" w:line="196" w:lineRule="exact"/>
              <w:rPr>
                <w:rFonts w:ascii="Arial" w:cs="Arial" w:eastAsia="Arial" w:hAnsi="Arial"/>
                <w:sz w:val="18"/>
                <w:szCs w:val="18"/>
                <w:color w:val="0000EE"/>
                <w:w w:val="78"/>
              </w:rPr>
            </w:pPr>
            <w:hyperlink r:id="rId31">
              <w:r>
                <w:rPr>
                  <w:rFonts w:ascii="Arial" w:cs="Arial" w:eastAsia="Arial" w:hAnsi="Arial"/>
                  <w:sz w:val="18"/>
                  <w:szCs w:val="18"/>
                  <w:color w:val="0000EE"/>
                  <w:w w:val="78"/>
                </w:rPr>
                <w:t>10-K</w:t>
              </w:r>
            </w:hyperlink>
          </w:p>
        </w:tc>
        <w:tc>
          <w:tcPr>
            <w:tcW w:w="980" w:type="dxa"/>
            <w:vAlign w:val="bottom"/>
            <w:gridSpan w:val="4"/>
          </w:tcPr>
          <w:p>
            <w:pPr>
              <w:jc w:val="center"/>
              <w:ind w:left="30"/>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001-37359</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5"/>
          </w:tcPr>
          <w:p>
            <w:pPr>
              <w:jc w:val="cente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10"/>
          </w:tcPr>
          <w:p>
            <w:pPr>
              <w:jc w:val="center"/>
              <w:ind w:right="180"/>
              <w:spacing w:after="0" w:line="196"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February 13, 2020</w:t>
              </w:r>
            </w:hyperlink>
          </w:p>
        </w:tc>
        <w:tc>
          <w:tcPr>
            <w:tcW w:w="0" w:type="dxa"/>
            <w:vAlign w:val="bottom"/>
          </w:tcPr>
          <w:p>
            <w:pPr>
              <w:spacing w:after="0"/>
              <w:rPr>
                <w:sz w:val="1"/>
                <w:szCs w:val="1"/>
                <w:color w:val="auto"/>
              </w:rPr>
            </w:pPr>
          </w:p>
        </w:tc>
      </w:tr>
      <w:tr>
        <w:trPr>
          <w:trHeight w:val="196"/>
        </w:trPr>
        <w:tc>
          <w:tcPr>
            <w:tcW w:w="420" w:type="dxa"/>
            <w:vAlign w:val="bottom"/>
            <w:gridSpan w:val="5"/>
          </w:tcPr>
          <w:p>
            <w:pPr>
              <w:ind w:left="20"/>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107.</w:t>
              </w:r>
              <w:r>
                <w:rPr>
                  <w:rFonts w:ascii="Arial" w:cs="Arial" w:eastAsia="Arial" w:hAnsi="Arial"/>
                  <w:sz w:val="18"/>
                  <w:szCs w:val="18"/>
                  <w:u w:val="single" w:color="auto"/>
                  <w:color w:val="0000EE"/>
                  <w:w w:val="84"/>
                </w:rPr>
                <w:t>1</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Filing Fee Table</w:t>
              </w:r>
            </w:hyperlink>
          </w:p>
        </w:tc>
        <w:tc>
          <w:tcPr>
            <w:tcW w:w="29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17th day of February, 2022.</w:t>
      </w:r>
    </w:p>
    <w:p>
      <w:pPr>
        <w:spacing w:after="0" w:line="16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Albers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7"/>
              </w:rPr>
              <w:t>President, Chief Executive Officer and Chairman</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W. Albers</w:t>
            </w:r>
          </w:p>
        </w:tc>
        <w:tc>
          <w:tcPr>
            <w:tcW w:w="2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of the Board</w:t>
            </w:r>
          </w:p>
        </w:tc>
        <w:tc>
          <w:tcPr>
            <w:tcW w:w="3600" w:type="dxa"/>
            <w:vAlign w:val="bottom"/>
          </w:tcPr>
          <w:p>
            <w:pPr>
              <w:spacing w:after="0"/>
              <w:rPr>
                <w:sz w:val="20"/>
                <w:szCs w:val="20"/>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Jeffrey W. Albers</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Landsittel</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Michael Landsittel</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Ariel Hurley</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Vice President, Finance and Controller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Ariel Hurley</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Lydon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Nicholas Lydon, Ph.D.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Alexis Borisy</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Alexis Borisy</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Goldberg</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Mark Goldberg, M.D.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A. Rowland, Jr.</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Charles A. Rowland, Jr.</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Demetri</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George Demetri, M.D.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90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Lonnel Coats</w:t>
            </w:r>
          </w:p>
        </w:tc>
        <w:tc>
          <w:tcPr>
            <w:tcW w:w="30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620" w:type="dxa"/>
            <w:vAlign w:val="bottom"/>
          </w:tcPr>
          <w:p>
            <w:pPr>
              <w:ind w:left="2160"/>
              <w:spacing w:after="0"/>
              <w:rPr>
                <w:sz w:val="20"/>
                <w:szCs w:val="20"/>
                <w:color w:val="auto"/>
              </w:rPr>
            </w:pPr>
            <w:r>
              <w:rPr>
                <w:rFonts w:ascii="Arial" w:cs="Arial" w:eastAsia="Arial" w:hAnsi="Arial"/>
                <w:sz w:val="18"/>
                <w:szCs w:val="18"/>
                <w:color w:val="auto"/>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Lonnel Coats</w:t>
            </w:r>
          </w:p>
        </w:tc>
        <w:tc>
          <w:tcPr>
            <w:tcW w:w="300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Lynn Seely</w:t>
            </w:r>
          </w:p>
        </w:tc>
        <w:tc>
          <w:tcPr>
            <w:tcW w:w="30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620" w:type="dxa"/>
            <w:vAlign w:val="bottom"/>
          </w:tcPr>
          <w:p>
            <w:pPr>
              <w:ind w:left="2160"/>
              <w:spacing w:after="0"/>
              <w:rPr>
                <w:sz w:val="20"/>
                <w:szCs w:val="20"/>
                <w:color w:val="auto"/>
              </w:rPr>
            </w:pPr>
            <w:r>
              <w:rPr>
                <w:rFonts w:ascii="Arial" w:cs="Arial" w:eastAsia="Arial" w:hAnsi="Arial"/>
                <w:sz w:val="18"/>
                <w:szCs w:val="18"/>
                <w:color w:val="auto"/>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Lynn Seely, M.D.</w:t>
            </w:r>
          </w:p>
        </w:tc>
        <w:tc>
          <w:tcPr>
            <w:tcW w:w="300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Daniella Beckman</w:t>
            </w:r>
          </w:p>
        </w:tc>
        <w:tc>
          <w:tcPr>
            <w:tcW w:w="30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620" w:type="dxa"/>
            <w:vAlign w:val="bottom"/>
          </w:tcPr>
          <w:p>
            <w:pPr>
              <w:ind w:left="2160"/>
              <w:spacing w:after="0"/>
              <w:rPr>
                <w:sz w:val="20"/>
                <w:szCs w:val="20"/>
                <w:color w:val="auto"/>
              </w:rPr>
            </w:pPr>
            <w:r>
              <w:rPr>
                <w:rFonts w:ascii="Arial" w:cs="Arial" w:eastAsia="Arial" w:hAnsi="Arial"/>
                <w:sz w:val="18"/>
                <w:szCs w:val="18"/>
                <w:color w:val="auto"/>
              </w:rPr>
              <w:t>February 17, 2022</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Daniella Beckman</w:t>
            </w:r>
          </w:p>
        </w:tc>
        <w:tc>
          <w:tcPr>
            <w:tcW w:w="300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661"/>
        </w:trPr>
        <w:tc>
          <w:tcPr>
            <w:tcW w:w="3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51" w:right="339" w:bottom="1440" w:gutter="0" w:footer="0" w:header="0"/>
        </w:sectPr>
      </w:pPr>
    </w:p>
    <w:bookmarkStart w:id="5" w:name="page6"/>
    <w:bookmarkEnd w:id="5"/>
    <w:p>
      <w:pPr>
        <w:ind w:left="1040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40030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400300" cy="617220"/>
                    </a:xfrm>
                    <a:prstGeom prst="rect">
                      <a:avLst/>
                    </a:prstGeom>
                    <a:noFill/>
                  </pic:spPr>
                </pic:pic>
              </a:graphicData>
            </a:graphic>
          </wp:anchor>
        </w:drawing>
      </w:r>
    </w:p>
    <w:p>
      <w:pPr>
        <w:spacing w:after="0" w:line="3"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Boston, MA 02210</w:t>
      </w:r>
    </w:p>
    <w:p>
      <w:pPr>
        <w:spacing w:after="0" w:line="211"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goodwinlaw.com</w:t>
      </w:r>
    </w:p>
    <w:p>
      <w:pPr>
        <w:spacing w:after="0" w:line="225"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+1 617 570 1000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Being Registered under Registration Statement on Form S-8</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2,957,053 shares (the “Shares”) of Common Stock, $0.001 par value per share (“Common Stock”), of Blueprint Medicines Corporation, a Delaware corporation (the “Company”), that may be issued pursuant to the Company’s 2015 Stock Option and Incentive Plan and 2015 Employee Stock Purchase Plan (collectively, the “Plans”).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2015 Stock Option and Incentive Plan and 2015 Employee Stock Purchase Plan of Blueprint Medicines Corporation of our reports dated February 17, 2022, with respect to the consolidated financial statements of Blueprint Medicines Corporation and the effectiveness of internal control over financial reporting of Blueprint Medicines Corporation included in its Annual Report (Form 10-K) for the year ended December 31, 2021,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107.1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8"/>
                <w:szCs w:val="18"/>
                <w:color w:val="auto"/>
              </w:rPr>
              <w:t>Table 1: Newly Registered Securities</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Proposed</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Maximum</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Maximum</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w w:val="83"/>
              </w:rPr>
              <w:t>Fee</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Amount</w:t>
            </w: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color w:val="auto"/>
                <w:w w:val="96"/>
              </w:rPr>
              <w:t>Offering</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Aggregate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Amount of</w:t>
            </w:r>
          </w:p>
        </w:tc>
      </w:tr>
      <w:tr>
        <w:trPr>
          <w:trHeight w:val="216"/>
        </w:trPr>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Security</w:t>
            </w: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Calculation</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Registered</w:t>
            </w: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Price Per</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Offering</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Fee</w:t>
            </w:r>
          </w:p>
        </w:tc>
        <w:tc>
          <w:tcPr>
            <w:tcW w:w="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Registration</w:t>
            </w:r>
          </w:p>
        </w:tc>
      </w:tr>
      <w:tr>
        <w:trPr>
          <w:trHeight w:val="230"/>
        </w:trPr>
        <w:tc>
          <w:tcPr>
            <w:tcW w:w="8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Type</w:t>
            </w:r>
          </w:p>
        </w:tc>
        <w:tc>
          <w:tcPr>
            <w:tcW w:w="31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Security Class Title</w:t>
            </w:r>
          </w:p>
        </w:tc>
        <w:tc>
          <w:tcPr>
            <w:tcW w:w="240" w:type="dxa"/>
            <w:vAlign w:val="bottom"/>
          </w:tcPr>
          <w:p>
            <w:pPr>
              <w:spacing w:after="0"/>
              <w:rPr>
                <w:sz w:val="20"/>
                <w:szCs w:val="20"/>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Rule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20"/>
                <w:szCs w:val="20"/>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color w:val="auto"/>
                <w:w w:val="83"/>
              </w:rPr>
              <w:t>Share</w:t>
            </w: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Rate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Fee</w:t>
            </w:r>
          </w:p>
        </w:tc>
      </w:tr>
      <w:tr>
        <w:trPr>
          <w:trHeight w:val="195"/>
        </w:trPr>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6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2015 Stock Option and Incentive Plan</w:t>
            </w: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44"/>
        </w:trPr>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1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457(h)</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2,365,643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$82.86(2)</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196,017,178.98(2)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.0000927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18,170.80</w:t>
            </w:r>
          </w:p>
        </w:tc>
      </w:tr>
      <w:tr>
        <w:trPr>
          <w:trHeight w:val="182"/>
        </w:trPr>
        <w:tc>
          <w:tcPr>
            <w:tcW w:w="860" w:type="dxa"/>
            <w:vAlign w:val="bottom"/>
            <w:gridSpan w:val="2"/>
          </w:tcPr>
          <w:p>
            <w:pPr>
              <w:jc w:val="center"/>
              <w:ind w:right="60"/>
              <w:spacing w:after="0" w:line="182" w:lineRule="exact"/>
              <w:rPr>
                <w:sz w:val="20"/>
                <w:szCs w:val="20"/>
                <w:color w:val="auto"/>
              </w:rPr>
            </w:pPr>
            <w:r>
              <w:rPr>
                <w:rFonts w:ascii="Arial" w:cs="Arial" w:eastAsia="Arial" w:hAnsi="Arial"/>
                <w:sz w:val="18"/>
                <w:szCs w:val="18"/>
                <w:color w:val="auto"/>
                <w:w w:val="95"/>
              </w:rPr>
              <w:t>Equity</w:t>
            </w:r>
          </w:p>
        </w:tc>
        <w:tc>
          <w:tcPr>
            <w:tcW w:w="31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88"/>
              </w:rPr>
              <w:t>2015 Employee Stock Purchase Plan</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44"/>
        </w:trPr>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1"/>
                <w:szCs w:val="21"/>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457(h)</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591,410</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$70.44(3)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$41,658,920.40(3)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.0000927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3,861.79</w:t>
            </w:r>
          </w:p>
        </w:tc>
      </w:tr>
      <w:tr>
        <w:trPr>
          <w:trHeight w:val="210"/>
        </w:trPr>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2"/>
              </w:rPr>
              <w:t>Total Offering Amounts</w:t>
            </w: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$ 237,676,099.38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22,032.59</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620"/>
              <w:spacing w:after="0"/>
              <w:rPr>
                <w:sz w:val="20"/>
                <w:szCs w:val="20"/>
                <w:color w:val="auto"/>
              </w:rPr>
            </w:pPr>
            <w:r>
              <w:rPr>
                <w:rFonts w:ascii="Arial" w:cs="Arial" w:eastAsia="Arial" w:hAnsi="Arial"/>
                <w:sz w:val="18"/>
                <w:szCs w:val="18"/>
                <w:color w:val="auto"/>
              </w:rPr>
              <w:t>Total Fee Offsets</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FF"/>
            </w:tcBorders>
          </w:tcPr>
          <w:p>
            <w:pPr>
              <w:spacing w:after="0"/>
              <w:rPr>
                <w:sz w:val="18"/>
                <w:szCs w:val="18"/>
                <w:color w:val="auto"/>
              </w:rPr>
            </w:pPr>
          </w:p>
        </w:tc>
      </w:tr>
      <w:tr>
        <w:trPr>
          <w:trHeight w:val="210"/>
        </w:trPr>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0"/>
              </w:rPr>
              <w:t>Net Fee Due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22,032.59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right="20" w:hanging="452"/>
        <w:spacing w:after="0" w:line="29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61" w:lineRule="exact"/>
        <w:rPr>
          <w:rFonts w:ascii="Arial" w:cs="Arial" w:eastAsia="Arial" w:hAnsi="Arial"/>
          <w:sz w:val="16"/>
          <w:szCs w:val="16"/>
          <w:color w:val="auto"/>
        </w:rPr>
      </w:pPr>
    </w:p>
    <w:p>
      <w:pPr>
        <w:ind w:left="460" w:right="44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11, 2022.</w:t>
      </w:r>
    </w:p>
    <w:p>
      <w:pPr>
        <w:ind w:left="460" w:right="440" w:hanging="452"/>
        <w:spacing w:after="0" w:line="30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11, 2021, multiplied by 85%, which is the percentage of the price per share applicable to purchasers under the 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jpe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18" Type="http://schemas.openxmlformats.org/officeDocument/2006/relationships/hyperlink" Target="https://www.sec.gov/Archives/edgar/data/1597264/000110465915032381/a15-10041_1s8.htm" TargetMode="External"/><Relationship Id="rId19" Type="http://schemas.openxmlformats.org/officeDocument/2006/relationships/hyperlink" Target="https://www.sec.gov/Archives/edgar/data/1597264/000155837016004067/bpmc-20160311xs8.htm" TargetMode="External"/><Relationship Id="rId20" Type="http://schemas.openxmlformats.org/officeDocument/2006/relationships/hyperlink" Target="https://www.sec.gov/Archives/edgar/data/1597264/000155837017001552/bpmc_currentfolios8.htm" TargetMode="External"/><Relationship Id="rId21" Type="http://schemas.openxmlformats.org/officeDocument/2006/relationships/hyperlink" Target="https://www.sec.gov/Archives/edgar/data/1597264/000155837018000868/s-8.htm" TargetMode="External"/><Relationship Id="rId22" Type="http://schemas.openxmlformats.org/officeDocument/2006/relationships/hyperlink" Target="https://www.sec.gov/Archives/edgar/data/1597264/000155837019001099/s-8.htm" TargetMode="External"/><Relationship Id="rId23" Type="http://schemas.openxmlformats.org/officeDocument/2006/relationships/hyperlink" Target="https://www.sec.gov/Archives/edgar/data/1597264/000155837020000787/s-8.htm" TargetMode="External"/><Relationship Id="rId24" Type="http://schemas.openxmlformats.org/officeDocument/2006/relationships/hyperlink" Target="https://www.sec.gov/Archives/edgar/data/1597264/000155837021001147/tmb-20210217xs8.htm" TargetMode="External"/><Relationship Id="rId26" Type="http://schemas.openxmlformats.org/officeDocument/2006/relationships/hyperlink" Target="https://www.sec.gov/Archives/edgar/data/1597264/000155837015002529/bpmc-20150930ex3100367a3.htm" TargetMode="External"/><Relationship Id="rId27" Type="http://schemas.openxmlformats.org/officeDocument/2006/relationships/hyperlink" Target="https://www.sec.gov/Archives/edgar/data/1597264/000155837020005307/bpmc-20200331xex3d1.htm" TargetMode="External"/><Relationship Id="rId28" Type="http://schemas.openxmlformats.org/officeDocument/2006/relationships/hyperlink" Target="https://www.sec.gov/Archives/edgar/data/1597264/000104746915003668/a2224211zex-4_1.htm" TargetMode="External"/><Relationship Id="rId29" Type="http://schemas.openxmlformats.org/officeDocument/2006/relationships/hyperlink" Target="https://www.sec.gov/Archives/edgar/data/1597264/000104746915002608/a2223883zex-4_4.htm" TargetMode="External"/><Relationship Id="rId30" Type="http://schemas.openxmlformats.org/officeDocument/2006/relationships/hyperlink" Target="https://www.sec.gov/Archives/edgar/data/1597264/000155837020000784/ex-10d2.htm" TargetMode="External"/><Relationship Id="rId31" Type="http://schemas.openxmlformats.org/officeDocument/2006/relationships/hyperlink" Target="https://www.sec.gov/Archives/edgar/data/1597264/000155837020000784/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2022-02-17T07:32:32Z</dcterms:created>
  <dcterms:modified xsi:type="dcterms:W3CDTF">2022-02-17T07:32:32Z</dcterms:modified>
</cp:coreProperties>
</file>