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22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SCHEDULE 13G</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(Rule 13d-102)</w:t>
      </w:r>
    </w:p>
    <w:p>
      <w:pPr>
        <w:spacing w:after="0" w:line="236" w:lineRule="exact"/>
        <w:rPr>
          <w:sz w:val="24"/>
          <w:szCs w:val="24"/>
          <w:color w:val="auto"/>
        </w:rPr>
      </w:pPr>
    </w:p>
    <w:p>
      <w:pPr>
        <w:jc w:val="center"/>
        <w:ind w:left="400" w:right="2700"/>
        <w:spacing w:after="0" w:line="264" w:lineRule="auto"/>
        <w:rPr>
          <w:sz w:val="20"/>
          <w:szCs w:val="20"/>
          <w:color w:val="auto"/>
        </w:rPr>
      </w:pPr>
      <w:r>
        <w:rPr>
          <w:rFonts w:ascii="Arial" w:cs="Arial" w:eastAsia="Arial" w:hAnsi="Arial"/>
          <w:sz w:val="18"/>
          <w:szCs w:val="18"/>
          <w:color w:val="auto"/>
        </w:rPr>
        <w:t>INFORMATION TO BE INCLUDED IN STATEMENTS FILED PURSUANT TO RULES 13d-1(b), (c), AND (d) AND AMENDMENTS THERETO FILED PURSUANT TO RULE 13d-2(b)</w:t>
      </w:r>
    </w:p>
    <w:p>
      <w:pPr>
        <w:spacing w:after="0" w:line="20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(Amendment No. 3)</w:t>
      </w:r>
      <w:r>
        <w:rPr>
          <w:rFonts w:ascii="Arial" w:cs="Arial" w:eastAsia="Arial" w:hAnsi="Arial"/>
          <w:sz w:val="25"/>
          <w:szCs w:val="25"/>
          <w:color w:val="auto"/>
          <w:vertAlign w:val="superscript"/>
        </w:rPr>
        <w:t>1</w:t>
      </w:r>
    </w:p>
    <w:p>
      <w:pPr>
        <w:spacing w:after="0" w:line="200" w:lineRule="exact"/>
        <w:rPr>
          <w:sz w:val="24"/>
          <w:szCs w:val="24"/>
          <w:color w:val="auto"/>
        </w:rPr>
      </w:pPr>
    </w:p>
    <w:p>
      <w:pPr>
        <w:spacing w:after="0" w:line="215"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Blueprint Medicines Corporation</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4500"/>
        <w:spacing w:after="0"/>
        <w:rPr>
          <w:sz w:val="20"/>
          <w:szCs w:val="20"/>
          <w:color w:val="auto"/>
        </w:rPr>
      </w:pPr>
      <w:r>
        <w:rPr>
          <w:rFonts w:ascii="Arial" w:cs="Arial" w:eastAsia="Arial" w:hAnsi="Arial"/>
          <w:sz w:val="18"/>
          <w:szCs w:val="18"/>
          <w:color w:val="auto"/>
        </w:rPr>
        <w:t>Common Stock, $0.001 par value</w:t>
      </w:r>
    </w:p>
    <w:p>
      <w:pPr>
        <w:spacing w:after="0" w:line="23" w:lineRule="exact"/>
        <w:rPr>
          <w:sz w:val="24"/>
          <w:szCs w:val="24"/>
          <w:color w:val="auto"/>
        </w:rPr>
      </w:pPr>
    </w:p>
    <w:p>
      <w:pPr>
        <w:ind w:left="4720"/>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ind w:left="5280"/>
        <w:spacing w:after="0"/>
        <w:rPr>
          <w:sz w:val="20"/>
          <w:szCs w:val="20"/>
          <w:color w:val="auto"/>
        </w:rPr>
      </w:pPr>
      <w:r>
        <w:rPr>
          <w:rFonts w:ascii="Arial" w:cs="Arial" w:eastAsia="Arial" w:hAnsi="Arial"/>
          <w:sz w:val="18"/>
          <w:szCs w:val="18"/>
          <w:color w:val="auto"/>
        </w:rPr>
        <w:t>09627Y109</w:t>
      </w:r>
    </w:p>
    <w:p>
      <w:pPr>
        <w:spacing w:after="0" w:line="23" w:lineRule="exact"/>
        <w:rPr>
          <w:sz w:val="24"/>
          <w:szCs w:val="24"/>
          <w:color w:val="auto"/>
        </w:rPr>
      </w:pPr>
    </w:p>
    <w:p>
      <w:pPr>
        <w:ind w:left="51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3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December 31,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1100" w:hanging="46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52"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Rule 13d-1(c)</w:t>
      </w:r>
    </w:p>
    <w:p>
      <w:pPr>
        <w:spacing w:after="0" w:line="252" w:lineRule="exact"/>
        <w:rPr>
          <w:rFonts w:ascii="Arial" w:cs="Arial" w:eastAsia="Arial" w:hAnsi="Arial"/>
          <w:sz w:val="18"/>
          <w:szCs w:val="18"/>
          <w:color w:val="auto"/>
        </w:rPr>
      </w:pPr>
    </w:p>
    <w:p>
      <w:pPr>
        <w:ind w:left="1100" w:hanging="466"/>
        <w:spacing w:after="0"/>
        <w:tabs>
          <w:tab w:leader="none" w:pos="11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spacing w:after="0"/>
        <w:rPr>
          <w:sz w:val="20"/>
          <w:szCs w:val="20"/>
          <w:color w:val="auto"/>
        </w:rPr>
      </w:pPr>
      <w:r>
        <w:rPr>
          <w:rFonts w:ascii="Arial" w:cs="Arial" w:eastAsia="Arial" w:hAnsi="Arial"/>
          <w:sz w:val="18"/>
          <w:szCs w:val="18"/>
          <w:color w:val="auto"/>
        </w:rPr>
        <w:t>_______________</w:t>
      </w:r>
    </w:p>
    <w:p>
      <w:pPr>
        <w:spacing w:after="0" w:line="13" w:lineRule="exact"/>
        <w:rPr>
          <w:sz w:val="24"/>
          <w:szCs w:val="24"/>
          <w:color w:val="auto"/>
        </w:rPr>
      </w:pPr>
    </w:p>
    <w:p>
      <w:pPr>
        <w:ind w:right="60" w:firstLine="8"/>
        <w:spacing w:after="0" w:line="211" w:lineRule="auto"/>
        <w:tabs>
          <w:tab w:leader="none" w:pos="126" w:val="left"/>
        </w:tabs>
        <w:numPr>
          <w:ilvl w:val="0"/>
          <w:numId w:val="2"/>
        </w:numPr>
        <w:rPr>
          <w:rFonts w:ascii="Arial" w:cs="Arial" w:eastAsia="Arial" w:hAnsi="Arial"/>
          <w:sz w:val="25"/>
          <w:szCs w:val="25"/>
          <w:color w:val="auto"/>
          <w:vertAlign w:val="superscript"/>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30" w:lineRule="exact"/>
        <w:rPr>
          <w:sz w:val="24"/>
          <w:szCs w:val="24"/>
          <w:color w:val="auto"/>
        </w:rPr>
      </w:pPr>
    </w:p>
    <w:p>
      <w:pPr>
        <w:ind w:firstLine="91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w:t>
      </w:r>
      <w:r>
        <w:rPr>
          <w:rFonts w:ascii="Arial" w:cs="Arial" w:eastAsia="Arial" w:hAnsi="Arial"/>
          <w:sz w:val="18"/>
          <w:szCs w:val="18"/>
          <w:i w:val="1"/>
          <w:iCs w:val="1"/>
          <w:color w:val="auto"/>
        </w:rPr>
        <w:t xml:space="preserve"> Notes</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396875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229" w:right="37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77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Fund, L.P.</w:t>
            </w: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1,564,734</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1,564,734</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1,564,734</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4.8%</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2</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Fund II, L.P.</w:t>
            </w: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959,457</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959,457</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959,457</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3.0%</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3</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77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Biotechnology Value Trading Fund OS LP</w:t>
            </w: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Cayman Islands</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238,070</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238,070</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238,070</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than 1%</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4</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20" w:type="dxa"/>
            <w:vAlign w:val="bottom"/>
            <w:tcBorders>
              <w:top w:val="single" w:sz="8" w:color="auto"/>
              <w:bottom w:val="single" w:sz="8" w:color="auto"/>
              <w:right w:val="single" w:sz="8" w:color="auto"/>
            </w:tcBorders>
          </w:tcPr>
          <w:p>
            <w:pPr>
              <w:spacing w:after="0"/>
              <w:rPr>
                <w:sz w:val="3"/>
                <w:szCs w:val="3"/>
                <w:color w:val="auto"/>
              </w:rPr>
            </w:pPr>
          </w:p>
        </w:tc>
        <w:tc>
          <w:tcPr>
            <w:tcW w:w="1740" w:type="dxa"/>
            <w:vAlign w:val="bottom"/>
            <w:tcBorders>
              <w:top w:val="single" w:sz="8" w:color="auto"/>
              <w:bottom w:val="single" w:sz="8" w:color="auto"/>
            </w:tcBorders>
          </w:tcPr>
          <w:p>
            <w:pPr>
              <w:spacing w:after="0"/>
              <w:rPr>
                <w:sz w:val="3"/>
                <w:szCs w:val="3"/>
                <w:color w:val="auto"/>
              </w:rPr>
            </w:pPr>
          </w:p>
        </w:tc>
        <w:tc>
          <w:tcPr>
            <w:tcW w:w="6000" w:type="dxa"/>
            <w:vAlign w:val="bottom"/>
            <w:tcBorders>
              <w:top w:val="single" w:sz="8" w:color="auto"/>
              <w:bottom w:val="single" w:sz="8" w:color="auto"/>
            </w:tcBorders>
          </w:tcPr>
          <w:p>
            <w:pPr>
              <w:spacing w:after="0"/>
              <w:rPr>
                <w:sz w:val="3"/>
                <w:szCs w:val="3"/>
                <w:color w:val="auto"/>
              </w:rPr>
            </w:pPr>
          </w:p>
        </w:tc>
        <w:tc>
          <w:tcPr>
            <w:tcW w:w="192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2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1"/>
              </w:rPr>
              <w:t>BVF Partners OS Ltd.</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4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20" w:type="dxa"/>
            <w:vAlign w:val="bottom"/>
            <w:tcBorders>
              <w:right w:val="single" w:sz="8" w:color="auto"/>
            </w:tcBorders>
          </w:tcPr>
          <w:p>
            <w:pPr>
              <w:ind w:left="66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bottom w:val="single" w:sz="8" w:color="auto"/>
              <w:right w:val="single" w:sz="8" w:color="auto"/>
            </w:tcBorders>
          </w:tcPr>
          <w:p>
            <w:pPr>
              <w:spacing w:after="0"/>
              <w:rPr>
                <w:sz w:val="20"/>
                <w:szCs w:val="20"/>
                <w:color w:val="auto"/>
              </w:rPr>
            </w:pPr>
          </w:p>
        </w:tc>
        <w:tc>
          <w:tcPr>
            <w:tcW w:w="1740" w:type="dxa"/>
            <w:vAlign w:val="bottom"/>
            <w:tcBorders>
              <w:bottom w:val="single" w:sz="8" w:color="auto"/>
            </w:tcBorders>
          </w:tcPr>
          <w:p>
            <w:pPr>
              <w:spacing w:after="0"/>
              <w:rPr>
                <w:sz w:val="20"/>
                <w:szCs w:val="20"/>
                <w:color w:val="auto"/>
              </w:rPr>
            </w:pPr>
          </w:p>
        </w:tc>
        <w:tc>
          <w:tcPr>
            <w:tcW w:w="6000" w:type="dxa"/>
            <w:vAlign w:val="bottom"/>
            <w:tcBorders>
              <w:bottom w:val="single" w:sz="8" w:color="auto"/>
            </w:tcBorders>
          </w:tcPr>
          <w:p>
            <w:pPr>
              <w:spacing w:after="0"/>
              <w:rPr>
                <w:sz w:val="20"/>
                <w:szCs w:val="20"/>
                <w:color w:val="auto"/>
              </w:rPr>
            </w:pPr>
          </w:p>
        </w:tc>
        <w:tc>
          <w:tcPr>
            <w:tcW w:w="1920" w:type="dxa"/>
            <w:vAlign w:val="bottom"/>
            <w:tcBorders>
              <w:bottom w:val="single" w:sz="8" w:color="auto"/>
              <w:right w:val="single" w:sz="8" w:color="auto"/>
            </w:tcBorders>
          </w:tcPr>
          <w:p>
            <w:pPr>
              <w:ind w:left="66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4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6000" w:type="dxa"/>
            <w:vAlign w:val="bottom"/>
          </w:tcPr>
          <w:p>
            <w:pPr>
              <w:spacing w:after="0"/>
              <w:rPr>
                <w:sz w:val="19"/>
                <w:szCs w:val="19"/>
                <w:color w:val="auto"/>
              </w:rPr>
            </w:pPr>
          </w:p>
        </w:tc>
        <w:tc>
          <w:tcPr>
            <w:tcW w:w="192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6000" w:type="dxa"/>
            <w:vAlign w:val="bottom"/>
            <w:tcBorders>
              <w:bottom w:val="single" w:sz="8" w:color="auto"/>
            </w:tcBorders>
          </w:tcPr>
          <w:p>
            <w:pPr>
              <w:spacing w:after="0"/>
              <w:rPr>
                <w:sz w:val="17"/>
                <w:szCs w:val="17"/>
                <w:color w:val="auto"/>
              </w:rPr>
            </w:pPr>
          </w:p>
        </w:tc>
        <w:tc>
          <w:tcPr>
            <w:tcW w:w="192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Cayman Islands</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2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4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600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2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BENEFICIALLY</w:t>
            </w:r>
          </w:p>
        </w:tc>
        <w:tc>
          <w:tcPr>
            <w:tcW w:w="1740" w:type="dxa"/>
            <w:vAlign w:val="bottom"/>
            <w:tcBorders>
              <w:bottom w:val="single" w:sz="8" w:color="auto"/>
              <w:right w:val="single" w:sz="8" w:color="auto"/>
            </w:tcBorders>
          </w:tcPr>
          <w:p>
            <w:pPr>
              <w:spacing w:after="0"/>
              <w:rPr>
                <w:sz w:val="20"/>
                <w:szCs w:val="20"/>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2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4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600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2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40" w:type="dxa"/>
            <w:vAlign w:val="bottom"/>
            <w:tcBorders>
              <w:right w:val="single" w:sz="8" w:color="auto"/>
            </w:tcBorders>
          </w:tcPr>
          <w:p>
            <w:pPr>
              <w:spacing w:after="0"/>
              <w:rPr>
                <w:sz w:val="18"/>
                <w:szCs w:val="18"/>
                <w:color w:val="auto"/>
              </w:rPr>
            </w:pPr>
          </w:p>
        </w:tc>
        <w:tc>
          <w:tcPr>
            <w:tcW w:w="6000" w:type="dxa"/>
            <w:vAlign w:val="bottom"/>
          </w:tcPr>
          <w:p>
            <w:pPr>
              <w:spacing w:after="0"/>
              <w:rPr>
                <w:sz w:val="18"/>
                <w:szCs w:val="18"/>
                <w:color w:val="auto"/>
              </w:rPr>
            </w:pPr>
          </w:p>
        </w:tc>
        <w:tc>
          <w:tcPr>
            <w:tcW w:w="192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40" w:type="dxa"/>
            <w:vAlign w:val="bottom"/>
            <w:tcBorders>
              <w:bottom w:val="single" w:sz="8" w:color="auto"/>
              <w:right w:val="single" w:sz="8" w:color="auto"/>
            </w:tcBorders>
          </w:tcPr>
          <w:p>
            <w:pPr>
              <w:spacing w:after="0"/>
              <w:rPr>
                <w:sz w:val="21"/>
                <w:szCs w:val="21"/>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238,070</w:t>
            </w:r>
          </w:p>
        </w:tc>
        <w:tc>
          <w:tcPr>
            <w:tcW w:w="192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600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spacing w:after="0"/>
              <w:rPr>
                <w:sz w:val="19"/>
                <w:szCs w:val="19"/>
                <w:color w:val="auto"/>
              </w:rPr>
            </w:pPr>
          </w:p>
        </w:tc>
        <w:tc>
          <w:tcPr>
            <w:tcW w:w="174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600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right w:val="single" w:sz="8" w:color="auto"/>
            </w:tcBorders>
          </w:tcPr>
          <w:p>
            <w:pPr>
              <w:spacing w:after="0"/>
              <w:rPr>
                <w:sz w:val="24"/>
                <w:szCs w:val="24"/>
                <w:color w:val="auto"/>
              </w:rPr>
            </w:pPr>
          </w:p>
        </w:tc>
        <w:tc>
          <w:tcPr>
            <w:tcW w:w="60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238,070</w:t>
            </w: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238,070</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20" w:type="dxa"/>
            <w:vAlign w:val="bottom"/>
            <w:tcBorders>
              <w:right w:val="single" w:sz="8" w:color="auto"/>
            </w:tcBorders>
          </w:tcPr>
          <w:p>
            <w:pPr>
              <w:ind w:left="56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20" w:type="dxa"/>
            <w:vAlign w:val="bottom"/>
            <w:tcBorders>
              <w:bottom w:val="single" w:sz="8" w:color="auto"/>
              <w:right w:val="single" w:sz="8" w:color="auto"/>
            </w:tcBorders>
          </w:tcPr>
          <w:p>
            <w:pPr>
              <w:spacing w:after="0"/>
              <w:rPr>
                <w:sz w:val="12"/>
                <w:szCs w:val="12"/>
                <w:color w:val="auto"/>
              </w:rPr>
            </w:pPr>
          </w:p>
        </w:tc>
        <w:tc>
          <w:tcPr>
            <w:tcW w:w="7740" w:type="dxa"/>
            <w:vAlign w:val="bottom"/>
            <w:tcBorders>
              <w:bottom w:val="single" w:sz="8" w:color="auto"/>
            </w:tcBorders>
            <w:gridSpan w:val="2"/>
          </w:tcPr>
          <w:p>
            <w:pPr>
              <w:spacing w:after="0"/>
              <w:rPr>
                <w:sz w:val="12"/>
                <w:szCs w:val="12"/>
                <w:color w:val="auto"/>
              </w:rPr>
            </w:pPr>
          </w:p>
        </w:tc>
        <w:tc>
          <w:tcPr>
            <w:tcW w:w="192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Less than 1%</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4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2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17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6000" w:type="dxa"/>
            <w:vAlign w:val="bottom"/>
            <w:tcBorders>
              <w:bottom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20" w:type="dxa"/>
            <w:vAlign w:val="bottom"/>
            <w:tcBorders>
              <w:bottom w:val="single" w:sz="8" w:color="auto"/>
              <w:right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60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00" w:type="dxa"/>
            <w:vAlign w:val="bottom"/>
          </w:tcPr>
          <w:p>
            <w:pPr>
              <w:ind w:left="2160"/>
              <w:spacing w:after="0"/>
              <w:rPr>
                <w:sz w:val="20"/>
                <w:szCs w:val="20"/>
                <w:color w:val="auto"/>
              </w:rPr>
            </w:pPr>
            <w:r>
              <w:rPr>
                <w:rFonts w:ascii="Arial" w:cs="Arial" w:eastAsia="Arial" w:hAnsi="Arial"/>
                <w:sz w:val="18"/>
                <w:szCs w:val="18"/>
                <w:color w:val="auto"/>
              </w:rPr>
              <w:t>5</w:t>
            </w:r>
          </w:p>
        </w:tc>
        <w:tc>
          <w:tcPr>
            <w:tcW w:w="192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1740" w:type="dxa"/>
            <w:vAlign w:val="bottom"/>
            <w:tcBorders>
              <w:bottom w:val="single" w:sz="8" w:color="808080"/>
            </w:tcBorders>
          </w:tcPr>
          <w:p>
            <w:pPr>
              <w:spacing w:after="0"/>
              <w:rPr>
                <w:sz w:val="10"/>
                <w:szCs w:val="10"/>
                <w:color w:val="auto"/>
              </w:rPr>
            </w:pPr>
          </w:p>
        </w:tc>
        <w:tc>
          <w:tcPr>
            <w:tcW w:w="6000" w:type="dxa"/>
            <w:vAlign w:val="bottom"/>
            <w:tcBorders>
              <w:bottom w:val="single" w:sz="8" w:color="808080"/>
            </w:tcBorders>
          </w:tcPr>
          <w:p>
            <w:pPr>
              <w:spacing w:after="0"/>
              <w:rPr>
                <w:sz w:val="10"/>
                <w:szCs w:val="10"/>
                <w:color w:val="auto"/>
              </w:rPr>
            </w:pPr>
          </w:p>
        </w:tc>
        <w:tc>
          <w:tcPr>
            <w:tcW w:w="19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BVF Partners L.P.</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PN, IA</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6</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BVF Inc.</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Delaware</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CO</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7</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09627Y109</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700" w:type="dxa"/>
            <w:vAlign w:val="bottom"/>
            <w:tcBorders>
              <w:top w:val="single" w:sz="8" w:color="auto"/>
              <w:bottom w:val="single" w:sz="8" w:color="auto"/>
              <w:right w:val="single" w:sz="8" w:color="auto"/>
            </w:tcBorders>
          </w:tcPr>
          <w:p>
            <w:pPr>
              <w:spacing w:after="0"/>
              <w:rPr>
                <w:sz w:val="3"/>
                <w:szCs w:val="3"/>
                <w:color w:val="auto"/>
              </w:rPr>
            </w:pPr>
          </w:p>
        </w:tc>
        <w:tc>
          <w:tcPr>
            <w:tcW w:w="1720" w:type="dxa"/>
            <w:vAlign w:val="bottom"/>
            <w:tcBorders>
              <w:top w:val="single" w:sz="8" w:color="auto"/>
              <w:bottom w:val="single" w:sz="8" w:color="auto"/>
            </w:tcBorders>
          </w:tcPr>
          <w:p>
            <w:pPr>
              <w:spacing w:after="0"/>
              <w:rPr>
                <w:sz w:val="3"/>
                <w:szCs w:val="3"/>
                <w:color w:val="auto"/>
              </w:rPr>
            </w:pPr>
          </w:p>
        </w:tc>
        <w:tc>
          <w:tcPr>
            <w:tcW w:w="5980" w:type="dxa"/>
            <w:vAlign w:val="bottom"/>
            <w:tcBorders>
              <w:top w:val="single" w:sz="8" w:color="auto"/>
              <w:bottom w:val="single" w:sz="8" w:color="auto"/>
            </w:tcBorders>
          </w:tcPr>
          <w:p>
            <w:pPr>
              <w:spacing w:after="0"/>
              <w:rPr>
                <w:sz w:val="3"/>
                <w:szCs w:val="3"/>
                <w:color w:val="auto"/>
              </w:rPr>
            </w:pPr>
          </w:p>
        </w:tc>
        <w:tc>
          <w:tcPr>
            <w:tcW w:w="1980" w:type="dxa"/>
            <w:vAlign w:val="bottom"/>
            <w:tcBorders>
              <w:top w:val="single" w:sz="8" w:color="auto"/>
              <w:bottom w:val="single" w:sz="8" w:color="auto"/>
              <w:right w:val="single" w:sz="8" w:color="auto"/>
            </w:tcBorders>
          </w:tcPr>
          <w:p>
            <w:pPr>
              <w:spacing w:after="0"/>
              <w:rPr>
                <w:sz w:val="3"/>
                <w:szCs w:val="3"/>
                <w:color w:val="auto"/>
              </w:rPr>
            </w:pPr>
          </w:p>
        </w:tc>
      </w:tr>
      <w:tr>
        <w:trPr>
          <w:trHeight w:val="211"/>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NAME OF REPORTING PERSON</w:t>
            </w:r>
          </w:p>
        </w:tc>
        <w:tc>
          <w:tcPr>
            <w:tcW w:w="1980" w:type="dxa"/>
            <w:vAlign w:val="bottom"/>
            <w:tcBorders>
              <w:right w:val="single" w:sz="8" w:color="auto"/>
            </w:tcBorders>
          </w:tcPr>
          <w:p>
            <w:pPr>
              <w:spacing w:after="0"/>
              <w:rPr>
                <w:sz w:val="18"/>
                <w:szCs w:val="18"/>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Mark N. Lampert</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2</w:t>
            </w:r>
          </w:p>
        </w:tc>
        <w:tc>
          <w:tcPr>
            <w:tcW w:w="7700" w:type="dxa"/>
            <w:vAlign w:val="bottom"/>
            <w:gridSpan w:val="2"/>
          </w:tcPr>
          <w:p>
            <w:pPr>
              <w:ind w:left="100"/>
              <w:spacing w:after="0" w:line="195" w:lineRule="exact"/>
              <w:rPr>
                <w:sz w:val="20"/>
                <w:szCs w:val="20"/>
                <w:color w:val="auto"/>
              </w:rPr>
            </w:pPr>
            <w:r>
              <w:rPr>
                <w:rFonts w:ascii="Arial" w:cs="Arial" w:eastAsia="Arial" w:hAnsi="Arial"/>
                <w:sz w:val="18"/>
                <w:szCs w:val="18"/>
                <w:color w:val="auto"/>
              </w:rPr>
              <w:t>CHECK THE APPROPRIATE BOX IF A MEMBER OF A GROUP</w:t>
            </w:r>
          </w:p>
        </w:tc>
        <w:tc>
          <w:tcPr>
            <w:tcW w:w="1980" w:type="dxa"/>
            <w:vAlign w:val="bottom"/>
            <w:tcBorders>
              <w:right w:val="single" w:sz="8" w:color="auto"/>
            </w:tcBorders>
          </w:tcPr>
          <w:p>
            <w:pPr>
              <w:ind w:left="600"/>
              <w:spacing w:after="0" w:line="195" w:lineRule="exact"/>
              <w:rPr>
                <w:sz w:val="20"/>
                <w:szCs w:val="20"/>
                <w:color w:val="auto"/>
              </w:rPr>
            </w:pPr>
            <w:r>
              <w:rPr>
                <w:rFonts w:ascii="Arial" w:cs="Arial" w:eastAsia="Arial" w:hAnsi="Arial"/>
                <w:sz w:val="18"/>
                <w:szCs w:val="18"/>
                <w:color w:val="auto"/>
              </w:rPr>
              <w:t>(a) x</w:t>
            </w: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720" w:type="dxa"/>
            <w:vAlign w:val="bottom"/>
            <w:tcBorders>
              <w:bottom w:val="single" w:sz="8" w:color="auto"/>
            </w:tcBorders>
          </w:tcPr>
          <w:p>
            <w:pPr>
              <w:spacing w:after="0"/>
              <w:rPr>
                <w:sz w:val="20"/>
                <w:szCs w:val="20"/>
                <w:color w:val="auto"/>
              </w:rPr>
            </w:pPr>
          </w:p>
        </w:tc>
        <w:tc>
          <w:tcPr>
            <w:tcW w:w="5980" w:type="dxa"/>
            <w:vAlign w:val="bottom"/>
            <w:tcBorders>
              <w:bottom w:val="single" w:sz="8" w:color="auto"/>
            </w:tcBorders>
          </w:tcPr>
          <w:p>
            <w:pPr>
              <w:spacing w:after="0"/>
              <w:rPr>
                <w:sz w:val="20"/>
                <w:szCs w:val="20"/>
                <w:color w:val="auto"/>
              </w:rPr>
            </w:pPr>
          </w:p>
        </w:tc>
        <w:tc>
          <w:tcPr>
            <w:tcW w:w="1980" w:type="dxa"/>
            <w:vAlign w:val="bottom"/>
            <w:tcBorders>
              <w:bottom w:val="single" w:sz="8" w:color="auto"/>
              <w:right w:val="single" w:sz="8" w:color="auto"/>
            </w:tcBorders>
          </w:tcPr>
          <w:p>
            <w:pPr>
              <w:ind w:left="600"/>
              <w:spacing w:after="0"/>
              <w:rPr>
                <w:sz w:val="20"/>
                <w:szCs w:val="20"/>
                <w:color w:val="auto"/>
              </w:rPr>
            </w:pPr>
            <w:r>
              <w:rPr>
                <w:rFonts w:ascii="Arial" w:cs="Arial" w:eastAsia="Arial" w:hAnsi="Arial"/>
                <w:sz w:val="18"/>
                <w:szCs w:val="18"/>
                <w:color w:val="auto"/>
              </w:rPr>
              <w:t>(b) o</w:t>
            </w: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1720" w:type="dxa"/>
            <w:vAlign w:val="bottom"/>
          </w:tcPr>
          <w:p>
            <w:pPr>
              <w:ind w:left="100"/>
              <w:spacing w:after="0"/>
              <w:rPr>
                <w:sz w:val="20"/>
                <w:szCs w:val="20"/>
                <w:color w:val="auto"/>
              </w:rPr>
            </w:pPr>
            <w:r>
              <w:rPr>
                <w:rFonts w:ascii="Arial" w:cs="Arial" w:eastAsia="Arial" w:hAnsi="Arial"/>
                <w:sz w:val="18"/>
                <w:szCs w:val="18"/>
                <w:color w:val="auto"/>
              </w:rPr>
              <w:t>SEC USE ONLY</w:t>
            </w:r>
          </w:p>
        </w:tc>
        <w:tc>
          <w:tcPr>
            <w:tcW w:w="5980" w:type="dxa"/>
            <w:vAlign w:val="bottom"/>
          </w:tcPr>
          <w:p>
            <w:pPr>
              <w:spacing w:after="0"/>
              <w:rPr>
                <w:sz w:val="19"/>
                <w:szCs w:val="19"/>
                <w:color w:val="auto"/>
              </w:rPr>
            </w:pPr>
          </w:p>
        </w:tc>
        <w:tc>
          <w:tcPr>
            <w:tcW w:w="1980" w:type="dxa"/>
            <w:vAlign w:val="bottom"/>
            <w:tcBorders>
              <w:right w:val="single" w:sz="8" w:color="auto"/>
            </w:tcBorders>
          </w:tcPr>
          <w:p>
            <w:pPr>
              <w:spacing w:after="0"/>
              <w:rPr>
                <w:sz w:val="19"/>
                <w:szCs w:val="19"/>
                <w:color w:val="auto"/>
              </w:rPr>
            </w:pPr>
          </w:p>
        </w:tc>
      </w:tr>
      <w:tr>
        <w:trPr>
          <w:trHeight w:val="202"/>
        </w:trPr>
        <w:tc>
          <w:tcPr>
            <w:tcW w:w="40" w:type="dxa"/>
            <w:vAlign w:val="bottom"/>
            <w:tcBorders>
              <w:bottom w:val="single" w:sz="8" w:color="auto"/>
              <w:right w:val="single" w:sz="8" w:color="auto"/>
            </w:tcBorders>
            <w:shd w:val="clear" w:color="auto" w:fill="000000"/>
          </w:tcPr>
          <w:p>
            <w:pPr>
              <w:spacing w:after="0"/>
              <w:rPr>
                <w:sz w:val="17"/>
                <w:szCs w:val="17"/>
                <w:color w:val="auto"/>
              </w:rPr>
            </w:pPr>
          </w:p>
        </w:tc>
        <w:tc>
          <w:tcPr>
            <w:tcW w:w="170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5980" w:type="dxa"/>
            <w:vAlign w:val="bottom"/>
            <w:tcBorders>
              <w:bottom w:val="single" w:sz="8" w:color="auto"/>
            </w:tcBorders>
          </w:tcPr>
          <w:p>
            <w:pPr>
              <w:spacing w:after="0"/>
              <w:rPr>
                <w:sz w:val="17"/>
                <w:szCs w:val="17"/>
                <w:color w:val="auto"/>
              </w:rPr>
            </w:pPr>
          </w:p>
        </w:tc>
        <w:tc>
          <w:tcPr>
            <w:tcW w:w="1980" w:type="dxa"/>
            <w:vAlign w:val="bottom"/>
            <w:tcBorders>
              <w:bottom w:val="single" w:sz="8" w:color="auto"/>
              <w:right w:val="single" w:sz="8" w:color="auto"/>
            </w:tcBorders>
          </w:tcPr>
          <w:p>
            <w:pPr>
              <w:spacing w:after="0"/>
              <w:rPr>
                <w:sz w:val="17"/>
                <w:szCs w:val="17"/>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CITIZENSHIP OR PLACE OF ORGANIZATION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United States</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195"/>
        </w:trPr>
        <w:tc>
          <w:tcPr>
            <w:tcW w:w="40" w:type="dxa"/>
            <w:vAlign w:val="bottom"/>
            <w:tcBorders>
              <w:right w:val="single" w:sz="8" w:color="auto"/>
            </w:tcBorders>
            <w:shd w:val="clear" w:color="auto" w:fill="000000"/>
          </w:tcPr>
          <w:p>
            <w:pPr>
              <w:spacing w:after="0"/>
              <w:rPr>
                <w:sz w:val="16"/>
                <w:szCs w:val="16"/>
                <w:color w:val="auto"/>
              </w:rPr>
            </w:pPr>
          </w:p>
        </w:tc>
        <w:tc>
          <w:tcPr>
            <w:tcW w:w="1700" w:type="dxa"/>
            <w:vAlign w:val="bottom"/>
            <w:tcBorders>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6"/>
              </w:rPr>
              <w:t>NUMBER OF</w:t>
            </w:r>
          </w:p>
        </w:tc>
        <w:tc>
          <w:tcPr>
            <w:tcW w:w="1720" w:type="dxa"/>
            <w:vAlign w:val="bottom"/>
            <w:tcBorders>
              <w:right w:val="single" w:sz="8" w:color="auto"/>
            </w:tcBorders>
          </w:tcPr>
          <w:p>
            <w:pPr>
              <w:ind w:left="800"/>
              <w:spacing w:after="0" w:line="195" w:lineRule="exact"/>
              <w:rPr>
                <w:sz w:val="20"/>
                <w:szCs w:val="20"/>
                <w:color w:val="auto"/>
              </w:rPr>
            </w:pPr>
            <w:r>
              <w:rPr>
                <w:rFonts w:ascii="Arial" w:cs="Arial" w:eastAsia="Arial" w:hAnsi="Arial"/>
                <w:sz w:val="18"/>
                <w:szCs w:val="18"/>
                <w:color w:val="auto"/>
              </w:rPr>
              <w:t>5</w:t>
            </w:r>
          </w:p>
        </w:tc>
        <w:tc>
          <w:tcPr>
            <w:tcW w:w="5980" w:type="dxa"/>
            <w:vAlign w:val="bottom"/>
          </w:tcPr>
          <w:p>
            <w:pPr>
              <w:ind w:left="100"/>
              <w:spacing w:after="0" w:line="195" w:lineRule="exact"/>
              <w:rPr>
                <w:sz w:val="20"/>
                <w:szCs w:val="20"/>
                <w:color w:val="auto"/>
              </w:rPr>
            </w:pPr>
            <w:r>
              <w:rPr>
                <w:rFonts w:ascii="Arial" w:cs="Arial" w:eastAsia="Arial" w:hAnsi="Arial"/>
                <w:sz w:val="18"/>
                <w:szCs w:val="18"/>
                <w:color w:val="auto"/>
              </w:rPr>
              <w:t>SOLE VOTING POWER</w:t>
            </w:r>
          </w:p>
        </w:tc>
        <w:tc>
          <w:tcPr>
            <w:tcW w:w="19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30"/>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0"/>
                <w:szCs w:val="20"/>
                <w:color w:val="auto"/>
              </w:rPr>
            </w:pPr>
          </w:p>
        </w:tc>
      </w:tr>
      <w:tr>
        <w:trPr>
          <w:trHeight w:val="182"/>
        </w:trPr>
        <w:tc>
          <w:tcPr>
            <w:tcW w:w="40" w:type="dxa"/>
            <w:vAlign w:val="bottom"/>
            <w:tcBorders>
              <w:right w:val="single" w:sz="8" w:color="auto"/>
            </w:tcBorders>
            <w:shd w:val="clear" w:color="auto" w:fill="000000"/>
          </w:tcPr>
          <w:p>
            <w:pPr>
              <w:spacing w:after="0"/>
              <w:rPr>
                <w:sz w:val="15"/>
                <w:szCs w:val="15"/>
                <w:color w:val="auto"/>
              </w:rPr>
            </w:pPr>
          </w:p>
        </w:tc>
        <w:tc>
          <w:tcPr>
            <w:tcW w:w="1700" w:type="dxa"/>
            <w:vAlign w:val="bottom"/>
            <w:tcBorders>
              <w:right w:val="single" w:sz="8" w:color="auto"/>
            </w:tcBorders>
          </w:tcPr>
          <w:p>
            <w:pPr>
              <w:jc w:val="center"/>
              <w:spacing w:after="0" w:line="182" w:lineRule="exact"/>
              <w:rPr>
                <w:sz w:val="20"/>
                <w:szCs w:val="20"/>
                <w:color w:val="auto"/>
              </w:rPr>
            </w:pPr>
            <w:r>
              <w:rPr>
                <w:rFonts w:ascii="Arial" w:cs="Arial" w:eastAsia="Arial" w:hAnsi="Arial"/>
                <w:sz w:val="18"/>
                <w:szCs w:val="18"/>
                <w:color w:val="auto"/>
                <w:w w:val="97"/>
              </w:rPr>
              <w:t>OWNED BY EACH</w:t>
            </w:r>
          </w:p>
        </w:tc>
        <w:tc>
          <w:tcPr>
            <w:tcW w:w="1720" w:type="dxa"/>
            <w:vAlign w:val="bottom"/>
            <w:tcBorders>
              <w:right w:val="single" w:sz="8" w:color="auto"/>
            </w:tcBorders>
          </w:tcPr>
          <w:p>
            <w:pPr>
              <w:ind w:left="800"/>
              <w:spacing w:after="0" w:line="182" w:lineRule="exact"/>
              <w:rPr>
                <w:sz w:val="20"/>
                <w:szCs w:val="20"/>
                <w:color w:val="auto"/>
              </w:rPr>
            </w:pPr>
            <w:r>
              <w:rPr>
                <w:rFonts w:ascii="Arial" w:cs="Arial" w:eastAsia="Arial" w:hAnsi="Arial"/>
                <w:sz w:val="18"/>
                <w:szCs w:val="18"/>
                <w:color w:val="auto"/>
              </w:rPr>
              <w:t>6</w:t>
            </w:r>
          </w:p>
        </w:tc>
        <w:tc>
          <w:tcPr>
            <w:tcW w:w="5980" w:type="dxa"/>
            <w:vAlign w:val="bottom"/>
          </w:tcPr>
          <w:p>
            <w:pPr>
              <w:ind w:left="100"/>
              <w:spacing w:after="0" w:line="182" w:lineRule="exact"/>
              <w:rPr>
                <w:sz w:val="20"/>
                <w:szCs w:val="20"/>
                <w:color w:val="auto"/>
              </w:rPr>
            </w:pPr>
            <w:r>
              <w:rPr>
                <w:rFonts w:ascii="Arial" w:cs="Arial" w:eastAsia="Arial" w:hAnsi="Arial"/>
                <w:sz w:val="18"/>
                <w:szCs w:val="18"/>
                <w:color w:val="auto"/>
              </w:rPr>
              <w:t>SHARED VOTING POWER</w:t>
            </w:r>
          </w:p>
        </w:tc>
        <w:tc>
          <w:tcPr>
            <w:tcW w:w="1980" w:type="dxa"/>
            <w:vAlign w:val="bottom"/>
            <w:tcBorders>
              <w:right w:val="single" w:sz="8" w:color="auto"/>
            </w:tcBorders>
          </w:tcPr>
          <w:p>
            <w:pPr>
              <w:spacing w:after="0"/>
              <w:rPr>
                <w:sz w:val="15"/>
                <w:szCs w:val="15"/>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1720" w:type="dxa"/>
            <w:vAlign w:val="bottom"/>
            <w:tcBorders>
              <w:right w:val="single" w:sz="8" w:color="auto"/>
            </w:tcBorders>
          </w:tcPr>
          <w:p>
            <w:pPr>
              <w:spacing w:after="0"/>
              <w:rPr>
                <w:sz w:val="18"/>
                <w:szCs w:val="18"/>
                <w:color w:val="auto"/>
              </w:rPr>
            </w:pPr>
          </w:p>
        </w:tc>
        <w:tc>
          <w:tcPr>
            <w:tcW w:w="5980" w:type="dxa"/>
            <w:vAlign w:val="bottom"/>
          </w:tcPr>
          <w:p>
            <w:pPr>
              <w:spacing w:after="0"/>
              <w:rPr>
                <w:sz w:val="18"/>
                <w:szCs w:val="18"/>
                <w:color w:val="auto"/>
              </w:rPr>
            </w:pPr>
          </w:p>
        </w:tc>
        <w:tc>
          <w:tcPr>
            <w:tcW w:w="1980" w:type="dxa"/>
            <w:vAlign w:val="bottom"/>
            <w:tcBorders>
              <w:right w:val="single" w:sz="8" w:color="auto"/>
            </w:tcBorders>
          </w:tcPr>
          <w:p>
            <w:pPr>
              <w:spacing w:after="0"/>
              <w:rPr>
                <w:sz w:val="18"/>
                <w:szCs w:val="18"/>
                <w:color w:val="auto"/>
              </w:rPr>
            </w:pPr>
          </w:p>
        </w:tc>
      </w:tr>
      <w:tr>
        <w:trPr>
          <w:trHeight w:val="244"/>
        </w:trPr>
        <w:tc>
          <w:tcPr>
            <w:tcW w:w="40" w:type="dxa"/>
            <w:vAlign w:val="bottom"/>
            <w:tcBorders>
              <w:bottom w:val="single" w:sz="8" w:color="auto"/>
              <w:right w:val="single" w:sz="8" w:color="auto"/>
            </w:tcBorders>
            <w:shd w:val="clear" w:color="auto" w:fill="000000"/>
          </w:tcPr>
          <w:p>
            <w:pPr>
              <w:spacing w:after="0"/>
              <w:rPr>
                <w:sz w:val="21"/>
                <w:szCs w:val="21"/>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1720" w:type="dxa"/>
            <w:vAlign w:val="bottom"/>
            <w:tcBorders>
              <w:bottom w:val="single" w:sz="8" w:color="auto"/>
              <w:right w:val="single" w:sz="8" w:color="auto"/>
            </w:tcBorders>
          </w:tcPr>
          <w:p>
            <w:pPr>
              <w:spacing w:after="0"/>
              <w:rPr>
                <w:sz w:val="21"/>
                <w:szCs w:val="21"/>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1980" w:type="dxa"/>
            <w:vAlign w:val="bottom"/>
            <w:tcBorders>
              <w:bottom w:val="single" w:sz="8" w:color="auto"/>
              <w:right w:val="single" w:sz="8" w:color="auto"/>
            </w:tcBorders>
          </w:tcPr>
          <w:p>
            <w:pPr>
              <w:spacing w:after="0"/>
              <w:rPr>
                <w:sz w:val="21"/>
                <w:szCs w:val="21"/>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7</w:t>
            </w:r>
          </w:p>
        </w:tc>
        <w:tc>
          <w:tcPr>
            <w:tcW w:w="5980" w:type="dxa"/>
            <w:vAlign w:val="bottom"/>
          </w:tcPr>
          <w:p>
            <w:pPr>
              <w:ind w:left="100"/>
              <w:spacing w:after="0"/>
              <w:rPr>
                <w:sz w:val="20"/>
                <w:szCs w:val="20"/>
                <w:color w:val="auto"/>
              </w:rPr>
            </w:pPr>
            <w:r>
              <w:rPr>
                <w:rFonts w:ascii="Arial" w:cs="Arial" w:eastAsia="Arial" w:hAnsi="Arial"/>
                <w:sz w:val="18"/>
                <w:szCs w:val="18"/>
                <w:color w:val="auto"/>
              </w:rPr>
              <w:t>SOLE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0 shares</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spacing w:after="0"/>
              <w:rPr>
                <w:sz w:val="19"/>
                <w:szCs w:val="19"/>
                <w:color w:val="auto"/>
              </w:rPr>
            </w:pPr>
          </w:p>
        </w:tc>
        <w:tc>
          <w:tcPr>
            <w:tcW w:w="1720" w:type="dxa"/>
            <w:vAlign w:val="bottom"/>
            <w:tcBorders>
              <w:right w:val="single" w:sz="8" w:color="auto"/>
            </w:tcBorders>
          </w:tcPr>
          <w:p>
            <w:pPr>
              <w:ind w:left="800"/>
              <w:spacing w:after="0"/>
              <w:rPr>
                <w:sz w:val="20"/>
                <w:szCs w:val="20"/>
                <w:color w:val="auto"/>
              </w:rPr>
            </w:pPr>
            <w:r>
              <w:rPr>
                <w:rFonts w:ascii="Arial" w:cs="Arial" w:eastAsia="Arial" w:hAnsi="Arial"/>
                <w:sz w:val="18"/>
                <w:szCs w:val="18"/>
                <w:color w:val="auto"/>
              </w:rPr>
              <w:t>8</w:t>
            </w:r>
          </w:p>
        </w:tc>
        <w:tc>
          <w:tcPr>
            <w:tcW w:w="5980" w:type="dxa"/>
            <w:vAlign w:val="bottom"/>
          </w:tcPr>
          <w:p>
            <w:pPr>
              <w:ind w:left="100"/>
              <w:spacing w:after="0"/>
              <w:rPr>
                <w:sz w:val="20"/>
                <w:szCs w:val="20"/>
                <w:color w:val="auto"/>
              </w:rPr>
            </w:pPr>
            <w:r>
              <w:rPr>
                <w:rFonts w:ascii="Arial" w:cs="Arial" w:eastAsia="Arial" w:hAnsi="Arial"/>
                <w:sz w:val="18"/>
                <w:szCs w:val="18"/>
                <w:color w:val="auto"/>
              </w:rPr>
              <w:t>SHARED DISPOSITIVE POWER</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59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9</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3,255,280</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77"/>
        </w:trPr>
        <w:tc>
          <w:tcPr>
            <w:tcW w:w="40" w:type="dxa"/>
            <w:vAlign w:val="bottom"/>
            <w:tcBorders>
              <w:right w:val="single" w:sz="8" w:color="auto"/>
            </w:tcBorders>
            <w:shd w:val="clear" w:color="auto" w:fill="000000"/>
          </w:tcPr>
          <w:p>
            <w:pPr>
              <w:spacing w:after="0"/>
              <w:rPr>
                <w:sz w:val="24"/>
                <w:szCs w:val="24"/>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1980" w:type="dxa"/>
            <w:vAlign w:val="bottom"/>
            <w:tcBorders>
              <w:right w:val="single" w:sz="8" w:color="auto"/>
            </w:tcBorders>
          </w:tcPr>
          <w:p>
            <w:pPr>
              <w:ind w:left="500"/>
              <w:spacing w:after="0" w:line="181" w:lineRule="exact"/>
              <w:rPr>
                <w:sz w:val="20"/>
                <w:szCs w:val="20"/>
                <w:color w:val="auto"/>
              </w:rPr>
            </w:pPr>
            <w:r>
              <w:rPr>
                <w:rFonts w:ascii="MS PGothic" w:cs="MS PGothic" w:eastAsia="MS PGothic" w:hAnsi="MS PGothic"/>
                <w:sz w:val="18"/>
                <w:szCs w:val="18"/>
                <w:color w:val="auto"/>
              </w:rPr>
              <w:t>☐</w:t>
            </w:r>
          </w:p>
        </w:tc>
      </w:tr>
      <w:tr>
        <w:trPr>
          <w:trHeight w:val="149"/>
        </w:trPr>
        <w:tc>
          <w:tcPr>
            <w:tcW w:w="40" w:type="dxa"/>
            <w:vAlign w:val="bottom"/>
            <w:tcBorders>
              <w:bottom w:val="single" w:sz="8" w:color="auto"/>
              <w:right w:val="single" w:sz="8" w:color="auto"/>
            </w:tcBorders>
            <w:shd w:val="clear" w:color="auto" w:fill="000000"/>
          </w:tcPr>
          <w:p>
            <w:pPr>
              <w:spacing w:after="0"/>
              <w:rPr>
                <w:sz w:val="12"/>
                <w:szCs w:val="12"/>
                <w:color w:val="auto"/>
              </w:rPr>
            </w:pPr>
          </w:p>
        </w:tc>
        <w:tc>
          <w:tcPr>
            <w:tcW w:w="1700" w:type="dxa"/>
            <w:vAlign w:val="bottom"/>
            <w:tcBorders>
              <w:bottom w:val="single" w:sz="8" w:color="auto"/>
              <w:right w:val="single" w:sz="8" w:color="auto"/>
            </w:tcBorders>
          </w:tcPr>
          <w:p>
            <w:pPr>
              <w:spacing w:after="0"/>
              <w:rPr>
                <w:sz w:val="12"/>
                <w:szCs w:val="12"/>
                <w:color w:val="auto"/>
              </w:rPr>
            </w:pPr>
          </w:p>
        </w:tc>
        <w:tc>
          <w:tcPr>
            <w:tcW w:w="7700" w:type="dxa"/>
            <w:vAlign w:val="bottom"/>
            <w:tcBorders>
              <w:bottom w:val="single" w:sz="8" w:color="auto"/>
            </w:tcBorders>
            <w:gridSpan w:val="2"/>
          </w:tcPr>
          <w:p>
            <w:pPr>
              <w:spacing w:after="0"/>
              <w:rPr>
                <w:sz w:val="12"/>
                <w:szCs w:val="12"/>
                <w:color w:val="auto"/>
              </w:rPr>
            </w:pPr>
          </w:p>
        </w:tc>
        <w:tc>
          <w:tcPr>
            <w:tcW w:w="1980" w:type="dxa"/>
            <w:vAlign w:val="bottom"/>
            <w:tcBorders>
              <w:bottom w:val="single" w:sz="8" w:color="auto"/>
              <w:right w:val="single" w:sz="8" w:color="auto"/>
            </w:tcBorders>
          </w:tcPr>
          <w:p>
            <w:pPr>
              <w:spacing w:after="0"/>
              <w:rPr>
                <w:sz w:val="12"/>
                <w:szCs w:val="12"/>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10.1%</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24"/>
        </w:trPr>
        <w:tc>
          <w:tcPr>
            <w:tcW w:w="40" w:type="dxa"/>
            <w:vAlign w:val="bottom"/>
            <w:tcBorders>
              <w:right w:val="single" w:sz="8" w:color="auto"/>
            </w:tcBorders>
            <w:shd w:val="clear" w:color="auto" w:fill="000000"/>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7700" w:type="dxa"/>
            <w:vAlign w:val="bottom"/>
            <w:gridSpan w:val="2"/>
          </w:tcPr>
          <w:p>
            <w:pPr>
              <w:ind w:left="100"/>
              <w:spacing w:after="0"/>
              <w:rPr>
                <w:sz w:val="20"/>
                <w:szCs w:val="20"/>
                <w:color w:val="auto"/>
              </w:rPr>
            </w:pPr>
            <w:r>
              <w:rPr>
                <w:rFonts w:ascii="Arial" w:cs="Arial" w:eastAsia="Arial" w:hAnsi="Arial"/>
                <w:sz w:val="18"/>
                <w:szCs w:val="18"/>
                <w:color w:val="auto"/>
              </w:rPr>
              <w:t>TYPE OF REPORTING PERSON</w:t>
            </w:r>
          </w:p>
        </w:tc>
        <w:tc>
          <w:tcPr>
            <w:tcW w:w="1980" w:type="dxa"/>
            <w:vAlign w:val="bottom"/>
            <w:tcBorders>
              <w:right w:val="single" w:sz="8" w:color="auto"/>
            </w:tcBorders>
          </w:tcPr>
          <w:p>
            <w:pPr>
              <w:spacing w:after="0"/>
              <w:rPr>
                <w:sz w:val="19"/>
                <w:szCs w:val="19"/>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17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IN</w:t>
            </w:r>
          </w:p>
        </w:tc>
        <w:tc>
          <w:tcPr>
            <w:tcW w:w="5980" w:type="dxa"/>
            <w:vAlign w:val="bottom"/>
            <w:tcBorders>
              <w:bottom w:val="single" w:sz="8" w:color="auto"/>
            </w:tcBorders>
          </w:tcPr>
          <w:p>
            <w:pPr>
              <w:spacing w:after="0"/>
              <w:rPr>
                <w:sz w:val="24"/>
                <w:szCs w:val="24"/>
                <w:color w:val="auto"/>
              </w:rPr>
            </w:pPr>
          </w:p>
        </w:tc>
        <w:tc>
          <w:tcPr>
            <w:tcW w:w="1980" w:type="dxa"/>
            <w:vAlign w:val="bottom"/>
            <w:tcBorders>
              <w:bottom w:val="single" w:sz="8" w:color="auto"/>
              <w:right w:val="single" w:sz="8" w:color="auto"/>
            </w:tcBorders>
          </w:tcPr>
          <w:p>
            <w:pPr>
              <w:spacing w:after="0"/>
              <w:rPr>
                <w:sz w:val="24"/>
                <w:szCs w:val="24"/>
                <w:color w:val="auto"/>
              </w:rPr>
            </w:pPr>
          </w:p>
        </w:tc>
      </w:tr>
      <w:tr>
        <w:trPr>
          <w:trHeight w:val="21"/>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700" w:type="dxa"/>
            <w:vAlign w:val="bottom"/>
            <w:tcBorders>
              <w:bottom w:val="single" w:sz="8" w:color="auto"/>
              <w:right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59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right w:val="single" w:sz="8" w:color="auto"/>
            </w:tcBorders>
          </w:tcPr>
          <w:p>
            <w:pPr>
              <w:spacing w:after="0" w:line="20" w:lineRule="exact"/>
              <w:rPr>
                <w:sz w:val="1"/>
                <w:szCs w:val="1"/>
                <w:color w:val="auto"/>
              </w:rPr>
            </w:pPr>
          </w:p>
        </w:tc>
      </w:tr>
      <w:tr>
        <w:trPr>
          <w:trHeight w:val="696"/>
        </w:trPr>
        <w:tc>
          <w:tcPr>
            <w:tcW w:w="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980" w:type="dxa"/>
            <w:vAlign w:val="bottom"/>
          </w:tcPr>
          <w:p>
            <w:pPr>
              <w:ind w:left="2200"/>
              <w:spacing w:after="0"/>
              <w:rPr>
                <w:sz w:val="20"/>
                <w:szCs w:val="20"/>
                <w:color w:val="auto"/>
              </w:rPr>
            </w:pPr>
            <w:r>
              <w:rPr>
                <w:rFonts w:ascii="Arial" w:cs="Arial" w:eastAsia="Arial" w:hAnsi="Arial"/>
                <w:sz w:val="18"/>
                <w:szCs w:val="18"/>
                <w:color w:val="auto"/>
              </w:rPr>
              <w:t>8</w:t>
            </w:r>
          </w:p>
        </w:tc>
        <w:tc>
          <w:tcPr>
            <w:tcW w:w="1980" w:type="dxa"/>
            <w:vAlign w:val="bottom"/>
          </w:tcPr>
          <w:p>
            <w:pPr>
              <w:spacing w:after="0"/>
              <w:rPr>
                <w:sz w:val="24"/>
                <w:szCs w:val="24"/>
                <w:color w:val="auto"/>
              </w:rPr>
            </w:pPr>
          </w:p>
        </w:tc>
      </w:tr>
      <w:tr>
        <w:trPr>
          <w:trHeight w:val="118"/>
        </w:trPr>
        <w:tc>
          <w:tcPr>
            <w:tcW w:w="40" w:type="dxa"/>
            <w:vAlign w:val="bottom"/>
            <w:tcBorders>
              <w:bottom w:val="single" w:sz="8" w:color="808080"/>
            </w:tcBorders>
          </w:tcPr>
          <w:p>
            <w:pPr>
              <w:spacing w:after="0"/>
              <w:rPr>
                <w:sz w:val="10"/>
                <w:szCs w:val="10"/>
                <w:color w:val="auto"/>
              </w:rPr>
            </w:pPr>
          </w:p>
        </w:tc>
        <w:tc>
          <w:tcPr>
            <w:tcW w:w="1700" w:type="dxa"/>
            <w:vAlign w:val="bottom"/>
            <w:tcBorders>
              <w:bottom w:val="single" w:sz="8" w:color="808080"/>
            </w:tcBorders>
          </w:tcPr>
          <w:p>
            <w:pPr>
              <w:spacing w:after="0"/>
              <w:rPr>
                <w:sz w:val="10"/>
                <w:szCs w:val="10"/>
                <w:color w:val="auto"/>
              </w:rPr>
            </w:pPr>
          </w:p>
        </w:tc>
        <w:tc>
          <w:tcPr>
            <w:tcW w:w="1720" w:type="dxa"/>
            <w:vAlign w:val="bottom"/>
            <w:tcBorders>
              <w:bottom w:val="single" w:sz="8" w:color="808080"/>
            </w:tcBorders>
          </w:tcPr>
          <w:p>
            <w:pPr>
              <w:spacing w:after="0"/>
              <w:rPr>
                <w:sz w:val="10"/>
                <w:szCs w:val="10"/>
                <w:color w:val="auto"/>
              </w:rPr>
            </w:pPr>
          </w:p>
        </w:tc>
        <w:tc>
          <w:tcPr>
            <w:tcW w:w="5980" w:type="dxa"/>
            <w:vAlign w:val="bottom"/>
            <w:tcBorders>
              <w:bottom w:val="single" w:sz="8" w:color="808080"/>
            </w:tcBorders>
          </w:tcPr>
          <w:p>
            <w:pPr>
              <w:spacing w:after="0"/>
              <w:rPr>
                <w:sz w:val="10"/>
                <w:szCs w:val="10"/>
                <w:color w:val="auto"/>
              </w:rPr>
            </w:pPr>
          </w:p>
        </w:tc>
        <w:tc>
          <w:tcPr>
            <w:tcW w:w="19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Issuer:</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Blueprint Medicines Corporation, a Delaware corporation (the “Issuer”).</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Issuer's Principal Executive Offices: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38 Sidney Street, Suite 200</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Cambridge, Massachusetts 02139</w:t>
            </w:r>
          </w:p>
        </w:tc>
      </w:tr>
      <w:tr>
        <w:trPr>
          <w:trHeight w:val="445"/>
        </w:trPr>
        <w:tc>
          <w:tcPr>
            <w:tcW w:w="1020" w:type="dxa"/>
            <w:vAlign w:val="bottom"/>
          </w:tcPr>
          <w:p>
            <w:pPr>
              <w:spacing w:after="0"/>
              <w:rPr>
                <w:sz w:val="20"/>
                <w:szCs w:val="20"/>
                <w:color w:val="auto"/>
              </w:rPr>
            </w:pPr>
            <w:r>
              <w:rPr>
                <w:rFonts w:ascii="Arial" w:cs="Arial" w:eastAsia="Arial" w:hAnsi="Arial"/>
                <w:sz w:val="18"/>
                <w:szCs w:val="18"/>
                <w:color w:val="auto"/>
              </w:rPr>
              <w:t>Item 2(a).</w:t>
            </w:r>
          </w:p>
        </w:tc>
        <w:tc>
          <w:tcPr>
            <w:tcW w:w="10400" w:type="dxa"/>
            <w:vAlign w:val="bottom"/>
          </w:tcPr>
          <w:p>
            <w:pPr>
              <w:ind w:left="280"/>
              <w:spacing w:after="0"/>
              <w:rPr>
                <w:sz w:val="20"/>
                <w:szCs w:val="20"/>
                <w:color w:val="auto"/>
              </w:rPr>
            </w:pPr>
            <w:r>
              <w:rPr>
                <w:rFonts w:ascii="Arial" w:cs="Arial" w:eastAsia="Arial" w:hAnsi="Arial"/>
                <w:sz w:val="18"/>
                <w:szCs w:val="18"/>
                <w:color w:val="auto"/>
              </w:rPr>
              <w:t>Name of Person Filing</w:t>
            </w:r>
          </w:p>
        </w:tc>
      </w:t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Item 2(b).</w:t>
            </w:r>
          </w:p>
        </w:tc>
        <w:tc>
          <w:tcPr>
            <w:tcW w:w="10400" w:type="dxa"/>
            <w:vAlign w:val="bottom"/>
          </w:tcPr>
          <w:p>
            <w:pPr>
              <w:ind w:left="280"/>
              <w:spacing w:after="0"/>
              <w:rPr>
                <w:sz w:val="20"/>
                <w:szCs w:val="20"/>
                <w:color w:val="auto"/>
              </w:rPr>
            </w:pPr>
            <w:r>
              <w:rPr>
                <w:rFonts w:ascii="Arial" w:cs="Arial" w:eastAsia="Arial" w:hAnsi="Arial"/>
                <w:sz w:val="18"/>
                <w:szCs w:val="18"/>
                <w:color w:val="auto"/>
              </w:rPr>
              <w:t>Address of Principal Business Office or, if None, Residence</w:t>
            </w:r>
          </w:p>
        </w:tc>
      </w:t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2(c).</w:t>
            </w: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L.P. (“BVF”)</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Fund II, L.P. (“BVF2”)</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Biotechnology Value Trading Fund OS LP (“Trading Fund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OS Ltd. (“Partners OS”)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PO Box 309 Ugland House</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Grand Cayman, KY1-1104</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Cayman Islands</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Cayman Islands</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Partners L.P. (“Partners”)</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1 Sansome Street, 30th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BVF Inc.</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Delaware</w:t>
            </w:r>
          </w:p>
        </w:tc>
      </w:tr>
      <w:tr>
        <w:trPr>
          <w:trHeight w:val="445"/>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Mark N. Lampert (“Mr. Lampert”)</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line="216" w:lineRule="exact"/>
              <w:rPr>
                <w:sz w:val="20"/>
                <w:szCs w:val="20"/>
                <w:color w:val="auto"/>
              </w:rPr>
            </w:pPr>
            <w:r>
              <w:rPr>
                <w:rFonts w:ascii="Arial" w:cs="Arial" w:eastAsia="Arial" w:hAnsi="Arial"/>
                <w:sz w:val="18"/>
                <w:szCs w:val="18"/>
                <w:color w:val="auto"/>
              </w:rPr>
              <w:t>1 Sansome Street, 30</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Floor</w:t>
            </w:r>
          </w:p>
        </w:tc>
      </w:tr>
      <w:tr>
        <w:trPr>
          <w:trHeight w:val="216"/>
        </w:trPr>
        <w:tc>
          <w:tcPr>
            <w:tcW w:w="1020" w:type="dxa"/>
            <w:vAlign w:val="bottom"/>
          </w:tcPr>
          <w:p>
            <w:pPr>
              <w:spacing w:after="0"/>
              <w:rPr>
                <w:sz w:val="18"/>
                <w:szCs w:val="18"/>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San Francisco, California 94104</w:t>
            </w:r>
          </w:p>
        </w:tc>
      </w:tr>
      <w:tr>
        <w:trPr>
          <w:trHeight w:val="230"/>
        </w:trPr>
        <w:tc>
          <w:tcPr>
            <w:tcW w:w="1020" w:type="dxa"/>
            <w:vAlign w:val="bottom"/>
          </w:tcPr>
          <w:p>
            <w:pPr>
              <w:spacing w:after="0"/>
              <w:rPr>
                <w:sz w:val="20"/>
                <w:szCs w:val="20"/>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Citizenship: United States</w:t>
            </w:r>
          </w:p>
        </w:tc>
      </w:tr>
      <w:tr>
        <w:trPr>
          <w:trHeight w:val="459"/>
        </w:trPr>
        <w:tc>
          <w:tcPr>
            <w:tcW w:w="1020" w:type="dxa"/>
            <w:vAlign w:val="bottom"/>
          </w:tcPr>
          <w:p>
            <w:pPr>
              <w:spacing w:after="0"/>
              <w:rPr>
                <w:sz w:val="24"/>
                <w:szCs w:val="24"/>
                <w:color w:val="auto"/>
              </w:rPr>
            </w:pPr>
          </w:p>
        </w:tc>
        <w:tc>
          <w:tcPr>
            <w:tcW w:w="10400" w:type="dxa"/>
            <w:vAlign w:val="bottom"/>
          </w:tcPr>
          <w:p>
            <w:pPr>
              <w:ind w:left="280"/>
              <w:spacing w:after="0"/>
              <w:rPr>
                <w:sz w:val="20"/>
                <w:szCs w:val="20"/>
                <w:color w:val="auto"/>
              </w:rPr>
            </w:pPr>
            <w:r>
              <w:rPr>
                <w:rFonts w:ascii="Arial" w:cs="Arial" w:eastAsia="Arial" w:hAnsi="Arial"/>
                <w:sz w:val="18"/>
                <w:szCs w:val="18"/>
                <w:color w:val="auto"/>
              </w:rPr>
              <w:t>Each of the foregoing is referred to as a “Reporting Person” and collectively as the “Reporting Persons.”</w:t>
            </w:r>
          </w:p>
        </w:tc>
      </w:tr>
      <w:tr>
        <w:trPr>
          <w:trHeight w:val="608"/>
        </w:trPr>
        <w:tc>
          <w:tcPr>
            <w:tcW w:w="1020" w:type="dxa"/>
            <w:vAlign w:val="bottom"/>
          </w:tcPr>
          <w:p>
            <w:pPr>
              <w:spacing w:after="0"/>
              <w:rPr>
                <w:sz w:val="24"/>
                <w:szCs w:val="24"/>
                <w:color w:val="auto"/>
              </w:rPr>
            </w:pPr>
          </w:p>
        </w:tc>
        <w:tc>
          <w:tcPr>
            <w:tcW w:w="10400" w:type="dxa"/>
            <w:vAlign w:val="bottom"/>
          </w:tcPr>
          <w:p>
            <w:pPr>
              <w:ind w:left="4640"/>
              <w:spacing w:after="0"/>
              <w:rPr>
                <w:sz w:val="20"/>
                <w:szCs w:val="20"/>
                <w:color w:val="auto"/>
              </w:rPr>
            </w:pPr>
            <w:r>
              <w:rPr>
                <w:rFonts w:ascii="Arial" w:cs="Arial" w:eastAsia="Arial" w:hAnsi="Arial"/>
                <w:sz w:val="18"/>
                <w:szCs w:val="18"/>
                <w:color w:val="auto"/>
              </w:rPr>
              <w:t>9</w:t>
            </w:r>
          </w:p>
        </w:tc>
      </w:tr>
      <w:tr>
        <w:trPr>
          <w:trHeight w:val="118"/>
        </w:trPr>
        <w:tc>
          <w:tcPr>
            <w:tcW w:w="1020" w:type="dxa"/>
            <w:vAlign w:val="bottom"/>
            <w:tcBorders>
              <w:bottom w:val="single" w:sz="8" w:color="808080"/>
            </w:tcBorders>
          </w:tcPr>
          <w:p>
            <w:pPr>
              <w:spacing w:after="0"/>
              <w:rPr>
                <w:sz w:val="10"/>
                <w:szCs w:val="10"/>
                <w:color w:val="auto"/>
              </w:rPr>
            </w:pPr>
          </w:p>
        </w:tc>
        <w:tc>
          <w:tcPr>
            <w:tcW w:w="104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Arial" w:cs="Arial" w:eastAsia="Arial" w:hAnsi="Arial"/>
                <w:sz w:val="18"/>
                <w:szCs w:val="18"/>
                <w:color w:val="auto"/>
              </w:rPr>
              <w:t>Item 2(d).</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Title of Class of Securities:</w:t>
            </w:r>
          </w:p>
        </w:tc>
      </w:tr>
      <w:tr>
        <w:trPr>
          <w:trHeight w:val="459"/>
        </w:trPr>
        <w:tc>
          <w:tcPr>
            <w:tcW w:w="1020" w:type="dxa"/>
            <w:vAlign w:val="bottom"/>
          </w:tcPr>
          <w:p>
            <w:pPr>
              <w:spacing w:after="0"/>
              <w:rPr>
                <w:sz w:val="24"/>
                <w:szCs w:val="24"/>
                <w:color w:val="auto"/>
              </w:rPr>
            </w:pP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Common Stock, $0.001 par value (the “Common Stock”)</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2(e).</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w w:val="96"/>
              </w:rPr>
              <w:t>CUSIP Number:</w:t>
            </w:r>
          </w:p>
        </w:tc>
        <w:tc>
          <w:tcPr>
            <w:tcW w:w="886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09627Y109</w:t>
            </w:r>
          </w:p>
        </w:tc>
        <w:tc>
          <w:tcPr>
            <w:tcW w:w="8860" w:type="dxa"/>
            <w:vAlign w:val="bottom"/>
          </w:tcPr>
          <w:p>
            <w:pPr>
              <w:spacing w:after="0"/>
              <w:rPr>
                <w:sz w:val="24"/>
                <w:szCs w:val="24"/>
                <w:color w:val="auto"/>
              </w:rPr>
            </w:pP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10400" w:type="dxa"/>
            <w:vAlign w:val="bottom"/>
            <w:gridSpan w:val="3"/>
          </w:tcPr>
          <w:p>
            <w:pPr>
              <w:ind w:left="280"/>
              <w:spacing w:after="0"/>
              <w:rPr>
                <w:sz w:val="20"/>
                <w:szCs w:val="20"/>
                <w:color w:val="auto"/>
              </w:rPr>
            </w:pPr>
            <w:r>
              <w:rPr>
                <w:rFonts w:ascii="Arial" w:cs="Arial" w:eastAsia="Arial" w:hAnsi="Arial"/>
                <w:sz w:val="18"/>
                <w:szCs w:val="18"/>
                <w:color w:val="auto"/>
              </w:rPr>
              <w:t>If This Statement is Filed Pursuant to Rule 13d-1(b), or 13d-2(b) or (c), Check Whether the Person Filing is a:</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/x/</w:t>
            </w:r>
          </w:p>
        </w:tc>
        <w:tc>
          <w:tcPr>
            <w:tcW w:w="9680" w:type="dxa"/>
            <w:vAlign w:val="bottom"/>
            <w:gridSpan w:val="2"/>
          </w:tcPr>
          <w:p>
            <w:pPr>
              <w:ind w:left="220"/>
              <w:spacing w:after="0"/>
              <w:rPr>
                <w:sz w:val="20"/>
                <w:szCs w:val="20"/>
                <w:color w:val="auto"/>
              </w:rPr>
            </w:pPr>
            <w:r>
              <w:rPr>
                <w:rFonts w:ascii="Arial" w:cs="Arial" w:eastAsia="Arial" w:hAnsi="Arial"/>
                <w:sz w:val="18"/>
                <w:szCs w:val="18"/>
                <w:color w:val="auto"/>
              </w:rPr>
              <w:t>Not applicable.</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(a)</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(b)</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Bank as defined in Section 3(a)(6)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(c)</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(d)</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Investment company registered under Section 8 of the Investment Company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(e)</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(f)</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An employee benefit plan or endowment fund in accordance with Rule 13d-1(b)(1)(ii)(F).</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(g)</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 parent holding company or control person in accordance with Rule 13d-1(b)(1)(ii)(G).</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(h)</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A savings association as defined in Section 3(b) of the Federal Deposit Insurance Act.</w:t>
            </w:r>
          </w:p>
        </w:tc>
      </w:tr>
      <w:tr>
        <w:trPr>
          <w:trHeight w:val="445"/>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(i)</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w w:val="94"/>
              </w:rPr>
              <w:t>A church plan that is excluded from the definition of an investment company under Section 3(c)(14) of the Investment</w:t>
            </w:r>
          </w:p>
        </w:tc>
      </w:t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Arial" w:cs="Arial" w:eastAsia="Arial" w:hAnsi="Arial"/>
                <w:sz w:val="18"/>
                <w:szCs w:val="18"/>
                <w:color w:val="auto"/>
              </w:rPr>
              <w:t>Company Act.</w:t>
            </w:r>
          </w:p>
        </w:tc>
      </w:tr>
      <w:tr>
        <w:trPr>
          <w:trHeight w:val="459"/>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(j)</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Group, in accordance with Rule 13d-1(b)(1)(ii)(J).</w:t>
            </w:r>
          </w:p>
        </w:tc>
      </w:tr>
      <w:tr>
        <w:trPr>
          <w:trHeight w:val="445"/>
        </w:trPr>
        <w:tc>
          <w:tcPr>
            <w:tcW w:w="1020" w:type="dxa"/>
            <w:vAlign w:val="bottom"/>
          </w:tcPr>
          <w:p>
            <w:pPr>
              <w:spacing w:after="0"/>
              <w:rPr>
                <w:sz w:val="24"/>
                <w:szCs w:val="24"/>
                <w:color w:val="auto"/>
              </w:rPr>
            </w:pPr>
          </w:p>
        </w:tc>
        <w:tc>
          <w:tcPr>
            <w:tcW w:w="720" w:type="dxa"/>
            <w:vAlign w:val="bottom"/>
          </w:tcPr>
          <w:p>
            <w:pPr>
              <w:ind w:left="280"/>
              <w:spacing w:after="0"/>
              <w:rPr>
                <w:sz w:val="20"/>
                <w:szCs w:val="20"/>
                <w:color w:val="auto"/>
              </w:rPr>
            </w:pPr>
            <w:r>
              <w:rPr>
                <w:rFonts w:ascii="Arial" w:cs="Arial" w:eastAsia="Arial" w:hAnsi="Arial"/>
                <w:sz w:val="18"/>
                <w:szCs w:val="18"/>
                <w:color w:val="auto"/>
              </w:rPr>
              <w:t>(k)</w:t>
            </w:r>
          </w:p>
        </w:tc>
        <w:tc>
          <w:tcPr>
            <w:tcW w:w="820" w:type="dxa"/>
            <w:vAlign w:val="bottom"/>
          </w:tcPr>
          <w:p>
            <w:pPr>
              <w:ind w:left="220"/>
              <w:spacing w:after="0"/>
              <w:rPr>
                <w:sz w:val="20"/>
                <w:szCs w:val="20"/>
                <w:color w:val="auto"/>
              </w:rPr>
            </w:pPr>
            <w:r>
              <w:rPr>
                <w:rFonts w:ascii="Arial" w:cs="Arial" w:eastAsia="Arial" w:hAnsi="Arial"/>
                <w:sz w:val="18"/>
                <w:szCs w:val="18"/>
                <w:color w:val="auto"/>
              </w:rPr>
              <w:t>/ /</w:t>
            </w:r>
          </w:p>
        </w:tc>
        <w:tc>
          <w:tcPr>
            <w:tcW w:w="8860" w:type="dxa"/>
            <w:vAlign w:val="bottom"/>
          </w:tcPr>
          <w:p>
            <w:pPr>
              <w:ind w:left="40"/>
              <w:spacing w:after="0"/>
              <w:rPr>
                <w:sz w:val="20"/>
                <w:szCs w:val="20"/>
                <w:color w:val="auto"/>
              </w:rPr>
            </w:pPr>
            <w:r>
              <w:rPr>
                <w:rFonts w:ascii="Arial" w:cs="Arial" w:eastAsia="Arial" w:hAnsi="Arial"/>
                <w:sz w:val="18"/>
                <w:szCs w:val="18"/>
                <w:color w:val="auto"/>
              </w:rPr>
              <w:t>Group, in accordance with Rule 240.13d-1(b)(1)(ii)(K). If filing as a non-U.S. institution in accordance with Rule</w:t>
            </w:r>
          </w:p>
        </w:tc>
      </w:tr>
      <w:tr>
        <w:trPr>
          <w:trHeight w:val="230"/>
        </w:trPr>
        <w:tc>
          <w:tcPr>
            <w:tcW w:w="10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860" w:type="dxa"/>
            <w:vAlign w:val="bottom"/>
          </w:tcPr>
          <w:p>
            <w:pPr>
              <w:ind w:left="40"/>
              <w:spacing w:after="0"/>
              <w:rPr>
                <w:sz w:val="20"/>
                <w:szCs w:val="20"/>
                <w:color w:val="auto"/>
              </w:rPr>
            </w:pPr>
            <w:r>
              <w:rPr>
                <w:rFonts w:ascii="Arial" w:cs="Arial" w:eastAsia="Arial" w:hAnsi="Arial"/>
                <w:sz w:val="18"/>
                <w:szCs w:val="18"/>
                <w:color w:val="auto"/>
              </w:rPr>
              <w:t>240.13d-1(b)(1)(ii)(J), please specify the type of institution: ____</w:t>
            </w:r>
          </w:p>
        </w:tc>
      </w:tr>
      <w:tr>
        <w:trPr>
          <w:trHeight w:val="459"/>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1540" w:type="dxa"/>
            <w:vAlign w:val="bottom"/>
            <w:gridSpan w:val="2"/>
          </w:tcPr>
          <w:p>
            <w:pPr>
              <w:ind w:left="280"/>
              <w:spacing w:after="0"/>
              <w:rPr>
                <w:sz w:val="20"/>
                <w:szCs w:val="20"/>
                <w:color w:val="auto"/>
              </w:rPr>
            </w:pPr>
            <w:r>
              <w:rPr>
                <w:rFonts w:ascii="Arial" w:cs="Arial" w:eastAsia="Arial" w:hAnsi="Arial"/>
                <w:sz w:val="18"/>
                <w:szCs w:val="18"/>
                <w:color w:val="auto"/>
              </w:rPr>
              <w:t>Ownership</w:t>
            </w:r>
          </w:p>
        </w:tc>
        <w:tc>
          <w:tcPr>
            <w:tcW w:w="8860" w:type="dxa"/>
            <w:vAlign w:val="bottom"/>
          </w:tcPr>
          <w:p>
            <w:pPr>
              <w:spacing w:after="0"/>
              <w:rPr>
                <w:sz w:val="24"/>
                <w:szCs w:val="24"/>
                <w:color w:val="auto"/>
              </w:rPr>
            </w:pPr>
          </w:p>
        </w:tc>
      </w:tr>
    </w:tbl>
    <w:p>
      <w:pPr>
        <w:spacing w:after="0" w:line="229" w:lineRule="exact"/>
        <w:rPr>
          <w:sz w:val="20"/>
          <w:szCs w:val="20"/>
          <w:color w:val="auto"/>
        </w:rPr>
      </w:pPr>
    </w:p>
    <w:p>
      <w:pPr>
        <w:ind w:left="1960" w:hanging="655"/>
        <w:spacing w:after="0"/>
        <w:tabs>
          <w:tab w:leader="none" w:pos="1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rFonts w:ascii="Arial" w:cs="Arial" w:eastAsia="Arial" w:hAnsi="Arial"/>
          <w:sz w:val="18"/>
          <w:szCs w:val="18"/>
          <w:color w:val="auto"/>
        </w:rPr>
      </w:pPr>
    </w:p>
    <w:p>
      <w:pPr>
        <w:jc w:val="both"/>
        <w:ind w:left="1960"/>
        <w:spacing w:after="0" w:line="264"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2016 (i) BVF beneficially owned 1,564,734 shares of Common Stock, (ii) BVF2 beneficially owned 959,457 shares of Common Stock, and (iii) Trading Fund OS beneficially owned 238,070 shares of Common Stock.</w:t>
      </w:r>
    </w:p>
    <w:p>
      <w:pPr>
        <w:spacing w:after="0" w:line="208" w:lineRule="exact"/>
        <w:rPr>
          <w:rFonts w:ascii="Arial" w:cs="Arial" w:eastAsia="Arial" w:hAnsi="Arial"/>
          <w:sz w:val="18"/>
          <w:szCs w:val="18"/>
          <w:color w:val="auto"/>
        </w:rPr>
      </w:pPr>
    </w:p>
    <w:p>
      <w:pPr>
        <w:ind w:left="1960"/>
        <w:spacing w:after="0" w:line="277" w:lineRule="auto"/>
        <w:rPr>
          <w:rFonts w:ascii="Arial" w:cs="Arial" w:eastAsia="Arial" w:hAnsi="Arial"/>
          <w:sz w:val="18"/>
          <w:szCs w:val="18"/>
          <w:color w:val="auto"/>
        </w:rPr>
      </w:pPr>
      <w:r>
        <w:rPr>
          <w:rFonts w:ascii="Arial" w:cs="Arial" w:eastAsia="Arial" w:hAnsi="Arial"/>
          <w:sz w:val="18"/>
          <w:szCs w:val="18"/>
          <w:color w:val="auto"/>
        </w:rPr>
        <w:t>Partners OS as the general partner of Trading Fund OS may be deemed to beneficially own the 238,070 shares of Common Stock beneficially owned by Trading Fund OS.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jc w:val="both"/>
        <w:ind w:left="1960"/>
        <w:spacing w:after="0" w:line="259" w:lineRule="auto"/>
        <w:rPr>
          <w:sz w:val="20"/>
          <w:szCs w:val="20"/>
          <w:color w:val="auto"/>
        </w:rPr>
      </w:pPr>
      <w:r>
        <w:rPr>
          <w:rFonts w:ascii="Arial" w:cs="Arial" w:eastAsia="Arial" w:hAnsi="Arial"/>
          <w:sz w:val="18"/>
          <w:szCs w:val="18"/>
          <w:color w:val="auto"/>
        </w:rPr>
        <w:t>Partners, as the general partner of BVF, BVF2, the investment manager of Trading Fund OS, and the sole member of Partners OS, may be deemed to beneficially own the 3,255,280 shares of Common Stock beneficially owned in the aggregate by BVF, BVF2, Trading Fund OS, and certain Partners managed accounts (the “Partners Managed Accounts”), including 493,019 shares of Common Stock held in the Partners Managed Accounts.</w:t>
      </w:r>
    </w:p>
    <w:p>
      <w:pPr>
        <w:spacing w:after="0" w:line="214" w:lineRule="exact"/>
        <w:rPr>
          <w:sz w:val="20"/>
          <w:szCs w:val="20"/>
          <w:color w:val="auto"/>
        </w:rPr>
      </w:pPr>
    </w:p>
    <w:p>
      <w:pPr>
        <w:jc w:val="both"/>
        <w:ind w:left="1960"/>
        <w:spacing w:after="0" w:line="277" w:lineRule="auto"/>
        <w:rPr>
          <w:sz w:val="20"/>
          <w:szCs w:val="20"/>
          <w:color w:val="auto"/>
        </w:rPr>
      </w:pPr>
      <w:r>
        <w:rPr>
          <w:rFonts w:ascii="Arial" w:cs="Arial" w:eastAsia="Arial" w:hAnsi="Arial"/>
          <w:sz w:val="18"/>
          <w:szCs w:val="18"/>
          <w:color w:val="auto"/>
        </w:rPr>
        <w:t>BVF Inc., as the general partner of Partners, may be deemed to beneficially own the 3,255,280 shares of Common Stock beneficially owned by Partners.</w:t>
      </w:r>
    </w:p>
    <w:p>
      <w:pPr>
        <w:spacing w:after="0" w:line="197" w:lineRule="exact"/>
        <w:rPr>
          <w:sz w:val="20"/>
          <w:szCs w:val="20"/>
          <w:color w:val="auto"/>
        </w:rPr>
      </w:pPr>
    </w:p>
    <w:p>
      <w:pPr>
        <w:jc w:val="both"/>
        <w:ind w:left="1960" w:right="20"/>
        <w:spacing w:after="0" w:line="277" w:lineRule="auto"/>
        <w:rPr>
          <w:sz w:val="20"/>
          <w:szCs w:val="20"/>
          <w:color w:val="auto"/>
        </w:rPr>
      </w:pPr>
      <w:r>
        <w:rPr>
          <w:rFonts w:ascii="Arial" w:cs="Arial" w:eastAsia="Arial" w:hAnsi="Arial"/>
          <w:sz w:val="18"/>
          <w:szCs w:val="18"/>
          <w:color w:val="auto"/>
        </w:rPr>
        <w:t>Mr. Lampert, as a director and officer of BVF Inc., may be deemed to beneficially own the 3,255,280 shares of Common Stock beneficially owned by BVF Inc.</w:t>
      </w:r>
    </w:p>
    <w:p>
      <w:pPr>
        <w:spacing w:after="0" w:line="197" w:lineRule="exact"/>
        <w:rPr>
          <w:sz w:val="20"/>
          <w:szCs w:val="20"/>
          <w:color w:val="auto"/>
        </w:rPr>
      </w:pPr>
    </w:p>
    <w:p>
      <w:pPr>
        <w:jc w:val="both"/>
        <w:ind w:left="1960"/>
        <w:spacing w:after="0" w:line="255" w:lineRule="auto"/>
        <w:rPr>
          <w:sz w:val="20"/>
          <w:szCs w:val="20"/>
          <w:color w:val="auto"/>
        </w:rPr>
      </w:pPr>
      <w:r>
        <w:rPr>
          <w:rFonts w:ascii="Arial" w:cs="Arial" w:eastAsia="Arial" w:hAnsi="Arial"/>
          <w:sz w:val="18"/>
          <w:szCs w:val="18"/>
          <w:color w:val="auto"/>
        </w:rPr>
        <w:t>The foregoing should not be construed in and of itself as an admission by any Reporting Person as to beneficial ownership of any shares of Common Stock owned by another Reporting Person. Partners OS disclaims beneficial ownership of the shares of Common Stock beneficially owned by Trading Fund OS. Each of Partners, BVF Inc. and Mr. Lampert disclaims beneficial ownership of the shares of Common Stock beneficially owned by BVF, BVF2, Trading Fund OS, and the Partners Managed Accounts, and the filing of this statement shall not be construed as an admission that any such person or entity is the beneficial owner of any such securities.</w:t>
      </w:r>
    </w:p>
    <w:p>
      <w:pPr>
        <w:spacing w:after="0" w:line="220" w:lineRule="exact"/>
        <w:rPr>
          <w:sz w:val="20"/>
          <w:szCs w:val="20"/>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52" w:lineRule="exact"/>
        <w:rPr>
          <w:rFonts w:ascii="Arial" w:cs="Arial" w:eastAsia="Arial" w:hAnsi="Arial"/>
          <w:sz w:val="18"/>
          <w:szCs w:val="18"/>
          <w:color w:val="auto"/>
        </w:rPr>
      </w:pPr>
    </w:p>
    <w:p>
      <w:pPr>
        <w:ind w:left="1960" w:right="20"/>
        <w:spacing w:after="0" w:line="277" w:lineRule="auto"/>
        <w:rPr>
          <w:rFonts w:ascii="Arial" w:cs="Arial" w:eastAsia="Arial" w:hAnsi="Arial"/>
          <w:sz w:val="18"/>
          <w:szCs w:val="18"/>
          <w:color w:val="auto"/>
        </w:rPr>
      </w:pPr>
      <w:r>
        <w:rPr>
          <w:rFonts w:ascii="Arial" w:cs="Arial" w:eastAsia="Arial" w:hAnsi="Arial"/>
          <w:sz w:val="18"/>
          <w:szCs w:val="18"/>
          <w:color w:val="auto"/>
        </w:rPr>
        <w:t>The following percentages are based on 32,307,556 shares of Common Stock outstanding, as disclosed in the Issuer’s Prospectus filed on Form 424B5 with the Securities and Exchange Commission on December 8, 2016.</w:t>
      </w:r>
    </w:p>
    <w:p>
      <w:pPr>
        <w:spacing w:after="0" w:line="197" w:lineRule="exact"/>
        <w:rPr>
          <w:rFonts w:ascii="Arial" w:cs="Arial" w:eastAsia="Arial" w:hAnsi="Arial"/>
          <w:sz w:val="18"/>
          <w:szCs w:val="18"/>
          <w:color w:val="auto"/>
        </w:rPr>
      </w:pPr>
    </w:p>
    <w:p>
      <w:pPr>
        <w:jc w:val="both"/>
        <w:ind w:left="1960"/>
        <w:spacing w:after="0" w:line="255" w:lineRule="auto"/>
        <w:rPr>
          <w:rFonts w:ascii="Arial" w:cs="Arial" w:eastAsia="Arial" w:hAnsi="Arial"/>
          <w:sz w:val="18"/>
          <w:szCs w:val="18"/>
          <w:color w:val="auto"/>
        </w:rPr>
      </w:pPr>
      <w:r>
        <w:rPr>
          <w:rFonts w:ascii="Arial" w:cs="Arial" w:eastAsia="Arial" w:hAnsi="Arial"/>
          <w:sz w:val="18"/>
          <w:szCs w:val="18"/>
          <w:color w:val="auto"/>
        </w:rPr>
        <w:t>As of the close of business on December 31, 2016 (i) BVF beneficially owned approximately 4.8% of the outstanding shares of Common Stock, (ii) BVF2 beneficially owned approximately 3.0% of the outstanding shares of Common Stock, (iii) Trading Fund OS beneficially owned less than 1% of the outstanding shares of Common Stock (iv) Partners OS may be deemed to beneficially own less than 1% of the outstanding shares of Common Stock, and (v) each of Partners, BVF Inc. and Mr. Lampert may be deemed to beneficially own approximately 10.1% of the outstanding shares of Common Stock (approximately 1.5% of which is held in the Partners Managed Accounts).</w:t>
      </w:r>
    </w:p>
    <w:p>
      <w:pPr>
        <w:spacing w:after="0" w:line="220" w:lineRule="exact"/>
        <w:rPr>
          <w:rFonts w:ascii="Arial" w:cs="Arial" w:eastAsia="Arial" w:hAnsi="Arial"/>
          <w:sz w:val="18"/>
          <w:szCs w:val="18"/>
          <w:color w:val="auto"/>
        </w:rPr>
      </w:pPr>
    </w:p>
    <w:p>
      <w:pPr>
        <w:ind w:left="1960" w:hanging="655"/>
        <w:spacing w:after="0"/>
        <w:tabs>
          <w:tab w:leader="none" w:pos="1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sz w:val="20"/>
          <w:szCs w:val="20"/>
          <w:color w:val="auto"/>
        </w:rPr>
      </w:pPr>
    </w:p>
    <w:p>
      <w:pPr>
        <w:ind w:left="1960" w:right="6660" w:hanging="655"/>
        <w:spacing w:after="0" w:line="532"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vote or to direct the vote See Cover Pages Items 5-9.</w:t>
      </w:r>
    </w:p>
    <w:p>
      <w:pPr>
        <w:ind w:left="1960" w:right="6480" w:hanging="655"/>
        <w:spacing w:after="0" w:line="532"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vote or to direct the vote See Cover Pages Items 5-9.</w:t>
      </w:r>
    </w:p>
    <w:p>
      <w:pPr>
        <w:ind w:left="1960" w:right="5760" w:hanging="655"/>
        <w:spacing w:after="0" w:line="532"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See Cover Pages Items 5-9.</w:t>
      </w:r>
    </w:p>
    <w:p>
      <w:pPr>
        <w:ind w:left="1960" w:right="5580" w:hanging="655"/>
        <w:spacing w:after="0" w:line="559" w:lineRule="auto"/>
        <w:tabs>
          <w:tab w:leader="none" w:pos="1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See Cover Pages Items 5-9.</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color w:val="auto"/>
        </w:rPr>
        <w:t>Ownership of Five Percent or Less of a Class.</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Partners, BVF Inc. and Mr. Lampert share voting and dispositive power over the shares of Common Stock beneficially owned by BVF, BVF2, Trading Fund OS, and the Partners Managed Accounts.</w:t>
      </w:r>
    </w:p>
    <w:p>
      <w:pPr>
        <w:spacing w:after="0" w:line="197" w:lineRule="exact"/>
        <w:rPr>
          <w:sz w:val="20"/>
          <w:szCs w:val="20"/>
          <w:color w:val="auto"/>
        </w:rPr>
      </w:pPr>
    </w:p>
    <w:p>
      <w:pPr>
        <w:jc w:val="both"/>
        <w:ind w:left="1300" w:hanging="1296"/>
        <w:spacing w:after="0" w:line="277" w:lineRule="auto"/>
        <w:tabs>
          <w:tab w:leader="none" w:pos="128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That Acquired the Security Being Reported on by the Parent Holding Company or Control Person.</w:t>
      </w:r>
    </w:p>
    <w:p>
      <w:pPr>
        <w:spacing w:after="0" w:line="19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252"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See Exhibit 99.1 to Amendment No. 1 to the Schedule 13G filed by the Reporting Persons with the Securities and Exchange Commission on February 16, 2016.</w:t>
      </w:r>
    </w:p>
    <w:p>
      <w:pPr>
        <w:spacing w:after="0" w:line="19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25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Certifications.</w:t>
      </w:r>
    </w:p>
    <w:p>
      <w:pPr>
        <w:spacing w:after="0" w:line="252"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By signing below each of the undersigned certifies that, to the best of its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CUSIP NO. 09627Y109</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SIGNATURE</w:t>
      </w:r>
    </w:p>
    <w:p>
      <w:pPr>
        <w:spacing w:after="0" w:line="252"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each of the undersigned certifies that the information set forth in this statement is true, complete and correct.</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gridSpan w:val="3"/>
          </w:tcPr>
          <w:p>
            <w:pPr>
              <w:spacing w:after="0"/>
              <w:rPr>
                <w:sz w:val="20"/>
                <w:szCs w:val="20"/>
                <w:color w:val="auto"/>
              </w:rPr>
            </w:pPr>
            <w:r>
              <w:rPr>
                <w:rFonts w:ascii="Arial" w:cs="Arial" w:eastAsia="Arial" w:hAnsi="Arial"/>
                <w:sz w:val="18"/>
                <w:szCs w:val="18"/>
                <w:color w:val="auto"/>
              </w:rPr>
              <w:t>Dated: February 14, 2017</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420" w:type="dxa"/>
            <w:vAlign w:val="bottom"/>
            <w:gridSpan w:val="3"/>
          </w:tcPr>
          <w:p>
            <w:pPr>
              <w:spacing w:after="0"/>
              <w:rPr>
                <w:sz w:val="20"/>
                <w:szCs w:val="20"/>
                <w:color w:val="auto"/>
              </w:rPr>
            </w:pPr>
            <w:r>
              <w:rPr>
                <w:rFonts w:ascii="Arial" w:cs="Arial" w:eastAsia="Arial" w:hAnsi="Arial"/>
                <w:sz w:val="18"/>
                <w:szCs w:val="18"/>
                <w:color w:val="auto"/>
              </w:rPr>
              <w:t>BIOTECHNOLOGY VALUE FUND, L.P.</w:t>
            </w:r>
          </w:p>
        </w:tc>
        <w:tc>
          <w:tcPr>
            <w:tcW w:w="980" w:type="dxa"/>
            <w:vAlign w:val="bottom"/>
          </w:tcPr>
          <w:p>
            <w:pPr>
              <w:spacing w:after="0"/>
              <w:rPr>
                <w:sz w:val="24"/>
                <w:szCs w:val="24"/>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BVF INC.</w:t>
            </w:r>
          </w:p>
        </w:tc>
        <w:tc>
          <w:tcPr>
            <w:tcW w:w="0" w:type="dxa"/>
            <w:vAlign w:val="bottom"/>
          </w:tcPr>
          <w:p>
            <w:pPr>
              <w:spacing w:after="0"/>
              <w:rPr>
                <w:sz w:val="1"/>
                <w:szCs w:val="1"/>
                <w:color w:val="auto"/>
              </w:rPr>
            </w:pPr>
          </w:p>
        </w:tc>
      </w:tr>
      <w:tr>
        <w:trPr>
          <w:trHeight w:val="216"/>
        </w:trPr>
        <w:tc>
          <w:tcPr>
            <w:tcW w:w="58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18"/>
                <w:szCs w:val="18"/>
                <w:color w:val="auto"/>
              </w:rPr>
            </w:pPr>
          </w:p>
        </w:tc>
        <w:tc>
          <w:tcPr>
            <w:tcW w:w="5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 w:type="dxa"/>
            <w:vAlign w:val="bottom"/>
            <w:vMerge w:val="continue"/>
          </w:tcPr>
          <w:p>
            <w:pPr>
              <w:spacing w:after="0"/>
              <w:rPr>
                <w:sz w:val="17"/>
                <w:szCs w:val="17"/>
                <w:color w:val="auto"/>
              </w:rPr>
            </w:pPr>
          </w:p>
        </w:tc>
        <w:tc>
          <w:tcPr>
            <w:tcW w:w="4840" w:type="dxa"/>
            <w:vAlign w:val="bottom"/>
            <w:gridSpan w:val="2"/>
            <w:vMerge w:val="continue"/>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6000" w:type="dxa"/>
            <w:vAlign w:val="bottom"/>
            <w:gridSpan w:val="2"/>
          </w:tcPr>
          <w:p>
            <w:pPr>
              <w:ind w:left="560"/>
              <w:spacing w:after="0"/>
              <w:rPr>
                <w:sz w:val="20"/>
                <w:szCs w:val="20"/>
                <w:color w:val="auto"/>
              </w:rPr>
            </w:pPr>
            <w:r>
              <w:rPr>
                <w:rFonts w:ascii="Arial" w:cs="Arial" w:eastAsia="Arial" w:hAnsi="Arial"/>
                <w:sz w:val="18"/>
                <w:szCs w:val="18"/>
                <w:color w:val="auto"/>
              </w:rPr>
              <w:t>By:  /s/ Mark N. Lampert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President</w:t>
            </w: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vMerge w:val="restart"/>
          </w:tcPr>
          <w:p>
            <w:pPr>
              <w:spacing w:after="0"/>
              <w:rPr>
                <w:sz w:val="20"/>
                <w:szCs w:val="20"/>
                <w:color w:val="auto"/>
              </w:rPr>
            </w:pPr>
            <w:r>
              <w:rPr>
                <w:rFonts w:ascii="Arial" w:cs="Arial" w:eastAsia="Arial" w:hAnsi="Arial"/>
                <w:sz w:val="18"/>
                <w:szCs w:val="18"/>
                <w:color w:val="auto"/>
              </w:rPr>
              <w:t>/s/ Mark N. Lampert</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BIOTECHNOLOGY VALUE FUND II, L.P.</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r>
              <w:rPr>
                <w:rFonts w:ascii="Arial" w:cs="Arial" w:eastAsia="Arial" w:hAnsi="Arial"/>
                <w:sz w:val="18"/>
                <w:szCs w:val="18"/>
                <w:color w:val="auto"/>
              </w:rPr>
              <w:t>MARK N. LAMPERT</w:t>
            </w:r>
          </w:p>
        </w:tc>
        <w:tc>
          <w:tcPr>
            <w:tcW w:w="0" w:type="dxa"/>
            <w:vAlign w:val="bottom"/>
          </w:tcPr>
          <w:p>
            <w:pPr>
              <w:spacing w:after="0"/>
              <w:rPr>
                <w:sz w:val="1"/>
                <w:szCs w:val="1"/>
                <w:color w:val="auto"/>
              </w:rPr>
            </w:pPr>
          </w:p>
        </w:tc>
      </w:tr>
      <w:tr>
        <w:trPr>
          <w:trHeight w:val="202"/>
        </w:trPr>
        <w:tc>
          <w:tcPr>
            <w:tcW w:w="5420" w:type="dxa"/>
            <w:vAlign w:val="bottom"/>
            <w:gridSpan w:val="3"/>
            <w:vMerge w:val="continue"/>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Partners L.P., its general partner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L.P.</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40" w:type="dxa"/>
            <w:vAlign w:val="bottom"/>
            <w:gridSpan w:val="2"/>
          </w:tcPr>
          <w:p>
            <w:pPr>
              <w:spacing w:after="0" w:line="201" w:lineRule="exact"/>
              <w:rPr>
                <w:sz w:val="20"/>
                <w:szCs w:val="20"/>
                <w:color w:val="auto"/>
              </w:rPr>
            </w:pPr>
            <w:r>
              <w:rPr>
                <w:rFonts w:ascii="Arial" w:cs="Arial" w:eastAsia="Arial" w:hAnsi="Arial"/>
                <w:sz w:val="18"/>
                <w:szCs w:val="18"/>
                <w:color w:val="auto"/>
              </w:rPr>
              <w:t>Mark N. Lampert</w:t>
            </w: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5420" w:type="dxa"/>
            <w:vAlign w:val="bottom"/>
            <w:gridSpan w:val="3"/>
          </w:tcPr>
          <w:p>
            <w:pPr>
              <w:spacing w:after="0"/>
              <w:rPr>
                <w:sz w:val="20"/>
                <w:szCs w:val="20"/>
                <w:color w:val="auto"/>
              </w:rPr>
            </w:pPr>
            <w:r>
              <w:rPr>
                <w:rFonts w:ascii="Arial" w:cs="Arial" w:eastAsia="Arial" w:hAnsi="Arial"/>
                <w:sz w:val="18"/>
                <w:szCs w:val="18"/>
                <w:color w:val="auto"/>
              </w:rPr>
              <w:t>BVF PARTNERS OS LTD.</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Partners L.P., its sole member</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BVF Inc., its general partner</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40" w:type="dxa"/>
            <w:vAlign w:val="bottom"/>
            <w:gridSpan w:val="2"/>
          </w:tcPr>
          <w:p>
            <w:pPr>
              <w:spacing w:after="0"/>
              <w:rPr>
                <w:sz w:val="20"/>
                <w:szCs w:val="20"/>
                <w:color w:val="auto"/>
              </w:rPr>
            </w:pPr>
            <w:r>
              <w:rPr>
                <w:rFonts w:ascii="Arial" w:cs="Arial" w:eastAsia="Arial" w:hAnsi="Arial"/>
                <w:sz w:val="18"/>
                <w:szCs w:val="18"/>
                <w:color w:val="auto"/>
              </w:rPr>
              <w:t>/s/ Mark N. Lampert</w:t>
            </w:r>
          </w:p>
        </w:tc>
        <w:tc>
          <w:tcPr>
            <w:tcW w:w="9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580" w:type="dxa"/>
            <w:vAlign w:val="bottom"/>
          </w:tcPr>
          <w:p>
            <w:pPr>
              <w:spacing w:after="0"/>
              <w:rPr>
                <w:sz w:val="17"/>
                <w:szCs w:val="17"/>
                <w:color w:val="auto"/>
              </w:rPr>
            </w:pPr>
          </w:p>
        </w:tc>
        <w:tc>
          <w:tcPr>
            <w:tcW w:w="48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Mark N. Lampert</w:t>
            </w:r>
          </w:p>
        </w:tc>
        <w:tc>
          <w:tcPr>
            <w:tcW w:w="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5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President</w:t>
            </w:r>
          </w:p>
        </w:tc>
        <w:tc>
          <w:tcPr>
            <w:tcW w:w="98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BIOTECHNOLOGY VALUE TRADING FUND OS LP</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BVF Partners L.P., its investment manager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spacing w:after="0"/>
              <w:rPr>
                <w:sz w:val="20"/>
                <w:szCs w:val="20"/>
                <w:color w:val="auto"/>
              </w:rPr>
            </w:pPr>
            <w:r>
              <w:rPr>
                <w:rFonts w:ascii="Arial" w:cs="Arial" w:eastAsia="Arial" w:hAnsi="Arial"/>
                <w:sz w:val="18"/>
                <w:szCs w:val="18"/>
                <w:color w:val="auto"/>
              </w:rPr>
              <w:t>BVF Inc., its general partner</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N. Lampert</w:t>
            </w:r>
          </w:p>
        </w:tc>
      </w:tr>
      <w:tr>
        <w:trPr>
          <w:trHeight w:val="202"/>
        </w:trPr>
        <w:tc>
          <w:tcPr>
            <w:tcW w:w="580" w:type="dxa"/>
            <w:vAlign w:val="bottom"/>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Mark N. Lampert</w:t>
            </w:r>
          </w:p>
        </w:tc>
      </w:tr>
      <w:tr>
        <w:trPr>
          <w:trHeight w:val="230"/>
        </w:trPr>
        <w:tc>
          <w:tcPr>
            <w:tcW w:w="580" w:type="dxa"/>
            <w:vAlign w:val="bottom"/>
          </w:tcPr>
          <w:p>
            <w:pPr>
              <w:spacing w:after="0"/>
              <w:rPr>
                <w:sz w:val="20"/>
                <w:szCs w:val="20"/>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President</w:t>
            </w:r>
          </w:p>
        </w:tc>
      </w:tr>
    </w:tbl>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13" w:name="page14"/>
    <w:bookmarkEnd w:id="1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1"/>
      <w:numFmt w:val="bullet"/>
      <w:start w:val="1"/>
    </w:lvl>
  </w:abstractNum>
  <w:abstractNum w:abstractNumId="2">
    <w:nsid w:val="625558EC"/>
    <w:multiLevelType w:val="hybridMultilevel"/>
    <w:lvl w:ilvl="0">
      <w:lvlJc w:val="left"/>
      <w:lvlText w:val="(%1)"/>
      <w:numFmt w:val="lowerLetter"/>
      <w:start w:val="1"/>
    </w:lvl>
  </w:abstractNum>
  <w:abstractNum w:abstractNumId="3">
    <w:nsid w:val="238E1F29"/>
    <w:multiLevelType w:val="hybridMultilevel"/>
    <w:lvl w:ilvl="0">
      <w:lvlJc w:val="left"/>
      <w:lvlText w:val="(%1)"/>
      <w:numFmt w:val="lowerLetter"/>
      <w:start w:val="2"/>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2019-12-07T22:08:34Z</dcterms:created>
  <dcterms:modified xsi:type="dcterms:W3CDTF">2019-12-07T22:08:34Z</dcterms:modified>
</cp:coreProperties>
</file>