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190500</wp:posOffset>
            </wp:positionH>
            <wp:positionV relativeFrom="page">
              <wp:posOffset>254000</wp:posOffset>
            </wp:positionV>
            <wp:extent cx="71678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12700"/>
                    </a:xfrm>
                    <a:prstGeom prst="rect">
                      <a:avLst/>
                    </a:prstGeom>
                    <a:noFill/>
                  </pic:spPr>
                </pic:pic>
              </a:graphicData>
            </a:graphic>
          </wp:anchor>
        </w:drawing>
        <w:drawing>
          <wp:anchor simplePos="0" relativeHeight="251657728" behindDoc="1" locked="0" layoutInCell="0" allowOverlap="1">
            <wp:simplePos x="0" y="0"/>
            <wp:positionH relativeFrom="page">
              <wp:posOffset>190500</wp:posOffset>
            </wp:positionH>
            <wp:positionV relativeFrom="page">
              <wp:posOffset>279400</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678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678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Date of Report (Date of Earliest Event Reported): </w:t>
      </w:r>
      <w:r>
        <w:rPr>
          <w:rFonts w:ascii="Times New Roman" w:cs="Times New Roman" w:eastAsia="Times New Roman" w:hAnsi="Times New Roman"/>
          <w:sz w:val="13"/>
          <w:szCs w:val="13"/>
          <w:b w:val="1"/>
          <w:bCs w:val="1"/>
          <w:color w:val="auto"/>
        </w:rPr>
        <w:t>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678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Blueprint Medicines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678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94" w:right="31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3"/>
          <w:szCs w:val="13"/>
          <w:color w:val="auto"/>
        </w:rPr>
        <w:t>(State or other jurisdiction</w:t>
      </w:r>
    </w:p>
    <w:p>
      <w:pPr>
        <w:spacing w:after="0" w:line="1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color w:val="auto"/>
        </w:rPr>
        <w:t>of incorporation)</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3"/>
          <w:szCs w:val="13"/>
          <w:b w:val="1"/>
          <w:bCs w:val="1"/>
          <w:color w:val="auto"/>
        </w:rPr>
        <w:t>001-37359</w:t>
      </w:r>
    </w:p>
    <w:p>
      <w:pPr>
        <w:spacing w:after="0" w:line="2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26-3632015</w:t>
      </w:r>
    </w:p>
    <w:p>
      <w:pPr>
        <w:spacing w:after="0" w:line="25"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color w:val="auto"/>
        </w:rPr>
        <w:t>(I.R.S. Employer</w:t>
      </w:r>
    </w:p>
    <w:p>
      <w:pPr>
        <w:spacing w:after="0" w:line="10"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56" w:lineRule="exact"/>
        <w:rPr>
          <w:sz w:val="24"/>
          <w:szCs w:val="24"/>
          <w:color w:val="auto"/>
        </w:rPr>
      </w:pPr>
    </w:p>
    <w:p>
      <w:pPr>
        <w:sectPr>
          <w:pgSz w:w="11900" w:h="16838" w:orient="portrait"/>
          <w:cols w:equalWidth="0" w:num="3">
            <w:col w:w="4200" w:space="720"/>
            <w:col w:w="3340" w:space="720"/>
            <w:col w:w="2300"/>
          </w:cols>
          <w:pgMar w:left="300" w:top="594"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45 Sidney Street</w:t>
      </w:r>
    </w:p>
    <w:p>
      <w:pPr>
        <w:spacing w:after="0" w:line="25"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Cambridge, Massachusetts</w:t>
      </w:r>
    </w:p>
    <w:p>
      <w:pPr>
        <w:spacing w:after="0" w:line="1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3"/>
          <w:szCs w:val="13"/>
          <w:b w:val="1"/>
          <w:bCs w:val="1"/>
          <w:color w:val="auto"/>
        </w:rPr>
        <w:t>02139</w:t>
      </w:r>
    </w:p>
    <w:p>
      <w:pPr>
        <w:spacing w:after="0" w:line="25"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3"/>
          <w:szCs w:val="13"/>
          <w:color w:val="auto"/>
        </w:rPr>
        <w:t>(Zip Code)</w:t>
      </w:r>
    </w:p>
    <w:p>
      <w:pPr>
        <w:spacing w:after="0" w:line="156" w:lineRule="exact"/>
        <w:rPr>
          <w:sz w:val="24"/>
          <w:szCs w:val="24"/>
          <w:color w:val="auto"/>
        </w:rPr>
      </w:pPr>
    </w:p>
    <w:p>
      <w:pPr>
        <w:sectPr>
          <w:pgSz w:w="11900" w:h="16838" w:orient="portrait"/>
          <w:cols w:equalWidth="0" w:num="2">
            <w:col w:w="7500" w:space="720"/>
            <w:col w:w="3060"/>
          </w:cols>
          <w:pgMar w:left="300" w:top="59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(617) 374-7580</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17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240"/>
        <w:spacing w:after="0"/>
        <w:tabs>
          <w:tab w:leader="none" w:pos="7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4" w:lineRule="exact"/>
        <w:rPr>
          <w:rFonts w:ascii="MS PGothic" w:cs="MS PGothic" w:eastAsia="MS PGothic" w:hAnsi="MS PGothic"/>
          <w:sz w:val="13"/>
          <w:szCs w:val="13"/>
          <w:color w:val="auto"/>
        </w:rPr>
      </w:pPr>
    </w:p>
    <w:p>
      <w:pPr>
        <w:ind w:left="720" w:hanging="240"/>
        <w:spacing w:after="0"/>
        <w:tabs>
          <w:tab w:leader="none" w:pos="7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0" w:lineRule="exact"/>
        <w:rPr>
          <w:rFonts w:ascii="MS PGothic" w:cs="MS PGothic" w:eastAsia="MS PGothic" w:hAnsi="MS PGothic"/>
          <w:sz w:val="13"/>
          <w:szCs w:val="13"/>
          <w:color w:val="auto"/>
        </w:rPr>
      </w:pPr>
    </w:p>
    <w:p>
      <w:pPr>
        <w:ind w:left="720" w:hanging="240"/>
        <w:spacing w:after="0"/>
        <w:tabs>
          <w:tab w:leader="none" w:pos="7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0" w:lineRule="exact"/>
        <w:rPr>
          <w:rFonts w:ascii="MS PGothic" w:cs="MS PGothic" w:eastAsia="MS PGothic" w:hAnsi="MS PGothic"/>
          <w:sz w:val="13"/>
          <w:szCs w:val="13"/>
          <w:color w:val="auto"/>
        </w:rPr>
      </w:pPr>
    </w:p>
    <w:p>
      <w:pPr>
        <w:ind w:left="720" w:hanging="240"/>
        <w:spacing w:after="0"/>
        <w:tabs>
          <w:tab w:leader="none" w:pos="7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6" w:lineRule="exact"/>
        <w:rPr>
          <w:sz w:val="24"/>
          <w:szCs w:val="24"/>
          <w:color w:val="auto"/>
        </w:rPr>
      </w:pPr>
    </w:p>
    <w:p>
      <w:pPr>
        <w:ind w:right="160" w:firstLine="480"/>
        <w:spacing w:after="0" w:line="29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ind w:left="4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1" w:lineRule="exact"/>
        <w:rPr>
          <w:sz w:val="24"/>
          <w:szCs w:val="24"/>
          <w:color w:val="auto"/>
        </w:rPr>
      </w:pPr>
    </w:p>
    <w:p>
      <w:pPr>
        <w:ind w:right="380" w:firstLine="480"/>
        <w:spacing w:after="0" w:line="294"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Exchange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57"/>
        </w:trPr>
        <w:tc>
          <w:tcPr>
            <w:tcW w:w="4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w:t>
            </w:r>
          </w:p>
        </w:tc>
      </w:tr>
      <w:tr>
        <w:trPr>
          <w:trHeight w:val="173"/>
        </w:trPr>
        <w:tc>
          <w:tcPr>
            <w:tcW w:w="454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registered</w:t>
            </w:r>
          </w:p>
        </w:tc>
      </w:tr>
      <w:tr>
        <w:trPr>
          <w:trHeight w:val="15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BPMC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r>
        <w:trPr>
          <w:trHeight w:val="150"/>
        </w:trPr>
        <w:tc>
          <w:tcPr>
            <w:tcW w:w="45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490"/>
        </w:trPr>
        <w:tc>
          <w:tcPr>
            <w:tcW w:w="4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9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202529"/>
        </w:rPr>
        <w:t>Item 2.02 Results of Operations and Financial Condition.</w:t>
      </w:r>
    </w:p>
    <w:p>
      <w:pPr>
        <w:spacing w:after="0" w:line="172" w:lineRule="exact"/>
        <w:rPr>
          <w:sz w:val="20"/>
          <w:szCs w:val="20"/>
          <w:color w:val="auto"/>
        </w:rPr>
      </w:pPr>
    </w:p>
    <w:p>
      <w:pPr>
        <w:ind w:right="260" w:firstLine="480"/>
        <w:spacing w:after="0" w:line="294" w:lineRule="auto"/>
        <w:rPr>
          <w:sz w:val="20"/>
          <w:szCs w:val="20"/>
          <w:color w:val="auto"/>
        </w:rPr>
      </w:pPr>
      <w:r>
        <w:rPr>
          <w:rFonts w:ascii="Times New Roman" w:cs="Times New Roman" w:eastAsia="Times New Roman" w:hAnsi="Times New Roman"/>
          <w:sz w:val="13"/>
          <w:szCs w:val="13"/>
          <w:color w:val="auto"/>
        </w:rPr>
        <w:t>On November 1, 2022, Blueprint Medicines Corporation (the “Company”) announced its financial results for the quarter ended September 30, 2022 and other business highlights. The full text of the press release issued in connection with the announcement is furnished as Exhibit 99.1 to this Current Report on Form 8-K and is incorporated by reference herein.</w:t>
      </w:r>
    </w:p>
    <w:p>
      <w:pPr>
        <w:spacing w:after="0" w:line="114" w:lineRule="exact"/>
        <w:rPr>
          <w:sz w:val="20"/>
          <w:szCs w:val="20"/>
          <w:color w:val="auto"/>
        </w:rPr>
      </w:pPr>
    </w:p>
    <w:p>
      <w:pPr>
        <w:ind w:right="140" w:firstLine="480"/>
        <w:spacing w:after="0" w:line="275" w:lineRule="auto"/>
        <w:rPr>
          <w:sz w:val="20"/>
          <w:szCs w:val="20"/>
          <w:color w:val="auto"/>
        </w:rPr>
      </w:pPr>
      <w:r>
        <w:rPr>
          <w:rFonts w:ascii="Times New Roman" w:cs="Times New Roman" w:eastAsia="Times New Roman" w:hAnsi="Times New Roman"/>
          <w:sz w:val="13"/>
          <w:szCs w:val="13"/>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02529"/>
        </w:rPr>
        <w:t>Item 7.01 Regulation FD.</w:t>
      </w:r>
    </w:p>
    <w:p>
      <w:pPr>
        <w:spacing w:after="0" w:line="172" w:lineRule="exact"/>
        <w:rPr>
          <w:sz w:val="20"/>
          <w:szCs w:val="20"/>
          <w:color w:val="auto"/>
        </w:rPr>
      </w:pPr>
    </w:p>
    <w:p>
      <w:pPr>
        <w:ind w:right="20" w:firstLine="480"/>
        <w:spacing w:after="0" w:line="294" w:lineRule="auto"/>
        <w:rPr>
          <w:sz w:val="20"/>
          <w:szCs w:val="20"/>
          <w:color w:val="auto"/>
        </w:rPr>
      </w:pPr>
      <w:r>
        <w:rPr>
          <w:rFonts w:ascii="Times New Roman" w:cs="Times New Roman" w:eastAsia="Times New Roman" w:hAnsi="Times New Roman"/>
          <w:sz w:val="13"/>
          <w:szCs w:val="13"/>
          <w:color w:val="auto"/>
        </w:rPr>
        <w:t>On November 1, 2022, the Company is hosting an investor conference call and webcast to review its financial results and other business highlights. A copy of the presentation for the investor conference call and for the webcast is furnished as Exhibit 99.2 to this Current Report on Form 8-K.</w:t>
      </w:r>
    </w:p>
    <w:p>
      <w:pPr>
        <w:spacing w:after="0" w:line="114" w:lineRule="exact"/>
        <w:rPr>
          <w:sz w:val="20"/>
          <w:szCs w:val="20"/>
          <w:color w:val="auto"/>
        </w:rPr>
      </w:pPr>
    </w:p>
    <w:p>
      <w:pPr>
        <w:jc w:val="both"/>
        <w:ind w:right="240" w:firstLine="480"/>
        <w:spacing w:after="0" w:line="275" w:lineRule="auto"/>
        <w:rPr>
          <w:sz w:val="20"/>
          <w:szCs w:val="20"/>
          <w:color w:val="auto"/>
        </w:rPr>
      </w:pPr>
      <w:r>
        <w:rPr>
          <w:rFonts w:ascii="Times New Roman" w:cs="Times New Roman" w:eastAsia="Times New Roman" w:hAnsi="Times New Roman"/>
          <w:sz w:val="13"/>
          <w:szCs w:val="13"/>
          <w:color w:val="auto"/>
        </w:rPr>
        <w:t>The information in Item 7.01 of this Current Report on Form 8-K, including Exhibit 99.2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Exhibits.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exhibits relating to Items 2.02 and 7.01 of this Form 8-K shall be deemed to be furnished and not filed: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3"/>
        </w:trPr>
        <w:tc>
          <w:tcPr>
            <w:tcW w:w="2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880" w:type="dxa"/>
            <w:vAlign w:val="bottom"/>
          </w:tcPr>
          <w:p>
            <w:pPr>
              <w:spacing w:after="0"/>
              <w:rPr>
                <w:sz w:val="12"/>
                <w:szCs w:val="12"/>
                <w:color w:val="auto"/>
              </w:rPr>
            </w:pPr>
          </w:p>
        </w:tc>
        <w:tc>
          <w:tcPr>
            <w:tcW w:w="1016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color w:val="0000EE"/>
              </w:rPr>
              <w:t>Press release issued by Blueprint Medicines Corporation on November 1, 2022</w:t>
            </w:r>
          </w:p>
        </w:tc>
      </w:tr>
      <w:tr>
        <w:trPr>
          <w:trHeight w:val="20"/>
        </w:trPr>
        <w:tc>
          <w:tcPr>
            <w:tcW w:w="2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2</w:t>
            </w:r>
          </w:p>
        </w:tc>
        <w:tc>
          <w:tcPr>
            <w:tcW w:w="880" w:type="dxa"/>
            <w:vAlign w:val="bottom"/>
          </w:tcPr>
          <w:p>
            <w:pPr>
              <w:spacing w:after="0"/>
              <w:rPr>
                <w:sz w:val="12"/>
                <w:szCs w:val="12"/>
                <w:color w:val="auto"/>
              </w:rPr>
            </w:pPr>
          </w:p>
        </w:tc>
        <w:tc>
          <w:tcPr>
            <w:tcW w:w="1016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color w:val="0000EE"/>
              </w:rPr>
              <w:t>Corporate slide presentation of Blueprint Medicines Corporation dated November 1, 2022</w:t>
            </w:r>
          </w:p>
        </w:tc>
      </w:tr>
      <w:tr>
        <w:trPr>
          <w:trHeight w:val="20"/>
        </w:trPr>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70"/>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880" w:type="dxa"/>
            <w:vAlign w:val="bottom"/>
          </w:tcPr>
          <w:p>
            <w:pPr>
              <w:spacing w:after="0"/>
              <w:rPr>
                <w:sz w:val="14"/>
                <w:szCs w:val="1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 and incorporated as Exhibit 101)</w:t>
            </w:r>
          </w:p>
        </w:tc>
      </w:tr>
      <w:tr>
        <w:trPr>
          <w:trHeight w:val="500"/>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3"/>
                <w:szCs w:val="13"/>
                <w:b w:val="1"/>
                <w:bCs w:val="1"/>
                <w:color w:val="auto"/>
              </w:rPr>
              <w:t>BLUEPRINT MEDICINES CORPORATION</w:t>
            </w:r>
          </w:p>
        </w:tc>
      </w:tr>
      <w:tr>
        <w:trPr>
          <w:trHeight w:val="320"/>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 2022</w:t>
            </w: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3"/>
                <w:szCs w:val="13"/>
                <w:color w:val="auto"/>
              </w:rPr>
              <w:t>By:  /s/ Kathryn Haviland</w:t>
            </w:r>
          </w:p>
        </w:tc>
      </w:tr>
      <w:tr>
        <w:trPr>
          <w:trHeight w:val="137"/>
        </w:trPr>
        <w:tc>
          <w:tcPr>
            <w:tcW w:w="34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30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Kathryn Haviland</w:t>
            </w:r>
          </w:p>
        </w:tc>
      </w:tr>
      <w:tr>
        <w:trPr>
          <w:trHeight w:val="173"/>
        </w:trPr>
        <w:tc>
          <w:tcPr>
            <w:tcW w:w="3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500"/>
        </w:trPr>
        <w:tc>
          <w:tcPr>
            <w:tcW w:w="3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5"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0965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965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Blueprint Medicines Outlines 2027 Blueprint to Achieve Precision Medicine at Scale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Reports Third Quarter 2022 Financial Results at Investor Day 2022</w:t>
      </w:r>
    </w:p>
    <w:p>
      <w:pPr>
        <w:spacing w:after="0" w:line="157" w:lineRule="exact"/>
        <w:rPr>
          <w:sz w:val="20"/>
          <w:szCs w:val="20"/>
          <w:color w:val="auto"/>
        </w:rPr>
      </w:pPr>
    </w:p>
    <w:p>
      <w:pPr>
        <w:jc w:val="center"/>
        <w:ind w:left="4060" w:right="2780" w:hanging="1266"/>
        <w:spacing w:after="0" w:line="216" w:lineRule="auto"/>
        <w:tabs>
          <w:tab w:leader="none" w:pos="2911" w:val="left"/>
        </w:tabs>
        <w:numPr>
          <w:ilvl w:val="2"/>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On track to submit supplemental new drug application for AYVAKIT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3"/>
          <w:szCs w:val="13"/>
          <w:i w:val="1"/>
          <w:iCs w:val="1"/>
          <w:color w:val="auto"/>
        </w:rPr>
        <w:t xml:space="preserve"> (avapritinib) in non-advanced SM in Q4 2022, with an anticipated U.S. launch in mid-2023 --</w:t>
      </w:r>
    </w:p>
    <w:p>
      <w:pPr>
        <w:spacing w:after="0" w:line="145" w:lineRule="exact"/>
        <w:rPr>
          <w:rFonts w:ascii="Times New Roman" w:cs="Times New Roman" w:eastAsia="Times New Roman" w:hAnsi="Times New Roman"/>
          <w:sz w:val="13"/>
          <w:szCs w:val="13"/>
          <w:i w:val="1"/>
          <w:iCs w:val="1"/>
          <w:color w:val="auto"/>
        </w:rPr>
      </w:pPr>
    </w:p>
    <w:p>
      <w:pPr>
        <w:ind w:left="3160" w:right="2180" w:hanging="966"/>
        <w:spacing w:after="0" w:line="297" w:lineRule="auto"/>
        <w:tabs>
          <w:tab w:leader="none" w:pos="2323" w:val="left"/>
        </w:tabs>
        <w:numPr>
          <w:ilvl w:val="0"/>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Reports updated data from the SYMPHONY trial of BLU-945 demonstrating clinical activity and a differentiated safety profile, supporting combination development in first-line EGFR-mutant non-small cell lung cancer --</w:t>
      </w:r>
    </w:p>
    <w:p>
      <w:pPr>
        <w:spacing w:after="0" w:line="109" w:lineRule="exact"/>
        <w:rPr>
          <w:rFonts w:ascii="Times New Roman" w:cs="Times New Roman" w:eastAsia="Times New Roman" w:hAnsi="Times New Roman"/>
          <w:sz w:val="13"/>
          <w:szCs w:val="13"/>
          <w:i w:val="1"/>
          <w:iCs w:val="1"/>
          <w:color w:val="auto"/>
        </w:rPr>
      </w:pPr>
    </w:p>
    <w:p>
      <w:pPr>
        <w:ind w:left="2760" w:hanging="117"/>
        <w:spacing w:after="0"/>
        <w:tabs>
          <w:tab w:leader="none" w:pos="2760" w:val="left"/>
        </w:tabs>
        <w:numPr>
          <w:ilvl w:val="1"/>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Expects to achieve the high-end of total revenue guidance of $180 million to $200 million for full-year 2022 --</w:t>
      </w:r>
    </w:p>
    <w:p>
      <w:pPr>
        <w:spacing w:after="0" w:line="170" w:lineRule="exact"/>
        <w:rPr>
          <w:rFonts w:ascii="Times New Roman" w:cs="Times New Roman" w:eastAsia="Times New Roman" w:hAnsi="Times New Roman"/>
          <w:sz w:val="13"/>
          <w:szCs w:val="13"/>
          <w:i w:val="1"/>
          <w:iCs w:val="1"/>
          <w:color w:val="auto"/>
        </w:rPr>
      </w:pPr>
    </w:p>
    <w:p>
      <w:pPr>
        <w:ind w:left="3540" w:hanging="127"/>
        <w:spacing w:after="0"/>
        <w:tabs>
          <w:tab w:leader="none" w:pos="3540" w:val="left"/>
        </w:tabs>
        <w:numPr>
          <w:ilvl w:val="3"/>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Blueprint Medicines to webcast Investor Day 2022 event today at 8:30 a.m. ET --</w:t>
      </w:r>
    </w:p>
    <w:p>
      <w:pPr>
        <w:spacing w:after="0" w:line="17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CAMBRIDGE, Mass., November 1, 2022 – Blueprint Medicines (NASDAQ: BPMC) today announced its 2027 Blueprint to achieve precision medicine at scale, a five-year business strategy to expand the company’s reach to broader patient populations by leveraging its scientific leadership, proven development capability and integrated business. The company plans to highlight this business strategy, including commercial plans to bring AYVAKIT to patients with non-advanced systemic mastocytosis (SM), at its Investor Day event today. In addition, Blueprint Medicines today reported financial results and provided a business update for the third quarter ended September 30, 2022.</w:t>
      </w:r>
    </w:p>
    <w:p>
      <w:pPr>
        <w:spacing w:after="0" w:line="13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“The opportunity to bring AYVAKIT to patients with non-advanced SM, based on the positive results of the PIONEER study, will enable us to scale our impact and address the needs of a significantly larger patient population in the near term.” said Kate Haviland, Chief Executive Officer of Blueprint Medicines. “This morning at our Investor Day, we will highlight our 2027 Blueprint strategy to double our impact in five years across multiple metrics of portfolio strength. We plan to achieve this scale with the potential launch of AYVAKIT in non-advanced SM, multiple advancing clinical development programs for EGFR-mutant lung cancer and CDK2-vulnerable breast cancer, and an expansive precision therapy research pipeline, all of which build on our R&amp;D achievements to date and leverage our fully integrated global infrastructure.”</w:t>
      </w:r>
    </w:p>
    <w:p>
      <w:pPr>
        <w:spacing w:after="0" w:line="29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“In addition, today we are reaffirming total revenue guidance for full-year 2022, while we lower product revenue guidance based on performance in the third quarter and our near-term expectations for growth. Over the last year, we have established AYVAKIT as the standard of care in patients who are being actively treated for their advanced SM, and we are now focusing on increasing treatment rates in patients with SM and an associated hematologic neoplasm, where there has been lower adoption. In parallel, we are prioritizing efforts to bring AYVAKIT to patients with non-advanced SM, which, if approved, would represent a 15-fold or larger opportunity based on the number of patients with moderate-to-severe non-advanced SM who are diagnosed, being treated for their SM, and observable in U.S. claims data today.”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2027 Blueprint Global Business Strategy</w:t>
      </w:r>
    </w:p>
    <w:p>
      <w:pPr>
        <w:spacing w:after="0" w:line="17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3"/>
          <w:szCs w:val="13"/>
          <w:color w:val="auto"/>
        </w:rPr>
        <w:t>Building on Blueprint Medicines’ significant achievements over the last decade, including the regulatory approval of two internally discovered precision therapies within the company’s first decade, the five-year 2027 Blueprint strategy aims to double the company’s impact across multiple measures of portfolio strength in about half the time.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Blueprint Medicines aims to achieve the following by the end of 2027:</w:t>
      </w:r>
    </w:p>
    <w:p>
      <w:pPr>
        <w:spacing w:after="0" w:line="170" w:lineRule="exact"/>
        <w:rPr>
          <w:sz w:val="20"/>
          <w:szCs w:val="20"/>
          <w:color w:val="auto"/>
        </w:rPr>
      </w:pPr>
    </w:p>
    <w:p>
      <w:pPr>
        <w:ind w:left="240" w:hanging="240"/>
        <w:spacing w:after="0"/>
        <w:tabs>
          <w:tab w:leader="none" w:pos="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Products: 4+ marketed products for oncology, hematology, or mast cell disorders (versus 2 today)</w:t>
      </w:r>
    </w:p>
    <w:p>
      <w:pPr>
        <w:spacing w:after="0" w:line="23"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Portfolio: 3+ disease leadership areas (versus 1, mast cell disease, today)</w:t>
      </w:r>
    </w:p>
    <w:p>
      <w:pPr>
        <w:spacing w:after="0" w:line="10"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Clinical: 4+ late-stage clinical programs (versus 2 today)</w:t>
      </w:r>
    </w:p>
    <w:p>
      <w:pPr>
        <w:spacing w:after="0" w:line="10"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25+ cumulative development candidates nominated (versus 14 today) derived from 2 research platforms (versus 1, kinase inhibitor platform,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45 Sidney Street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Cambridge, MA 01741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71678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Investor Day Presentation Highlights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the Investor Day event, Blueprint Medicines plans to:</w:t>
      </w:r>
    </w:p>
    <w:p>
      <w:pPr>
        <w:spacing w:after="0" w:line="170" w:lineRule="exact"/>
        <w:rPr>
          <w:sz w:val="20"/>
          <w:szCs w:val="20"/>
          <w:color w:val="auto"/>
        </w:rPr>
      </w:pPr>
    </w:p>
    <w:p>
      <w:pPr>
        <w:ind w:left="240" w:right="200" w:hanging="240"/>
        <w:spacing w:after="0" w:line="267" w:lineRule="auto"/>
        <w:tabs>
          <w:tab w:leader="none" w:pos="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the go-to-market plan for AYVAKIT in non-advanced SM and facilitate a panel discussion with disease experts on perceptions of the registration-enabling PIONEER trial data, the current state of SM care, and the potential role of a new disease-modifying therapy. Participants will include:</w:t>
      </w:r>
    </w:p>
    <w:p>
      <w:pPr>
        <w:ind w:left="720" w:hanging="24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Frank Siebenhaar, MD, Assistant Professor, Charité University, and PIONEER trial investigator</w:t>
      </w:r>
    </w:p>
    <w:p>
      <w:pPr>
        <w:spacing w:after="0" w:line="10" w:lineRule="exact"/>
        <w:rPr>
          <w:rFonts w:ascii="Times New Roman" w:cs="Times New Roman" w:eastAsia="Times New Roman" w:hAnsi="Times New Roman"/>
          <w:sz w:val="13"/>
          <w:szCs w:val="13"/>
          <w:color w:val="auto"/>
        </w:rPr>
      </w:pPr>
    </w:p>
    <w:p>
      <w:pPr>
        <w:ind w:left="720" w:hanging="24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Pankit Vachhani, MD, Assistant Professor, University of Alabama, and PIONEER trial investigator</w:t>
      </w:r>
    </w:p>
    <w:p>
      <w:pPr>
        <w:spacing w:after="0" w:line="10" w:lineRule="exact"/>
        <w:rPr>
          <w:rFonts w:ascii="Times New Roman" w:cs="Times New Roman" w:eastAsia="Times New Roman" w:hAnsi="Times New Roman"/>
          <w:sz w:val="13"/>
          <w:szCs w:val="13"/>
          <w:color w:val="auto"/>
        </w:rPr>
      </w:pPr>
    </w:p>
    <w:p>
      <w:pPr>
        <w:ind w:left="720" w:hanging="24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James Wedner, MD, Professor, Washington University in St. Louis</w:t>
      </w:r>
    </w:p>
    <w:p>
      <w:pPr>
        <w:spacing w:after="0" w:line="10" w:lineRule="exact"/>
        <w:rPr>
          <w:rFonts w:ascii="Times New Roman" w:cs="Times New Roman" w:eastAsia="Times New Roman" w:hAnsi="Times New Roman"/>
          <w:sz w:val="13"/>
          <w:szCs w:val="13"/>
          <w:color w:val="auto"/>
        </w:rPr>
      </w:pPr>
    </w:p>
    <w:p>
      <w:pPr>
        <w:ind w:left="240" w:right="140" w:hanging="240"/>
        <w:spacing w:after="0" w:line="256" w:lineRule="auto"/>
        <w:tabs>
          <w:tab w:leader="none" w:pos="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Highlight clinical progress informing development strategies for the company’s EGFR portfolio therapies, including updated Phase 1/2 SYMPHONY trial dose escalation data supporting plans to prioritize development of BLU-945 in combination with osimertinib in first-line EGFR L858R-positive non-small cell lung cancer (NSCLC).</w:t>
      </w:r>
    </w:p>
    <w:p>
      <w:pPr>
        <w:spacing w:after="0" w:line="1" w:lineRule="exact"/>
        <w:rPr>
          <w:rFonts w:ascii="Times New Roman" w:cs="Times New Roman" w:eastAsia="Times New Roman" w:hAnsi="Times New Roman"/>
          <w:sz w:val="13"/>
          <w:szCs w:val="13"/>
          <w:color w:val="auto"/>
        </w:rPr>
      </w:pPr>
    </w:p>
    <w:p>
      <w:pPr>
        <w:ind w:left="240" w:right="400" w:hanging="240"/>
        <w:spacing w:after="0" w:line="273" w:lineRule="auto"/>
        <w:tabs>
          <w:tab w:leader="none" w:pos="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Introduce a new research program targeting wild-type KIT, which aims to build on the company’s KIT target leadership to advance a best-in-class oral precision therapy for common mast cell diseases adjacent to systemic mastocytosis, including chronic urticaria.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Third Quarter 2022 Highlights and Recent Progress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AYVAKIT</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3"/>
          <w:szCs w:val="13"/>
          <w:b w:val="1"/>
          <w:bCs w:val="1"/>
          <w:color w:val="auto"/>
        </w:rPr>
        <w:t>/AYVAKYT</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3"/>
          <w:szCs w:val="13"/>
          <w:b w:val="1"/>
          <w:bCs w:val="1"/>
          <w:color w:val="auto"/>
        </w:rPr>
        <w:t xml:space="preserve"> (avapritinib): SM and PDGFRA gastrointestinal stromal tumor</w:t>
      </w:r>
    </w:p>
    <w:p>
      <w:pPr>
        <w:spacing w:after="0" w:line="97" w:lineRule="exact"/>
        <w:rPr>
          <w:sz w:val="20"/>
          <w:szCs w:val="20"/>
          <w:color w:val="auto"/>
        </w:rPr>
      </w:pPr>
    </w:p>
    <w:p>
      <w:pPr>
        <w:ind w:left="240" w:hanging="240"/>
        <w:spacing w:after="0"/>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Reported global net product revenues of $28.6 million for the third quarter of 2022.</w:t>
      </w:r>
    </w:p>
    <w:p>
      <w:pPr>
        <w:spacing w:after="0" w:line="23" w:lineRule="exact"/>
        <w:rPr>
          <w:rFonts w:ascii="Times New Roman" w:cs="Times New Roman" w:eastAsia="Times New Roman" w:hAnsi="Times New Roman"/>
          <w:sz w:val="13"/>
          <w:szCs w:val="13"/>
          <w:color w:val="auto"/>
        </w:rPr>
      </w:pPr>
    </w:p>
    <w:p>
      <w:pPr>
        <w:ind w:left="240" w:right="20" w:hanging="240"/>
        <w:spacing w:after="0" w:line="256" w:lineRule="auto"/>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positive top-line results from the registration-enabling Part 2 of the PIONEER trial of AYVAKIT in patients with non-advanced SM, demonstrating clinically meaningful and highly significant improvements across the primary and all key secondary endpoints, including patient-reported symptoms and objective measures of mast cell burden. AYVAKIT had a favorable safety profile compared to the control arm, supporting the potential for long-term treatment. Read the press release here.</w:t>
      </w:r>
    </w:p>
    <w:p>
      <w:pPr>
        <w:spacing w:after="0" w:line="1" w:lineRule="exact"/>
        <w:rPr>
          <w:rFonts w:ascii="Times New Roman" w:cs="Times New Roman" w:eastAsia="Times New Roman" w:hAnsi="Times New Roman"/>
          <w:sz w:val="13"/>
          <w:szCs w:val="13"/>
          <w:color w:val="auto"/>
        </w:rPr>
      </w:pPr>
    </w:p>
    <w:p>
      <w:pPr>
        <w:ind w:left="240" w:right="120" w:hanging="240"/>
        <w:spacing w:after="0" w:line="265" w:lineRule="auto"/>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Published results from the TouchStone study of patient and healthcare provider perceptions of SM disease burden, which highlighted that SM is associated with severe and burdensome symptoms including anaphylactic events, frequent emergency department visits, use of multiple symptom-directed medications, reduced ability to work, impaired physical functioning and poor quality of life. Read the press release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GAVRETO</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3"/>
          <w:szCs w:val="13"/>
          <w:b w:val="1"/>
          <w:bCs w:val="1"/>
          <w:color w:val="auto"/>
        </w:rPr>
        <w:t xml:space="preserve"> (pralsetinib): RET-altered cancers</w:t>
      </w:r>
    </w:p>
    <w:p>
      <w:pPr>
        <w:spacing w:after="0" w:line="97" w:lineRule="exact"/>
        <w:rPr>
          <w:sz w:val="20"/>
          <w:szCs w:val="20"/>
          <w:color w:val="auto"/>
        </w:rPr>
      </w:pPr>
    </w:p>
    <w:p>
      <w:pPr>
        <w:ind w:left="240" w:hanging="240"/>
        <w:spacing w:after="0"/>
        <w:tabs>
          <w:tab w:leader="none" w:pos="2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recorded and reported by Roche, GAVRETO global product sales were 20 million CHF year to date which excludes sales in the Greater China territory driven by CStone Pharmaceuticals.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BLU-945, BLU-701, BLU-525, and BLU-451: EGFR-mutant NSCLC</w:t>
      </w:r>
    </w:p>
    <w:p>
      <w:pPr>
        <w:spacing w:after="0" w:line="172" w:lineRule="exact"/>
        <w:rPr>
          <w:sz w:val="20"/>
          <w:szCs w:val="20"/>
          <w:color w:val="auto"/>
        </w:rPr>
      </w:pPr>
    </w:p>
    <w:p>
      <w:pPr>
        <w:ind w:left="240" w:hanging="240"/>
        <w:spacing w:after="0" w:line="263" w:lineRule="auto"/>
        <w:tabs>
          <w:tab w:leader="none" w:pos="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emerging clinical and preclinical data, Blueprint Medicines plans to prioritize development of BLU-525, a back-up EGFR inhibitor candidate, and deprioritize further development of BLU-701. Compared to BLU-701, BLU-525 has a distinct chemical structure with improved kinome selectivity and differentiated metabolism, and equivalent EGFR mutation coverage, wild-type EGFR selectivity, and central nervous system penetration. The company plans to submit an investigational new drug application to the U.S. Food and Drug Administration (FDA) for BLU-525 in the first quarter of 2023.</w:t>
      </w:r>
    </w:p>
    <w:p>
      <w:pPr>
        <w:spacing w:after="0" w:line="1" w:lineRule="exact"/>
        <w:rPr>
          <w:rFonts w:ascii="Times New Roman" w:cs="Times New Roman" w:eastAsia="Times New Roman" w:hAnsi="Times New Roman"/>
          <w:sz w:val="13"/>
          <w:szCs w:val="13"/>
          <w:color w:val="auto"/>
        </w:rPr>
      </w:pPr>
    </w:p>
    <w:p>
      <w:pPr>
        <w:ind w:left="240" w:right="460" w:hanging="240"/>
        <w:spacing w:after="0" w:line="273" w:lineRule="auto"/>
        <w:tabs>
          <w:tab w:leader="none" w:pos="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Blueprint Medicines, with Guardant Health, presented real-world data from patients with EGFR-mutant NSCLC identifying the EGFR C797X mutation as the most common resistance mechanism to osimertinib at the International Association for the Study of Lung Cancer 2022 World Conference on Lung Cancer. Read the press release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Upcoming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Blueprint Medicines expects to achieve the following near-term milestones:</w:t>
      </w:r>
    </w:p>
    <w:p>
      <w:pPr>
        <w:spacing w:after="0" w:line="23" w:lineRule="exact"/>
        <w:rPr>
          <w:sz w:val="20"/>
          <w:szCs w:val="20"/>
          <w:color w:val="auto"/>
        </w:rPr>
      </w:pPr>
    </w:p>
    <w:p>
      <w:pPr>
        <w:ind w:left="300" w:hanging="240"/>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a supplemental New Drug Application to the FDA for AYVAKIT for non-advanced SM in the fourth quarter of 2022.</w:t>
      </w:r>
    </w:p>
    <w:p>
      <w:pPr>
        <w:spacing w:after="0" w:line="10"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Present detailed data from the registration-enabling Part 2 of the PIONEER trial of AYVAKIT in non-advanced SM at a medical congress in late 2022 or early 2023.</w:t>
      </w:r>
    </w:p>
    <w:p>
      <w:pPr>
        <w:spacing w:after="0" w:line="10"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top-line 12-week data from Part 1 of the HARBOR trial of BLU-263 in non-advanced SM in the fourth quarter of 2022.</w:t>
      </w:r>
    </w:p>
    <w:p>
      <w:pPr>
        <w:spacing w:after="0" w:line="10"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an IND to the FDA for BLU-525 for the treatment of EGFR-mutant NSCLC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678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5" w:name="page6"/>
    <w:bookmarkEnd w:id="5"/>
    <w:p>
      <w:pPr>
        <w:ind w:left="300" w:hanging="240"/>
        <w:spacing w:after="0"/>
        <w:tabs>
          <w:tab w:leader="none" w:pos="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Present initial data from the Phase 1/2 CONCERTO study of BLU-451 in patients with EGFR-mutant NSCLC in the first half of 2023.</w:t>
      </w:r>
    </w:p>
    <w:p>
      <w:pPr>
        <w:spacing w:after="0" w:line="23"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Present initial data from the Phase 1/2 VELA trial of BLU-222 in CDK2-vulnerable cancers in the first half of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Third Quarter 2022 Results</w:t>
      </w:r>
    </w:p>
    <w:p>
      <w:pPr>
        <w:spacing w:after="0" w:line="170" w:lineRule="exact"/>
        <w:rPr>
          <w:sz w:val="20"/>
          <w:szCs w:val="20"/>
          <w:color w:val="auto"/>
        </w:rPr>
      </w:pPr>
    </w:p>
    <w:p>
      <w:pPr>
        <w:ind w:left="300" w:right="240" w:hanging="240"/>
        <w:spacing w:after="0" w:line="264" w:lineRule="auto"/>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Revenues</w:t>
      </w:r>
      <w:r>
        <w:rPr>
          <w:rFonts w:ascii="Times New Roman" w:cs="Times New Roman" w:eastAsia="Times New Roman" w:hAnsi="Times New Roman"/>
          <w:sz w:val="13"/>
          <w:szCs w:val="13"/>
          <w:color w:val="auto"/>
        </w:rPr>
        <w:t>: Revenues were $66.0 million for the third quarter of 2022, including $28.6 million of net product revenues from sales of AYVAKIT/AYVAKYT, $9.8 million in collaboration and license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revenues, and $27.5 million in license revenues- related party. Blueprint Medicines recorded revenues of $24.2 million in the third quarter of 2021, including $17.3 million of net product revenues from sales of AYVAKIT/AYVAKIT and $6.9 million in collaboration and license revenues.</w:t>
      </w:r>
    </w:p>
    <w:p>
      <w:pPr>
        <w:spacing w:after="0" w:line="1"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Cost of Sales:</w:t>
      </w:r>
      <w:r>
        <w:rPr>
          <w:rFonts w:ascii="Times New Roman" w:cs="Times New Roman" w:eastAsia="Times New Roman" w:hAnsi="Times New Roman"/>
          <w:sz w:val="13"/>
          <w:szCs w:val="13"/>
          <w:color w:val="auto"/>
        </w:rPr>
        <w:t> Cost of sales was $3.0 million for the third quarter of 2022, as compared to $3.8 million for the third quarter of 2021.</w:t>
      </w:r>
    </w:p>
    <w:p>
      <w:pPr>
        <w:spacing w:after="0" w:line="10"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R&amp;D Expenses:</w:t>
      </w:r>
      <w:r>
        <w:rPr>
          <w:rFonts w:ascii="Times New Roman" w:cs="Times New Roman" w:eastAsia="Times New Roman" w:hAnsi="Times New Roman"/>
          <w:sz w:val="13"/>
          <w:szCs w:val="13"/>
          <w:color w:val="auto"/>
        </w:rPr>
        <w:t> Research and development expenses were $128.0 million for the third quarter of 2022, as compared to $84.4 million for the third quarter of 2021. This increase was primarily due</w:t>
      </w:r>
    </w:p>
    <w:p>
      <w:pPr>
        <w:spacing w:after="0" w:line="10" w:lineRule="exact"/>
        <w:rPr>
          <w:rFonts w:ascii="Times New Roman" w:cs="Times New Roman" w:eastAsia="Times New Roman" w:hAnsi="Times New Roman"/>
          <w:sz w:val="13"/>
          <w:szCs w:val="13"/>
          <w:color w:val="auto"/>
        </w:rPr>
      </w:pPr>
    </w:p>
    <w:p>
      <w:pPr>
        <w:ind w:left="300" w:right="14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increased clinical supply manufacturing and clinical development activities due to the progression and expansion of our clinical trials and increased costs related to early discovery effort. Research and development expenses included $10.0 million in stock-based compensation expenses for the third quarter of 2022.</w:t>
      </w:r>
    </w:p>
    <w:p>
      <w:pPr>
        <w:spacing w:after="0" w:line="1" w:lineRule="exact"/>
        <w:rPr>
          <w:rFonts w:ascii="Times New Roman" w:cs="Times New Roman" w:eastAsia="Times New Roman" w:hAnsi="Times New Roman"/>
          <w:sz w:val="13"/>
          <w:szCs w:val="13"/>
          <w:color w:val="auto"/>
        </w:rPr>
      </w:pPr>
    </w:p>
    <w:p>
      <w:pPr>
        <w:ind w:left="300" w:hanging="240"/>
        <w:spacing w:after="0" w:line="256" w:lineRule="auto"/>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SG&amp;A Expenses:</w:t>
      </w:r>
      <w:r>
        <w:rPr>
          <w:rFonts w:ascii="Times New Roman" w:cs="Times New Roman" w:eastAsia="Times New Roman" w:hAnsi="Times New Roman"/>
          <w:sz w:val="13"/>
          <w:szCs w:val="13"/>
          <w:color w:val="auto"/>
        </w:rPr>
        <w:t> Selling, general and administrative expenses were $57.6 million for the third quarter of 2022, as compared to $49.8 million for the third quarter of 2021. This increase was primarily due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increased costs associated with expanding our commercial infrastructure for commercialization of AYVAKIT/AYVAKYT. General and administrative expenses included $14.1 million in stock-based compensation expenses for the third quarter of 2022.</w:t>
      </w:r>
    </w:p>
    <w:p>
      <w:pPr>
        <w:spacing w:after="0" w:line="1"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Net Loss</w:t>
      </w:r>
      <w:r>
        <w:rPr>
          <w:rFonts w:ascii="Times New Roman" w:cs="Times New Roman" w:eastAsia="Times New Roman" w:hAnsi="Times New Roman"/>
          <w:sz w:val="13"/>
          <w:szCs w:val="13"/>
          <w:color w:val="auto"/>
        </w:rPr>
        <w:t>: Net loss was $133.2 million for the third quarter of 2022, or a net loss per share of $2.23, as compared to a net loss of $117.2 million for the third quarter of 2021, or a net loss per share of $2.00.</w:t>
      </w:r>
    </w:p>
    <w:p>
      <w:pPr>
        <w:spacing w:after="0" w:line="10" w:lineRule="exact"/>
        <w:rPr>
          <w:rFonts w:ascii="Times New Roman" w:cs="Times New Roman" w:eastAsia="Times New Roman" w:hAnsi="Times New Roman"/>
          <w:sz w:val="13"/>
          <w:szCs w:val="13"/>
          <w:color w:val="auto"/>
        </w:rPr>
      </w:pPr>
    </w:p>
    <w:p>
      <w:pPr>
        <w:ind w:left="300" w:hanging="240"/>
        <w:spacing w:after="0"/>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Cash Position</w:t>
      </w:r>
      <w:r>
        <w:rPr>
          <w:rFonts w:ascii="Times New Roman" w:cs="Times New Roman" w:eastAsia="Times New Roman" w:hAnsi="Times New Roman"/>
          <w:sz w:val="13"/>
          <w:szCs w:val="13"/>
          <w:color w:val="auto"/>
        </w:rPr>
        <w:t>: As of September 30, 2022, cash, cash equivalents and investments were $1,192.6 million, as compared to $1,034.6 million as of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Guidance</w:t>
      </w:r>
    </w:p>
    <w:p>
      <w:pPr>
        <w:spacing w:after="0" w:line="17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3"/>
          <w:szCs w:val="13"/>
          <w:color w:val="auto"/>
        </w:rPr>
        <w:t>Blueprint Medicines anticipates it will achieve the high end of previously provided revenue guidance for full-year 2022 of approximately $180 million to $200 million, including approximately $108 million to $111 million in AYVAKIT net product revenues. The company continues to expect that its existing cash, cash equivalents and investments, together with anticipated future product revenues, will provide sufficient capital to enable the company to achieve a self-sustainable financial profile.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Conference Call Information</w:t>
      </w:r>
    </w:p>
    <w:p>
      <w:pPr>
        <w:spacing w:after="0" w:line="17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3"/>
          <w:szCs w:val="13"/>
          <w:color w:val="auto"/>
        </w:rPr>
        <w:t xml:space="preserve">Blueprint Medicines will host a live conference call and webcast at 8:30 a.m. ET today for Investor Day and to discuss third quarter 2022 financial results. The live webcast of the event will be available under "Events and Presentations" in the Investors &amp; Media section of Blueprint Medicines' website at </w:t>
      </w:r>
      <w:r>
        <w:rPr>
          <w:rFonts w:ascii="Times New Roman" w:cs="Times New Roman" w:eastAsia="Times New Roman" w:hAnsi="Times New Roman"/>
          <w:sz w:val="13"/>
          <w:szCs w:val="13"/>
          <w:u w:val="single" w:color="auto"/>
          <w:color w:val="auto"/>
        </w:rPr>
        <w:t>http://ir.blueprintmedicines.com/</w:t>
      </w:r>
      <w:r>
        <w:rPr>
          <w:rFonts w:ascii="Times New Roman" w:cs="Times New Roman" w:eastAsia="Times New Roman" w:hAnsi="Times New Roman"/>
          <w:sz w:val="13"/>
          <w:szCs w:val="13"/>
          <w:color w:val="auto"/>
        </w:rPr>
        <w:t>. A replay of the webcast will be archived on Blueprint Medicines' website for 90 days following the event.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Blueprint Medicines</w:t>
      </w:r>
    </w:p>
    <w:p>
      <w:pPr>
        <w:spacing w:after="0" w:line="1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3"/>
          <w:szCs w:val="13"/>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678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as amended, including, without limitation, statements regarding plans, strategies, timelines and expectations for interactions with the FDA and other regulatory authorities; to submit a supplemental New Drug Application to the FDA for AYVAKIT in non-advanced SM, with a subsequent submission of a type II variation marketing authorization application to the European Medicines Agency; plans and timing for presenting detailed data from the PIONEER trial of AYVAKIT in patients with non-advanced SM, and, expectations regarding the potential benefits of AYVAKIT in treating patients with non-advanced SM; statements regarding plans and expectations for Blueprint Medicines' current or future approved drugs and drug candidates; the potential benefits of any of Blueprint Medicines' current or future approved drugs or drug candidates in treating patients; and Blueprint</w:t>
      </w:r>
    </w:p>
    <w:p>
      <w:pPr>
        <w:spacing w:after="0" w:line="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Blueprint Medicines, AYVAKIT, AYVAKYT, GAVRETO and associated logos are trademarks of Blueprint Medicines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Sarah Mena Guerrero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617-714-6684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media@blueprintmedicines.com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Cassie Saitow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617-909-3127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71678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 w:name="page8"/>
    <w:bookmarkEnd w:id="7"/>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Blueprint Medicines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Selected Condensed Consolidated Balance Sheet Data</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0"/>
        </w:trPr>
        <w:tc>
          <w:tcPr>
            <w:tcW w:w="7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r>
      <w:tr>
        <w:trPr>
          <w:trHeight w:val="15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1,192,640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1,034,643</w:t>
            </w:r>
          </w:p>
        </w:tc>
        <w:tc>
          <w:tcPr>
            <w:tcW w:w="80" w:type="dxa"/>
            <w:vAlign w:val="bottom"/>
            <w:shd w:val="clear" w:color="auto" w:fill="CCEEFF"/>
          </w:tcPr>
          <w:p>
            <w:pPr>
              <w:spacing w:after="0"/>
              <w:rPr>
                <w:sz w:val="13"/>
                <w:szCs w:val="13"/>
                <w:color w:val="auto"/>
              </w:rPr>
            </w:pPr>
          </w:p>
        </w:tc>
      </w:tr>
      <w:tr>
        <w:trPr>
          <w:trHeight w:val="160"/>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Working capital (1)</w:t>
            </w:r>
          </w:p>
        </w:tc>
        <w:tc>
          <w:tcPr>
            <w:tcW w:w="1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1,052,155</w:t>
            </w:r>
          </w:p>
        </w:tc>
        <w:tc>
          <w:tcPr>
            <w:tcW w:w="1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404,260</w:t>
            </w:r>
          </w:p>
        </w:tc>
      </w:tr>
      <w:tr>
        <w:trPr>
          <w:trHeight w:val="16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1,458,392</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1,252,225</w:t>
            </w:r>
          </w:p>
        </w:tc>
      </w:tr>
      <w:tr>
        <w:trPr>
          <w:trHeight w:val="160"/>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 (2)</w:t>
            </w:r>
          </w:p>
        </w:tc>
        <w:tc>
          <w:tcPr>
            <w:tcW w:w="1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16,624</w:t>
            </w:r>
          </w:p>
        </w:tc>
        <w:tc>
          <w:tcPr>
            <w:tcW w:w="1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36,576</w:t>
            </w:r>
          </w:p>
        </w:tc>
      </w:tr>
      <w:tr>
        <w:trPr>
          <w:trHeight w:val="16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Liability related to the sale of future royalties and revenues (2)</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423,653</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Term loan (2)</w:t>
            </w:r>
          </w:p>
        </w:tc>
        <w:tc>
          <w:tcPr>
            <w:tcW w:w="1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138,350</w:t>
            </w:r>
          </w:p>
        </w:tc>
        <w:tc>
          <w:tcPr>
            <w:tcW w:w="1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818,085</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281,490</w:t>
            </w:r>
          </w:p>
        </w:tc>
      </w:tr>
      <w:tr>
        <w:trPr>
          <w:trHeight w:val="173"/>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640,307</w:t>
            </w:r>
          </w:p>
        </w:tc>
        <w:tc>
          <w:tcPr>
            <w:tcW w:w="10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970,735</w:t>
            </w:r>
          </w:p>
        </w:tc>
      </w:tr>
    </w:tbl>
    <w:p>
      <w:pPr>
        <w:spacing w:after="0" w:line="154" w:lineRule="exact"/>
        <w:rPr>
          <w:sz w:val="20"/>
          <w:szCs w:val="20"/>
          <w:color w:val="auto"/>
        </w:rPr>
      </w:pPr>
    </w:p>
    <w:p>
      <w:pPr>
        <w:ind w:left="180" w:hanging="180"/>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Blueprint defines working capital as current assets less current liabilities.</w:t>
      </w:r>
    </w:p>
    <w:p>
      <w:pPr>
        <w:spacing w:after="0" w:line="23" w:lineRule="exact"/>
        <w:rPr>
          <w:rFonts w:ascii="Times New Roman" w:cs="Times New Roman" w:eastAsia="Times New Roman" w:hAnsi="Times New Roman"/>
          <w:sz w:val="13"/>
          <w:szCs w:val="13"/>
          <w:color w:val="auto"/>
        </w:rPr>
      </w:pPr>
    </w:p>
    <w:p>
      <w:pPr>
        <w:ind w:left="180" w:hanging="180"/>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71678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59"/>
          </w:cols>
          <w:pgMar w:left="300" w:top="705"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Blueprint Medicines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Data</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4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4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 revenue, net</w:t>
            </w:r>
          </w:p>
        </w:tc>
        <w:tc>
          <w:tcPr>
            <w:tcW w:w="4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28,634</w:t>
            </w:r>
          </w:p>
        </w:tc>
        <w:tc>
          <w:tcPr>
            <w:tcW w:w="600" w:type="dxa"/>
            <w:vAlign w:val="bottom"/>
            <w:gridSpan w:val="2"/>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17,270</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80,929</w:t>
            </w:r>
          </w:p>
        </w:tc>
        <w:tc>
          <w:tcPr>
            <w:tcW w:w="580" w:type="dxa"/>
            <w:vAlign w:val="bottom"/>
            <w:gridSpan w:val="2"/>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80" w:type="dxa"/>
            <w:vAlign w:val="bottom"/>
          </w:tcPr>
          <w:p>
            <w:pPr>
              <w:spacing w:after="0"/>
              <w:rPr>
                <w:sz w:val="13"/>
                <w:szCs w:val="13"/>
                <w:color w:val="auto"/>
              </w:rPr>
            </w:pPr>
          </w:p>
        </w:tc>
      </w:tr>
      <w:tr>
        <w:trPr>
          <w:trHeight w:val="16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Collaboration and license revenue</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9,843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rPr>
              <w:t>6,918</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56,826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35,401</w:t>
            </w:r>
          </w:p>
        </w:tc>
        <w:tc>
          <w:tcPr>
            <w:tcW w:w="80" w:type="dxa"/>
            <w:vAlign w:val="bottom"/>
            <w:shd w:val="clear" w:color="auto" w:fill="CCEEFF"/>
          </w:tcPr>
          <w:p>
            <w:pPr>
              <w:spacing w:after="0"/>
              <w:rPr>
                <w:sz w:val="13"/>
                <w:szCs w:val="13"/>
                <w:color w:val="auto"/>
              </w:rPr>
            </w:pPr>
          </w:p>
        </w:tc>
      </w:tr>
      <w:tr>
        <w:trPr>
          <w:trHeight w:val="170"/>
        </w:trPr>
        <w:tc>
          <w:tcPr>
            <w:tcW w:w="4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License revenue - Related Party</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27,500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27,500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24,188</w:t>
            </w: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165,255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73,059</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Cost and operating expenses: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Cost of sales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rPr>
              <w:t>3,790</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12,965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10,385</w:t>
            </w:r>
          </w:p>
        </w:tc>
        <w:tc>
          <w:tcPr>
            <w:tcW w:w="80" w:type="dxa"/>
            <w:vAlign w:val="bottom"/>
            <w:shd w:val="clear" w:color="auto" w:fill="CCEEFF"/>
          </w:tcPr>
          <w:p>
            <w:pPr>
              <w:spacing w:after="0"/>
              <w:rPr>
                <w:sz w:val="13"/>
                <w:szCs w:val="13"/>
                <w:color w:val="auto"/>
              </w:rPr>
            </w:pPr>
          </w:p>
        </w:tc>
      </w:tr>
      <w:tr>
        <w:trPr>
          <w:trHeight w:val="160"/>
        </w:trPr>
        <w:tc>
          <w:tcPr>
            <w:tcW w:w="4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Collaboration loss sharing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1,665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3,269</w:t>
            </w:r>
          </w:p>
        </w:tc>
        <w:tc>
          <w:tcPr>
            <w:tcW w:w="300" w:type="dxa"/>
            <w:vAlign w:val="bottom"/>
          </w:tcPr>
          <w:p>
            <w:pPr>
              <w:spacing w:after="0"/>
              <w:rPr>
                <w:sz w:val="13"/>
                <w:szCs w:val="13"/>
                <w:color w:val="auto"/>
              </w:rPr>
            </w:pPr>
          </w:p>
        </w:tc>
        <w:tc>
          <w:tcPr>
            <w:tcW w:w="11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7,076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127,981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rPr>
              <w:t>84,419</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359,579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244,157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4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57,608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49,806</w:t>
            </w:r>
          </w:p>
        </w:tc>
        <w:tc>
          <w:tcPr>
            <w:tcW w:w="300" w:type="dxa"/>
            <w:vAlign w:val="bottom"/>
          </w:tcPr>
          <w:p>
            <w:pPr>
              <w:spacing w:after="0"/>
              <w:rPr>
                <w:sz w:val="14"/>
                <w:szCs w:val="14"/>
                <w:color w:val="auto"/>
              </w:rPr>
            </w:pPr>
          </w:p>
        </w:tc>
        <w:tc>
          <w:tcPr>
            <w:tcW w:w="11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173,354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cost and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190,254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141,284</w:t>
            </w: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552,974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398,904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(8,396)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rPr>
              <w:t>552</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(7,527)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4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color w:val="auto"/>
              </w:rPr>
              <w:t>(522)</w:t>
            </w:r>
          </w:p>
        </w:tc>
        <w:tc>
          <w:tcPr>
            <w:tcW w:w="300" w:type="dxa"/>
            <w:vAlign w:val="bottom"/>
          </w:tcPr>
          <w:p>
            <w:pPr>
              <w:spacing w:after="0"/>
              <w:rPr>
                <w:sz w:val="14"/>
                <w:szCs w:val="14"/>
                <w:color w:val="auto"/>
              </w:rPr>
            </w:pPr>
          </w:p>
        </w:tc>
        <w:tc>
          <w:tcPr>
            <w:tcW w:w="11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(1,109)</w:t>
            </w:r>
          </w:p>
        </w:tc>
      </w:tr>
      <w:tr>
        <w:trPr>
          <w:trHeight w:val="15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5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Loss before income taxes</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(132,277)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(117,066)</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(394,671)</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(325,031)</w:t>
            </w:r>
          </w:p>
        </w:tc>
        <w:tc>
          <w:tcPr>
            <w:tcW w:w="100" w:type="dxa"/>
            <w:vAlign w:val="bottom"/>
            <w:tcBorders>
              <w:bottom w:val="single" w:sz="8" w:color="CCEEFF"/>
            </w:tcBorders>
            <w:gridSpan w:val="2"/>
          </w:tcPr>
          <w:p>
            <w:pPr>
              <w:spacing w:after="0"/>
              <w:rPr>
                <w:sz w:val="13"/>
                <w:szCs w:val="13"/>
                <w:color w:val="auto"/>
              </w:rPr>
            </w:pPr>
          </w:p>
        </w:tc>
      </w:tr>
      <w:tr>
        <w:trPr>
          <w:trHeight w:val="1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gridSpan w:val="2"/>
            <w:shd w:val="clear" w:color="auto" w:fill="CCEEFF"/>
          </w:tcPr>
          <w:p>
            <w:pPr>
              <w:spacing w:after="0"/>
              <w:rPr>
                <w:sz w:val="13"/>
                <w:szCs w:val="13"/>
                <w:color w:val="auto"/>
              </w:rPr>
            </w:pPr>
          </w:p>
        </w:tc>
      </w:tr>
      <w:tr>
        <w:trPr>
          <w:trHeight w:val="17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(133,163</w:t>
            </w:r>
          </w:p>
        </w:tc>
        <w:tc>
          <w:tcPr>
            <w:tcW w:w="14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(117,241</w:t>
            </w:r>
          </w:p>
        </w:tc>
        <w:tc>
          <w:tcPr>
            <w:tcW w:w="22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(398,871</w:t>
            </w:r>
          </w:p>
        </w:tc>
        <w:tc>
          <w:tcPr>
            <w:tcW w:w="14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(325,399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8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 basic and diluted</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number of common shares used in net loss per share — basic and diluted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58,647</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58,361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500"/>
        </w:trPr>
        <w:tc>
          <w:tcPr>
            <w:tcW w:w="4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5" w:right="319" w:bottom="1440" w:gutter="0" w:footer="0" w:header="0"/>
        </w:sectPr>
      </w:pPr>
    </w:p>
    <w:bookmarkStart w:id="9" w:name="page10"/>
    <w:bookmarkEnd w:id="9"/>
    <w:p>
      <w:pPr>
        <w:ind w:left="946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15875</wp:posOffset>
            </wp:positionV>
            <wp:extent cx="6837680" cy="3879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942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7680" cy="394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wp:posOffset>
            </wp:positionH>
            <wp:positionV relativeFrom="page">
              <wp:posOffset>88900</wp:posOffset>
            </wp:positionV>
            <wp:extent cx="6926580" cy="3879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4025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7680" cy="4025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3949065</wp:posOffset>
            </wp:positionV>
            <wp:extent cx="678688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8688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3949065</wp:posOffset>
            </wp:positionV>
            <wp:extent cx="678688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8688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3949065</wp:posOffset>
            </wp:positionV>
            <wp:extent cx="678688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8688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88900</wp:posOffset>
            </wp:positionV>
            <wp:extent cx="6837680" cy="38792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7680" cy="3879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2022-11-01T07:19:14Z</dcterms:created>
  <dcterms:modified xsi:type="dcterms:W3CDTF">2022-11-01T07:19:14Z</dcterms:modified>
</cp:coreProperties>
</file>