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40"/>
          </w:cols>
          <w:pgMar w:left="980" w:top="970" w:right="97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970" w:right="979" w:bottom="1440" w:gutter="0" w:footer="0" w:header="0"/>
          <w:type w:val="continuous"/>
        </w:sectPr>
      </w:pPr>
    </w:p>
    <w:p>
      <w:pPr>
        <w:spacing w:after="0" w:line="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20" w:space="720"/>
            <w:col w:w="2900"/>
          </w:cols>
          <w:pgMar w:left="980" w:top="970" w:right="979" w:bottom="1440" w:gutter="0" w:footer="0" w:header="0"/>
          <w:type w:val="continuous"/>
        </w:sectPr>
      </w:pP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r>
        <w:trPr>
          <w:trHeight w:val="81"/>
        </w:trPr>
        <w:tc>
          <w:tcPr>
            <w:tcW w:w="39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r>
      <w:tr>
        <w:trPr>
          <w:trHeight w:val="857"/>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7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May 2, 2024, Blueprint Medicines Corporation announced its financial results for the quarter ended March 31, 2024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2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May 2, 2024</w:t>
            </w:r>
          </w:p>
        </w:tc>
      </w:tr>
      <w:tr>
        <w:trPr>
          <w:trHeight w:val="20"/>
        </w:trPr>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18"/>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w:t>
            </w:r>
          </w:p>
        </w:tc>
      </w:tr>
      <w:tr>
        <w:trPr>
          <w:trHeight w:val="234"/>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2820" w:type="dxa"/>
            <w:vAlign w:val="bottom"/>
          </w:tcPr>
          <w:p>
            <w:pPr>
              <w:spacing w:after="0"/>
              <w:rPr>
                <w:sz w:val="20"/>
                <w:szCs w:val="20"/>
                <w:color w:val="auto"/>
              </w:rPr>
            </w:pPr>
          </w:p>
        </w:tc>
      </w:tr>
      <w:tr>
        <w:trPr>
          <w:trHeight w:val="1438"/>
        </w:trPr>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2, 2024</w:t>
            </w:r>
          </w:p>
        </w:tc>
        <w:tc>
          <w:tcPr>
            <w:tcW w:w="67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397"/>
        </w:trPr>
        <w:tc>
          <w:tcPr>
            <w:tcW w:w="3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ind w:left="90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15" w:lineRule="auto"/>
        <w:rPr>
          <w:sz w:val="20"/>
          <w:szCs w:val="20"/>
          <w:color w:val="auto"/>
        </w:rPr>
      </w:pPr>
      <w:r>
        <w:rPr>
          <w:rFonts w:ascii="Times New Roman" w:cs="Times New Roman" w:eastAsia="Times New Roman" w:hAnsi="Times New Roman"/>
          <w:sz w:val="18"/>
          <w:szCs w:val="18"/>
          <w:b w:val="1"/>
          <w:bCs w:val="1"/>
          <w:color w:val="auto"/>
        </w:rPr>
        <w:t>Blueprint Medicines Reports Strong First Quarter 2024 Results and Raises AYVAKIT</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AYVAKYT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color w:val="auto"/>
        </w:rPr>
        <w:t xml:space="preserve"> (avapritinib) Full Year Revenue Guidance</w:t>
      </w:r>
    </w:p>
    <w:p>
      <w:pPr>
        <w:spacing w:after="0" w:line="197" w:lineRule="exact"/>
        <w:rPr>
          <w:sz w:val="20"/>
          <w:szCs w:val="20"/>
          <w:color w:val="auto"/>
        </w:rPr>
      </w:pPr>
    </w:p>
    <w:p>
      <w:pPr>
        <w:jc w:val="center"/>
        <w:spacing w:after="0" w:line="392" w:lineRule="auto"/>
        <w:rPr>
          <w:sz w:val="20"/>
          <w:szCs w:val="20"/>
          <w:color w:val="auto"/>
        </w:rPr>
      </w:pPr>
      <w:r>
        <w:rPr>
          <w:rFonts w:ascii="Times New Roman" w:cs="Times New Roman" w:eastAsia="Times New Roman" w:hAnsi="Times New Roman"/>
          <w:sz w:val="18"/>
          <w:szCs w:val="18"/>
          <w:i w:val="1"/>
          <w:iCs w:val="1"/>
          <w:color w:val="auto"/>
        </w:rPr>
        <w:t>-- Achieved $92.5 million in AYVAKIT net product revenues in the first quarter 2024 -- -- Raising guidance to $390 million to $410 million in full year AYVAKIT net product revenues -- -- Strengthening presence in allergy and inflammation with the IND for wild-type KIT inhibitor BLU-808 on track for filing in Q2 --</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CAMBRIDGE, Mass., May 2, 2024 – Blueprint Medicines Corporation (Nasdaq: BPMC) today reported financial results, provided a business update for the first quarter ended March 31, 2024, and provided updated financial guidance.</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delivered another very strong quarter in our launch of AYVAKIT in indolent systemic mastocytosis (ISM) and have entered 2024 in a position of strength with great momentum across all aspects of our business. The first few quarters of a launch are critical in defining the sales trajectory for a product, and our revenue to-date positions us squarely on the path to achieve more than $2 billion in peak sales for AYVAKIT in systemic mastocytosis,” said Kate Haviland, Chief Executive Officer of Blueprint Medicines. “Importantly, our growing revenue also enables us to invest in additional, compelling opportunities across our pipeline, where we can drive longer-term growth. This includes advancing our portfolio focused in allergy and inflammation as we move BLU-808 into the clinic in the second half of this year. I am proud of our team’s strong operational execution against our core value drivers, which enables Blueprint to realize the harmony between our mission of bringing new, innovative medicines to patients and building a robust and thriving business that will create substantial value for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Highlights and Recent Progress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 cell disorders</w:t>
      </w:r>
    </w:p>
    <w:p>
      <w:pPr>
        <w:spacing w:after="0" w:line="229" w:lineRule="exact"/>
        <w:rPr>
          <w:sz w:val="20"/>
          <w:szCs w:val="20"/>
          <w:color w:val="auto"/>
        </w:rPr>
      </w:pPr>
    </w:p>
    <w:p>
      <w:pPr>
        <w:ind w:left="340" w:right="38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AYVAKIT net product revenues of $92.5 million for first quarter of 2024, representing more than 135 percent growth year-over-year.</w:t>
      </w:r>
    </w:p>
    <w:p>
      <w:pPr>
        <w:ind w:left="340" w:right="520" w:hanging="332"/>
        <w:spacing w:after="0" w:line="25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long-term data from the PIONEER trial of AYVAKIT in ISM, demonstrating durable symptom impact and a well-tolerated safety profile, supporting long-term treatment and consistent with real-world experience observed in the commercial setting. Read the presentation here.</w:t>
      </w:r>
    </w:p>
    <w:p>
      <w:pPr>
        <w:spacing w:after="0" w:line="1" w:lineRule="exact"/>
        <w:rPr>
          <w:rFonts w:ascii="Times New Roman" w:cs="Times New Roman" w:eastAsia="Times New Roman" w:hAnsi="Times New Roman"/>
          <w:sz w:val="18"/>
          <w:szCs w:val="18"/>
          <w:color w:val="auto"/>
        </w:rPr>
      </w:pPr>
    </w:p>
    <w:p>
      <w:pPr>
        <w:ind w:left="340" w:right="80" w:hanging="332"/>
        <w:spacing w:after="0" w:line="265"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Presented preclinical data for BLU-808, a highly selective and potent investigational oral wild-type KIT inhibitor with best-in-class potential, for chronic urticaria and other mast cell disorders. BLU-808 treatment led to dose-dependent inhibition and depletion of mast cells in multiple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and also improved lung function in an ovalbumin-induced asthma model. Based on these data, Blueprint is on track to submit an investigational new drug (IND) application to the U.S. Food and Drug Administration (FDA) for BLU-808 in the second quarter of 2024 to enable the initiation of a Phase 1 study in healthy volunteers. Read the presentation here.</w:t>
      </w:r>
    </w:p>
    <w:p>
      <w:pPr>
        <w:ind w:left="340" w:right="280" w:hanging="332"/>
        <w:spacing w:after="0" w:line="25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Highlighted Blueprint’s strategy to leverage the company’s proven expertise in developing mast cell-targeted therapies to address large medical needs in allergy and inflammation. The company plans to host additional educational webcasts highlighting the evolving science around Blueprint’s portfolio strategy in the future. Watch the replay here.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HR+/HER2- breast cancer</w:t>
      </w:r>
    </w:p>
    <w:p>
      <w:pPr>
        <w:spacing w:after="0" w:line="229" w:lineRule="exact"/>
        <w:rPr>
          <w:sz w:val="20"/>
          <w:szCs w:val="20"/>
          <w:color w:val="auto"/>
        </w:rPr>
      </w:pPr>
    </w:p>
    <w:p>
      <w:pPr>
        <w:ind w:left="340" w:right="2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the development of BLU-222, an oral, potent, and selective CDK2 inhibitor in combination with ribociclib and fulvestrant in patients with HR+/HER2- breast cancer, with plans to present the first positive combination safety data with signal of early clinical activity for a CDK2 inhibitor in combination with an approved CDK4/6 inhibitor at the 2024 American Society of Clinical Oncology (ASCO)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229" w:lineRule="exact"/>
        <w:rPr>
          <w:sz w:val="20"/>
          <w:szCs w:val="20"/>
          <w:color w:val="auto"/>
        </w:rPr>
      </w:pPr>
    </w:p>
    <w:p>
      <w:pPr>
        <w:ind w:left="340" w:right="340" w:hanging="332"/>
        <w:spacing w:after="0" w:line="21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that Rigel Pharmaceuticals, Inc. is purchasing the U.S. rights to research, develop, manufacture, and commercialize GAVRETO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(pralsetinib), which allows continuity of patient access to GAVRETO in the U.S.</w:t>
      </w:r>
    </w:p>
    <w:p>
      <w:pPr>
        <w:ind w:left="340" w:right="60" w:hanging="332"/>
        <w:spacing w:after="0" w:line="25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third annual Sustainability Report, highlighting Blueprint’s 2023 progress on environmental, social, and governance (ESG) initiatives and strategy and reflecting the results of a materiality assessment to focus our strategy on the most important ESG topics for the company and shareholders. Read the report here.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Guidance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Blueprint Medicines now anticipates approximately $390 million to $410 million in global AYVAKIT net product revenues for all approved indications in 2024, an increase from the previous range of $360 million to $390 million. This updated guidance reflects continued execution in the global launch for ISM, as well as a stronger than anticipated first quarter. The company continues to expect that full-year operating expenses and cash burn will decline in 2024 as compared to 2023, and that its existing cash, cash equivalents and investments, together with anticipated future product revenues, will enable the company to maintain a durable capital position to achieve a self-sustainable financial profile.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Upcoming Milestones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plans to achieve the following remaining milestones in the first half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Mast cell disorders</w:t>
      </w:r>
    </w:p>
    <w:p>
      <w:pPr>
        <w:spacing w:after="0" w:line="2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IND to FDA for BLU-808 in the second quarter of 2024 to enable the initiation of a Phase 1 study in healthy volunteers.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HR+/HER2- breast cancer</w:t>
      </w:r>
    </w:p>
    <w:p>
      <w:pPr>
        <w:spacing w:after="0" w:line="27" w:lineRule="exact"/>
        <w:rPr>
          <w:sz w:val="20"/>
          <w:szCs w:val="20"/>
          <w:color w:val="auto"/>
        </w:rPr>
      </w:pPr>
    </w:p>
    <w:p>
      <w:pPr>
        <w:ind w:left="340" w:right="18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data for BLU-222 in combination with ribociclib and fulvestrant for HR+/HER2- breast cancer at the 2024 ASCO Annual Meeting.</w:t>
      </w: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ongoing strategic business development discussions.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Results</w:t>
      </w:r>
    </w:p>
    <w:p>
      <w:pPr>
        <w:spacing w:after="0" w:line="225" w:lineRule="exact"/>
        <w:rPr>
          <w:sz w:val="20"/>
          <w:szCs w:val="20"/>
          <w:color w:val="auto"/>
        </w:rPr>
      </w:pPr>
    </w:p>
    <w:p>
      <w:pPr>
        <w:ind w:left="340" w:right="80" w:hanging="332"/>
        <w:spacing w:after="0" w:line="25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 Revenues were $96.1 million for the first quarter of 2024, including $92.5 million of net product revenues from sales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AYVAKIT/AYVAKYT and $3.6 million in collaboration revenues. Blueprint Medicines recorded revenues of $63.3 million in the first quarter of 2023, including $39.1 million of net product revenues from sales of AYVAKIT/AYVAKIT and $24.2 million in collaboration revenues.</w:t>
      </w:r>
    </w:p>
    <w:p>
      <w:pPr>
        <w:spacing w:after="0" w:line="3" w:lineRule="exact"/>
        <w:rPr>
          <w:rFonts w:ascii="Times New Roman" w:cs="Times New Roman" w:eastAsia="Times New Roman" w:hAnsi="Times New Roman"/>
          <w:sz w:val="18"/>
          <w:szCs w:val="18"/>
          <w:color w:val="auto"/>
        </w:rPr>
      </w:pPr>
    </w:p>
    <w:p>
      <w:pPr>
        <w:ind w:left="340" w:right="100" w:hanging="332"/>
        <w:spacing w:after="0" w:line="265"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Cost of Sales: </w:t>
      </w:r>
      <w:r>
        <w:rPr>
          <w:rFonts w:ascii="Times New Roman" w:cs="Times New Roman" w:eastAsia="Times New Roman" w:hAnsi="Times New Roman"/>
          <w:sz w:val="17"/>
          <w:szCs w:val="17"/>
          <w:color w:val="auto"/>
        </w:rPr>
        <w:t>Cost of sales was $3.2 million for the first quarter of 2024, as compared to $3.2 million for the first quarter of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relatively flat cost of sales was primarily attributed to the increased sales of lower cost dosages of AYVAKIT/AYVAKIT.</w:t>
      </w:r>
    </w:p>
    <w:p>
      <w:pPr>
        <w:ind w:left="340" w:right="28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$88.2 million for the first quarter of 2024, as compared to $112.1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first quarter of 2023. This decrease was primarily due to operational efficiency across our portfolio as we execute across our top priority programs and the timing of manufacturing of clinical trial materials. Research and development expenses included $10.9 million in stock-based compensation expenses for the first quarter of 2024.</w:t>
      </w:r>
    </w:p>
    <w:p>
      <w:pPr>
        <w:spacing w:after="0" w:line="1" w:lineRule="exact"/>
        <w:rPr>
          <w:rFonts w:ascii="Times New Roman" w:cs="Times New Roman" w:eastAsia="Times New Roman" w:hAnsi="Times New Roman"/>
          <w:sz w:val="18"/>
          <w:szCs w:val="18"/>
          <w:color w:val="auto"/>
        </w:rPr>
      </w:pPr>
    </w:p>
    <w:p>
      <w:pPr>
        <w:ind w:left="340" w:right="18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$83.6 million for the first quarter of 2024,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$71.0 million for the first quarter of 2023. This increase was primarily due to an increase in activities related to the commercialization of AYVAKIT/AYVAKYT. Selling, general, and administrative expenses included $13.4 million in stock-based compensation expenses for the first quarter of 2024.</w:t>
      </w:r>
    </w:p>
    <w:p>
      <w:pPr>
        <w:spacing w:after="0" w:line="1" w:lineRule="exact"/>
        <w:rPr>
          <w:rFonts w:ascii="Times New Roman" w:cs="Times New Roman" w:eastAsia="Times New Roman" w:hAnsi="Times New Roman"/>
          <w:sz w:val="18"/>
          <w:szCs w:val="18"/>
          <w:color w:val="auto"/>
        </w:rPr>
      </w:pPr>
    </w:p>
    <w:p>
      <w:pPr>
        <w:ind w:left="340" w:right="140" w:hanging="332"/>
        <w:spacing w:after="0" w:line="255"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Income (Loss)</w:t>
      </w:r>
      <w:r>
        <w:rPr>
          <w:rFonts w:ascii="Times New Roman" w:cs="Times New Roman" w:eastAsia="Times New Roman" w:hAnsi="Times New Roman"/>
          <w:sz w:val="18"/>
          <w:szCs w:val="18"/>
          <w:color w:val="auto"/>
        </w:rPr>
        <w:t>: Net income was $89.1 million for the first quarter of 2024, as compared to a net loss of $129.6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2023. The net income was primarily driven by a one-time non-cash debt extinguishment gain of $173.7 million recorded in connection with the Royalty Pharma termination agreement in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5" w:name="page6"/>
    <w:bookmarkEnd w:id="5"/>
    <w:p>
      <w:pPr>
        <w:ind w:left="340" w:right="80" w:hanging="332"/>
        <w:spacing w:after="0" w:line="269"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March 31, 2024, cash, cash equivalents and investments were $735.6 million, as compared to $767.2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December 31, 2023. Blueprint Medicine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cash and investments provide a durable capital position which enables the company to reach a self-sustainable profile.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Blueprint Medicines will host a live conference call and webcast at 8:00 a.m. ET today to discuss first quarter 2024 financial results and recent business activities. The conference call may be accessed by dialing 833-470-1428 (domestic) or 404-975-4839 (international), and referring to conference ID 186292. A webcast of the call will also be available under “Events and Presentations” in the Investors &amp; Media section of the Blueprint Medicines website at http://ir.blueprintmedicines.com/. The archived webcast will be available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Blueprint Medicines’ website approximately two hours after the conference call and will be available for 30 days following the call.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Investor Conferences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Blueprint Medicines will participate in two upcoming investor conferences:</w:t>
      </w:r>
    </w:p>
    <w:p>
      <w:pPr>
        <w:spacing w:after="0" w:line="22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Citizens JMP Life Sciences Conference </w:t>
      </w:r>
      <w:r>
        <w:rPr>
          <w:rFonts w:ascii="Times New Roman" w:cs="Times New Roman" w:eastAsia="Times New Roman" w:hAnsi="Times New Roman"/>
          <w:sz w:val="18"/>
          <w:szCs w:val="18"/>
          <w:color w:val="auto"/>
        </w:rPr>
        <w:t>on Monday, May 13, 2024 at 10:00 am ET.</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Goldman Sachs 45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Annual Global Healthcare Conference </w:t>
      </w:r>
      <w:r>
        <w:rPr>
          <w:rFonts w:ascii="Times New Roman" w:cs="Times New Roman" w:eastAsia="Times New Roman" w:hAnsi="Times New Roman"/>
          <w:sz w:val="18"/>
          <w:szCs w:val="18"/>
          <w:color w:val="auto"/>
        </w:rPr>
        <w:t>on Monday, June 10, 2024 at 10:40 am ET.</w:t>
      </w:r>
    </w:p>
    <w:p>
      <w:pPr>
        <w:spacing w:after="0" w:line="1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live webcast of the fireside discussions will be available under “Events and Presentations” in the Investors &amp; Media section of the Blueprint Medicines website at http://ir.blueprintmedicines.com. A replay of the webcasts will be archived on the Blueprint Medicines website for 30 days following the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Blueprint Medicines is a global, fully integrated biopharmaceutical company that invents life-changing medicines. We seek to alleviate human suffering by solving important medical problems in two core focus areas: allergy/inflammation and oncology/hematology. Our approach begins by targeting the root causes of disease, using deep scientific knowledge in our core focus areas and drug discovery expertise across multiple therapeutic modalities. We have a track record of success with two approved medicines, including AYVAKIT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/AYVAKYT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(avapritinib) which we are bringing to patients with systemic mastocytosis (SM) in the U.S. and Europe. Leveraging our established research, development, and commercial capability and infrastructure, we now aim to significantly scale our impact by advancing a broad pipeline of programs ranging from early science to advanced clinical trials in mast cell diseases including SM and chronic urticaria, breast cancer and other solid tumors. For more information, visit www.BlueprintMedicines.com and follow us on X (formerly Twitter; @BlueprintMeds) and LinkedIn.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operations, including its expectations for growth in 2024; statements regarding our current or future approved drugs and drug candidates and operations, including AYVAKIT’s potential as a greater than $2 billion product, plans to advance our portfolio by targeting additional allergic-inflammatory diseases driven by mast cells, plans to submit an investigational new drug application for BLU-808 and present combination dose escalation data for BLU-222 in combination with ribociclib and fulvestrant in patients HR+/HER2- breast cancer at ASCO; expectations related to the markets for our current or future approved drugs and drug candidates; the potential benefits of any of our current or future approved drugs or drug candidates in treating patients; and our financial performance, strategy, goals and anticipated milestones, business plans and focus, including expectations regarding our revenue ramp, continued decline in operating expenses and cash burn and potential profitability. The words “aim,” “may,” “will,” “could,” “would,” “should,” “expect,” “plan,” “anticipate,” “intend,” “believe,” “estimate,” “predict,” “project,” “potential,” “continue,” “target” and similar expressions are intended to identify forward-looking statements, although not all forward-looking statements contain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474980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6" w:name="page7"/>
    <w:bookmarkEnd w:id="6"/>
    <w:p>
      <w:pPr>
        <w:ind w:right="20"/>
        <w:spacing w:after="0" w:line="252" w:lineRule="auto"/>
        <w:rPr>
          <w:sz w:val="20"/>
          <w:szCs w:val="20"/>
          <w:color w:val="auto"/>
        </w:rPr>
      </w:pPr>
      <w:r>
        <w:rPr>
          <w:rFonts w:ascii="Times New Roman" w:cs="Times New Roman" w:eastAsia="Times New Roman" w:hAnsi="Times New Roman"/>
          <w:sz w:val="18"/>
          <w:szCs w:val="18"/>
          <w:color w:val="auto"/>
        </w:rPr>
        <w:t>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risks related to Blueprint Medicines’ ability to obtain, maintain and enforce patent and other intellectual property protection for its products and current or future drug candidates it is developing; the success of Blueprint Medicines’ current and future collaborations, financing arrangements, partnerships or licensing arrangements; and the accuracy of our estimates of revenues, expenses and capital requirements.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Blueprint Medicines, AYVAKIT, AYVAKYT and associated logos are trademarks of Blueprint Medicines Corporation. GAVRETO and associated logos are trademarks of Blueprint Medicines Corporation outside of the United States.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767,171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593,470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1,049,250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and revenues (2)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441,625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Term loan (2)</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238,813</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918,641</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310,687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130,609</w:t>
            </w:r>
          </w:p>
        </w:tc>
      </w:tr>
    </w:tbl>
    <w:p>
      <w:pPr>
        <w:spacing w:after="0" w:line="193"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Blueprint Medicines defines working capital as current assets less current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both current and long-term portions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14"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15875</wp:posOffset>
            </wp:positionV>
            <wp:extent cx="19716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92,525</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operating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loss sharing</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174,939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(5,895)</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Debt extinguishment gain</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173,658</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89,316</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89,136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Net income (loss) per share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basic</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(loss) per share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diluted</w:t>
            </w:r>
          </w:p>
        </w:tc>
        <w:tc>
          <w:tcPr>
            <w:tcW w:w="1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xml:space="preserve">Weighted-average number of common shares used in net income (loss) per share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basic</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61,580</w:t>
            </w: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Weighted-average number of common shares used in net income (loss) per share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diluted</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63,802</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617-844-8205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media@blueprintmedicines.com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Jenna Cohen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857-209-3147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2024-05-02T06:13:18Z</dcterms:created>
  <dcterms:modified xsi:type="dcterms:W3CDTF">2024-05-02T06:13:18Z</dcterms:modified>
</cp:coreProperties>
</file>