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120"/>
        <w:ind w:left="0" w:right="0" w:hanging="0"/>
        <w:jc w:val="left"/>
        <w:rPr/>
      </w:pPr>
      <w:hyperlink w:anchor="Toc">
        <w:bookmarkStart w:id="0" w:name="bpmc-20240331x10q.htm"/>
        <w:bookmarkStart w:id="1" w:name="ksbpmc2024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88" w:after="0"/>
        <w:ind w:left="0" w:right="0" w:hanging="0"/>
        <w:jc w:val="center"/>
        <w:rPr>
          <w:rFonts w:ascii="Times New Roman;Times;serif" w:hAnsi="Times New Roman;Times;serif"/>
          <w:b/>
          <w:sz w:val="32"/>
        </w:rPr>
      </w:pPr>
      <w:bookmarkStart w:id="2" w:name="_c0ff4c35_77d2_476c_87cc_b6af3ca7bb26"/>
      <w:bookmarkEnd w:id="2"/>
      <w:r>
        <w:rPr>
          <w:rFonts w:ascii="Times New Roman;Times;serif" w:hAnsi="Times New Roman;Times;serif"/>
          <w:b/>
          <w:sz w:val="32"/>
        </w:rPr>
        <w:t>UNITED STATES</w:t>
      </w:r>
    </w:p>
    <w:p>
      <w:pPr>
        <w:pStyle w:val="TextBody"/>
        <w:bidi w:val="0"/>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20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264"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lineRule="auto" w:line="285" w:before="0" w:after="0"/>
        <w:ind w:left="0" w:right="0" w:hanging="0"/>
        <w:jc w:val="center"/>
        <w:rPr/>
      </w:pPr>
      <w:r>
        <w:rPr/>
        <w:t>​</w:t>
      </w:r>
    </w:p>
    <w:p>
      <w:pPr>
        <w:pStyle w:val="TextBody"/>
        <w:bidi w:val="0"/>
        <w:spacing w:lineRule="auto" w:line="285" w:before="0" w:after="0"/>
        <w:ind w:left="108" w:right="0" w:hanging="0"/>
        <w:jc w:val="left"/>
        <w:rPr/>
      </w:pPr>
      <w:r>
        <w:rPr>
          <w:caps w:val="false"/>
          <w:smallCaps w:val="false"/>
        </w:rPr>
        <w:t>☑</w:t>
      </w:r>
      <w:r>
        <w:rPr>
          <w:rFonts w:ascii="Times New Roman;Times;serif" w:hAnsi="Times New Roman;Times;serif"/>
          <w:b/>
          <w:sz w:val="20"/>
        </w:rPr>
        <w:t>QUARTERLY REPORT PURSUANT TO SECTION 13 OR 15(d) OF THE SECURITIES EXCHANGE ACT OF 1934</w:t>
      </w:r>
    </w:p>
    <w:p>
      <w:pPr>
        <w:pStyle w:val="TextBody"/>
        <w:bidi w:val="0"/>
        <w:spacing w:lineRule="auto" w:line="285" w:before="20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2024</w:t>
      </w:r>
    </w:p>
    <w:p>
      <w:pPr>
        <w:pStyle w:val="TextBody"/>
        <w:bidi w:val="0"/>
        <w:spacing w:lineRule="auto" w:line="285" w:before="200" w:after="20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lineRule="auto" w:line="285" w:before="0" w:after="0"/>
        <w:ind w:left="0" w:right="0" w:hanging="0"/>
        <w:jc w:val="left"/>
        <w:rPr/>
      </w:pPr>
      <w:r>
        <w:rPr/>
        <w:t>​</w:t>
      </w:r>
    </w:p>
    <w:p>
      <w:pPr>
        <w:pStyle w:val="TextBody"/>
        <w:bidi w:val="0"/>
        <w:spacing w:lineRule="auto" w:line="285" w:before="0" w:after="0"/>
        <w:ind w:left="108" w:right="0" w:hanging="0"/>
        <w:jc w:val="left"/>
        <w:rPr/>
      </w:pPr>
      <w:r>
        <w:rPr>
          <w:caps w:val="false"/>
          <w:smallCaps w:val="false"/>
        </w:rPr>
        <w:t>☐</w:t>
      </w:r>
      <w:r>
        <w:rPr>
          <w:rFonts w:ascii="Times New Roman;Times;serif" w:hAnsi="Times New Roman;Times;serif"/>
          <w:b/>
          <w:sz w:val="20"/>
        </w:rPr>
        <w:t>TRANSITION REPORT PURSUANT TO SECTION 13 OR 15(d) OF THE SECURITIES EXCHANGE ACT OF 1934</w:t>
      </w:r>
    </w:p>
    <w:p>
      <w:pPr>
        <w:pStyle w:val="TextBody"/>
        <w:bidi w:val="0"/>
        <w:spacing w:lineRule="auto" w:line="285" w:before="20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001-37359</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0" w:after="0"/>
        <w:ind w:left="0" w:right="0" w:hanging="0"/>
        <w:jc w:val="center"/>
        <w:rPr/>
      </w:pPr>
      <w:r>
        <w:rPr/>
        <w:t>​</w:t>
      </w:r>
    </w:p>
    <w:p>
      <w:pPr>
        <w:pStyle w:val="TextBody"/>
        <w:bidi w:val="0"/>
        <w:spacing w:lineRule="auto" w:line="285" w:before="160" w:after="0"/>
        <w:ind w:left="0" w:right="0" w:hanging="0"/>
        <w:jc w:val="center"/>
        <w:rPr>
          <w:rFonts w:ascii="Times New Roman;Times;serif" w:hAnsi="Times New Roman;Times;serif"/>
          <w:b/>
          <w:sz w:val="44"/>
        </w:rPr>
      </w:pPr>
      <w:r>
        <w:rPr>
          <w:rFonts w:ascii="Times New Roman;Times;serif" w:hAnsi="Times New Roman;Times;serif"/>
          <w:b/>
          <w:sz w:val="44"/>
        </w:rPr>
        <w:t>BLUEPRINT MEDICINES CORPORATION</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_____________________________</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 w:name="Tc_uGDwQhX6oUesby2Brb8I-A_4_2"/>
      <w:bookmarkStart w:id="4" w:name="Tc_n2vwQMw7gUixGun_xd9xLw_4_0"/>
      <w:bookmarkStart w:id="5" w:name="Tc_WVb49sIo-kKSOorQN8-QDw_3_0"/>
      <w:bookmarkStart w:id="6" w:name="Tc_VdWFEodXDE6jIwV0k76mcA_1_2"/>
      <w:bookmarkStart w:id="7" w:name="Tc_v3lgzCSA20iqK_52awygTw_1_0"/>
      <w:bookmarkStart w:id="8" w:name="_b450458e_301a_40d8_8429_7c8cfd151076"/>
      <w:bookmarkStart w:id="9" w:name="Tc_uGDwQhX6oUesby2Brb8I-A_4_2"/>
      <w:bookmarkStart w:id="10" w:name="Tc_n2vwQMw7gUixGun_xd9xLw_4_0"/>
      <w:bookmarkStart w:id="11" w:name="Tc_WVb49sIo-kKSOorQN8-QDw_3_0"/>
      <w:bookmarkStart w:id="12" w:name="Tc_VdWFEodXDE6jIwV0k76mcA_1_2"/>
      <w:bookmarkStart w:id="13" w:name="Tc_v3lgzCSA20iqK_52awygTw_1_0"/>
      <w:bookmarkStart w:id="14" w:name="_b450458e_301a_40d8_8429_7c8cfd151076"/>
      <w:bookmarkEnd w:id="9"/>
      <w:bookmarkEnd w:id="10"/>
      <w:bookmarkEnd w:id="11"/>
      <w:bookmarkEnd w:id="12"/>
      <w:bookmarkEnd w:id="13"/>
      <w:bookmarkEnd w:id="14"/>
    </w:p>
    <w:tbl>
      <w:tblPr>
        <w:tblW w:w="3673" w:type="dxa"/>
        <w:jc w:val="left"/>
        <w:tblInd w:w="0" w:type="dxa"/>
        <w:tblLayout w:type="fixed"/>
        <w:tblCellMar>
          <w:top w:w="0" w:type="dxa"/>
          <w:left w:w="0" w:type="dxa"/>
          <w:bottom w:w="0" w:type="dxa"/>
          <w:right w:w="0" w:type="dxa"/>
        </w:tblCellMar>
      </w:tblPr>
      <w:tblGrid>
        <w:gridCol w:w="2371"/>
        <w:gridCol w:w="146"/>
        <w:gridCol w:w="1156"/>
      </w:tblGrid>
      <w:tr>
        <w:trPr/>
        <w:tc>
          <w:tcPr>
            <w:tcW w:w="237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26-3632015</w:t>
            </w:r>
          </w:p>
        </w:tc>
      </w:tr>
      <w:tr>
        <w:trPr/>
        <w:tc>
          <w:tcPr>
            <w:tcW w:w="2371"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(State or Other Jurisdiction of</w:t>
              <w:br/>
              <w:t>Incorporation or Organization)</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(I.R.S. Employer</w:t>
              <w:br/>
              <w:t>Identification No.)</w:t>
            </w:r>
          </w:p>
        </w:tc>
      </w:tr>
      <w:tr>
        <w:trPr/>
        <w:tc>
          <w:tcPr>
            <w:tcW w:w="2371" w:type="dxa"/>
            <w:tcBorders/>
            <w:vAlign w:val="center"/>
          </w:tcPr>
          <w:p>
            <w:pPr>
              <w:pStyle w:val="TableContents"/>
              <w:pBdr/>
              <w:bidi w:val="0"/>
              <w:spacing w:lineRule="auto" w:line="285" w:before="0" w:after="0"/>
              <w:ind w:left="0" w:right="0" w:hanging="0"/>
              <w:jc w:val="left"/>
              <w:rPr/>
            </w:pPr>
            <w:r>
              <w:rPr/>
              <w:t> </w:t>
            </w:r>
          </w:p>
        </w:tc>
        <w:tc>
          <w:tcPr>
            <w:tcW w:w="1302" w:type="dxa"/>
            <w:gridSpan w:val="2"/>
            <w:tcBorders/>
            <w:vAlign w:val="center"/>
          </w:tcPr>
          <w:p>
            <w:pPr>
              <w:pStyle w:val="TableContents"/>
              <w:bidi w:val="0"/>
              <w:spacing w:lineRule="auto" w:line="285" w:before="0" w:after="0"/>
              <w:ind w:left="0" w:right="0" w:hanging="0"/>
              <w:jc w:val="left"/>
              <w:rPr/>
            </w:pPr>
            <w:r>
              <w:rPr/>
              <w:t> </w:t>
            </w:r>
          </w:p>
        </w:tc>
      </w:tr>
      <w:tr>
        <w:trPr/>
        <w:tc>
          <w:tcPr>
            <w:tcW w:w="2371" w:type="dxa"/>
            <w:tcBorders/>
            <w:vAlign w:val="center"/>
          </w:tcPr>
          <w:p>
            <w:pPr>
              <w:pStyle w:val="TableContents"/>
              <w:pBdr/>
              <w:bidi w:val="0"/>
              <w:spacing w:lineRule="auto" w:line="285" w:before="0" w:after="0"/>
              <w:ind w:left="0" w:right="0" w:hanging="144"/>
              <w:jc w:val="center"/>
              <w:rPr>
                <w:rFonts w:ascii="Times New Roman;Times;serif" w:hAnsi="Times New Roman;Times;serif"/>
                <w:b/>
                <w:sz w:val="20"/>
              </w:rPr>
            </w:pPr>
            <w:r>
              <w:rPr>
                <w:rFonts w:ascii="Times New Roman;Times;serif" w:hAnsi="Times New Roman;Times;serif"/>
                <w:b/>
                <w:sz w:val="20"/>
              </w:rPr>
              <w:t>45 Sidney Street</w:t>
            </w:r>
          </w:p>
          <w:p>
            <w:pPr>
              <w:pStyle w:val="TableContents"/>
              <w:pBd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Cambridge, Massachusetts</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02139</w:t>
            </w:r>
          </w:p>
        </w:tc>
      </w:tr>
      <w:tr>
        <w:trPr/>
        <w:tc>
          <w:tcPr>
            <w:tcW w:w="2371" w:type="dxa"/>
            <w:tcBorders/>
            <w:vAlign w:val="center"/>
          </w:tcPr>
          <w:p>
            <w:pPr>
              <w:pStyle w:val="TableContents"/>
              <w:pBdr/>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tc>
        <w:tc>
          <w:tcPr>
            <w:tcW w:w="146" w:type="dxa"/>
            <w:tcBorders/>
            <w:vAlign w:val="center"/>
          </w:tcPr>
          <w:p>
            <w:pPr>
              <w:pStyle w:val="TableContents"/>
              <w:bidi w:val="0"/>
              <w:spacing w:lineRule="auto" w:line="285" w:before="0" w:after="0"/>
              <w:ind w:left="0" w:right="0" w:hanging="0"/>
              <w:jc w:val="left"/>
              <w:rPr/>
            </w:pPr>
            <w:r>
              <w:rPr/>
              <w:t> </w:t>
            </w:r>
          </w:p>
        </w:tc>
        <w:tc>
          <w:tcPr>
            <w:tcW w:w="1156" w:type="dxa"/>
            <w:tcBorders/>
            <w:vAlign w:val="center"/>
          </w:tcPr>
          <w:p>
            <w:pPr>
              <w:pStyle w:val="TableContents"/>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(Zip Code)</w:t>
            </w:r>
          </w:p>
        </w:tc>
      </w:tr>
    </w:tbl>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(617) 374-7580</w:t>
      </w:r>
    </w:p>
    <w:p>
      <w:pPr>
        <w:pStyle w:val="TextBody"/>
        <w:bidi w:val="0"/>
        <w:spacing w:lineRule="auto" w:line="285" w:before="0" w:after="0"/>
        <w:ind w:left="0" w:right="0" w:hanging="0"/>
        <w:jc w:val="center"/>
        <w:rPr>
          <w:rFonts w:ascii="Times New Roman;Times;serif" w:hAnsi="Times New Roman;Times;serif"/>
          <w:b/>
          <w:sz w:val="12"/>
        </w:rPr>
      </w:pPr>
      <w:r>
        <w:rPr>
          <w:rFonts w:ascii="Times New Roman;Times;serif" w:hAnsi="Times New Roman;Times;serif"/>
          <w:b/>
          <w:sz w:val="12"/>
        </w:rPr>
        <w:t>(Registrant’s Telephone Number, Including Area Code)</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120"/>
        <w:ind w:left="0" w:right="0" w:hanging="0"/>
        <w:jc w:val="center"/>
        <w:rPr>
          <w:rFonts w:ascii="Times New Roman;Times;serif" w:hAnsi="Times New Roman;Times;serif"/>
          <w:b/>
          <w:sz w:val="12"/>
        </w:rPr>
      </w:pPr>
      <w:r>
        <w:rPr>
          <w:rFonts w:ascii="Times New Roman;Times;serif" w:hAnsi="Times New Roman;Times;serif"/>
          <w:b/>
          <w:sz w:val="12"/>
        </w:rPr>
        <w:t>(Former Name, Former Address and Former Fiscal Year, if Changed Since Last Report)</w:t>
      </w:r>
    </w:p>
    <w:p>
      <w:pPr>
        <w:pStyle w:val="TextBody"/>
        <w:bidi w:val="0"/>
        <w:spacing w:lineRule="auto" w:line="285" w:before="0" w:after="120"/>
        <w:ind w:left="0" w:right="0" w:firstLine="461"/>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uto" w:line="285" w:before="0" w:after="120"/>
        <w:ind w:left="0" w:right="0" w:firstLine="461"/>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uto" w:line="285" w:before="0" w:after="120"/>
        <w:ind w:left="0" w:right="0" w:firstLine="461"/>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tbl>
      <w:tblPr>
        <w:tblW w:w="4232" w:type="dxa"/>
        <w:jc w:val="left"/>
        <w:tblInd w:w="0" w:type="dxa"/>
        <w:tblLayout w:type="fixed"/>
        <w:tblCellMar>
          <w:top w:w="0" w:type="dxa"/>
          <w:left w:w="0" w:type="dxa"/>
          <w:bottom w:w="0" w:type="dxa"/>
          <w:right w:w="0" w:type="dxa"/>
        </w:tblCellMar>
      </w:tblPr>
      <w:tblGrid>
        <w:gridCol w:w="1891"/>
        <w:gridCol w:w="234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2341" w:type="dxa"/>
            <w:tcBorders/>
            <w:vAlign w:val="center"/>
          </w:tcPr>
          <w:p>
            <w:pPr>
              <w:pStyle w:val="TableContents"/>
              <w:bidi w:val="0"/>
              <w:spacing w:lineRule="auto" w:line="285" w:before="0" w:after="0"/>
              <w:ind w:left="0" w:right="0" w:hanging="0"/>
              <w:jc w:val="left"/>
              <w:rPr/>
            </w:pPr>
            <w:r>
              <w:rPr/>
              <w:t>​</w:t>
            </w:r>
          </w:p>
        </w:tc>
      </w:tr>
      <w:tr>
        <w:trPr/>
        <w:tc>
          <w:tcPr>
            <w:tcW w:w="1891" w:type="dxa"/>
            <w:tcBorders/>
            <w:vAlign w:val="center"/>
          </w:tcPr>
          <w:p>
            <w:pPr>
              <w:pStyle w:val="TableContents"/>
              <w:pBdr/>
              <w:bidi w:val="0"/>
              <w:spacing w:lineRule="auto" w:line="304" w:before="40" w:after="40"/>
              <w:ind w:left="0" w:right="0" w:hanging="240"/>
              <w:jc w:val="center"/>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xml:space="preserve"> ☑</w:t>
            </w:r>
          </w:p>
          <w:p>
            <w:pPr>
              <w:pStyle w:val="TableContents"/>
              <w:pBdr/>
              <w:bidi w:val="0"/>
              <w:spacing w:lineRule="auto" w:line="304" w:before="40" w:after="0"/>
              <w:ind w:left="0" w:right="0" w:hanging="0"/>
              <w:jc w:val="center"/>
              <w:rPr>
                <w:rFonts w:ascii="Times New Roman;Times;serif" w:hAnsi="Times New Roman;Times;serif"/>
                <w:sz w:val="16"/>
              </w:rPr>
            </w:pPr>
            <w:r>
              <w:rPr>
                <w:rFonts w:ascii="Times New Roman;Times;serif" w:hAnsi="Times New Roman;Times;serif"/>
                <w:sz w:val="16"/>
              </w:rPr>
              <w:t>Non-accelerated filer ☐ </w:t>
            </w:r>
          </w:p>
        </w:tc>
        <w:tc>
          <w:tcPr>
            <w:tcW w:w="2341" w:type="dxa"/>
            <w:tcBorders/>
            <w:vAlign w:val="center"/>
          </w:tcPr>
          <w:p>
            <w:pPr>
              <w:pStyle w:val="TableContents"/>
              <w:pBdr/>
              <w:bidi w:val="0"/>
              <w:spacing w:lineRule="auto" w:line="304" w:before="40" w:after="40"/>
              <w:ind w:left="0" w:right="0" w:hanging="240"/>
              <w:jc w:val="center"/>
              <w:rPr>
                <w:rFonts w:ascii="Times New Roman;Times;serif" w:hAnsi="Times New Roman;Times;serif"/>
                <w:sz w:val="16"/>
              </w:rPr>
            </w:pPr>
            <w:r>
              <w:rPr>
                <w:rFonts w:ascii="Times New Roman;Times;serif" w:hAnsi="Times New Roman;Times;serif"/>
                <w:sz w:val="16"/>
              </w:rPr>
              <w:t>Accelerated filer ☐</w:t>
            </w:r>
          </w:p>
          <w:p>
            <w:pPr>
              <w:pStyle w:val="TableContents"/>
              <w:pBdr/>
              <w:bidi w:val="0"/>
              <w:spacing w:lineRule="auto" w:line="304" w:before="40" w:after="40"/>
              <w:ind w:left="0" w:right="0" w:hanging="240"/>
              <w:jc w:val="center"/>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w:t>
            </w:r>
          </w:p>
          <w:p>
            <w:pPr>
              <w:pStyle w:val="TableContents"/>
              <w:pBdr/>
              <w:bidi w:val="0"/>
              <w:spacing w:lineRule="auto" w:line="304" w:before="40" w:after="40"/>
              <w:ind w:left="0" w:right="0" w:hanging="240"/>
              <w:jc w:val="center"/>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lineRule="auto" w:line="285" w:before="120" w:after="0"/>
        <w:ind w:left="0" w:right="0" w:firstLine="461"/>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120" w:after="0"/>
        <w:ind w:left="0" w:right="0" w:firstLine="461"/>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lineRule="auto" w:line="285" w:before="0" w:after="0"/>
        <w:ind w:left="0" w:right="0" w:firstLine="461"/>
        <w:jc w:val="left"/>
        <w:rPr/>
      </w:pPr>
      <w:r>
        <w:rPr/>
        <w:t>​</w:t>
      </w:r>
    </w:p>
    <w:p>
      <w:pPr>
        <w:pStyle w:val="TextBody"/>
        <w:bidi w:val="0"/>
        <w:spacing w:lineRule="auto" w:line="343" w:before="1" w:after="0"/>
        <w:ind w:left="160" w:right="480" w:firstLine="24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Normal"/>
        <w:bidi w:val="0"/>
        <w:spacing w:before="0" w:after="0"/>
        <w:jc w:val="left"/>
        <w:rPr>
          <w:sz w:val="4"/>
          <w:szCs w:val="4"/>
        </w:rPr>
      </w:pPr>
      <w:r>
        <w:rPr>
          <w:sz w:val="4"/>
          <w:szCs w:val="4"/>
        </w:rPr>
      </w:r>
      <w:bookmarkStart w:id="15" w:name="Tc_ZHoveyLm006mrIOeRqLyXw_1_2"/>
      <w:bookmarkStart w:id="16" w:name="Tc_6Duzz-DXl0O_mEdSt-irig_1_1"/>
      <w:bookmarkStart w:id="17" w:name="Tc_SKnu0U7FV0uQKJ0DMeV6lA_1_0"/>
      <w:bookmarkStart w:id="18" w:name="_4a234928_e86c_468a_a214_5df0f6a6da07"/>
      <w:bookmarkStart w:id="19" w:name="Tc_ZHoveyLm006mrIOeRqLyXw_1_2"/>
      <w:bookmarkStart w:id="20" w:name="Tc_6Duzz-DXl0O_mEdSt-irig_1_1"/>
      <w:bookmarkStart w:id="21" w:name="Tc_SKnu0U7FV0uQKJ0DMeV6lA_1_0"/>
      <w:bookmarkStart w:id="22" w:name="_4a234928_e86c_468a_a214_5df0f6a6da07"/>
      <w:bookmarkEnd w:id="19"/>
      <w:bookmarkEnd w:id="20"/>
      <w:bookmarkEnd w:id="21"/>
      <w:bookmarkEnd w:id="22"/>
    </w:p>
    <w:tbl>
      <w:tblPr>
        <w:tblW w:w="7743" w:type="dxa"/>
        <w:jc w:val="left"/>
        <w:tblInd w:w="0" w:type="dxa"/>
        <w:tblLayout w:type="fixed"/>
        <w:tblCellMar>
          <w:top w:w="0" w:type="dxa"/>
          <w:left w:w="0" w:type="dxa"/>
          <w:bottom w:w="0" w:type="dxa"/>
          <w:right w:w="0" w:type="dxa"/>
        </w:tblCellMar>
      </w:tblPr>
      <w:tblGrid>
        <w:gridCol w:w="3121"/>
        <w:gridCol w:w="1396"/>
        <w:gridCol w:w="3226"/>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p>
        </w:tc>
        <w:tc>
          <w:tcPr>
            <w:tcW w:w="1396" w:type="dxa"/>
            <w:tcBorders/>
            <w:vAlign w:val="center"/>
          </w:tcPr>
          <w:p>
            <w:pPr>
              <w:pStyle w:val="TableContents"/>
              <w:bidi w:val="0"/>
              <w:spacing w:before="0" w:after="283"/>
              <w:ind w:left="0" w:right="0" w:hanging="0"/>
              <w:jc w:val="left"/>
              <w:rPr>
                <w:sz w:val="4"/>
                <w:szCs w:val="4"/>
              </w:rPr>
            </w:pPr>
            <w:r>
              <w:rPr>
                <w:sz w:val="4"/>
                <w:szCs w:val="4"/>
              </w:rPr>
            </w:r>
          </w:p>
        </w:tc>
        <w:tc>
          <w:tcPr>
            <w:tcW w:w="3226" w:type="dxa"/>
            <w:tcBorders/>
            <w:vAlign w:val="center"/>
          </w:tcPr>
          <w:p>
            <w:pPr>
              <w:pStyle w:val="TableContents"/>
              <w:bidi w:val="0"/>
              <w:spacing w:before="0" w:after="283"/>
              <w:ind w:left="0" w:right="0" w:hanging="0"/>
              <w:jc w:val="left"/>
              <w:rPr>
                <w:sz w:val="4"/>
                <w:szCs w:val="4"/>
              </w:rPr>
            </w:pPr>
            <w:r>
              <w:rPr>
                <w:sz w:val="4"/>
                <w:szCs w:val="4"/>
              </w:rPr>
            </w:r>
          </w:p>
        </w:tc>
      </w:tr>
      <w:tr>
        <w:trPr/>
        <w:tc>
          <w:tcPr>
            <w:tcW w:w="31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3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1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Common stock, par value $0.001 per share</w:t>
            </w:r>
          </w:p>
        </w:tc>
        <w:tc>
          <w:tcPr>
            <w:tcW w:w="13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0" w:hanging="0"/>
              <w:jc w:val="center"/>
              <w:rPr>
                <w:rFonts w:ascii="Times New Roman;Times;serif" w:hAnsi="Times New Roman;Times;serif"/>
                <w:sz w:val="16"/>
              </w:rPr>
            </w:pPr>
            <w:r>
              <w:rPr>
                <w:rFonts w:ascii="Times New Roman;Times;serif" w:hAnsi="Times New Roman;Times;serif"/>
                <w:sz w:val="16"/>
              </w:rPr>
              <w:t>BPMC</w:t>
            </w:r>
          </w:p>
        </w:tc>
        <w:tc>
          <w:tcPr>
            <w:tcW w:w="32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343" w:before="1" w:after="0"/>
              <w:ind w:left="0" w:right="480" w:hanging="0"/>
              <w:jc w:val="center"/>
              <w:rPr>
                <w:rFonts w:ascii="Times New Roman;Times;serif" w:hAnsi="Times New Roman;Times;serif"/>
                <w:sz w:val="16"/>
              </w:rPr>
            </w:pPr>
            <w:r>
              <w:rPr>
                <w:rFonts w:ascii="Times New Roman;Times;serif" w:hAnsi="Times New Roman;Times;serif"/>
                <w:sz w:val="16"/>
              </w:rPr>
              <w:t>Nasdaq Global Select Market</w:t>
            </w:r>
          </w:p>
        </w:tc>
      </w:tr>
    </w:tbl>
    <w:p>
      <w:pPr>
        <w:pStyle w:val="TextBody"/>
        <w:bidi w:val="0"/>
        <w:spacing w:lineRule="auto" w:line="285" w:before="40" w:after="0"/>
        <w:ind w:left="0" w:right="0" w:firstLine="461"/>
        <w:jc w:val="left"/>
        <w:rPr>
          <w:rFonts w:ascii="Times New Roman;Times;serif" w:hAnsi="Times New Roman;Times;serif"/>
          <w:sz w:val="16"/>
        </w:rPr>
      </w:pPr>
      <w:r>
        <w:rPr>
          <w:rFonts w:ascii="Times New Roman;Times;serif" w:hAnsi="Times New Roman;Times;serif"/>
          <w:sz w:val="16"/>
        </w:rPr>
        <w:t>Number of shares of the registrant’s common stock, $0.001 par value, outstanding on April 30, 2024: 62,616,902</w:t>
      </w:r>
    </w:p>
    <w:p>
      <w:pPr>
        <w:pStyle w:val="TextBody"/>
        <w:bidi w:val="0"/>
        <w:spacing w:lineRule="auto" w:line="285" w:before="0" w:after="0"/>
        <w:ind w:left="0" w:right="0" w:firstLine="461"/>
        <w:jc w:val="left"/>
        <w:rPr/>
      </w:pPr>
      <w:r>
        <w:rPr/>
        <w:t>​</w:t>
      </w:r>
    </w:p>
    <w:p>
      <w:pPr>
        <w:pStyle w:val="TextBody"/>
        <w:bidi w:val="0"/>
        <w:spacing w:lineRule="auto" w:line="285" w:before="0" w:after="0"/>
        <w:ind w:left="0" w:right="0" w:firstLine="461"/>
        <w:jc w:val="left"/>
        <w:rPr/>
      </w:pPr>
      <w:r>
        <w:rPr/>
        <w:t>​</w:t>
      </w:r>
    </w:p>
    <w:p>
      <w:pPr>
        <w:pStyle w:val="TextBody"/>
        <w:bidi w:val="0"/>
        <w:spacing w:lineRule="auto" w:line="285" w:before="480" w:after="0"/>
        <w:ind w:left="0" w:right="0" w:hanging="0"/>
        <w:jc w:val="center"/>
        <w:rPr/>
      </w:pPr>
      <w:r>
        <w:rPr/>
        <w:t>​</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sz w:val="20"/>
        </w:rPr>
      </w:pPr>
      <w:bookmarkStart w:id="23" w:name="Toc"/>
      <w:bookmarkStart w:id="24" w:name="_5a602b6e_0565_4d8c_b869_e6853db26682"/>
      <w:bookmarkEnd w:id="23"/>
      <w:bookmarkEnd w:id="24"/>
      <w:r>
        <w:rPr>
          <w:rFonts w:ascii="Times New Roman;Times;serif" w:hAnsi="Times New Roman;Times;serif"/>
          <w:b/>
          <w:sz w:val="20"/>
        </w:rPr>
        <w:t>TABLE OF</w:t>
      </w:r>
      <w:r>
        <w:rPr>
          <w:rFonts w:ascii="Times New Roman;Times;serif" w:hAnsi="Times New Roman;Times;serif"/>
          <w:sz w:val="20"/>
        </w:rPr>
        <w:t xml:space="preserve"> </w:t>
      </w:r>
      <w:r>
        <w:rPr>
          <w:rFonts w:ascii="Times New Roman;Times;serif" w:hAnsi="Times New Roman;Times;serif"/>
          <w:b/>
          <w:sz w:val="20"/>
        </w:rPr>
        <w:t>CONTENTS</w:t>
      </w:r>
    </w:p>
    <w:tbl>
      <w:tblPr>
        <w:tblW w:w="10205" w:type="dxa"/>
        <w:jc w:val="left"/>
        <w:tblInd w:w="0" w:type="dxa"/>
        <w:tblLayout w:type="fixed"/>
        <w:tblCellMar>
          <w:top w:w="0" w:type="dxa"/>
          <w:left w:w="0" w:type="dxa"/>
          <w:bottom w:w="0" w:type="dxa"/>
          <w:right w:w="0" w:type="dxa"/>
        </w:tblCellMar>
      </w:tblPr>
      <w:tblGrid>
        <w:gridCol w:w="124"/>
        <w:gridCol w:w="9570"/>
        <w:gridCol w:w="511"/>
      </w:tblGrid>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10205" w:type="dxa"/>
            <w:gridSpan w:val="3"/>
            <w:tcBorders/>
            <w:vAlign w:val="center"/>
          </w:tcPr>
          <w:p>
            <w:pPr>
              <w:pStyle w:val="TableContents"/>
              <w:bidi w:val="0"/>
              <w:spacing w:lineRule="auto" w:line="285" w:before="0" w:after="60"/>
              <w:ind w:left="0" w:right="0" w:hanging="0"/>
              <w:jc w:val="center"/>
              <w:rPr/>
            </w:pPr>
            <w:hyperlink w:anchor="PARTIFINANCIAL_85354">
              <w:r>
                <w:rPr>
                  <w:rStyle w:val="InternetLink"/>
                  <w:rFonts w:ascii="Times New Roman;Times;serif" w:hAnsi="Times New Roman;Times;serif"/>
                  <w:b/>
                  <w:i w:val="false"/>
                  <w:caps/>
                  <w:sz w:val="20"/>
                </w:rPr>
                <w:t>Part I – FINANCIAL INFORMATION</w:t>
              </w:r>
            </w:hyperlink>
          </w:p>
        </w:tc>
      </w:tr>
      <w:tr>
        <w:trPr/>
        <w:tc>
          <w:tcPr>
            <w:tcW w:w="9694" w:type="dxa"/>
            <w:gridSpan w:val="2"/>
            <w:tcBorders/>
            <w:vAlign w:val="center"/>
          </w:tcPr>
          <w:p>
            <w:pPr>
              <w:pStyle w:val="TableContents"/>
              <w:bidi w:val="0"/>
              <w:spacing w:lineRule="auto" w:line="285" w:before="0" w:after="40"/>
              <w:ind w:left="0" w:right="0" w:hanging="0"/>
              <w:jc w:val="left"/>
              <w:rPr/>
            </w:pPr>
            <w:hyperlink w:anchor="Item1FinancialStatements_207744">
              <w:r>
                <w:rPr>
                  <w:rStyle w:val="InternetLink"/>
                  <w:rFonts w:ascii="Times New Roman;Times;serif" w:hAnsi="Times New Roman;Times;serif"/>
                  <w:b w:val="false"/>
                  <w:i w:val="false"/>
                  <w:caps w:val="false"/>
                  <w:smallCaps w:val="false"/>
                  <w:sz w:val="20"/>
                </w:rPr>
                <w:t>Item 1. Financial Statements (unaudited)</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BalanceSheets_816509">
              <w:r>
                <w:rPr>
                  <w:rStyle w:val="InternetLink"/>
                  <w:rFonts w:ascii="Times New Roman;Times;serif" w:hAnsi="Times New Roman;Times;serif"/>
                  <w:b w:val="false"/>
                  <w:i w:val="false"/>
                  <w:caps w:val="false"/>
                  <w:smallCaps w:val="false"/>
                  <w:sz w:val="20"/>
                </w:rPr>
                <w:t>Condensed Consolidated Balance Sheets as of March 31, 2024 and December 31, 2023</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StatementsofOperations_108008">
              <w:r>
                <w:rPr>
                  <w:rStyle w:val="InternetLink"/>
                  <w:rFonts w:ascii="Times New Roman;Times;serif" w:hAnsi="Times New Roman;Times;serif"/>
                  <w:b w:val="false"/>
                  <w:i w:val="false"/>
                  <w:caps w:val="false"/>
                  <w:smallCaps w:val="false"/>
                  <w:sz w:val="20"/>
                </w:rPr>
                <w:t>Condensed Consolidated Statements of Operations and Comprehensive Income (Loss) for the three months ended March 31, 2024 and 2023</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StockholdersEquity_235408">
              <w:r>
                <w:rPr>
                  <w:rStyle w:val="InternetLink"/>
                  <w:rFonts w:ascii="Times New Roman;Times;serif" w:hAnsi="Times New Roman;Times;serif"/>
                  <w:b w:val="false"/>
                  <w:i w:val="false"/>
                  <w:caps w:val="false"/>
                  <w:smallCaps w:val="false"/>
                  <w:sz w:val="20"/>
                </w:rPr>
                <w:t>Condensed Consolidated Statements of Stockholders’ Equity for the three months ended March 31, 2024 and 2023</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CashFlows_481395">
              <w:r>
                <w:rPr>
                  <w:rStyle w:val="InternetLink"/>
                  <w:rFonts w:ascii="Times New Roman;Times;serif" w:hAnsi="Times New Roman;Times;serif"/>
                  <w:b w:val="false"/>
                  <w:i w:val="false"/>
                  <w:caps w:val="false"/>
                  <w:smallCaps w:val="false"/>
                  <w:sz w:val="20"/>
                </w:rPr>
                <w:t>Condensed Consolidated Statements of Cash Flows for the three months ended March 31, 2024 and 2023</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40"/>
              <w:ind w:left="0" w:right="0" w:hanging="0"/>
              <w:jc w:val="left"/>
              <w:rPr/>
            </w:pPr>
            <w:hyperlink w:anchor="Notes_47889">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694" w:type="dxa"/>
            <w:gridSpan w:val="2"/>
            <w:tcBorders/>
            <w:vAlign w:val="center"/>
          </w:tcPr>
          <w:p>
            <w:pPr>
              <w:pStyle w:val="TableContents"/>
              <w:bidi w:val="0"/>
              <w:spacing w:lineRule="auto" w:line="285" w:before="0" w:after="40"/>
              <w:ind w:left="0" w:right="0" w:hanging="0"/>
              <w:jc w:val="left"/>
              <w:rPr/>
            </w:pPr>
            <w:hyperlink w:anchor="MANAGEMENTSDISCUSSION_129894">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9694" w:type="dxa"/>
            <w:gridSpan w:val="2"/>
            <w:tcBorders/>
            <w:vAlign w:val="center"/>
          </w:tcPr>
          <w:p>
            <w:pPr>
              <w:pStyle w:val="TableContents"/>
              <w:bidi w:val="0"/>
              <w:spacing w:lineRule="auto" w:line="285" w:before="0" w:after="40"/>
              <w:ind w:left="0" w:right="0" w:hanging="0"/>
              <w:jc w:val="left"/>
              <w:rPr/>
            </w:pPr>
            <w:hyperlink w:anchor="Quantitative_675574">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9694" w:type="dxa"/>
            <w:gridSpan w:val="2"/>
            <w:tcBorders/>
            <w:vAlign w:val="center"/>
          </w:tcPr>
          <w:p>
            <w:pPr>
              <w:pStyle w:val="TableContents"/>
              <w:bidi w:val="0"/>
              <w:spacing w:lineRule="auto" w:line="285" w:before="0" w:after="40"/>
              <w:ind w:left="0" w:right="0" w:hanging="0"/>
              <w:jc w:val="left"/>
              <w:rPr/>
            </w:pPr>
            <w:hyperlink w:anchor="ControlsandProcedures_819554">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9570"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right"/>
              <w:rPr/>
            </w:pPr>
            <w:r>
              <w:rPr/>
              <w:t>​</w:t>
            </w:r>
          </w:p>
        </w:tc>
      </w:tr>
      <w:tr>
        <w:trPr/>
        <w:tc>
          <w:tcPr>
            <w:tcW w:w="10205" w:type="dxa"/>
            <w:gridSpan w:val="3"/>
            <w:tcBorders/>
            <w:vAlign w:val="center"/>
          </w:tcPr>
          <w:p>
            <w:pPr>
              <w:pStyle w:val="TableContents"/>
              <w:bidi w:val="0"/>
              <w:spacing w:lineRule="auto" w:line="285" w:before="0" w:after="60"/>
              <w:ind w:left="0" w:right="0" w:hanging="0"/>
              <w:jc w:val="center"/>
              <w:rPr/>
            </w:pPr>
            <w:hyperlink w:anchor="PARTII_568397">
              <w:r>
                <w:rPr>
                  <w:rStyle w:val="InternetLink"/>
                  <w:rFonts w:ascii="Times New Roman;Times;serif" w:hAnsi="Times New Roman;Times;serif"/>
                  <w:b/>
                  <w:i w:val="false"/>
                  <w:caps/>
                  <w:sz w:val="20"/>
                </w:rPr>
                <w:t>Part II – OTHER INFORMATION</w:t>
              </w:r>
            </w:hyperlink>
          </w:p>
        </w:tc>
      </w:tr>
      <w:tr>
        <w:trPr/>
        <w:tc>
          <w:tcPr>
            <w:tcW w:w="9694" w:type="dxa"/>
            <w:gridSpan w:val="2"/>
            <w:tcBorders/>
            <w:vAlign w:val="center"/>
          </w:tcPr>
          <w:p>
            <w:pPr>
              <w:pStyle w:val="TableContents"/>
              <w:bidi w:val="0"/>
              <w:spacing w:lineRule="auto" w:line="285" w:before="0" w:after="40"/>
              <w:ind w:left="0" w:right="0" w:hanging="0"/>
              <w:jc w:val="left"/>
              <w:rPr/>
            </w:pPr>
            <w:hyperlink w:anchor="LegalProceedings_161281">
              <w:r>
                <w:rPr>
                  <w:rStyle w:val="InternetLink"/>
                  <w:rFonts w:ascii="Times New Roman;Times;serif" w:hAnsi="Times New Roman;Times;serif"/>
                  <w:b w:val="false"/>
                  <w:i w:val="false"/>
                  <w:caps w:val="false"/>
                  <w:smallCaps w:val="false"/>
                  <w:sz w:val="20"/>
                </w:rPr>
                <w:t>Item 1. Legal Proceedings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9694" w:type="dxa"/>
            <w:gridSpan w:val="2"/>
            <w:tcBorders/>
            <w:vAlign w:val="center"/>
          </w:tcPr>
          <w:p>
            <w:pPr>
              <w:pStyle w:val="TableContents"/>
              <w:bidi w:val="0"/>
              <w:spacing w:lineRule="auto" w:line="285" w:before="0" w:after="4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9694" w:type="dxa"/>
            <w:gridSpan w:val="2"/>
            <w:tcBorders/>
            <w:vAlign w:val="center"/>
          </w:tcPr>
          <w:p>
            <w:pPr>
              <w:pStyle w:val="TableContents"/>
              <w:bidi w:val="0"/>
              <w:spacing w:lineRule="auto" w:line="285" w:before="0" w:after="40"/>
              <w:ind w:left="0" w:right="0" w:hanging="0"/>
              <w:jc w:val="left"/>
              <w:rPr/>
            </w:pPr>
            <w:hyperlink w:anchor="Item5OtherInformation_346096">
              <w:r>
                <w:rPr>
                  <w:rStyle w:val="InternetLink"/>
                  <w:rFonts w:ascii="Times New Roman;Times;serif" w:hAnsi="Times New Roman;Times;serif"/>
                  <w:b w:val="false"/>
                  <w:i w:val="false"/>
                  <w:caps w:val="false"/>
                  <w:smallCaps w:val="false"/>
                  <w:sz w:val="20"/>
                </w:rPr>
                <w:t>Item 5. Other Information</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9694" w:type="dxa"/>
            <w:gridSpan w:val="2"/>
            <w:tcBorders/>
            <w:vAlign w:val="center"/>
          </w:tcPr>
          <w:p>
            <w:pPr>
              <w:pStyle w:val="TableContents"/>
              <w:bidi w:val="0"/>
              <w:spacing w:lineRule="auto" w:line="285" w:before="0" w:after="40"/>
              <w:ind w:left="0" w:right="0" w:hanging="0"/>
              <w:jc w:val="left"/>
              <w:rPr/>
            </w:pPr>
            <w:hyperlink w:anchor="Item6Exhibits_734890">
              <w:r>
                <w:rPr>
                  <w:rStyle w:val="InternetLink"/>
                  <w:rFonts w:ascii="Times New Roman;Times;serif" w:hAnsi="Times New Roman;Times;serif"/>
                  <w:b w:val="false"/>
                  <w:i w:val="false"/>
                  <w:caps w:val="false"/>
                  <w:smallCaps w:val="false"/>
                  <w:sz w:val="20"/>
                </w:rPr>
                <w:t>Item 6. Exhibits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9694" w:type="dxa"/>
            <w:gridSpan w:val="2"/>
            <w:tcBorders/>
            <w:vAlign w:val="center"/>
          </w:tcPr>
          <w:p>
            <w:pPr>
              <w:pStyle w:val="TableContents"/>
              <w:bidi w:val="0"/>
              <w:spacing w:lineRule="auto" w:line="285" w:before="0" w:after="0"/>
              <w:ind w:left="0" w:right="0" w:hanging="0"/>
              <w:jc w:val="left"/>
              <w:rPr/>
            </w:pPr>
            <w:hyperlink w:anchor="SIGNATURES_862342">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9694" w:type="dxa"/>
            <w:gridSpan w:val="2"/>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9694" w:type="dxa"/>
            <w:gridSpan w:val="2"/>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bookmarkStart w:id="25" w:name="_2f15c184_f4fe_492b_8388_ee2fa0b63c8e"/>
      <w:bookmarkEnd w:id="25"/>
      <w:r>
        <w:rPr/>
        <w:t>​</w:t>
      </w:r>
    </w:p>
    <w:p>
      <w:pPr>
        <w:pStyle w:val="TextBody"/>
        <w:bidi w:val="0"/>
        <w:spacing w:lineRule="auto" w:line="240" w:before="0" w:after="160"/>
        <w:ind w:left="0" w:right="0" w:firstLine="720"/>
        <w:jc w:val="left"/>
        <w:rPr>
          <w:rFonts w:ascii="Times New Roman;Times;serif" w:hAnsi="Times New Roman;Times;serif"/>
          <w:sz w:val="20"/>
        </w:rPr>
      </w:pPr>
      <w:r>
        <w:rPr>
          <w:rFonts w:ascii="Times New Roman;Times;serif" w:hAnsi="Times New Roman;Times;serif"/>
          <w:i/>
          <w:sz w:val="20"/>
        </w:rPr>
        <w:t>Unless otherwise stated, all references to “us,” “our,” “Blueprint,” “Blueprint Medicines,” “we,” the “Company” and similar designations in this Quarterly Report on Form 10-Q refer to Blueprint Medicines Corporation and its consolidated subsidiaries. Blueprint Medicines, AYVAKIT</w:t>
      </w:r>
      <w:r>
        <w:rPr>
          <w:rFonts w:ascii="Times New Roman;Times;serif" w:hAnsi="Times New Roman;Times;serif"/>
          <w:i/>
          <w:sz w:val="15"/>
        </w:rPr>
        <w:t>®</w:t>
      </w:r>
      <w:r>
        <w:rPr>
          <w:rFonts w:ascii="Times New Roman;Times;serif" w:hAnsi="Times New Roman;Times;serif"/>
          <w:i/>
          <w:sz w:val="20"/>
        </w:rPr>
        <w:t>, AYVAKYT</w:t>
      </w:r>
      <w:r>
        <w:rPr>
          <w:rFonts w:ascii="Times New Roman;Times;serif" w:hAnsi="Times New Roman;Times;serif"/>
          <w:i/>
          <w:sz w:val="15"/>
        </w:rPr>
        <w:t>®</w:t>
      </w:r>
      <w:r>
        <w:rPr>
          <w:rFonts w:ascii="Times New Roman;Times;serif" w:hAnsi="Times New Roman;Times;serif"/>
          <w:i/>
          <w:sz w:val="20"/>
        </w:rPr>
        <w:t>, GAVRETO</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and associated logos are trademarks of Blueprint Medicines Corporation. Other brands, names and trademarks contained in this Quarterly Report on Form 10-Q are the property of their respective owners.</w:t>
      </w:r>
    </w:p>
    <w:p>
      <w:pPr>
        <w:pStyle w:val="TextBody"/>
        <w:bidi w:val="0"/>
        <w:spacing w:lineRule="auto" w:line="307" w:before="0" w:after="140"/>
        <w:ind w:left="0" w:right="0" w:hanging="0"/>
        <w:jc w:val="center"/>
        <w:rPr>
          <w:rFonts w:ascii="Times New Roman;Times;serif" w:hAnsi="Times New Roman;Times;serif"/>
          <w:b/>
          <w:caps/>
          <w:sz w:val="20"/>
        </w:rPr>
      </w:pPr>
      <w:r>
        <w:rPr>
          <w:rFonts w:ascii="Times New Roman;Times;serif" w:hAnsi="Times New Roman;Times;serif"/>
          <w:b/>
          <w:caps/>
          <w:sz w:val="20"/>
        </w:rPr>
        <w:t>Forward-Looking Statements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“aim,” “anticipate,” “believe,” “contemplate,” “continue,” “could,” “estimate,” “expect,” “intend,” “may,” “plan,” “potential,” “predict,” “project,” “seek,” “should,” “target,” “will,” “would” or a variation or the negative of these words or other comparable terminology, although not all forward-looking statements contain these identifying words. </w:t>
      </w:r>
    </w:p>
    <w:p>
      <w:pPr>
        <w:pStyle w:val="TextBody"/>
        <w:bidi w:val="0"/>
        <w:spacing w:lineRule="auto" w:line="285" w:before="0" w:after="140"/>
        <w:ind w:left="0" w:right="0" w:firstLine="720"/>
        <w:jc w:val="left"/>
        <w:rPr>
          <w:rFonts w:ascii="Times New Roman;Times;serif" w:hAnsi="Times New Roman;Times;serif"/>
          <w:sz w:val="20"/>
        </w:rPr>
      </w:pPr>
      <w:r>
        <w:rPr>
          <w:rFonts w:ascii="Times New Roman;Times;serif" w:hAnsi="Times New Roman;Times;serif"/>
          <w:sz w:val="20"/>
        </w:rPr>
        <w:t xml:space="preserve">The forward-looking statements in this Quarterly Report on Form 10-Q include, but are not limited to, statements about: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timing or likelihood of regulatory actions, filings and approvals for our current and future drug candidates, including our ability to obtain marketing approval for avapritinib in additional geographies;</w:t>
            </w:r>
            <w:r>
              <w:rPr>
                <w:caps w:val="false"/>
                <w:smallCaps w:val="false"/>
                <w:shd w:fill="FFFFFF" w:val="clear"/>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our ability and plans in continuing to build out our commercial infrastructure and successfully launching, marketing and selling AYVAKIT</w:t>
            </w:r>
            <w:r>
              <w:rPr>
                <w:rFonts w:ascii="Times New Roman;Times;serif" w:hAnsi="Times New Roman;Times;serif"/>
                <w:b w:val="false"/>
                <w:i/>
                <w:sz w:val="15"/>
              </w:rPr>
              <w:t>®</w:t>
            </w:r>
            <w:r>
              <w:rPr>
                <w:caps w:val="false"/>
                <w:smallCaps w:val="false"/>
              </w:rPr>
              <w:t xml:space="preserve"> </w:t>
            </w:r>
            <w:r>
              <w:rPr>
                <w:rFonts w:ascii="Times New Roman;Times;serif" w:hAnsi="Times New Roman;Times;serif"/>
                <w:b w:val="false"/>
                <w:i w:val="false"/>
                <w:caps w:val="false"/>
                <w:smallCaps w:val="false"/>
                <w:sz w:val="20"/>
              </w:rPr>
              <w:t>(avapritinib) (marketed in Europe under the brand name AYVAKYT</w:t>
            </w:r>
            <w:r>
              <w:rPr>
                <w:rFonts w:ascii="Times New Roman;Times;serif" w:hAnsi="Times New Roman;Times;serif"/>
                <w:b w:val="false"/>
                <w:i/>
                <w:sz w:val="15"/>
              </w:rPr>
              <w:t>®</w:t>
            </w:r>
            <w:r>
              <w:rPr>
                <w:rFonts w:ascii="Times New Roman;Times;serif" w:hAnsi="Times New Roman;Times;serif"/>
                <w:b w:val="false"/>
                <w:i w:val="false"/>
                <w:caps w:val="false"/>
                <w:smallCaps w:val="false"/>
                <w:sz w:val="20"/>
              </w:rPr>
              <w:t>) and any current and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potential benefits of AYVAKIT/AYVAKYT and any current and future drug candidates in treating patients with indolent SM and advanced SM;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of AYVAKIT/AYVAKYT and any current and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and reimbursement of AYVAKIT/AYVAKYT and any current and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concerning the process with F. Hoffmann-La Roche Ltd and Genentech, Inc. for transitioning U.S. GAVRETO assets to Rigel Pharmaceuticals, Inc. (Rigel);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initiation, timing, progress and results of our preclinical studies and clinical trials, including our ongoing clinical trials and any planned clinical trials for our current and future drug candidates and</w:t>
            </w:r>
            <w:r>
              <w:rPr>
                <w:caps w:val="false"/>
                <w:smallCaps w:val="false"/>
              </w:rPr>
              <w:t xml:space="preserve"> </w:t>
            </w:r>
            <w:r>
              <w:rPr>
                <w:rFonts w:ascii="Times New Roman;Times;serif" w:hAnsi="Times New Roman;Times;serif"/>
                <w:b w:val="false"/>
                <w:i w:val="false"/>
                <w:caps w:val="false"/>
                <w:smallCaps w:val="false"/>
                <w:sz w:val="20"/>
              </w:rPr>
              <w:t>research and development programs;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advance drug candidates into, and successfully complete,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develop manufacturing processes for any of our current and future drugs or drug candidates and to secure manufacturing, packaging and labeling arrangements for development activities and commercial production;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our business model and strategic plans for our business, drugs, drug candidates, platform and technology;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length of protection we are able to establish and maintain for intellectual property rights covering our current and future drugs, drug candidates and technology;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our collaboration with CStone Pharmaceuticals (CStone) to develop and commercialize avapritinib, pralsetinib and fisogatinib in the CStone Territory (as defined below), and our collaboration with VantAI, Inc. (VantAI), to research and advance novel targeted protein degrader therapies, as well as our ability to maintain these collaborations and establish additional strategic collaborations;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our exclusive license agreement with Clementia Pharmaceuticals, Inc., a wholly-owned subsidiary of Ipsen S.A. (Clementia), to develop and commercialize BLU-782 for fibrodysplasia ossificans progressiva;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potential benefit of our strategic financing transaction with </w:t>
            </w:r>
            <w:r>
              <w:rPr>
                <w:rFonts w:ascii="Times New Roman;Times;serif" w:hAnsi="Times New Roman;Times;serif"/>
                <w:b w:val="false"/>
                <w:i w:val="false"/>
                <w:caps w:val="false"/>
                <w:smallCaps w:val="false"/>
                <w:sz w:val="20"/>
                <w:shd w:fill="FFFFFF" w:val="clear"/>
              </w:rPr>
              <w:t>Garnich Adjacent Investments S.a.r.l. and Tao Talents, LLC, both affiliates of Sixth Street Partners</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realize the benefits of the collaboration compounds retained by us following the mutual termination of our cancer immunotherapy collaboration with F. Hoffmann-La Roche Ltd and Hoffman-La Roche Inc.;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potential benefits of our license agreement with IDRx, Inc. (IDRx) to develop our development candidate-stage KIT exon 13 inhibitor, IDRX-73, for the treatment of drug-resistant mutations of non-PDGFR-driven gastrointestinal stromal tumor (GIST);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financial performance, estimates of our revenues, expenses and capital requirements and our needs for future financing, including our ability to achieve a self-sustainable financial profile; </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developments relating to our competitors and our industry;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or potential benefits of designations granted by the U.S. Food and Drug Administration (FDA), such as orphan drug, fast track and breakthrough therapy designation or priority review.</w:t>
            </w:r>
          </w:p>
        </w:tc>
      </w:tr>
    </w:tbl>
    <w:p>
      <w:pPr>
        <w:pStyle w:val="TextBody"/>
        <w:bidi w:val="0"/>
        <w:spacing w:lineRule="auto" w:line="285" w:before="0" w:after="140"/>
        <w:ind w:left="0" w:right="0" w:firstLine="720"/>
        <w:jc w:val="left"/>
        <w:rPr>
          <w:rFonts w:ascii="Times New Roman;Times;serif" w:hAnsi="Times New Roman;Times;serif"/>
          <w:sz w:val="20"/>
        </w:rPr>
      </w:pPr>
      <w:r>
        <w:rPr>
          <w:rFonts w:ascii="Times New Roman;Times;serif" w:hAnsi="Times New Roman;Times;serif"/>
          <w:sz w:val="20"/>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in Part II, Item 1</w:t>
      </w:r>
      <w:r>
        <w:rPr>
          <w:rFonts w:ascii="Times New Roman;Times;serif" w:hAnsi="Times New Roman;Times;serif"/>
          <w:caps/>
          <w:sz w:val="20"/>
        </w:rPr>
        <w:t>A</w:t>
      </w:r>
      <w:r>
        <w:rPr>
          <w:rFonts w:ascii="Times New Roman;Times;serif" w:hAnsi="Times New Roman;Times;serif"/>
          <w:sz w:val="20"/>
        </w:rPr>
        <w:t>,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pStyle w:val="TextBody"/>
        <w:bidi w:val="0"/>
        <w:spacing w:lineRule="auto" w:line="285" w:before="0" w:after="140"/>
        <w:ind w:left="0" w:right="0" w:firstLine="720"/>
        <w:jc w:val="left"/>
        <w:rPr>
          <w:rFonts w:ascii="Times New Roman;Times;serif" w:hAnsi="Times New Roman;Times;serif"/>
          <w:sz w:val="20"/>
        </w:rPr>
      </w:pPr>
      <w:r>
        <w:rPr>
          <w:rFonts w:ascii="Times New Roman;Times;serif" w:hAnsi="Times New Roman;Times;serif"/>
          <w:sz w:val="20"/>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pStyle w:val="TextBody"/>
        <w:bidi w:val="0"/>
        <w:spacing w:lineRule="auto" w:line="285" w:before="0" w:after="140"/>
        <w:ind w:left="0" w:right="0" w:firstLine="720"/>
        <w:jc w:val="left"/>
        <w:rPr>
          <w:rFonts w:ascii="Times New Roman;Times;serif" w:hAnsi="Times New Roman;Times;serif"/>
          <w:sz w:val="20"/>
        </w:rPr>
      </w:pPr>
      <w:r>
        <w:rPr>
          <w:rFonts w:ascii="Times New Roman;Times;serif" w:hAnsi="Times New Roman;Times;serif"/>
          <w:sz w:val="20"/>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For purposes of this Quarterly Report on Form 10-Q, including the footnotes to our condensed consolidated financial statements, (i) with respect to the terminated collaboration for pralsetinib, Roche means F. Hoffmann-La Roche Ltd and Genentech, Inc., (ii) with respect to our terminated cancer immunotherapy collaboration, Roche means F. Hoffmann-La Roche Ltd and Hoffmann-La Roche Inc., (iii) with respect to our financing transactions with Sixth Street Partners, Sixth Street Partners means Garnich Adjacent Investments S.a.r.l. and/or Tao Talents, LLC, and (iv) with respect to our targeted protein degrader therapies collaboration, Proteovant means Oncopia Therapeutics, Inc., d/b/a SK Life Science Labs (formerly known as Proteovant Therapeutics, Inc.).</w:t>
      </w:r>
    </w:p>
    <w:p>
      <w:pPr>
        <w:pStyle w:val="TextBody"/>
        <w:bidi w:val="0"/>
        <w:spacing w:lineRule="auto" w:line="285" w:before="0" w:after="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sz w:val="20"/>
        </w:rPr>
      </w:pPr>
      <w:bookmarkStart w:id="26" w:name="PARTIFINANCIAL_85354"/>
      <w:bookmarkStart w:id="27" w:name="_dcefec34_b3ac_4f45_96ad_7d43aa150df3"/>
      <w:bookmarkEnd w:id="26"/>
      <w:bookmarkEnd w:id="27"/>
      <w:r>
        <w:rPr>
          <w:rFonts w:ascii="Times New Roman;Times;serif" w:hAnsi="Times New Roman;Times;serif"/>
          <w:b/>
          <w:sz w:val="20"/>
        </w:rPr>
        <w:t>PART I – FINANCIAL</w:t>
      </w:r>
      <w:r>
        <w:rPr>
          <w:rFonts w:ascii="Times New Roman;Times;serif" w:hAnsi="Times New Roman;Times;serif"/>
          <w:sz w:val="20"/>
        </w:rPr>
        <w:t xml:space="preserve"> </w:t>
      </w:r>
      <w:r>
        <w:rPr>
          <w:rFonts w:ascii="Times New Roman;Times;serif" w:hAnsi="Times New Roman;Times;serif"/>
          <w:b/>
          <w:sz w:val="20"/>
        </w:rPr>
        <w:t>INFORMATION</w:t>
      </w:r>
    </w:p>
    <w:p>
      <w:pPr>
        <w:pStyle w:val="TextBody"/>
        <w:bidi w:val="0"/>
        <w:spacing w:lineRule="auto" w:line="307" w:before="0" w:after="240"/>
        <w:ind w:left="0" w:right="0" w:hanging="0"/>
        <w:jc w:val="left"/>
        <w:rPr>
          <w:rFonts w:ascii="Times New Roman;Times;serif" w:hAnsi="Times New Roman;Times;serif"/>
          <w:b/>
          <w:sz w:val="20"/>
        </w:rPr>
      </w:pPr>
      <w:bookmarkStart w:id="28" w:name="Item1FinancialStatements_207744"/>
      <w:bookmarkStart w:id="29" w:name="_817d335d_c34f_4e3d_bca8_8234a660a14a"/>
      <w:bookmarkEnd w:id="28"/>
      <w:bookmarkEnd w:id="29"/>
      <w:r>
        <w:rPr>
          <w:rFonts w:ascii="Times New Roman;Times;serif" w:hAnsi="Times New Roman;Times;serif"/>
          <w:b/>
          <w:sz w:val="20"/>
        </w:rPr>
        <w:t>Item 1. Financial Statements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Blueprint Medicines Corporation</w:t>
      </w:r>
    </w:p>
    <w:p>
      <w:pPr>
        <w:pStyle w:val="TextBody"/>
        <w:bidi w:val="0"/>
        <w:spacing w:lineRule="auto" w:line="285" w:before="0" w:after="0"/>
        <w:ind w:left="0" w:right="0" w:hanging="0"/>
        <w:jc w:val="center"/>
        <w:rPr>
          <w:rFonts w:ascii="Times New Roman;Times;serif" w:hAnsi="Times New Roman;Times;serif"/>
          <w:b/>
          <w:sz w:val="20"/>
        </w:rPr>
      </w:pPr>
      <w:bookmarkStart w:id="30" w:name="BalanceSheets_816509"/>
      <w:bookmarkEnd w:id="30"/>
      <w:r>
        <w:rPr>
          <w:rFonts w:ascii="Times New Roman;Times;serif" w:hAnsi="Times New Roman;Times;serif"/>
          <w:b/>
          <w:sz w:val="20"/>
        </w:rPr>
        <w:t>Condensed Consolidated Balance Sheets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1" w:name="Tc_6S9l-K3UTkmoWO12eoJUNA_41_5"/>
      <w:bookmarkStart w:id="32" w:name="Tc_mzslDPw1h0aMfddTaTZCrg_41_2"/>
      <w:bookmarkStart w:id="33" w:name="Tc_kQj0JddrQkm7ayfKPAt2yg_41_0"/>
      <w:bookmarkStart w:id="34" w:name="Tc_qJJL9Nbi7EWEl9dlZZFy4w_40_0"/>
      <w:bookmarkStart w:id="35" w:name="Tc_wPXJCaEDPEKjteK9sXwVFQ_39_0"/>
      <w:bookmarkStart w:id="36" w:name="Tc_lHa3aWS92EmKtvi12frzkA_38_0"/>
      <w:bookmarkStart w:id="37" w:name="Tc_A0AOfH2HrUmNtBEiJyygmA_37_0"/>
      <w:bookmarkStart w:id="38" w:name="Tc_rR_vOiOz10eOLB49rSthsQ_36_0"/>
      <w:bookmarkStart w:id="39" w:name="Tc_NzrRtVbqZ0iu0P_kAxaeFw_35_0"/>
      <w:bookmarkStart w:id="40" w:name="Tc_v3g93kbERU-Bnip11oHLHg_34_0"/>
      <w:bookmarkStart w:id="41" w:name="Tc_3ZRPMrhjFEaFse7lIzktbQ_33_0"/>
      <w:bookmarkStart w:id="42" w:name="Tc_1EX-Lm2d9U-oVw69cu1Ixw_32_0"/>
      <w:bookmarkStart w:id="43" w:name="Tc_hW0w9acMWE6dgUpLehrX3Q_31_0"/>
      <w:bookmarkStart w:id="44" w:name="Tc_a5D9yvjXzU-_F6cfhlbVkw_30_0"/>
      <w:bookmarkStart w:id="45" w:name="Tc_iGrO0myREU21Zwb8vCds_w_29_0"/>
      <w:bookmarkStart w:id="46" w:name="Tc_7nF0qGU8L0iyuBvPVVa3Yg_28_0"/>
      <w:bookmarkStart w:id="47" w:name="Tc_z7o-ubr1WES_PZil7GSJOQ_27_0"/>
      <w:bookmarkStart w:id="48" w:name="Tc_8gRHqJn0M0WGEL_aeb9qHQ_26_0"/>
      <w:bookmarkStart w:id="49" w:name="Tc_oCYoc9lY0Eaq4eDV7JxayQ_25_0"/>
      <w:bookmarkStart w:id="50" w:name="Tc_5ZV3osUdAUm7mw0ASVDpfA_24_0"/>
      <w:bookmarkStart w:id="51" w:name="Tc_y8X2f4avVk2uFDLOtimpxA_23_0"/>
      <w:bookmarkStart w:id="52" w:name="Tc_c4qPSgCxU0CWAE0GxxWEXw_22_0"/>
      <w:bookmarkStart w:id="53" w:name="Tc_MEryPRRr20OAgFcSa8WoyQ_21_0"/>
      <w:bookmarkStart w:id="54" w:name="Tc_Bsuo22isd0uUaTS-dbSobQ_20_0"/>
      <w:bookmarkStart w:id="55" w:name="Tc_lusI6bXinUWBn4qQW-vhgg_19_0"/>
      <w:bookmarkStart w:id="56" w:name="Tc_Roa7eb4-WkqMpXGlIBJIjw_18_0"/>
      <w:bookmarkStart w:id="57" w:name="Tc_B6VSP9DutU-rkldS3KOjyA_17_5"/>
      <w:bookmarkStart w:id="58" w:name="Tc_X5kv1eptjUCM0OLJ1zOsLQ_17_2"/>
      <w:bookmarkStart w:id="59" w:name="Tc_SPIt1ZZVu0yrAvIS0Ylkag_17_0"/>
      <w:bookmarkStart w:id="60" w:name="Tc_NsDihdjNu0CU2cOLZD9DLA_16_0"/>
      <w:bookmarkStart w:id="61" w:name="Tc_b5TQXkT09EqK7KDbpDwngw_15_0"/>
      <w:bookmarkStart w:id="62" w:name="Tc_1n9wDksUFkWa5OIvqEH3Xg_14_0"/>
      <w:bookmarkStart w:id="63" w:name="Tc_9Z36bQMhhEW1nI3WwEl16w_13_0"/>
      <w:bookmarkStart w:id="64" w:name="Tc_FZB_me6_y0muHZKpYDdkCw_12_0"/>
      <w:bookmarkStart w:id="65" w:name="Tc_8y-aCgx8LEGij_avWHAKAA_11_0"/>
      <w:bookmarkStart w:id="66" w:name="Tc_tPXStPpE3kGvkPo4K0Q7Fg_10_0"/>
      <w:bookmarkStart w:id="67" w:name="Tc_T0ygxlzoh06X3m-izciZOg_9_0"/>
      <w:bookmarkStart w:id="68" w:name="Tc_6uPw_ioacEWb_Pwiw7SyXQ_8_0"/>
      <w:bookmarkStart w:id="69" w:name="Tc_5FgP6WCJ7Ey0KoqlFDD2oA_7_0"/>
      <w:bookmarkStart w:id="70" w:name="Tc_ApHouprzTk2qRkkEszJOzQ_6_0"/>
      <w:bookmarkStart w:id="71" w:name="Tc_LUg3lWuioEW3UmhoSi2_OA_5_5"/>
      <w:bookmarkStart w:id="72" w:name="Tc_MsMlhuRA-0Oxa-W0JcNx5g_5_2"/>
      <w:bookmarkStart w:id="73" w:name="Tc_VXVrAs8MlE627NaGTkRcPw_5_0"/>
      <w:bookmarkStart w:id="74" w:name="Tc_V71gPw8RhUCkEK6TFQTw6w_4_0"/>
      <w:bookmarkStart w:id="75" w:name="Tc_VH3a9Y5vOkKA18gqcF4arA_3_0"/>
      <w:bookmarkStart w:id="76" w:name="Tc_a7iw8sZ-ak6oNSjSkLclkw_2_5"/>
      <w:bookmarkStart w:id="77" w:name="Tc_lKhksc5ttk2VtDtrDYvHXg_1_5"/>
      <w:bookmarkStart w:id="78" w:name="Tc_CiUXe3ZRU0-ypmZBUc3VVA_1_2"/>
      <w:bookmarkStart w:id="79" w:name="_b564bf6b_ab4e_4ecb_a89e_8bc4a55d0a10"/>
      <w:bookmarkStart w:id="80" w:name="Tc_6S9l-K3UTkmoWO12eoJUNA_41_5"/>
      <w:bookmarkStart w:id="81" w:name="Tc_mzslDPw1h0aMfddTaTZCrg_41_2"/>
      <w:bookmarkStart w:id="82" w:name="Tc_kQj0JddrQkm7ayfKPAt2yg_41_0"/>
      <w:bookmarkStart w:id="83" w:name="Tc_qJJL9Nbi7EWEl9dlZZFy4w_40_0"/>
      <w:bookmarkStart w:id="84" w:name="Tc_wPXJCaEDPEKjteK9sXwVFQ_39_0"/>
      <w:bookmarkStart w:id="85" w:name="Tc_lHa3aWS92EmKtvi12frzkA_38_0"/>
      <w:bookmarkStart w:id="86" w:name="Tc_A0AOfH2HrUmNtBEiJyygmA_37_0"/>
      <w:bookmarkStart w:id="87" w:name="Tc_rR_vOiOz10eOLB49rSthsQ_36_0"/>
      <w:bookmarkStart w:id="88" w:name="Tc_NzrRtVbqZ0iu0P_kAxaeFw_35_0"/>
      <w:bookmarkStart w:id="89" w:name="Tc_v3g93kbERU-Bnip11oHLHg_34_0"/>
      <w:bookmarkStart w:id="90" w:name="Tc_3ZRPMrhjFEaFse7lIzktbQ_33_0"/>
      <w:bookmarkStart w:id="91" w:name="Tc_1EX-Lm2d9U-oVw69cu1Ixw_32_0"/>
      <w:bookmarkStart w:id="92" w:name="Tc_hW0w9acMWE6dgUpLehrX3Q_31_0"/>
      <w:bookmarkStart w:id="93" w:name="Tc_a5D9yvjXzU-_F6cfhlbVkw_30_0"/>
      <w:bookmarkStart w:id="94" w:name="Tc_iGrO0myREU21Zwb8vCds_w_29_0"/>
      <w:bookmarkStart w:id="95" w:name="Tc_7nF0qGU8L0iyuBvPVVa3Yg_28_0"/>
      <w:bookmarkStart w:id="96" w:name="Tc_z7o-ubr1WES_PZil7GSJOQ_27_0"/>
      <w:bookmarkStart w:id="97" w:name="Tc_8gRHqJn0M0WGEL_aeb9qHQ_26_0"/>
      <w:bookmarkStart w:id="98" w:name="Tc_oCYoc9lY0Eaq4eDV7JxayQ_25_0"/>
      <w:bookmarkStart w:id="99" w:name="Tc_5ZV3osUdAUm7mw0ASVDpfA_24_0"/>
      <w:bookmarkStart w:id="100" w:name="Tc_y8X2f4avVk2uFDLOtimpxA_23_0"/>
      <w:bookmarkStart w:id="101" w:name="Tc_c4qPSgCxU0CWAE0GxxWEXw_22_0"/>
      <w:bookmarkStart w:id="102" w:name="Tc_MEryPRRr20OAgFcSa8WoyQ_21_0"/>
      <w:bookmarkStart w:id="103" w:name="Tc_Bsuo22isd0uUaTS-dbSobQ_20_0"/>
      <w:bookmarkStart w:id="104" w:name="Tc_lusI6bXinUWBn4qQW-vhgg_19_0"/>
      <w:bookmarkStart w:id="105" w:name="Tc_Roa7eb4-WkqMpXGlIBJIjw_18_0"/>
      <w:bookmarkStart w:id="106" w:name="Tc_B6VSP9DutU-rkldS3KOjyA_17_5"/>
      <w:bookmarkStart w:id="107" w:name="Tc_X5kv1eptjUCM0OLJ1zOsLQ_17_2"/>
      <w:bookmarkStart w:id="108" w:name="Tc_SPIt1ZZVu0yrAvIS0Ylkag_17_0"/>
      <w:bookmarkStart w:id="109" w:name="Tc_NsDihdjNu0CU2cOLZD9DLA_16_0"/>
      <w:bookmarkStart w:id="110" w:name="Tc_b5TQXkT09EqK7KDbpDwngw_15_0"/>
      <w:bookmarkStart w:id="111" w:name="Tc_1n9wDksUFkWa5OIvqEH3Xg_14_0"/>
      <w:bookmarkStart w:id="112" w:name="Tc_9Z36bQMhhEW1nI3WwEl16w_13_0"/>
      <w:bookmarkStart w:id="113" w:name="Tc_FZB_me6_y0muHZKpYDdkCw_12_0"/>
      <w:bookmarkStart w:id="114" w:name="Tc_8y-aCgx8LEGij_avWHAKAA_11_0"/>
      <w:bookmarkStart w:id="115" w:name="Tc_tPXStPpE3kGvkPo4K0Q7Fg_10_0"/>
      <w:bookmarkStart w:id="116" w:name="Tc_T0ygxlzoh06X3m-izciZOg_9_0"/>
      <w:bookmarkStart w:id="117" w:name="Tc_6uPw_ioacEWb_Pwiw7SyXQ_8_0"/>
      <w:bookmarkStart w:id="118" w:name="Tc_5FgP6WCJ7Ey0KoqlFDD2oA_7_0"/>
      <w:bookmarkStart w:id="119" w:name="Tc_ApHouprzTk2qRkkEszJOzQ_6_0"/>
      <w:bookmarkStart w:id="120" w:name="Tc_LUg3lWuioEW3UmhoSi2_OA_5_5"/>
      <w:bookmarkStart w:id="121" w:name="Tc_MsMlhuRA-0Oxa-W0JcNx5g_5_2"/>
      <w:bookmarkStart w:id="122" w:name="Tc_VXVrAs8MlE627NaGTkRcPw_5_0"/>
      <w:bookmarkStart w:id="123" w:name="Tc_V71gPw8RhUCkEK6TFQTw6w_4_0"/>
      <w:bookmarkStart w:id="124" w:name="Tc_VH3a9Y5vOkKA18gqcF4arA_3_0"/>
      <w:bookmarkStart w:id="125" w:name="Tc_a7iw8sZ-ak6oNSjSkLclkw_2_5"/>
      <w:bookmarkStart w:id="126" w:name="Tc_lKhksc5ttk2VtDtrDYvHXg_1_5"/>
      <w:bookmarkStart w:id="127" w:name="Tc_CiUXe3ZRU0-ypmZBUc3VVA_1_2"/>
      <w:bookmarkStart w:id="128" w:name="_b564bf6b_ab4e_4ecb_a89e_8bc4a55d0a10"/>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tbl>
      <w:tblPr>
        <w:tblW w:w="10205" w:type="dxa"/>
        <w:jc w:val="left"/>
        <w:tblInd w:w="0" w:type="dxa"/>
        <w:tblLayout w:type="fixed"/>
        <w:tblCellMar>
          <w:top w:w="0" w:type="dxa"/>
          <w:left w:w="0" w:type="dxa"/>
          <w:bottom w:w="0" w:type="dxa"/>
          <w:right w:w="0" w:type="dxa"/>
        </w:tblCellMar>
      </w:tblPr>
      <w:tblGrid>
        <w:gridCol w:w="7283"/>
        <w:gridCol w:w="326"/>
        <w:gridCol w:w="196"/>
        <w:gridCol w:w="916"/>
        <w:gridCol w:w="326"/>
        <w:gridCol w:w="196"/>
        <w:gridCol w:w="962"/>
      </w:tblGrid>
      <w:tr>
        <w:trPr/>
        <w:tc>
          <w:tcPr>
            <w:tcW w:w="7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24705" cy="175260"/>
                      <wp:effectExtent l="0" t="0" r="0" b="0"/>
                      <wp:wrapNone/>
                      <wp:docPr id="1" name="Frame1"/>
                      <a:graphic xmlns:a="http://schemas.openxmlformats.org/drawingml/2006/main">
                        <a:graphicData uri="http://schemas.microsoft.com/office/word/2010/wordprocessingShape">
                          <wps:wsp>
                            <wps:cNvSpPr txBox="1"/>
                            <wps:spPr>
                              <a:xfrm>
                                <a:off x="0" y="0"/>
                                <a:ext cx="46247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81660" cy="175260"/>
                      <wp:effectExtent l="0" t="0" r="0" b="0"/>
                      <wp:wrapNone/>
                      <wp:docPr id="4" name="Frame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10870" cy="175260"/>
                      <wp:effectExtent l="0" t="0" r="0" b="0"/>
                      <wp:wrapNone/>
                      <wp:docPr id="7" name="Frame7"/>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28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11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lineRule="auto" w:line="285" w:before="0" w:after="0"/>
              <w:ind w:left="0" w:right="0" w:hanging="0"/>
              <w:jc w:val="left"/>
              <w:rPr/>
            </w:pPr>
            <w:r>
              <w:rPr/>
              <w:t>​</w:t>
            </w:r>
          </w:p>
        </w:tc>
        <w:tc>
          <w:tcPr>
            <w:tcW w:w="1158"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83"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15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28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left"/>
              <w:rPr/>
            </w:pPr>
            <w:r>
              <w:rPr/>
              <w:t>​</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left"/>
              <w:rPr/>
            </w:pPr>
            <w:r>
              <w:rPr/>
              <w:t>​</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113,326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71,286</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Marketable securities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534,575</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639,355</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60,047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42,827</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30,940</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21,223</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37,714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33,702</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776,602</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808,393</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Marketable securities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87,703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56,530</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41,947</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41,959</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 net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71,222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73,691</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10,634</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10,238</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Equity investment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27,789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27,789</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22,578</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30,650</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1,038,475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1,049,250</w:t>
            </w:r>
          </w:p>
        </w:tc>
      </w:tr>
      <w:tr>
        <w:trPr/>
        <w:tc>
          <w:tcPr>
            <w:tcW w:w="7283"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left"/>
              <w:rPr/>
            </w:pPr>
            <w:r>
              <w:rPr/>
              <w:t>​</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left"/>
              <w:rPr/>
            </w:pPr>
            <w:r>
              <w:rPr/>
              <w:t>​</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4,926</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4,710</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107,277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127,992</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portion of operating lease liabilities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12,240</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11,933</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portion of deferred revenue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7,251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812</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portion of liabilities related to the sale of future royalties and revenues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44,729</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39,198</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portion of term loan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30,180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30,278</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206,603</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214,923</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 net of current portion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78,489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81,751</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Deferred revenue, net of current portion</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4,635</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4,792</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Liabilities related to the sale of future royalties and revenues, net of current portion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223,090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402,427</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Term loan, net of current portion</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209,205</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208,535</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5,766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6,213</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727,788</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918,641</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16)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left"/>
              <w:rPr/>
            </w:pPr>
            <w:r>
              <w:rPr/>
              <w:t>​</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962" w:type="dxa"/>
            <w:tcBorders/>
            <w:vAlign w:val="center"/>
          </w:tcPr>
          <w:p>
            <w:pPr>
              <w:pStyle w:val="TableContents"/>
              <w:bidi w:val="0"/>
              <w:spacing w:lineRule="auto" w:line="285" w:before="0" w:after="0"/>
              <w:ind w:left="0" w:right="0" w:hanging="0"/>
              <w:jc w:val="left"/>
              <w:rPr/>
            </w:pPr>
            <w:r>
              <w:rPr/>
              <w:t>​</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Preferred stock, $0.001 par value; 5,000,000 shares authorized; no shares issued and outstanding</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962" w:type="dxa"/>
            <w:tcBorders/>
            <w:shd w:fill="CCEEFF" w:val="cle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Common stock, $0.001 par value; 120,000,000 shares authorized; 62,594,247 and 61,147,236 shares issued and outstanding at March 31, 2024 and December 31, 2023, respectively</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 </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61</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2,565,277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 </w:t>
            </w:r>
          </w:p>
        </w:tc>
        <w:tc>
          <w:tcPr>
            <w:tcW w:w="9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2,473,985</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(3,847)</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96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(3,495)</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(2,250,806)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(2,339,942)</w:t>
            </w:r>
          </w:p>
        </w:tc>
      </w:tr>
      <w:tr>
        <w:trPr/>
        <w:tc>
          <w:tcPr>
            <w:tcW w:w="728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310,687</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130,609</w:t>
            </w:r>
          </w:p>
        </w:tc>
      </w:tr>
      <w:tr>
        <w:trPr/>
        <w:tc>
          <w:tcPr>
            <w:tcW w:w="728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1,038,475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1,049,250</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129" w:name="_b92bdf3e_b893_4d97_ac89_c7108ca17373"/>
      <w:bookmarkEnd w:id="129"/>
      <w:r>
        <w:rPr>
          <w:rFonts w:ascii="Times New Roman;Times;serif" w:hAnsi="Times New Roman;Times;serif"/>
          <w:b/>
          <w:sz w:val="20"/>
        </w:rPr>
        <w:t>Blueprint Medicines Corporation</w:t>
      </w:r>
    </w:p>
    <w:p>
      <w:pPr>
        <w:pStyle w:val="TextBody"/>
        <w:bidi w:val="0"/>
        <w:spacing w:lineRule="auto" w:line="285" w:before="0" w:after="0"/>
        <w:ind w:left="0" w:right="0" w:hanging="0"/>
        <w:jc w:val="center"/>
        <w:rPr>
          <w:rFonts w:ascii="Times New Roman;Times;serif" w:hAnsi="Times New Roman;Times;serif"/>
          <w:b/>
          <w:sz w:val="20"/>
        </w:rPr>
      </w:pPr>
      <w:bookmarkStart w:id="130" w:name="StatementsofOperations_108008"/>
      <w:bookmarkEnd w:id="130"/>
      <w:r>
        <w:rPr>
          <w:rFonts w:ascii="Times New Roman;Times;serif" w:hAnsi="Times New Roman;Times;serif"/>
          <w:b/>
          <w:sz w:val="20"/>
        </w:rPr>
        <w:t>Condensed Consolidated Statements of Operations and Comprehensive Income (Loss)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31" w:name="Tc_xdBlNuzir0ub9R6E3GfpoA_29_0"/>
      <w:bookmarkStart w:id="132" w:name="Tc_e9zjyxAI3kCtoJNF-MCyMg_28_0"/>
      <w:bookmarkStart w:id="133" w:name="Tc_fXkzXJUEok-qQ2EWmAoR3g_27_0"/>
      <w:bookmarkStart w:id="134" w:name="Tc_GJ-rmenXskyEpBDnxYFhow_26_5"/>
      <w:bookmarkStart w:id="135" w:name="Tc_Mx3KjLok-0CuONZV_PTpVA_26_2"/>
      <w:bookmarkStart w:id="136" w:name="Tc_Cvyuc5LI6UeY6FcvVl3UNw_26_0"/>
      <w:bookmarkStart w:id="137" w:name="Tc_aVrlTOGYgUyo2skHgOxOpw_25_5"/>
      <w:bookmarkStart w:id="138" w:name="Tc_3kEq79t12EKruVSq3ThXpw_25_2"/>
      <w:bookmarkStart w:id="139" w:name="Tc_IzmtWJY_PkS85_D8n4zHnA_25_0"/>
      <w:bookmarkStart w:id="140" w:name="Tc_fInN8sk2m0eydQaOaxRN2g_24_0"/>
      <w:bookmarkStart w:id="141" w:name="Tc_OXLxK8Ux-kC1UkasEvAEmA_23_0"/>
      <w:bookmarkStart w:id="142" w:name="Tc_H0likrXEz0WsesZcSan5QQ_22_0"/>
      <w:bookmarkStart w:id="143" w:name="Tc_X7UwUw-gJUGVS0OwDQe7Wg_21_5"/>
      <w:bookmarkStart w:id="144" w:name="Tc_9q0fkLgCC0WyEgf2J7aA1A_21_2"/>
      <w:bookmarkStart w:id="145" w:name="Tc_zwT5YaIGKkSOESEXvRiLKQ_21_0"/>
      <w:bookmarkStart w:id="146" w:name="Tc_gulKMM1-gE-W0p0wnkivtQ_20_0"/>
      <w:bookmarkStart w:id="147" w:name="Tc_SBh2rV9PRkmpd4HNgKLZ1Q_19_0"/>
      <w:bookmarkStart w:id="148" w:name="Tc_7BPnvtu7Nkm57gi6y_utbg_18_0"/>
      <w:bookmarkStart w:id="149" w:name="Tc_HGCem9YsFkmoEkC3p9hv5A_17_6"/>
      <w:bookmarkStart w:id="150" w:name="Tc_BorpUjsr8EuPtJqEatwg5g_17_0"/>
      <w:bookmarkStart w:id="151" w:name="Tc_szLUMH-SU0uslK2OKSXz2Q_16_0"/>
      <w:bookmarkStart w:id="152" w:name="Tc_EoElG8M2OEa_k0wYMVlkwg_15_0"/>
      <w:bookmarkStart w:id="153" w:name="Tc_cJZkatMjzUCILSDv_2Vudg_14_0"/>
      <w:bookmarkStart w:id="154" w:name="Tc_K_uovvldJkyeeRB2rJp7bg_13_0"/>
      <w:bookmarkStart w:id="155" w:name="Tc_a1FQIevhG0250H1yAikWAQ_12_0"/>
      <w:bookmarkStart w:id="156" w:name="Tc_OEVuNB8L1kyiZ6eOcaNWjQ_11_0"/>
      <w:bookmarkStart w:id="157" w:name="Tc_JT8dogzX3ECeOm5vgd10yQ_10_3"/>
      <w:bookmarkStart w:id="158" w:name="Tc_Geuy1-s3hEWEemQiJmKDQQ_10_0"/>
      <w:bookmarkStart w:id="159" w:name="Tc_gvlPwZRbd0SFGnzzDTHM0A_9_0"/>
      <w:bookmarkStart w:id="160" w:name="Tc_G4s0s0cJCE6zWjTDaoXUrw_8_0"/>
      <w:bookmarkStart w:id="161" w:name="Tc_ghSt3WKW5EGqjAA6Nig_Hw_7_0"/>
      <w:bookmarkStart w:id="162" w:name="Tc_2ySJVczrM06cIJlqSE2iNg_6_0"/>
      <w:bookmarkStart w:id="163" w:name="Tc_Ql_hwbWMBk2vXJrH4mkPJw_5_5"/>
      <w:bookmarkStart w:id="164" w:name="Tc_AgU_xyO4e0-oNahpcWotzg_5_2"/>
      <w:bookmarkStart w:id="165" w:name="Tc_Nv0gN7KPvUiXGXxQwiR-IQ_5_0"/>
      <w:bookmarkStart w:id="166" w:name="Tc__QuHEh9dpUCezXweQKumqw_4_0"/>
      <w:bookmarkStart w:id="167" w:name="Tc_9MZtwF7uME6cdzsPh1aDNw_3_5"/>
      <w:bookmarkStart w:id="168" w:name="Tc_5kYR50c_b02mCvoIQGuX5g_3_2"/>
      <w:bookmarkStart w:id="169" w:name="Tc_FAC4kycwfU2vpyeafUDdGw_2_2"/>
      <w:bookmarkStart w:id="170" w:name="Tc_77SwuOt_cUO57fv2_e_nWg_1_2"/>
      <w:bookmarkStart w:id="171" w:name="_942684c9_c40d_42ec_90fd_3c118e64d4ef"/>
      <w:bookmarkStart w:id="172" w:name="Tc_xdBlNuzir0ub9R6E3GfpoA_29_0"/>
      <w:bookmarkStart w:id="173" w:name="Tc_e9zjyxAI3kCtoJNF-MCyMg_28_0"/>
      <w:bookmarkStart w:id="174" w:name="Tc_fXkzXJUEok-qQ2EWmAoR3g_27_0"/>
      <w:bookmarkStart w:id="175" w:name="Tc_GJ-rmenXskyEpBDnxYFhow_26_5"/>
      <w:bookmarkStart w:id="176" w:name="Tc_Mx3KjLok-0CuONZV_PTpVA_26_2"/>
      <w:bookmarkStart w:id="177" w:name="Tc_Cvyuc5LI6UeY6FcvVl3UNw_26_0"/>
      <w:bookmarkStart w:id="178" w:name="Tc_aVrlTOGYgUyo2skHgOxOpw_25_5"/>
      <w:bookmarkStart w:id="179" w:name="Tc_3kEq79t12EKruVSq3ThXpw_25_2"/>
      <w:bookmarkStart w:id="180" w:name="Tc_IzmtWJY_PkS85_D8n4zHnA_25_0"/>
      <w:bookmarkStart w:id="181" w:name="Tc_fInN8sk2m0eydQaOaxRN2g_24_0"/>
      <w:bookmarkStart w:id="182" w:name="Tc_OXLxK8Ux-kC1UkasEvAEmA_23_0"/>
      <w:bookmarkStart w:id="183" w:name="Tc_H0likrXEz0WsesZcSan5QQ_22_0"/>
      <w:bookmarkStart w:id="184" w:name="Tc_X7UwUw-gJUGVS0OwDQe7Wg_21_5"/>
      <w:bookmarkStart w:id="185" w:name="Tc_9q0fkLgCC0WyEgf2J7aA1A_21_2"/>
      <w:bookmarkStart w:id="186" w:name="Tc_zwT5YaIGKkSOESEXvRiLKQ_21_0"/>
      <w:bookmarkStart w:id="187" w:name="Tc_gulKMM1-gE-W0p0wnkivtQ_20_0"/>
      <w:bookmarkStart w:id="188" w:name="Tc_SBh2rV9PRkmpd4HNgKLZ1Q_19_0"/>
      <w:bookmarkStart w:id="189" w:name="Tc_7BPnvtu7Nkm57gi6y_utbg_18_0"/>
      <w:bookmarkStart w:id="190" w:name="Tc_HGCem9YsFkmoEkC3p9hv5A_17_6"/>
      <w:bookmarkStart w:id="191" w:name="Tc_BorpUjsr8EuPtJqEatwg5g_17_0"/>
      <w:bookmarkStart w:id="192" w:name="Tc_szLUMH-SU0uslK2OKSXz2Q_16_0"/>
      <w:bookmarkStart w:id="193" w:name="Tc_EoElG8M2OEa_k0wYMVlkwg_15_0"/>
      <w:bookmarkStart w:id="194" w:name="Tc_cJZkatMjzUCILSDv_2Vudg_14_0"/>
      <w:bookmarkStart w:id="195" w:name="Tc_K_uovvldJkyeeRB2rJp7bg_13_0"/>
      <w:bookmarkStart w:id="196" w:name="Tc_a1FQIevhG0250H1yAikWAQ_12_0"/>
      <w:bookmarkStart w:id="197" w:name="Tc_OEVuNB8L1kyiZ6eOcaNWjQ_11_0"/>
      <w:bookmarkStart w:id="198" w:name="Tc_JT8dogzX3ECeOm5vgd10yQ_10_3"/>
      <w:bookmarkStart w:id="199" w:name="Tc_Geuy1-s3hEWEemQiJmKDQQ_10_0"/>
      <w:bookmarkStart w:id="200" w:name="Tc_gvlPwZRbd0SFGnzzDTHM0A_9_0"/>
      <w:bookmarkStart w:id="201" w:name="Tc_G4s0s0cJCE6zWjTDaoXUrw_8_0"/>
      <w:bookmarkStart w:id="202" w:name="Tc_ghSt3WKW5EGqjAA6Nig_Hw_7_0"/>
      <w:bookmarkStart w:id="203" w:name="Tc_2ySJVczrM06cIJlqSE2iNg_6_0"/>
      <w:bookmarkStart w:id="204" w:name="Tc_Ql_hwbWMBk2vXJrH4mkPJw_5_5"/>
      <w:bookmarkStart w:id="205" w:name="Tc_AgU_xyO4e0-oNahpcWotzg_5_2"/>
      <w:bookmarkStart w:id="206" w:name="Tc_Nv0gN7KPvUiXGXxQwiR-IQ_5_0"/>
      <w:bookmarkStart w:id="207" w:name="Tc__QuHEh9dpUCezXweQKumqw_4_0"/>
      <w:bookmarkStart w:id="208" w:name="Tc_9MZtwF7uME6cdzsPh1aDNw_3_5"/>
      <w:bookmarkStart w:id="209" w:name="Tc_5kYR50c_b02mCvoIQGuX5g_3_2"/>
      <w:bookmarkStart w:id="210" w:name="Tc_FAC4kycwfU2vpyeafUDdGw_2_2"/>
      <w:bookmarkStart w:id="211" w:name="Tc_77SwuOt_cUO57fv2_e_nWg_1_2"/>
      <w:bookmarkStart w:id="212" w:name="_942684c9_c40d_42ec_90fd_3c118e64d4ef"/>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tbl>
      <w:tblPr>
        <w:tblW w:w="9905" w:type="dxa"/>
        <w:jc w:val="left"/>
        <w:tblInd w:w="0" w:type="dxa"/>
        <w:tblLayout w:type="fixed"/>
        <w:tblCellMar>
          <w:top w:w="0" w:type="dxa"/>
          <w:left w:w="0" w:type="dxa"/>
          <w:bottom w:w="0" w:type="dxa"/>
          <w:right w:w="0" w:type="dxa"/>
        </w:tblCellMar>
      </w:tblPr>
      <w:tblGrid>
        <w:gridCol w:w="7321"/>
        <w:gridCol w:w="109"/>
        <w:gridCol w:w="211"/>
        <w:gridCol w:w="781"/>
        <w:gridCol w:w="326"/>
        <w:gridCol w:w="211"/>
        <w:gridCol w:w="946"/>
      </w:tblGrid>
      <w:tr>
        <w:trPr/>
        <w:tc>
          <w:tcPr>
            <w:tcW w:w="7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648835" cy="175260"/>
                      <wp:effectExtent l="0" t="0" r="0" b="0"/>
                      <wp:wrapNone/>
                      <wp:docPr id="8" name="Frame8"/>
                      <a:graphic xmlns:a="http://schemas.openxmlformats.org/drawingml/2006/main">
                        <a:graphicData uri="http://schemas.microsoft.com/office/word/2010/wordprocessingShape">
                          <wps:wsp>
                            <wps:cNvSpPr txBox="1"/>
                            <wps:spPr>
                              <a:xfrm>
                                <a:off x="0" y="0"/>
                                <a:ext cx="4648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95935" cy="175260"/>
                      <wp:effectExtent l="0" t="0" r="0" b="0"/>
                      <wp:wrapNone/>
                      <wp:docPr id="11" name="Frame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00710" cy="175260"/>
                      <wp:effectExtent l="0" t="0" r="0" b="0"/>
                      <wp:wrapNone/>
                      <wp:docPr id="14" name="Frame1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3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7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3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7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3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781" w:type="dxa"/>
            <w:tcBorders/>
            <w:shd w:fill="CCEEFF" w:val="clear"/>
            <w:vAlign w:val="center"/>
          </w:tcPr>
          <w:p>
            <w:pPr>
              <w:pStyle w:val="TableContents"/>
              <w:bidi w:val="0"/>
              <w:spacing w:lineRule="auto" w:line="285" w:before="0" w:after="0"/>
              <w:ind w:left="0" w:right="0" w:hanging="0"/>
              <w:jc w:val="center"/>
              <w:rPr/>
            </w:pPr>
            <w:r>
              <w:rPr/>
              <w:t>​</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946" w:type="dxa"/>
            <w:tcBorders/>
            <w:shd w:fill="CCEEFF" w:val="clear"/>
            <w:vAlign w:val="center"/>
          </w:tcPr>
          <w:p>
            <w:pPr>
              <w:pStyle w:val="TableContents"/>
              <w:bidi w:val="0"/>
              <w:spacing w:lineRule="auto" w:line="285" w:before="0" w:after="0"/>
              <w:ind w:left="0" w:right="0" w:hanging="0"/>
              <w:jc w:val="center"/>
              <w:rPr/>
            </w:pPr>
            <w:r>
              <w:rPr/>
              <w:t>​</w:t>
            </w:r>
          </w:p>
        </w:tc>
      </w:tr>
      <w:tr>
        <w:trPr/>
        <w:tc>
          <w:tcPr>
            <w:tcW w:w="73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92,525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39,069</w:t>
            </w:r>
          </w:p>
        </w:tc>
      </w:tr>
      <w:tr>
        <w:trPr/>
        <w:tc>
          <w:tcPr>
            <w:tcW w:w="7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and license 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3,591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24,218</w:t>
            </w:r>
          </w:p>
        </w:tc>
      </w:tr>
      <w:tr>
        <w:trPr/>
        <w:tc>
          <w:tcPr>
            <w:tcW w:w="73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96,116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63,287</w:t>
            </w:r>
          </w:p>
        </w:tc>
      </w:tr>
      <w:tr>
        <w:trPr/>
        <w:tc>
          <w:tcPr>
            <w:tcW w:w="7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and operating expenses: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left"/>
              <w:rPr/>
            </w:pPr>
            <w:r>
              <w:rPr/>
              <w:t>​</w:t>
            </w:r>
          </w:p>
        </w:tc>
      </w:tr>
      <w:tr>
        <w:trPr/>
        <w:tc>
          <w:tcPr>
            <w:tcW w:w="73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3,191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3,175</w:t>
            </w:r>
          </w:p>
        </w:tc>
      </w:tr>
      <w:tr>
        <w:trPr/>
        <w:tc>
          <w:tcPr>
            <w:tcW w:w="7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loss sharing</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1,296</w:t>
            </w:r>
          </w:p>
        </w:tc>
      </w:tr>
      <w:tr>
        <w:trPr/>
        <w:tc>
          <w:tcPr>
            <w:tcW w:w="73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88,191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112,073</w:t>
            </w:r>
          </w:p>
        </w:tc>
      </w:tr>
      <w:tr>
        <w:trPr/>
        <w:tc>
          <w:tcPr>
            <w:tcW w:w="7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83,557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70,950</w:t>
            </w:r>
          </w:p>
        </w:tc>
      </w:tr>
      <w:tr>
        <w:trPr/>
        <w:tc>
          <w:tcPr>
            <w:tcW w:w="73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and operating expenses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174,939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187,494</w:t>
            </w:r>
          </w:p>
        </w:tc>
      </w:tr>
      <w:tr>
        <w:trPr/>
        <w:tc>
          <w:tcPr>
            <w:tcW w:w="7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left"/>
              <w:rPr/>
            </w:pPr>
            <w:r>
              <w:rPr/>
              <w:t>​</w:t>
            </w:r>
          </w:p>
        </w:tc>
      </w:tr>
      <w:tr>
        <w:trPr/>
        <w:tc>
          <w:tcPr>
            <w:tcW w:w="73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(5,895)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(5,819)</w:t>
            </w:r>
          </w:p>
        </w:tc>
      </w:tr>
      <w:tr>
        <w:trPr/>
        <w:tc>
          <w:tcPr>
            <w:tcW w:w="7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986</w:t>
            </w:r>
          </w:p>
        </w:tc>
      </w:tr>
      <w:tr>
        <w:trPr/>
        <w:tc>
          <w:tcPr>
            <w:tcW w:w="73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Debt extinguishment gain</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173,658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7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168,139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(4,833)</w:t>
            </w:r>
          </w:p>
        </w:tc>
      </w:tr>
      <w:tr>
        <w:trPr/>
        <w:tc>
          <w:tcPr>
            <w:tcW w:w="73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89,316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(129,040)</w:t>
            </w:r>
          </w:p>
        </w:tc>
      </w:tr>
      <w:tr>
        <w:trPr/>
        <w:tc>
          <w:tcPr>
            <w:tcW w:w="7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520</w:t>
            </w:r>
          </w:p>
        </w:tc>
      </w:tr>
      <w:tr>
        <w:trPr/>
        <w:tc>
          <w:tcPr>
            <w:tcW w:w="73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89,136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(129,560)</w:t>
            </w:r>
          </w:p>
        </w:tc>
      </w:tr>
      <w:tr>
        <w:trPr/>
        <w:tc>
          <w:tcPr>
            <w:tcW w:w="7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73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available-for-sale investments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5,819</w:t>
            </w:r>
          </w:p>
        </w:tc>
      </w:tr>
      <w:tr>
        <w:trPr/>
        <w:tc>
          <w:tcPr>
            <w:tcW w:w="7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Currency translation adjustments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3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88,784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(123,719)</w:t>
            </w:r>
          </w:p>
        </w:tc>
      </w:tr>
      <w:tr>
        <w:trPr/>
        <w:tc>
          <w:tcPr>
            <w:tcW w:w="7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 basic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73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per share - diluted </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7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common shares used in net income (loss) per share - basic</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61,580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60,126</w:t>
            </w:r>
          </w:p>
        </w:tc>
      </w:tr>
      <w:tr>
        <w:trPr/>
        <w:tc>
          <w:tcPr>
            <w:tcW w:w="73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common shares used in net income (loss) per share - diluted</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63,802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60,126</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bookmarkStart w:id="213" w:name="_89d834ad_a01b_4c86_b28f_c7cbaa48c315"/>
      <w:bookmarkEnd w:id="213"/>
      <w:r>
        <w:rPr>
          <w:rFonts w:ascii="Times New Roman;Times;serif" w:hAnsi="Times New Roman;Times;serif"/>
          <w:b/>
          <w:sz w:val="20"/>
        </w:rPr>
        <w:t xml:space="preserve">Blueprint Medicines Corporation </w:t>
      </w:r>
    </w:p>
    <w:p>
      <w:pPr>
        <w:pStyle w:val="TextBody"/>
        <w:bidi w:val="0"/>
        <w:spacing w:lineRule="auto" w:line="285" w:before="0" w:after="0"/>
        <w:ind w:left="0" w:right="0" w:hanging="0"/>
        <w:jc w:val="center"/>
        <w:rPr>
          <w:rFonts w:ascii="Times New Roman;Times;serif" w:hAnsi="Times New Roman;Times;serif"/>
          <w:b/>
          <w:sz w:val="20"/>
        </w:rPr>
      </w:pPr>
      <w:bookmarkStart w:id="214" w:name="StockholdersEquity_235408"/>
      <w:bookmarkEnd w:id="214"/>
      <w:r>
        <w:rPr>
          <w:rFonts w:ascii="Times New Roman;Times;serif" w:hAnsi="Times New Roman;Times;serif"/>
          <w:b/>
          <w:sz w:val="20"/>
        </w:rPr>
        <w:t>Condensed Consolidated Statements of Stockholders’ Equity</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i/>
          <w:sz w:val="20"/>
        </w:rPr>
        <w:t>(Unaudited)</w:t>
      </w:r>
      <w:r>
        <w:rPr>
          <w:rFonts w:ascii="Times New Roman;Times;serif" w:hAnsi="Times New Roman;Times;serif"/>
          <w:sz w:val="20"/>
        </w:rPr>
        <w:t xml:space="preserve"> </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215" w:name="Tc_tnevXwjz70K1ByTvFtnQEw_19_16"/>
      <w:bookmarkStart w:id="216" w:name="Tc_SvFqLzx0CEu9dkEmXqT9qQ_19_13"/>
      <w:bookmarkStart w:id="217" w:name="Tc_SZkhtL7Jr0yLjzTqkn9Fcw_19_10"/>
      <w:bookmarkStart w:id="218" w:name="Tc_3Hy2gsy5rkmAQJ955r6Lmg_19_7"/>
      <w:bookmarkStart w:id="219" w:name="Tc_0gSeV-HxsUO6q4z8RQqCYg_19_4"/>
      <w:bookmarkStart w:id="220" w:name="Tc_o1QAlasWikODtjbD_lYuLA_19_0"/>
      <w:bookmarkStart w:id="221" w:name="Tc_mOHGl0UE8kKtppGzzh8JKA_18_11"/>
      <w:bookmarkStart w:id="222" w:name="Tc_rau5iaR1DEiNtjXQdteK-Q_18_8"/>
      <w:bookmarkStart w:id="223" w:name="Tc_rjH373IyMU-uOQ5_In8FYw_18_5"/>
      <w:bookmarkStart w:id="224" w:name="Tc_QoZhCmcuJUyzM45EWLkQcQ_18_2"/>
      <w:bookmarkStart w:id="225" w:name="Tc_PrLdz_2yUk6xxCp4l44AZg_18_0"/>
      <w:bookmarkStart w:id="226" w:name="Tc_dZLWV_I1-E6_MeObcMz_6A_17_14"/>
      <w:bookmarkStart w:id="227" w:name="Tc_Z7bD1M5KdUynq05DApleDg_17_8"/>
      <w:bookmarkStart w:id="228" w:name="Tc_jh9yI6nH5EewNHAszbww7w_17_5"/>
      <w:bookmarkStart w:id="229" w:name="Tc_giybZnhlhE2yWNcNcSMlsw_17_2"/>
      <w:bookmarkStart w:id="230" w:name="Tc_frtMeCTXp0SXt9aq4r8Erg_17_0"/>
      <w:bookmarkStart w:id="231" w:name="Tc_USlQeSqjs0GympHr7JLLHg_16_14"/>
      <w:bookmarkStart w:id="232" w:name="Tc_0gmsyI8CVEC7mAHNAyEOjw_16_11"/>
      <w:bookmarkStart w:id="233" w:name="Tc_HnqVFl07pE2-fAsELQGeCA_16_5"/>
      <w:bookmarkStart w:id="234" w:name="Tc_lTY0zh7m30-MQOCfokdBZA_16_2"/>
      <w:bookmarkStart w:id="235" w:name="Tc_SsaPr5NILUaOnn330oNIbQ_16_0"/>
      <w:bookmarkStart w:id="236" w:name="Tc_xXrpiEhlokWZBpwvdNP31w_15_17"/>
      <w:bookmarkStart w:id="237" w:name="Tc_CvNVDidCtk-1vkP2jsLJgA_15_14"/>
      <w:bookmarkStart w:id="238" w:name="Tc_Q_pZ_5k4LUKykdcNPlP2yw_15_11"/>
      <w:bookmarkStart w:id="239" w:name="Tc_NYB7ywJTY0yDQfbKwtQfkA_15_8"/>
      <w:bookmarkStart w:id="240" w:name="Tc_5_LY1yy4r0i_ePFrfvgwrg_15_5"/>
      <w:bookmarkStart w:id="241" w:name="Tc_0TsTv9ShqEWIfTT8zZWEIQ_15_0"/>
      <w:bookmarkStart w:id="242" w:name="Tc_Lv8MZylUQ0mKPdhqc7COHg_14_16"/>
      <w:bookmarkStart w:id="243" w:name="Tc_UsLsj25EwkKx2jPEoFmmwg_14_13"/>
      <w:bookmarkStart w:id="244" w:name="Tc_1fABH6I5gEmiV8tbdzq7ow_14_10"/>
      <w:bookmarkStart w:id="245" w:name="Tc_tn7_eHLPX02tMr61-Rbwug_14_7"/>
      <w:bookmarkStart w:id="246" w:name="Tc_WcoIcffVoUe_f6VoBX2X_A_14_4"/>
      <w:bookmarkStart w:id="247" w:name="Tc_sev4EbopeUGYqhsB8kWaKg_14_0"/>
      <w:bookmarkStart w:id="248" w:name="Tc_UTCi8D0f00Ofq_WoNPAW0w_12_16"/>
      <w:bookmarkStart w:id="249" w:name="Tc_7hoDhknCrEqh5TOOlcv4SA_12_13"/>
      <w:bookmarkStart w:id="250" w:name="Tc_qdWzpCNrjkWD3hsMDE3gTg_12_10"/>
      <w:bookmarkStart w:id="251" w:name="Tc__lCIyLngxkamZn0_lNVvOg_12_7"/>
      <w:bookmarkStart w:id="252" w:name="Tc_bdbmSQyESku07gRbB9wzcg_12_4"/>
      <w:bookmarkStart w:id="253" w:name="Tc_hfeFxPYIbUGiV4Rbe1RdGg_12_0"/>
      <w:bookmarkStart w:id="254" w:name="Tc_XVy-4ZKKak-iW6trdcRKUA_11_11"/>
      <w:bookmarkStart w:id="255" w:name="Tc_f5Z2UiDmsU6gJGejJC1yIQ_11_8"/>
      <w:bookmarkStart w:id="256" w:name="Tc_WpsZbHo2RUmxaEaEo5f_Xg_11_5"/>
      <w:bookmarkStart w:id="257" w:name="Tc_st_F_Z1nMEWydQROPdfFOw_11_2"/>
      <w:bookmarkStart w:id="258" w:name="Tc_tdcSCvf3y0qb3_BthJMoPA_11_0"/>
      <w:bookmarkStart w:id="259" w:name="Tc_FyjTqeqmtU6n7ddiAY-nrA_10_8"/>
      <w:bookmarkStart w:id="260" w:name="Tc_FMCfQw59SkiaTUGmTx8_bg_10_5"/>
      <w:bookmarkStart w:id="261" w:name="Tc_cwsdhOHt5U-J2vg9UiBjxA_10_2"/>
      <w:bookmarkStart w:id="262" w:name="Tc_O416xEIG-U2S5EWE-oug7Q_10_0"/>
      <w:bookmarkStart w:id="263" w:name="Tc_KG294GqvyEiPG4s7qyfjaw_9_0"/>
      <w:bookmarkStart w:id="264" w:name="Tc_23-EUBfj40GHdmEN-eKehA_8_14"/>
      <w:bookmarkStart w:id="265" w:name="Tc_w3h6h_rFp0GG2T3ryf7k2Q_8_11"/>
      <w:bookmarkStart w:id="266" w:name="Tc_eufKB01zcUizT9mtFDJdhA_8_5"/>
      <w:bookmarkStart w:id="267" w:name="Tc_BPz3XiCaMUKtBnS-H2gHHg_8_2"/>
      <w:bookmarkStart w:id="268" w:name="Tc__diDx--wOki5cB95gjGdWA_8_0"/>
      <w:bookmarkStart w:id="269" w:name="Tc_vuK7igH34k2LwqxTq51kXA_7_14"/>
      <w:bookmarkStart w:id="270" w:name="Tc_6QMz_rZ5FEG45F3Sd3dNUw_7_11"/>
      <w:bookmarkStart w:id="271" w:name="Tc_6HMzX1CktEORyJQKSxrOuQ_7_0"/>
      <w:bookmarkStart w:id="272" w:name="Tc_BG-l3q9UIkGXt_MTdWAhGQ_6_16"/>
      <w:bookmarkStart w:id="273" w:name="Tc_VJeJyagnoE6WWt9Ge1SVAQ_6_13"/>
      <w:bookmarkStart w:id="274" w:name="Tc_xJDpcGAaxU2G0ob78xQoUw_6_10"/>
      <w:bookmarkStart w:id="275" w:name="Tc_jw7hH0n_xkK7KOxi3CHnYQ_6_7"/>
      <w:bookmarkStart w:id="276" w:name="Tc_IXr69nWw6ky-aHqsjzNzvw_6_4"/>
      <w:bookmarkStart w:id="277" w:name="Tc_nOuth-AZ50mGMjgZg6-Lvw_6_0"/>
      <w:bookmarkStart w:id="278" w:name="Tc_3J2a7MOZN0ObEH0cIESx9g_4_16"/>
      <w:bookmarkStart w:id="279" w:name="Tc_QNX18uS4B0CfIq0V-wCxrw_4_13"/>
      <w:bookmarkStart w:id="280" w:name="Tc_s4iSrShwXUyIElEcs7ipvQ_4_10"/>
      <w:bookmarkStart w:id="281" w:name="Tc_YoaGeSYYaEe9rXXMnDYWRA_4_7"/>
      <w:bookmarkStart w:id="282" w:name="Tc_jBxVpGSlIU6eIMWncaTvhg_4_4"/>
      <w:bookmarkStart w:id="283" w:name="Tc_ngRsKuNWXUCAGEG0hncc_g_4_2"/>
      <w:bookmarkStart w:id="284" w:name="Tc_DE8xp85I0EWXFEhlFwZQxQ_3_16"/>
      <w:bookmarkStart w:id="285" w:name="Tc_4_wPUpf-mUSkB-MqQdaE4g_3_13"/>
      <w:bookmarkStart w:id="286" w:name="Tc_p6SjJvjFx0CtyHvbtQ92gw_3_9"/>
      <w:bookmarkStart w:id="287" w:name="Tc_csEKG5jhjke_C1MH5LGdfg_3_7"/>
      <w:bookmarkStart w:id="288" w:name="Tc_vFS4MsMwN0GV1U82Y8Soaw_3_2"/>
      <w:bookmarkStart w:id="289" w:name="Tc_Qf3Y2SlW6EC5pr7HffCoYA_2_10"/>
      <w:bookmarkStart w:id="290" w:name="Tc_MWpXYb5JukWgvZRJaz3M6g_2_7"/>
      <w:bookmarkStart w:id="291" w:name="Tc_a7cw4Y7uN0iQY8AhD5uVpg_1_10"/>
      <w:bookmarkStart w:id="292" w:name="_798c5f16_306d_4a9a_830e_ca30b7c61596"/>
      <w:bookmarkStart w:id="293" w:name="Tc_tnevXwjz70K1ByTvFtnQEw_19_16"/>
      <w:bookmarkStart w:id="294" w:name="Tc_SvFqLzx0CEu9dkEmXqT9qQ_19_13"/>
      <w:bookmarkStart w:id="295" w:name="Tc_SZkhtL7Jr0yLjzTqkn9Fcw_19_10"/>
      <w:bookmarkStart w:id="296" w:name="Tc_3Hy2gsy5rkmAQJ955r6Lmg_19_7"/>
      <w:bookmarkStart w:id="297" w:name="Tc_0gSeV-HxsUO6q4z8RQqCYg_19_4"/>
      <w:bookmarkStart w:id="298" w:name="Tc_o1QAlasWikODtjbD_lYuLA_19_0"/>
      <w:bookmarkStart w:id="299" w:name="Tc_mOHGl0UE8kKtppGzzh8JKA_18_11"/>
      <w:bookmarkStart w:id="300" w:name="Tc_rau5iaR1DEiNtjXQdteK-Q_18_8"/>
      <w:bookmarkStart w:id="301" w:name="Tc_rjH373IyMU-uOQ5_In8FYw_18_5"/>
      <w:bookmarkStart w:id="302" w:name="Tc_QoZhCmcuJUyzM45EWLkQcQ_18_2"/>
      <w:bookmarkStart w:id="303" w:name="Tc_PrLdz_2yUk6xxCp4l44AZg_18_0"/>
      <w:bookmarkStart w:id="304" w:name="Tc_dZLWV_I1-E6_MeObcMz_6A_17_14"/>
      <w:bookmarkStart w:id="305" w:name="Tc_Z7bD1M5KdUynq05DApleDg_17_8"/>
      <w:bookmarkStart w:id="306" w:name="Tc_jh9yI6nH5EewNHAszbww7w_17_5"/>
      <w:bookmarkStart w:id="307" w:name="Tc_giybZnhlhE2yWNcNcSMlsw_17_2"/>
      <w:bookmarkStart w:id="308" w:name="Tc_frtMeCTXp0SXt9aq4r8Erg_17_0"/>
      <w:bookmarkStart w:id="309" w:name="Tc_USlQeSqjs0GympHr7JLLHg_16_14"/>
      <w:bookmarkStart w:id="310" w:name="Tc_0gmsyI8CVEC7mAHNAyEOjw_16_11"/>
      <w:bookmarkStart w:id="311" w:name="Tc_HnqVFl07pE2-fAsELQGeCA_16_5"/>
      <w:bookmarkStart w:id="312" w:name="Tc_lTY0zh7m30-MQOCfokdBZA_16_2"/>
      <w:bookmarkStart w:id="313" w:name="Tc_SsaPr5NILUaOnn330oNIbQ_16_0"/>
      <w:bookmarkStart w:id="314" w:name="Tc_xXrpiEhlokWZBpwvdNP31w_15_17"/>
      <w:bookmarkStart w:id="315" w:name="Tc_CvNVDidCtk-1vkP2jsLJgA_15_14"/>
      <w:bookmarkStart w:id="316" w:name="Tc_Q_pZ_5k4LUKykdcNPlP2yw_15_11"/>
      <w:bookmarkStart w:id="317" w:name="Tc_NYB7ywJTY0yDQfbKwtQfkA_15_8"/>
      <w:bookmarkStart w:id="318" w:name="Tc_5_LY1yy4r0i_ePFrfvgwrg_15_5"/>
      <w:bookmarkStart w:id="319" w:name="Tc_0TsTv9ShqEWIfTT8zZWEIQ_15_0"/>
      <w:bookmarkStart w:id="320" w:name="Tc_Lv8MZylUQ0mKPdhqc7COHg_14_16"/>
      <w:bookmarkStart w:id="321" w:name="Tc_UsLsj25EwkKx2jPEoFmmwg_14_13"/>
      <w:bookmarkStart w:id="322" w:name="Tc_1fABH6I5gEmiV8tbdzq7ow_14_10"/>
      <w:bookmarkStart w:id="323" w:name="Tc_tn7_eHLPX02tMr61-Rbwug_14_7"/>
      <w:bookmarkStart w:id="324" w:name="Tc_WcoIcffVoUe_f6VoBX2X_A_14_4"/>
      <w:bookmarkStart w:id="325" w:name="Tc_sev4EbopeUGYqhsB8kWaKg_14_0"/>
      <w:bookmarkStart w:id="326" w:name="Tc_UTCi8D0f00Ofq_WoNPAW0w_12_16"/>
      <w:bookmarkStart w:id="327" w:name="Tc_7hoDhknCrEqh5TOOlcv4SA_12_13"/>
      <w:bookmarkStart w:id="328" w:name="Tc_qdWzpCNrjkWD3hsMDE3gTg_12_10"/>
      <w:bookmarkStart w:id="329" w:name="Tc__lCIyLngxkamZn0_lNVvOg_12_7"/>
      <w:bookmarkStart w:id="330" w:name="Tc_bdbmSQyESku07gRbB9wzcg_12_4"/>
      <w:bookmarkStart w:id="331" w:name="Tc_hfeFxPYIbUGiV4Rbe1RdGg_12_0"/>
      <w:bookmarkStart w:id="332" w:name="Tc_XVy-4ZKKak-iW6trdcRKUA_11_11"/>
      <w:bookmarkStart w:id="333" w:name="Tc_f5Z2UiDmsU6gJGejJC1yIQ_11_8"/>
      <w:bookmarkStart w:id="334" w:name="Tc_WpsZbHo2RUmxaEaEo5f_Xg_11_5"/>
      <w:bookmarkStart w:id="335" w:name="Tc_st_F_Z1nMEWydQROPdfFOw_11_2"/>
      <w:bookmarkStart w:id="336" w:name="Tc_tdcSCvf3y0qb3_BthJMoPA_11_0"/>
      <w:bookmarkStart w:id="337" w:name="Tc_FyjTqeqmtU6n7ddiAY-nrA_10_8"/>
      <w:bookmarkStart w:id="338" w:name="Tc_FMCfQw59SkiaTUGmTx8_bg_10_5"/>
      <w:bookmarkStart w:id="339" w:name="Tc_cwsdhOHt5U-J2vg9UiBjxA_10_2"/>
      <w:bookmarkStart w:id="340" w:name="Tc_O416xEIG-U2S5EWE-oug7Q_10_0"/>
      <w:bookmarkStart w:id="341" w:name="Tc_KG294GqvyEiPG4s7qyfjaw_9_0"/>
      <w:bookmarkStart w:id="342" w:name="Tc_23-EUBfj40GHdmEN-eKehA_8_14"/>
      <w:bookmarkStart w:id="343" w:name="Tc_w3h6h_rFp0GG2T3ryf7k2Q_8_11"/>
      <w:bookmarkStart w:id="344" w:name="Tc_eufKB01zcUizT9mtFDJdhA_8_5"/>
      <w:bookmarkStart w:id="345" w:name="Tc_BPz3XiCaMUKtBnS-H2gHHg_8_2"/>
      <w:bookmarkStart w:id="346" w:name="Tc__diDx--wOki5cB95gjGdWA_8_0"/>
      <w:bookmarkStart w:id="347" w:name="Tc_vuK7igH34k2LwqxTq51kXA_7_14"/>
      <w:bookmarkStart w:id="348" w:name="Tc_6QMz_rZ5FEG45F3Sd3dNUw_7_11"/>
      <w:bookmarkStart w:id="349" w:name="Tc_6HMzX1CktEORyJQKSxrOuQ_7_0"/>
      <w:bookmarkStart w:id="350" w:name="Tc_BG-l3q9UIkGXt_MTdWAhGQ_6_16"/>
      <w:bookmarkStart w:id="351" w:name="Tc_VJeJyagnoE6WWt9Ge1SVAQ_6_13"/>
      <w:bookmarkStart w:id="352" w:name="Tc_xJDpcGAaxU2G0ob78xQoUw_6_10"/>
      <w:bookmarkStart w:id="353" w:name="Tc_jw7hH0n_xkK7KOxi3CHnYQ_6_7"/>
      <w:bookmarkStart w:id="354" w:name="Tc_IXr69nWw6ky-aHqsjzNzvw_6_4"/>
      <w:bookmarkStart w:id="355" w:name="Tc_nOuth-AZ50mGMjgZg6-Lvw_6_0"/>
      <w:bookmarkStart w:id="356" w:name="Tc_3J2a7MOZN0ObEH0cIESx9g_4_16"/>
      <w:bookmarkStart w:id="357" w:name="Tc_QNX18uS4B0CfIq0V-wCxrw_4_13"/>
      <w:bookmarkStart w:id="358" w:name="Tc_s4iSrShwXUyIElEcs7ipvQ_4_10"/>
      <w:bookmarkStart w:id="359" w:name="Tc_YoaGeSYYaEe9rXXMnDYWRA_4_7"/>
      <w:bookmarkStart w:id="360" w:name="Tc_jBxVpGSlIU6eIMWncaTvhg_4_4"/>
      <w:bookmarkStart w:id="361" w:name="Tc_ngRsKuNWXUCAGEG0hncc_g_4_2"/>
      <w:bookmarkStart w:id="362" w:name="Tc_DE8xp85I0EWXFEhlFwZQxQ_3_16"/>
      <w:bookmarkStart w:id="363" w:name="Tc_4_wPUpf-mUSkB-MqQdaE4g_3_13"/>
      <w:bookmarkStart w:id="364" w:name="Tc_p6SjJvjFx0CtyHvbtQ92gw_3_9"/>
      <w:bookmarkStart w:id="365" w:name="Tc_csEKG5jhjke_C1MH5LGdfg_3_7"/>
      <w:bookmarkStart w:id="366" w:name="Tc_vFS4MsMwN0GV1U82Y8Soaw_3_2"/>
      <w:bookmarkStart w:id="367" w:name="Tc_Qf3Y2SlW6EC5pr7HffCoYA_2_10"/>
      <w:bookmarkStart w:id="368" w:name="Tc_MWpXYb5JukWgvZRJaz3M6g_2_7"/>
      <w:bookmarkStart w:id="369" w:name="Tc_a7cw4Y7uN0iQY8AhD5uVpg_1_10"/>
      <w:bookmarkStart w:id="370" w:name="_798c5f16_306d_4a9a_830e_ca30b7c61596"/>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tbl>
      <w:tblPr>
        <w:tblW w:w="9475" w:type="dxa"/>
        <w:jc w:val="left"/>
        <w:tblInd w:w="0" w:type="dxa"/>
        <w:tblLayout w:type="fixed"/>
        <w:tblCellMar>
          <w:top w:w="0" w:type="dxa"/>
          <w:left w:w="0" w:type="dxa"/>
          <w:bottom w:w="0" w:type="dxa"/>
          <w:right w:w="0" w:type="dxa"/>
        </w:tblCellMar>
      </w:tblPr>
      <w:tblGrid>
        <w:gridCol w:w="2716"/>
        <w:gridCol w:w="326"/>
        <w:gridCol w:w="766"/>
        <w:gridCol w:w="326"/>
        <w:gridCol w:w="196"/>
        <w:gridCol w:w="375"/>
        <w:gridCol w:w="326"/>
        <w:gridCol w:w="181"/>
        <w:gridCol w:w="691"/>
        <w:gridCol w:w="326"/>
        <w:gridCol w:w="213"/>
        <w:gridCol w:w="658"/>
        <w:gridCol w:w="146"/>
        <w:gridCol w:w="181"/>
        <w:gridCol w:w="781"/>
        <w:gridCol w:w="146"/>
        <w:gridCol w:w="207"/>
        <w:gridCol w:w="723"/>
        <w:gridCol w:w="191"/>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724660" cy="175260"/>
                      <wp:effectExtent l="0" t="0" r="0" b="0"/>
                      <wp:wrapNone/>
                      <wp:docPr id="15" name="Frame15"/>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86410" cy="175260"/>
                      <wp:effectExtent l="0" t="0" r="0" b="0"/>
                      <wp:wrapNone/>
                      <wp:docPr id="17" name="Frame1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4460" cy="175260"/>
                      <wp:effectExtent l="0" t="0" r="0" b="0"/>
                      <wp:wrapNone/>
                      <wp:docPr id="19" name="Frame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38125" cy="175260"/>
                      <wp:effectExtent l="0" t="0" r="0" b="0"/>
                      <wp:wrapNone/>
                      <wp:docPr id="20" name="Frame20"/>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14935" cy="175260"/>
                      <wp:effectExtent l="0" t="0" r="0" b="0"/>
                      <wp:wrapNone/>
                      <wp:docPr id="22" name="Frame2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38785" cy="175260"/>
                      <wp:effectExtent l="0" t="0" r="0" b="0"/>
                      <wp:wrapNone/>
                      <wp:docPr id="23" name="Frame2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5255" cy="175260"/>
                      <wp:effectExtent l="0" t="0" r="0" b="0"/>
                      <wp:wrapNone/>
                      <wp:docPr id="25" name="Frame2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17830" cy="175260"/>
                      <wp:effectExtent l="0" t="0" r="0" b="0"/>
                      <wp:wrapNone/>
                      <wp:docPr id="26" name="Frame26"/>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92710" cy="175260"/>
                      <wp:effectExtent l="0" t="0" r="0" b="0"/>
                      <wp:wrapNone/>
                      <wp:docPr id="27" name="Frame2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14935" cy="175260"/>
                      <wp:effectExtent l="0" t="0" r="0" b="0"/>
                      <wp:wrapNone/>
                      <wp:docPr id="28" name="Frame2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95935" cy="175260"/>
                      <wp:effectExtent l="0" t="0" r="0" b="0"/>
                      <wp:wrapNone/>
                      <wp:docPr id="29" name="Frame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92710" cy="175260"/>
                      <wp:effectExtent l="0" t="0" r="0" b="0"/>
                      <wp:wrapNone/>
                      <wp:docPr id="30" name="Frame3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1445" cy="175260"/>
                      <wp:effectExtent l="0" t="0" r="0" b="0"/>
                      <wp:wrapNone/>
                      <wp:docPr id="31" name="Frame31"/>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59105" cy="175260"/>
                      <wp:effectExtent l="0" t="0" r="0" b="0"/>
                      <wp:wrapNone/>
                      <wp:docPr id="32" name="Frame32"/>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1285" cy="175260"/>
                      <wp:effectExtent l="0" t="0" r="0" b="0"/>
                      <wp:wrapNone/>
                      <wp:docPr id="33" name="Frame3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375"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87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207" w:type="dxa"/>
            <w:tcBorders/>
            <w:vAlign w:val="center"/>
          </w:tcPr>
          <w:p>
            <w:pPr>
              <w:pStyle w:val="TableContents"/>
              <w:bidi w:val="0"/>
              <w:spacing w:lineRule="auto" w:line="285" w:before="0" w:after="0"/>
              <w:ind w:left="0" w:right="0" w:hanging="0"/>
              <w:jc w:val="center"/>
              <w:rPr/>
            </w:pPr>
            <w:r>
              <w:rPr/>
              <w:t>​</w:t>
            </w:r>
          </w:p>
        </w:tc>
        <w:tc>
          <w:tcPr>
            <w:tcW w:w="723" w:type="dxa"/>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7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375"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87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lineRule="auto" w:line="285" w:before="0" w:after="0"/>
              <w:ind w:left="0" w:right="0" w:hanging="0"/>
              <w:jc w:val="center"/>
              <w:rPr/>
            </w:pPr>
            <w:r>
              <w:rPr/>
              <w:t>​</w:t>
            </w:r>
          </w:p>
        </w:tc>
        <w:tc>
          <w:tcPr>
            <w:tcW w:w="87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Other </w:t>
            </w:r>
          </w:p>
        </w:tc>
        <w:tc>
          <w:tcPr>
            <w:tcW w:w="1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930" w:type="dxa"/>
            <w:gridSpan w:val="2"/>
            <w:tcBorders/>
            <w:vAlign w:val="center"/>
          </w:tcPr>
          <w:p>
            <w:pPr>
              <w:pStyle w:val="TableContents"/>
              <w:bidi w:val="0"/>
              <w:spacing w:lineRule="auto" w:line="285" w:before="0" w:after="0"/>
              <w:ind w:left="0" w:right="0" w:hanging="0"/>
              <w:jc w:val="center"/>
              <w:rPr/>
            </w:pPr>
            <w:r>
              <w:rPr/>
              <w:t>​</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7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663"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lineRule="auto" w:line="285" w:before="0" w:after="0"/>
              <w:ind w:left="0" w:right="0" w:hanging="0"/>
              <w:jc w:val="center"/>
              <w:rPr/>
            </w:pPr>
            <w:r>
              <w:rPr/>
              <w:t>​</w:t>
            </w:r>
          </w:p>
        </w:tc>
        <w:tc>
          <w:tcPr>
            <w:tcW w:w="87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343" w:type="dxa"/>
            <w:gridSpan w:val="4"/>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96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46" w:type="dxa"/>
            <w:tcBorders/>
            <w:vAlign w:val="center"/>
          </w:tcPr>
          <w:p>
            <w:pPr>
              <w:pStyle w:val="TableContents"/>
              <w:bidi w:val="0"/>
              <w:spacing w:lineRule="auto" w:line="285" w:before="0" w:after="0"/>
              <w:ind w:left="0" w:right="0" w:hanging="0"/>
              <w:jc w:val="center"/>
              <w:rPr/>
            </w:pPr>
            <w:r>
              <w:rPr/>
              <w:t>​</w:t>
            </w:r>
          </w:p>
        </w:tc>
        <w:tc>
          <w:tcPr>
            <w:tcW w:w="93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7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lineRule="auto" w:line="285" w:before="0" w:after="0"/>
              <w:ind w:left="0" w:right="0" w:hanging="0"/>
              <w:jc w:val="center"/>
              <w:rPr/>
            </w:pPr>
            <w:r>
              <w:rPr/>
              <w:t>    </w:t>
            </w:r>
          </w:p>
        </w:tc>
        <w:tc>
          <w:tcPr>
            <w:tcW w:w="5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lineRule="auto" w:line="285" w:before="0" w:after="0"/>
              <w:ind w:left="0" w:right="0" w:hanging="0"/>
              <w:jc w:val="center"/>
              <w:rPr/>
            </w:pPr>
            <w:r>
              <w:rPr/>
              <w:t>    </w:t>
            </w:r>
          </w:p>
        </w:tc>
        <w:tc>
          <w:tcPr>
            <w:tcW w:w="87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lineRule="auto" w:line="285" w:before="0" w:after="0"/>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146" w:type="dxa"/>
            <w:tcBorders/>
            <w:vAlign w:val="center"/>
          </w:tcPr>
          <w:p>
            <w:pPr>
              <w:pStyle w:val="TableContents"/>
              <w:bidi w:val="0"/>
              <w:spacing w:lineRule="auto" w:line="285" w:before="0" w:after="0"/>
              <w:ind w:left="0" w:right="0" w:hanging="0"/>
              <w:jc w:val="center"/>
              <w:rPr/>
            </w:pPr>
            <w:r>
              <w:rPr/>
              <w:t>​</w:t>
            </w:r>
          </w:p>
        </w:tc>
        <w:tc>
          <w:tcPr>
            <w:tcW w:w="96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146" w:type="dxa"/>
            <w:tcBorders/>
            <w:vAlign w:val="center"/>
          </w:tcPr>
          <w:p>
            <w:pPr>
              <w:pStyle w:val="TableContents"/>
              <w:bidi w:val="0"/>
              <w:spacing w:lineRule="auto" w:line="285" w:before="0" w:after="0"/>
              <w:ind w:left="0" w:right="0" w:hanging="0"/>
              <w:jc w:val="center"/>
              <w:rPr/>
            </w:pPr>
            <w:r>
              <w:rPr/>
              <w:t>​</w:t>
            </w:r>
          </w:p>
        </w:tc>
        <w:tc>
          <w:tcPr>
            <w:tcW w:w="9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91" w:type="dxa"/>
            <w:tcBorders/>
            <w:vAlign w:val="center"/>
          </w:tcPr>
          <w:p>
            <w:pPr>
              <w:pStyle w:val="TableContents"/>
              <w:bidi w:val="0"/>
              <w:spacing w:lineRule="auto" w:line="285" w:before="0" w:after="0"/>
              <w:ind w:left="0" w:right="0" w:hanging="0"/>
              <w:jc w:val="center"/>
              <w:rPr/>
            </w:pPr>
            <w:r>
              <w:rPr/>
              <w:t> </w:t>
            </w:r>
          </w:p>
        </w:tc>
      </w:tr>
      <w:tr>
        <w:trPr/>
        <w:tc>
          <w:tcPr>
            <w:tcW w:w="27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6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375"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658"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207" w:type="dxa"/>
            <w:tcBorders/>
            <w:vAlign w:val="center"/>
          </w:tcPr>
          <w:p>
            <w:pPr>
              <w:pStyle w:val="TableContents"/>
              <w:bidi w:val="0"/>
              <w:spacing w:lineRule="auto" w:line="285" w:before="0" w:after="0"/>
              <w:ind w:left="0" w:right="0" w:hanging="0"/>
              <w:jc w:val="left"/>
              <w:rPr/>
            </w:pPr>
            <w:r>
              <w:rPr/>
              <w:t>​</w:t>
            </w:r>
          </w:p>
        </w:tc>
        <w:tc>
          <w:tcPr>
            <w:tcW w:w="723"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center"/>
              <w:rPr/>
            </w:pPr>
            <w:r>
              <w:rPr/>
              <w:t>​</w:t>
            </w:r>
          </w:p>
        </w:tc>
      </w:tr>
      <w:tr>
        <w:trPr/>
        <w:tc>
          <w:tcPr>
            <w:tcW w:w="27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61,147,236</w:t>
            </w:r>
          </w:p>
        </w:tc>
        <w:tc>
          <w:tcPr>
            <w:tcW w:w="326" w:type="dxa"/>
            <w:tcBorders/>
            <w:shd w:fill="CCEEFF" w:val="clear"/>
            <w:vAlign w:val="center"/>
          </w:tcPr>
          <w:p>
            <w:pPr>
              <w:pStyle w:val="TableContents"/>
              <w:bidi w:val="0"/>
              <w:spacing w:lineRule="auto" w:line="285" w:before="0" w:after="0"/>
              <w:ind w:left="0" w:right="0" w:hanging="0"/>
              <w:jc w:val="right"/>
              <w:rPr/>
            </w:pPr>
            <w:r>
              <w:rPr/>
              <w:t> </w:t>
            </w:r>
          </w:p>
        </w:tc>
        <w:tc>
          <w:tcPr>
            <w:tcW w:w="1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61</w:t>
            </w:r>
          </w:p>
        </w:tc>
        <w:tc>
          <w:tcPr>
            <w:tcW w:w="326" w:type="dxa"/>
            <w:tcBorders/>
            <w:shd w:fill="CCEEFF" w:val="clear"/>
            <w:vAlign w:val="center"/>
          </w:tcPr>
          <w:p>
            <w:pPr>
              <w:pStyle w:val="TableContents"/>
              <w:bidi w:val="0"/>
              <w:spacing w:lineRule="auto" w:line="285" w:before="0" w:after="0"/>
              <w:ind w:left="0" w:right="0" w:hanging="0"/>
              <w:jc w:val="right"/>
              <w:rPr/>
            </w:pPr>
            <w:r>
              <w:rPr/>
              <w:t> </w:t>
            </w:r>
          </w:p>
        </w:tc>
        <w:tc>
          <w:tcPr>
            <w:tcW w:w="1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2,473,985</w:t>
            </w:r>
          </w:p>
        </w:tc>
        <w:tc>
          <w:tcPr>
            <w:tcW w:w="326" w:type="dxa"/>
            <w:tcBorders/>
            <w:shd w:fill="CCEEFF" w:val="clear"/>
            <w:vAlign w:val="center"/>
          </w:tcPr>
          <w:p>
            <w:pPr>
              <w:pStyle w:val="TableContents"/>
              <w:bidi w:val="0"/>
              <w:spacing w:lineRule="auto" w:line="285" w:before="0" w:after="0"/>
              <w:ind w:left="0" w:right="0" w:hanging="0"/>
              <w:jc w:val="right"/>
              <w:rPr/>
            </w:pPr>
            <w:r>
              <w:rPr/>
              <w:t> </w:t>
            </w:r>
          </w:p>
        </w:tc>
        <w:tc>
          <w:tcPr>
            <w:tcW w:w="21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(3,495)</w:t>
            </w:r>
          </w:p>
        </w:tc>
        <w:tc>
          <w:tcPr>
            <w:tcW w:w="146" w:type="dxa"/>
            <w:tcBorders/>
            <w:shd w:fill="CCEEFF" w:val="clear"/>
            <w:vAlign w:val="center"/>
          </w:tcPr>
          <w:p>
            <w:pPr>
              <w:pStyle w:val="TableContents"/>
              <w:bidi w:val="0"/>
              <w:spacing w:lineRule="auto" w:line="285" w:before="0" w:after="0"/>
              <w:ind w:left="0" w:right="0" w:hanging="0"/>
              <w:jc w:val="right"/>
              <w:rPr/>
            </w:pPr>
            <w:r>
              <w:rPr/>
              <w:t> </w:t>
            </w:r>
          </w:p>
        </w:tc>
        <w:tc>
          <w:tcPr>
            <w:tcW w:w="1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(2,339,942)</w:t>
            </w:r>
          </w:p>
        </w:tc>
        <w:tc>
          <w:tcPr>
            <w:tcW w:w="146" w:type="dxa"/>
            <w:tcBorders/>
            <w:shd w:fill="CCEEFF" w:val="clear"/>
            <w:vAlign w:val="center"/>
          </w:tcPr>
          <w:p>
            <w:pPr>
              <w:pStyle w:val="TableContents"/>
              <w:bidi w:val="0"/>
              <w:spacing w:lineRule="auto" w:line="285" w:before="0" w:after="0"/>
              <w:ind w:left="0" w:right="0" w:hanging="0"/>
              <w:jc w:val="right"/>
              <w:rPr/>
            </w:pPr>
            <w:r>
              <w:rPr/>
              <w:t> </w:t>
            </w:r>
          </w:p>
        </w:tc>
        <w:tc>
          <w:tcPr>
            <w:tcW w:w="20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130,609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71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stock plan</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902,292</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37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17,900</w:t>
            </w:r>
          </w:p>
        </w:tc>
        <w:tc>
          <w:tcPr>
            <w:tcW w:w="326" w:type="dxa"/>
            <w:tcBorders/>
            <w:vAlign w:val="center"/>
          </w:tcPr>
          <w:p>
            <w:pPr>
              <w:pStyle w:val="TableContents"/>
              <w:bidi w:val="0"/>
              <w:spacing w:lineRule="auto" w:line="285" w:before="0" w:after="0"/>
              <w:ind w:left="0" w:right="0" w:hanging="0"/>
              <w:jc w:val="right"/>
              <w:rPr/>
            </w:pPr>
            <w:r>
              <w:rPr/>
              <w:t>​</w:t>
            </w:r>
          </w:p>
        </w:tc>
        <w:tc>
          <w:tcPr>
            <w:tcW w:w="213" w:type="dxa"/>
            <w:tcBorders/>
            <w:vAlign w:val="center"/>
          </w:tcPr>
          <w:p>
            <w:pPr>
              <w:pStyle w:val="TableContents"/>
              <w:bidi w:val="0"/>
              <w:spacing w:lineRule="auto" w:line="285" w:before="0" w:after="0"/>
              <w:ind w:left="0" w:right="0" w:hanging="0"/>
              <w:jc w:val="right"/>
              <w:rPr/>
            </w:pPr>
            <w:r>
              <w:rPr/>
              <w:t>​</w:t>
            </w:r>
          </w:p>
        </w:tc>
        <w:tc>
          <w:tcPr>
            <w:tcW w:w="658"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07" w:type="dxa"/>
            <w:tcBorders/>
            <w:vAlign w:val="center"/>
          </w:tcPr>
          <w:p>
            <w:pPr>
              <w:pStyle w:val="TableContents"/>
              <w:bidi w:val="0"/>
              <w:spacing w:lineRule="auto" w:line="285" w:before="0" w:after="0"/>
              <w:ind w:left="0" w:right="0" w:hanging="0"/>
              <w:jc w:val="right"/>
              <w:rPr/>
            </w:pPr>
            <w:r>
              <w:rPr/>
              <w:t> </w:t>
            </w:r>
          </w:p>
        </w:tc>
        <w:tc>
          <w:tcPr>
            <w:tcW w:w="72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17,901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7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37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24,457</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13" w:type="dxa"/>
            <w:tcBorders/>
            <w:shd w:fill="CCEEFF" w:val="clear"/>
            <w:vAlign w:val="center"/>
          </w:tcPr>
          <w:p>
            <w:pPr>
              <w:pStyle w:val="TableContents"/>
              <w:bidi w:val="0"/>
              <w:spacing w:lineRule="auto" w:line="285" w:before="0" w:after="0"/>
              <w:ind w:left="0" w:right="0" w:hanging="0"/>
              <w:jc w:val="right"/>
              <w:rPr/>
            </w:pPr>
            <w:r>
              <w:rPr/>
              <w:t>​</w:t>
            </w:r>
          </w:p>
        </w:tc>
        <w:tc>
          <w:tcPr>
            <w:tcW w:w="658"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07" w:type="dxa"/>
            <w:tcBorders/>
            <w:shd w:fill="CCEEFF" w:val="clear"/>
            <w:vAlign w:val="center"/>
          </w:tcPr>
          <w:p>
            <w:pPr>
              <w:pStyle w:val="TableContents"/>
              <w:bidi w:val="0"/>
              <w:spacing w:lineRule="auto" w:line="285" w:before="0" w:after="0"/>
              <w:ind w:left="0" w:right="0" w:hanging="0"/>
              <w:jc w:val="right"/>
              <w:rPr/>
            </w:pPr>
            <w:r>
              <w:rPr/>
              <w:t> </w:t>
            </w:r>
          </w:p>
        </w:tc>
        <w:tc>
          <w:tcPr>
            <w:tcW w:w="7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24,457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71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At-the-market offerings, net of issuance costs</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544,719</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37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48,935</w:t>
            </w:r>
          </w:p>
        </w:tc>
        <w:tc>
          <w:tcPr>
            <w:tcW w:w="326" w:type="dxa"/>
            <w:tcBorders/>
            <w:vAlign w:val="center"/>
          </w:tcPr>
          <w:p>
            <w:pPr>
              <w:pStyle w:val="TableContents"/>
              <w:bidi w:val="0"/>
              <w:spacing w:lineRule="auto" w:line="285" w:before="0" w:after="0"/>
              <w:ind w:left="0" w:right="0" w:hanging="0"/>
              <w:jc w:val="right"/>
              <w:rPr/>
            </w:pPr>
            <w:r>
              <w:rPr/>
              <w:t>​</w:t>
            </w:r>
          </w:p>
        </w:tc>
        <w:tc>
          <w:tcPr>
            <w:tcW w:w="213" w:type="dxa"/>
            <w:tcBorders/>
            <w:vAlign w:val="center"/>
          </w:tcPr>
          <w:p>
            <w:pPr>
              <w:pStyle w:val="TableContents"/>
              <w:bidi w:val="0"/>
              <w:spacing w:lineRule="auto" w:line="285" w:before="0" w:after="0"/>
              <w:ind w:left="0" w:right="0" w:hanging="0"/>
              <w:jc w:val="right"/>
              <w:rPr/>
            </w:pPr>
            <w:r>
              <w:rPr/>
              <w:t>​</w:t>
            </w:r>
          </w:p>
        </w:tc>
        <w:tc>
          <w:tcPr>
            <w:tcW w:w="658"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07" w:type="dxa"/>
            <w:tcBorders/>
            <w:vAlign w:val="center"/>
          </w:tcPr>
          <w:p>
            <w:pPr>
              <w:pStyle w:val="TableContents"/>
              <w:bidi w:val="0"/>
              <w:spacing w:lineRule="auto" w:line="285" w:before="0" w:after="0"/>
              <w:ind w:left="0" w:right="0" w:hanging="0"/>
              <w:jc w:val="right"/>
              <w:rPr/>
            </w:pPr>
            <w:r>
              <w:rPr/>
              <w:t>​</w:t>
            </w:r>
          </w:p>
        </w:tc>
        <w:tc>
          <w:tcPr>
            <w:tcW w:w="72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48,936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7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comprehensive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37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13" w:type="dxa"/>
            <w:tcBorders/>
            <w:shd w:fill="CCEEFF" w:val="clear"/>
            <w:vAlign w:val="center"/>
          </w:tcPr>
          <w:p>
            <w:pPr>
              <w:pStyle w:val="TableContents"/>
              <w:bidi w:val="0"/>
              <w:spacing w:lineRule="auto" w:line="285" w:before="0" w:after="0"/>
              <w:ind w:left="0" w:right="0" w:hanging="0"/>
              <w:jc w:val="right"/>
              <w:rPr/>
            </w:pPr>
            <w:r>
              <w:rPr/>
              <w:t>​</w:t>
            </w:r>
          </w:p>
        </w:tc>
        <w:tc>
          <w:tcPr>
            <w:tcW w:w="6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(352)</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07" w:type="dxa"/>
            <w:tcBorders/>
            <w:shd w:fill="CCEEFF" w:val="clear"/>
            <w:vAlign w:val="center"/>
          </w:tcPr>
          <w:p>
            <w:pPr>
              <w:pStyle w:val="TableContents"/>
              <w:bidi w:val="0"/>
              <w:spacing w:lineRule="auto" w:line="285" w:before="0" w:after="0"/>
              <w:ind w:left="0" w:right="0" w:hanging="0"/>
              <w:jc w:val="right"/>
              <w:rPr/>
            </w:pPr>
            <w:r>
              <w:rPr/>
              <w:t>​</w:t>
            </w:r>
          </w:p>
        </w:tc>
        <w:tc>
          <w:tcPr>
            <w:tcW w:w="7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(352)</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71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7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1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65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89,136</w:t>
            </w:r>
          </w:p>
        </w:tc>
        <w:tc>
          <w:tcPr>
            <w:tcW w:w="146" w:type="dxa"/>
            <w:tcBorders/>
            <w:vAlign w:val="center"/>
          </w:tcPr>
          <w:p>
            <w:pPr>
              <w:pStyle w:val="TableContents"/>
              <w:bidi w:val="0"/>
              <w:spacing w:lineRule="auto" w:line="285" w:before="0" w:after="0"/>
              <w:ind w:left="0" w:right="0" w:hanging="0"/>
              <w:jc w:val="right"/>
              <w:rPr/>
            </w:pPr>
            <w:r>
              <w:rPr/>
              <w:t>​</w:t>
            </w:r>
          </w:p>
        </w:tc>
        <w:tc>
          <w:tcPr>
            <w:tcW w:w="20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7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89,136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7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March 31, 2024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62,594,247</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63</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2,565,277</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1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(3,847)</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(2,250,806)</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0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310,687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71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37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13" w:type="dxa"/>
            <w:tcBorders/>
            <w:vAlign w:val="center"/>
          </w:tcPr>
          <w:p>
            <w:pPr>
              <w:pStyle w:val="TableContents"/>
              <w:bidi w:val="0"/>
              <w:spacing w:lineRule="auto" w:line="285" w:before="0" w:after="0"/>
              <w:ind w:left="0" w:right="0" w:hanging="0"/>
              <w:jc w:val="right"/>
              <w:rPr/>
            </w:pPr>
            <w:r>
              <w:rPr/>
              <w:t>​</w:t>
            </w:r>
          </w:p>
        </w:tc>
        <w:tc>
          <w:tcPr>
            <w:tcW w:w="658"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07" w:type="dxa"/>
            <w:tcBorders/>
            <w:vAlign w:val="center"/>
          </w:tcPr>
          <w:p>
            <w:pPr>
              <w:pStyle w:val="TableContents"/>
              <w:bidi w:val="0"/>
              <w:spacing w:lineRule="auto" w:line="285" w:before="0" w:after="0"/>
              <w:ind w:left="0" w:right="0" w:hanging="0"/>
              <w:jc w:val="right"/>
              <w:rPr/>
            </w:pPr>
            <w:r>
              <w:rPr/>
              <w:t>​</w:t>
            </w:r>
          </w:p>
        </w:tc>
        <w:tc>
          <w:tcPr>
            <w:tcW w:w="723"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7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59,958,919</w:t>
            </w:r>
          </w:p>
        </w:tc>
        <w:tc>
          <w:tcPr>
            <w:tcW w:w="326" w:type="dxa"/>
            <w:tcBorders/>
            <w:shd w:fill="CCEEFF" w:val="clear"/>
            <w:vAlign w:val="center"/>
          </w:tcPr>
          <w:p>
            <w:pPr>
              <w:pStyle w:val="TableContents"/>
              <w:bidi w:val="0"/>
              <w:spacing w:lineRule="auto" w:line="285" w:before="0" w:after="0"/>
              <w:ind w:left="0" w:right="0" w:hanging="0"/>
              <w:jc w:val="right"/>
              <w:rPr/>
            </w:pPr>
            <w:r>
              <w:rPr/>
              <w:t> </w:t>
            </w:r>
          </w:p>
        </w:tc>
        <w:tc>
          <w:tcPr>
            <w:tcW w:w="1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shd w:fill="CCEEFF" w:val="clear"/>
            <w:vAlign w:val="center"/>
          </w:tcPr>
          <w:p>
            <w:pPr>
              <w:pStyle w:val="TableContents"/>
              <w:bidi w:val="0"/>
              <w:spacing w:lineRule="auto" w:line="285" w:before="0" w:after="0"/>
              <w:ind w:left="0" w:right="0" w:hanging="0"/>
              <w:jc w:val="right"/>
              <w:rPr/>
            </w:pPr>
            <w:r>
              <w:rPr/>
              <w:t> </w:t>
            </w:r>
          </w:p>
        </w:tc>
        <w:tc>
          <w:tcPr>
            <w:tcW w:w="1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2,358,018</w:t>
            </w:r>
          </w:p>
        </w:tc>
        <w:tc>
          <w:tcPr>
            <w:tcW w:w="326" w:type="dxa"/>
            <w:tcBorders/>
            <w:shd w:fill="CCEEFF" w:val="clear"/>
            <w:vAlign w:val="center"/>
          </w:tcPr>
          <w:p>
            <w:pPr>
              <w:pStyle w:val="TableContents"/>
              <w:bidi w:val="0"/>
              <w:spacing w:lineRule="auto" w:line="285" w:before="0" w:after="0"/>
              <w:ind w:left="0" w:right="0" w:hanging="0"/>
              <w:jc w:val="right"/>
              <w:rPr/>
            </w:pPr>
            <w:r>
              <w:rPr/>
              <w:t> </w:t>
            </w:r>
          </w:p>
        </w:tc>
        <w:tc>
          <w:tcPr>
            <w:tcW w:w="21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(10,443)</w:t>
            </w:r>
          </w:p>
        </w:tc>
        <w:tc>
          <w:tcPr>
            <w:tcW w:w="146" w:type="dxa"/>
            <w:tcBorders/>
            <w:shd w:fill="CCEEFF" w:val="clear"/>
            <w:vAlign w:val="center"/>
          </w:tcPr>
          <w:p>
            <w:pPr>
              <w:pStyle w:val="TableContents"/>
              <w:bidi w:val="0"/>
              <w:spacing w:lineRule="auto" w:line="285" w:before="0" w:after="0"/>
              <w:ind w:left="0" w:right="0" w:hanging="0"/>
              <w:jc w:val="right"/>
              <w:rPr/>
            </w:pPr>
            <w:r>
              <w:rPr/>
              <w:t> </w:t>
            </w:r>
          </w:p>
        </w:tc>
        <w:tc>
          <w:tcPr>
            <w:tcW w:w="1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(1,832,958)</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0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514,677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71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stock plan</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457,416</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37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13" w:type="dxa"/>
            <w:tcBorders/>
            <w:vAlign w:val="center"/>
          </w:tcPr>
          <w:p>
            <w:pPr>
              <w:pStyle w:val="TableContents"/>
              <w:bidi w:val="0"/>
              <w:spacing w:lineRule="auto" w:line="285" w:before="0" w:after="0"/>
              <w:ind w:left="0" w:right="0" w:hanging="0"/>
              <w:jc w:val="right"/>
              <w:rPr/>
            </w:pPr>
            <w:r>
              <w:rPr/>
              <w:t>​</w:t>
            </w:r>
          </w:p>
        </w:tc>
        <w:tc>
          <w:tcPr>
            <w:tcW w:w="658"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07" w:type="dxa"/>
            <w:tcBorders/>
            <w:vAlign w:val="center"/>
          </w:tcPr>
          <w:p>
            <w:pPr>
              <w:pStyle w:val="TableContents"/>
              <w:bidi w:val="0"/>
              <w:spacing w:lineRule="auto" w:line="285" w:before="0" w:after="0"/>
              <w:ind w:left="0" w:right="0" w:hanging="0"/>
              <w:jc w:val="right"/>
              <w:rPr/>
            </w:pPr>
            <w:r>
              <w:rPr/>
              <w:t> </w:t>
            </w:r>
          </w:p>
        </w:tc>
        <w:tc>
          <w:tcPr>
            <w:tcW w:w="723"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7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shd w:fill="CCEEFF" w:val="clear"/>
            <w:vAlign w:val="center"/>
          </w:tcPr>
          <w:p>
            <w:pPr>
              <w:pStyle w:val="TableContents"/>
              <w:bidi w:val="0"/>
              <w:spacing w:lineRule="auto" w:line="285" w:before="0" w:after="0"/>
              <w:ind w:left="0" w:right="0" w:hanging="0"/>
              <w:jc w:val="right"/>
              <w:rPr/>
            </w:pPr>
            <w:r>
              <w:rPr/>
              <w:t>​</w:t>
            </w:r>
          </w:p>
        </w:tc>
        <w:tc>
          <w:tcPr>
            <w:tcW w:w="375"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23,340</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13" w:type="dxa"/>
            <w:tcBorders/>
            <w:shd w:fill="CCEEFF" w:val="clear"/>
            <w:vAlign w:val="center"/>
          </w:tcPr>
          <w:p>
            <w:pPr>
              <w:pStyle w:val="TableContents"/>
              <w:bidi w:val="0"/>
              <w:spacing w:lineRule="auto" w:line="285" w:before="0" w:after="0"/>
              <w:ind w:left="0" w:right="0" w:hanging="0"/>
              <w:jc w:val="right"/>
              <w:rPr/>
            </w:pPr>
            <w:r>
              <w:rPr/>
              <w:t>​</w:t>
            </w:r>
          </w:p>
        </w:tc>
        <w:tc>
          <w:tcPr>
            <w:tcW w:w="658"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07" w:type="dxa"/>
            <w:tcBorders/>
            <w:shd w:fill="CCEEFF" w:val="clear"/>
            <w:vAlign w:val="center"/>
          </w:tcPr>
          <w:p>
            <w:pPr>
              <w:pStyle w:val="TableContents"/>
              <w:bidi w:val="0"/>
              <w:spacing w:lineRule="auto" w:line="285" w:before="0" w:after="0"/>
              <w:ind w:left="0" w:right="0" w:hanging="0"/>
              <w:jc w:val="right"/>
              <w:rPr/>
            </w:pPr>
            <w:r>
              <w:rPr/>
              <w:t> </w:t>
            </w:r>
          </w:p>
        </w:tc>
        <w:tc>
          <w:tcPr>
            <w:tcW w:w="7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23,340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71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vAlign w:val="center"/>
          </w:tcPr>
          <w:p>
            <w:pPr>
              <w:pStyle w:val="TableContents"/>
              <w:bidi w:val="0"/>
              <w:spacing w:lineRule="auto" w:line="285" w:before="0" w:after="0"/>
              <w:ind w:left="0" w:right="0" w:hanging="0"/>
              <w:jc w:val="right"/>
              <w:rPr/>
            </w:pPr>
            <w:r>
              <w:rPr/>
              <w:t>​</w:t>
            </w:r>
          </w:p>
        </w:tc>
        <w:tc>
          <w:tcPr>
            <w:tcW w:w="375"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right"/>
              <w:rPr/>
            </w:pPr>
            <w:r>
              <w:rPr/>
              <w:t>​</w:t>
            </w:r>
          </w:p>
        </w:tc>
        <w:tc>
          <w:tcPr>
            <w:tcW w:w="213" w:type="dxa"/>
            <w:tcBorders/>
            <w:vAlign w:val="center"/>
          </w:tcPr>
          <w:p>
            <w:pPr>
              <w:pStyle w:val="TableContents"/>
              <w:bidi w:val="0"/>
              <w:spacing w:lineRule="auto" w:line="285" w:before="0" w:after="0"/>
              <w:ind w:left="0" w:right="0" w:hanging="0"/>
              <w:jc w:val="right"/>
              <w:rPr/>
            </w:pPr>
            <w:r>
              <w:rPr/>
              <w:t>​</w:t>
            </w:r>
          </w:p>
        </w:tc>
        <w:tc>
          <w:tcPr>
            <w:tcW w:w="65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5,841</w:t>
            </w:r>
          </w:p>
        </w:tc>
        <w:tc>
          <w:tcPr>
            <w:tcW w:w="146" w:type="dxa"/>
            <w:tcBorders/>
            <w:vAlign w:val="center"/>
          </w:tcPr>
          <w:p>
            <w:pPr>
              <w:pStyle w:val="TableContents"/>
              <w:bidi w:val="0"/>
              <w:spacing w:lineRule="auto" w:line="285" w:before="0" w:after="0"/>
              <w:ind w:left="0" w:right="0" w:hanging="0"/>
              <w:jc w:val="right"/>
              <w:rPr/>
            </w:pPr>
            <w:r>
              <w:rPr/>
              <w:t>​</w:t>
            </w:r>
          </w:p>
        </w:tc>
        <w:tc>
          <w:tcPr>
            <w:tcW w:w="181"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right"/>
              <w:rPr/>
            </w:pPr>
            <w:r>
              <w:rPr/>
              <w:t>​</w:t>
            </w:r>
          </w:p>
        </w:tc>
        <w:tc>
          <w:tcPr>
            <w:tcW w:w="207" w:type="dxa"/>
            <w:tcBorders/>
            <w:vAlign w:val="center"/>
          </w:tcPr>
          <w:p>
            <w:pPr>
              <w:pStyle w:val="TableContents"/>
              <w:bidi w:val="0"/>
              <w:spacing w:lineRule="auto" w:line="285" w:before="0" w:after="0"/>
              <w:ind w:left="0" w:right="0" w:hanging="0"/>
              <w:jc w:val="right"/>
              <w:rPr/>
            </w:pPr>
            <w:r>
              <w:rPr/>
              <w:t>​</w:t>
            </w:r>
          </w:p>
        </w:tc>
        <w:tc>
          <w:tcPr>
            <w:tcW w:w="72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5,841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27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right"/>
              <w:rPr/>
            </w:pPr>
            <w:r>
              <w:rPr/>
              <w:t>​</w:t>
            </w:r>
          </w:p>
        </w:tc>
        <w:tc>
          <w:tcPr>
            <w:tcW w:w="2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6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(129,560)</w:t>
            </w:r>
          </w:p>
        </w:tc>
        <w:tc>
          <w:tcPr>
            <w:tcW w:w="146" w:type="dxa"/>
            <w:tcBorders/>
            <w:shd w:fill="CCEEFF" w:val="clear"/>
            <w:vAlign w:val="center"/>
          </w:tcPr>
          <w:p>
            <w:pPr>
              <w:pStyle w:val="TableContents"/>
              <w:bidi w:val="0"/>
              <w:spacing w:lineRule="auto" w:line="285" w:before="0" w:after="0"/>
              <w:ind w:left="0" w:right="0" w:hanging="0"/>
              <w:jc w:val="right"/>
              <w:rPr/>
            </w:pPr>
            <w:r>
              <w:rPr/>
              <w:t>​</w:t>
            </w:r>
          </w:p>
        </w:tc>
        <w:tc>
          <w:tcPr>
            <w:tcW w:w="20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7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(129,560)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271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Balance at March 31, 2023</w:t>
            </w:r>
          </w:p>
        </w:tc>
        <w:tc>
          <w:tcPr>
            <w:tcW w:w="326" w:type="dxa"/>
            <w:tcBorders/>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60,416,335</w:t>
            </w:r>
          </w:p>
        </w:tc>
        <w:tc>
          <w:tcPr>
            <w:tcW w:w="326" w:type="dxa"/>
            <w:tcBorders/>
            <w:vAlign w:val="center"/>
          </w:tcPr>
          <w:p>
            <w:pPr>
              <w:pStyle w:val="TableContents"/>
              <w:bidi w:val="0"/>
              <w:spacing w:lineRule="auto" w:line="285"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w:t>
            </w:r>
          </w:p>
        </w:tc>
        <w:tc>
          <w:tcPr>
            <w:tcW w:w="326" w:type="dxa"/>
            <w:tcBorders/>
            <w:vAlign w:val="center"/>
          </w:tcPr>
          <w:p>
            <w:pPr>
              <w:pStyle w:val="TableContents"/>
              <w:bidi w:val="0"/>
              <w:spacing w:lineRule="auto" w:line="285"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2,381,358</w:t>
            </w:r>
          </w:p>
        </w:tc>
        <w:tc>
          <w:tcPr>
            <w:tcW w:w="326" w:type="dxa"/>
            <w:tcBorders/>
            <w:vAlign w:val="center"/>
          </w:tcPr>
          <w:p>
            <w:pPr>
              <w:pStyle w:val="TableContents"/>
              <w:bidi w:val="0"/>
              <w:spacing w:lineRule="auto" w:line="285" w:before="0" w:after="0"/>
              <w:ind w:left="0" w:right="0" w:hanging="0"/>
              <w:jc w:val="right"/>
              <w:rPr/>
            </w:pPr>
            <w:r>
              <w:rPr/>
              <w:t>​</w:t>
            </w:r>
          </w:p>
        </w:tc>
        <w:tc>
          <w:tcPr>
            <w:tcW w:w="21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65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(4,602)</w:t>
            </w:r>
          </w:p>
        </w:tc>
        <w:tc>
          <w:tcPr>
            <w:tcW w:w="146" w:type="dxa"/>
            <w:tcBorders/>
            <w:vAlign w:val="center"/>
          </w:tcPr>
          <w:p>
            <w:pPr>
              <w:pStyle w:val="TableContents"/>
              <w:bidi w:val="0"/>
              <w:spacing w:lineRule="auto" w:line="285"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(1,962,518)</w:t>
            </w:r>
          </w:p>
        </w:tc>
        <w:tc>
          <w:tcPr>
            <w:tcW w:w="146" w:type="dxa"/>
            <w:tcBorders/>
            <w:vAlign w:val="center"/>
          </w:tcPr>
          <w:p>
            <w:pPr>
              <w:pStyle w:val="TableContents"/>
              <w:bidi w:val="0"/>
              <w:spacing w:lineRule="auto" w:line="285" w:before="0" w:after="0"/>
              <w:ind w:left="0" w:right="0" w:hanging="0"/>
              <w:jc w:val="right"/>
              <w:rPr/>
            </w:pPr>
            <w:r>
              <w:rPr/>
              <w:t>​</w:t>
            </w:r>
          </w:p>
        </w:tc>
        <w:tc>
          <w:tcPr>
            <w:tcW w:w="20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72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414,298</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371" w:name="_c3009207_890e_477c_8d29_c6b1cf6b68d7"/>
      <w:bookmarkEnd w:id="371"/>
      <w:r>
        <w:rPr>
          <w:rFonts w:ascii="Times New Roman;Times;serif" w:hAnsi="Times New Roman;Times;serif"/>
          <w:b/>
          <w:sz w:val="20"/>
        </w:rPr>
        <w:t xml:space="preserve">Blueprint Medicines Corporation </w:t>
      </w:r>
    </w:p>
    <w:p>
      <w:pPr>
        <w:pStyle w:val="TextBody"/>
        <w:bidi w:val="0"/>
        <w:spacing w:lineRule="auto" w:line="285" w:before="0" w:after="0"/>
        <w:ind w:left="0" w:right="0" w:hanging="0"/>
        <w:jc w:val="center"/>
        <w:rPr>
          <w:rFonts w:ascii="Times New Roman;Times;serif" w:hAnsi="Times New Roman;Times;serif"/>
          <w:b/>
          <w:sz w:val="20"/>
        </w:rPr>
      </w:pPr>
      <w:bookmarkStart w:id="372" w:name="CashFlows_481395"/>
      <w:bookmarkEnd w:id="372"/>
      <w:r>
        <w:rPr>
          <w:rFonts w:ascii="Times New Roman;Times;serif" w:hAnsi="Times New Roman;Times;serif"/>
          <w:b/>
          <w:sz w:val="20"/>
        </w:rPr>
        <w:t>Condensed Consolidated Statements of Cash Flows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373" w:name="Tc_NESEFQD8u0m_YKjtvkFkhQ_42_5"/>
      <w:bookmarkStart w:id="374" w:name="Tc_Jt-ZJ3U3XE6xeQ5TY4q4_Q_42_2"/>
      <w:bookmarkStart w:id="375" w:name="Tc_AiYgzwqk7U2g39xhMXhxHw_42_0"/>
      <w:bookmarkStart w:id="376" w:name="Tc_G0x9RV1ZgU22SVAvE62ooA_41_6"/>
      <w:bookmarkStart w:id="377" w:name="Tc_66nOJTsKkU2Wz7YWf7o4SQ_41_5"/>
      <w:bookmarkStart w:id="378" w:name="Tc_hzV78MZYaUWnc9yHVrYepw_41_2"/>
      <w:bookmarkStart w:id="379" w:name="Tc_kgQzZv_AkkCnevu_oyW-CQ_41_0"/>
      <w:bookmarkStart w:id="380" w:name="Tc_J36gQrz7uUan6r8meNkFZg_40_5"/>
      <w:bookmarkStart w:id="381" w:name="Tc_M05gBALsoUuP3aRZx_vvHg_40_2"/>
      <w:bookmarkStart w:id="382" w:name="Tc_pB1cDbrPUE2G5J-sU474uA_40_0"/>
      <w:bookmarkStart w:id="383" w:name="Tc_5wK2AZAlD0OByb4T9ISKAg_39_0"/>
      <w:bookmarkStart w:id="384" w:name="Tc_egQMZyMfHUOKyLIia1-bCQ_38_5"/>
      <w:bookmarkStart w:id="385" w:name="Tc_Rp3PjGTF2ke_fv3gtT12uw_38_2"/>
      <w:bookmarkStart w:id="386" w:name="Tc_rSyEgVbXYUGM_d5ZoaDbxw_38_0"/>
      <w:bookmarkStart w:id="387" w:name="Tc_fOOQS8H49kid1NiFWKjbzw_37_0"/>
      <w:bookmarkStart w:id="388" w:name="Tc_fHimvDFLNE2KvZw3JiGbCQ_36_0"/>
      <w:bookmarkStart w:id="389" w:name="Tc_q8ZgiVZhV06Tby7DwY-Y4Q_35_0"/>
      <w:bookmarkStart w:id="390" w:name="Tc_yJ8FLqpzykOQHX1nGmZ2iQ_34_6"/>
      <w:bookmarkStart w:id="391" w:name="Tc_AMJPRDIIQ02JaHttRXY2iw_34_0"/>
      <w:bookmarkStart w:id="392" w:name="Tc_TZ7BRh_zVEefos2HFDHYoQ_33_6"/>
      <w:bookmarkStart w:id="393" w:name="Tc_3evpzPxhDEmn_mTaZzWd9Q_33_0"/>
      <w:bookmarkStart w:id="394" w:name="Tc_rzfszYKdZkqb-URolQfJ6Q_32_6"/>
      <w:bookmarkStart w:id="395" w:name="Tc_YMcNXYtkqUmaS09SCu4sgg_32_0"/>
      <w:bookmarkStart w:id="396" w:name="Tc_jlHG-_dtjkq-fGzMon6vcw_31_6"/>
      <w:bookmarkStart w:id="397" w:name="Tc_uN5kFRFm00eMao1tytXdiA_31_0"/>
      <w:bookmarkStart w:id="398" w:name="Tc_rU-vvDaZt0CS0R2ABVV5gg_30_0"/>
      <w:bookmarkStart w:id="399" w:name="Tc_i2SruYplQkyrZHvCtRt32Q_29_0"/>
      <w:bookmarkStart w:id="400" w:name="Tc_rXMJy0828k2oX-z0mV9Y4g_28_0"/>
      <w:bookmarkStart w:id="401" w:name="Tc_ZO_j0pDNJE6zsIGSGAWBZw_27_0"/>
      <w:bookmarkStart w:id="402" w:name="Tc_ZIulaOOR1USK4Z4F8cx8lw_26_0"/>
      <w:bookmarkStart w:id="403" w:name="Tc__wenqoMfnEuPaplnYwqKsg_25_0"/>
      <w:bookmarkStart w:id="404" w:name="Tc_CoReeqIxUUaARQqwvjVNhw_24_0"/>
      <w:bookmarkStart w:id="405" w:name="Tc_cxp_8F6nZkC3jtcl7vc9Zw_23_0"/>
      <w:bookmarkStart w:id="406" w:name="Tc_tT6QSensb0Ojv7VlJ8YjPQ_22_0"/>
      <w:bookmarkStart w:id="407" w:name="Tc_G0hwUdKYd0K49LnWijmOFg_21_3"/>
      <w:bookmarkStart w:id="408" w:name="Tc_TJtjl7vzEkecZcUqfjpufw_21_0"/>
      <w:bookmarkStart w:id="409" w:name="Tc_OQ0ebYTvwEmF2KdLDLxDqQ_20_0"/>
      <w:bookmarkStart w:id="410" w:name="Tc_ooQKn2JGQ0aR9m60Fygozg_19_0"/>
      <w:bookmarkStart w:id="411" w:name="Tc_iG7-XvjVYkqOO8wxtyo9EQ_18_0"/>
      <w:bookmarkStart w:id="412" w:name="Tc_6VeJ0T9EaEOw7J6Kc-d2YQ_17_0"/>
      <w:bookmarkStart w:id="413" w:name="Tc_l0NMHTJm-kW5kou-P_83WA_16_0"/>
      <w:bookmarkStart w:id="414" w:name="Tc_b6W4GIkSUEqZcnnvnni06Q_15_0"/>
      <w:bookmarkStart w:id="415" w:name="Tc_XUZJgy9dAUeJlJgbbqqMAg_14_0"/>
      <w:bookmarkStart w:id="416" w:name="Tc_woQZdZGt90-_c_rTw0W87A_13_0"/>
      <w:bookmarkStart w:id="417" w:name="Tc_dF3pvywhV0SlJ-8KwpxC6w_12_6"/>
      <w:bookmarkStart w:id="418" w:name="Tc_ZGw6g3m-ckC_30Gz5irJ2g_12_0"/>
      <w:bookmarkStart w:id="419" w:name="Tc_oUfmhAVXP02YDNJ3Ey3-MQ_11_0"/>
      <w:bookmarkStart w:id="420" w:name="Tc_x7_aonhPlku1leK3ssFscQ_10_0"/>
      <w:bookmarkStart w:id="421" w:name="Tc_N-90vmaazkGyqpP3xIC45w_9_0"/>
      <w:bookmarkStart w:id="422" w:name="Tc_mAR_xdbLPE2N8KvqovxHaw_8_0"/>
      <w:bookmarkStart w:id="423" w:name="Tc_yj23LAK8q0-2fGPRjlqB7A_7_0"/>
      <w:bookmarkStart w:id="424" w:name="Tc_hzvmfAom_EyhMdJTPtfEug_6_0"/>
      <w:bookmarkStart w:id="425" w:name="Tc_qj18_9w8p0W1H4fkSDSxSA_5_5"/>
      <w:bookmarkStart w:id="426" w:name="Tc_b8fLI2CZpE-Cv_llu1ZRWQ_5_2"/>
      <w:bookmarkStart w:id="427" w:name="Tc_kiFsfYfMvEGwCfBlPQTsmQ_5_0"/>
      <w:bookmarkStart w:id="428" w:name="Tc_klXD0RV_wkaGsozPKqDW1w_4_0"/>
      <w:bookmarkStart w:id="429" w:name="Tc_uGpbazOFHUKiW2uljr6UQA_3_5"/>
      <w:bookmarkStart w:id="430" w:name="Tc_LdAbw6R0uUeqW8-ZRf8vbg_3_2"/>
      <w:bookmarkStart w:id="431" w:name="Tc_dYLpRyeWXUiTuYe79CkFtw_2_2"/>
      <w:bookmarkStart w:id="432" w:name="Tc_aEpYSvvMR0GMXT1p7ijDDQ_1_2"/>
      <w:bookmarkStart w:id="433" w:name="_13f6b145_5d3f_4a24_8e79_391bd95aeb35"/>
      <w:bookmarkStart w:id="434" w:name="Tc_NESEFQD8u0m_YKjtvkFkhQ_42_5"/>
      <w:bookmarkStart w:id="435" w:name="Tc_Jt-ZJ3U3XE6xeQ5TY4q4_Q_42_2"/>
      <w:bookmarkStart w:id="436" w:name="Tc_AiYgzwqk7U2g39xhMXhxHw_42_0"/>
      <w:bookmarkStart w:id="437" w:name="Tc_G0x9RV1ZgU22SVAvE62ooA_41_6"/>
      <w:bookmarkStart w:id="438" w:name="Tc_66nOJTsKkU2Wz7YWf7o4SQ_41_5"/>
      <w:bookmarkStart w:id="439" w:name="Tc_hzV78MZYaUWnc9yHVrYepw_41_2"/>
      <w:bookmarkStart w:id="440" w:name="Tc_kgQzZv_AkkCnevu_oyW-CQ_41_0"/>
      <w:bookmarkStart w:id="441" w:name="Tc_J36gQrz7uUan6r8meNkFZg_40_5"/>
      <w:bookmarkStart w:id="442" w:name="Tc_M05gBALsoUuP3aRZx_vvHg_40_2"/>
      <w:bookmarkStart w:id="443" w:name="Tc_pB1cDbrPUE2G5J-sU474uA_40_0"/>
      <w:bookmarkStart w:id="444" w:name="Tc_5wK2AZAlD0OByb4T9ISKAg_39_0"/>
      <w:bookmarkStart w:id="445" w:name="Tc_egQMZyMfHUOKyLIia1-bCQ_38_5"/>
      <w:bookmarkStart w:id="446" w:name="Tc_Rp3PjGTF2ke_fv3gtT12uw_38_2"/>
      <w:bookmarkStart w:id="447" w:name="Tc_rSyEgVbXYUGM_d5ZoaDbxw_38_0"/>
      <w:bookmarkStart w:id="448" w:name="Tc_fOOQS8H49kid1NiFWKjbzw_37_0"/>
      <w:bookmarkStart w:id="449" w:name="Tc_fHimvDFLNE2KvZw3JiGbCQ_36_0"/>
      <w:bookmarkStart w:id="450" w:name="Tc_q8ZgiVZhV06Tby7DwY-Y4Q_35_0"/>
      <w:bookmarkStart w:id="451" w:name="Tc_yJ8FLqpzykOQHX1nGmZ2iQ_34_6"/>
      <w:bookmarkStart w:id="452" w:name="Tc_AMJPRDIIQ02JaHttRXY2iw_34_0"/>
      <w:bookmarkStart w:id="453" w:name="Tc_TZ7BRh_zVEefos2HFDHYoQ_33_6"/>
      <w:bookmarkStart w:id="454" w:name="Tc_3evpzPxhDEmn_mTaZzWd9Q_33_0"/>
      <w:bookmarkStart w:id="455" w:name="Tc_rzfszYKdZkqb-URolQfJ6Q_32_6"/>
      <w:bookmarkStart w:id="456" w:name="Tc_YMcNXYtkqUmaS09SCu4sgg_32_0"/>
      <w:bookmarkStart w:id="457" w:name="Tc_jlHG-_dtjkq-fGzMon6vcw_31_6"/>
      <w:bookmarkStart w:id="458" w:name="Tc_uN5kFRFm00eMao1tytXdiA_31_0"/>
      <w:bookmarkStart w:id="459" w:name="Tc_rU-vvDaZt0CS0R2ABVV5gg_30_0"/>
      <w:bookmarkStart w:id="460" w:name="Tc_i2SruYplQkyrZHvCtRt32Q_29_0"/>
      <w:bookmarkStart w:id="461" w:name="Tc_rXMJy0828k2oX-z0mV9Y4g_28_0"/>
      <w:bookmarkStart w:id="462" w:name="Tc_ZO_j0pDNJE6zsIGSGAWBZw_27_0"/>
      <w:bookmarkStart w:id="463" w:name="Tc_ZIulaOOR1USK4Z4F8cx8lw_26_0"/>
      <w:bookmarkStart w:id="464" w:name="Tc__wenqoMfnEuPaplnYwqKsg_25_0"/>
      <w:bookmarkStart w:id="465" w:name="Tc_CoReeqIxUUaARQqwvjVNhw_24_0"/>
      <w:bookmarkStart w:id="466" w:name="Tc_cxp_8F6nZkC3jtcl7vc9Zw_23_0"/>
      <w:bookmarkStart w:id="467" w:name="Tc_tT6QSensb0Ojv7VlJ8YjPQ_22_0"/>
      <w:bookmarkStart w:id="468" w:name="Tc_G0hwUdKYd0K49LnWijmOFg_21_3"/>
      <w:bookmarkStart w:id="469" w:name="Tc_TJtjl7vzEkecZcUqfjpufw_21_0"/>
      <w:bookmarkStart w:id="470" w:name="Tc_OQ0ebYTvwEmF2KdLDLxDqQ_20_0"/>
      <w:bookmarkStart w:id="471" w:name="Tc_ooQKn2JGQ0aR9m60Fygozg_19_0"/>
      <w:bookmarkStart w:id="472" w:name="Tc_iG7-XvjVYkqOO8wxtyo9EQ_18_0"/>
      <w:bookmarkStart w:id="473" w:name="Tc_6VeJ0T9EaEOw7J6Kc-d2YQ_17_0"/>
      <w:bookmarkStart w:id="474" w:name="Tc_l0NMHTJm-kW5kou-P_83WA_16_0"/>
      <w:bookmarkStart w:id="475" w:name="Tc_b6W4GIkSUEqZcnnvnni06Q_15_0"/>
      <w:bookmarkStart w:id="476" w:name="Tc_XUZJgy9dAUeJlJgbbqqMAg_14_0"/>
      <w:bookmarkStart w:id="477" w:name="Tc_woQZdZGt90-_c_rTw0W87A_13_0"/>
      <w:bookmarkStart w:id="478" w:name="Tc_dF3pvywhV0SlJ-8KwpxC6w_12_6"/>
      <w:bookmarkStart w:id="479" w:name="Tc_ZGw6g3m-ckC_30Gz5irJ2g_12_0"/>
      <w:bookmarkStart w:id="480" w:name="Tc_oUfmhAVXP02YDNJ3Ey3-MQ_11_0"/>
      <w:bookmarkStart w:id="481" w:name="Tc_x7_aonhPlku1leK3ssFscQ_10_0"/>
      <w:bookmarkStart w:id="482" w:name="Tc_N-90vmaazkGyqpP3xIC45w_9_0"/>
      <w:bookmarkStart w:id="483" w:name="Tc_mAR_xdbLPE2N8KvqovxHaw_8_0"/>
      <w:bookmarkStart w:id="484" w:name="Tc_yj23LAK8q0-2fGPRjlqB7A_7_0"/>
      <w:bookmarkStart w:id="485" w:name="Tc_hzvmfAom_EyhMdJTPtfEug_6_0"/>
      <w:bookmarkStart w:id="486" w:name="Tc_qj18_9w8p0W1H4fkSDSxSA_5_5"/>
      <w:bookmarkStart w:id="487" w:name="Tc_b8fLI2CZpE-Cv_llu1ZRWQ_5_2"/>
      <w:bookmarkStart w:id="488" w:name="Tc_kiFsfYfMvEGwCfBlPQTsmQ_5_0"/>
      <w:bookmarkStart w:id="489" w:name="Tc_klXD0RV_wkaGsozPKqDW1w_4_0"/>
      <w:bookmarkStart w:id="490" w:name="Tc_uGpbazOFHUKiW2uljr6UQA_3_5"/>
      <w:bookmarkStart w:id="491" w:name="Tc_LdAbw6R0uUeqW8-ZRf8vbg_3_2"/>
      <w:bookmarkStart w:id="492" w:name="Tc_dYLpRyeWXUiTuYe79CkFtw_2_2"/>
      <w:bookmarkStart w:id="493" w:name="Tc_aEpYSvvMR0GMXT1p7ijDDQ_1_2"/>
      <w:bookmarkStart w:id="494" w:name="_13f6b145_5d3f_4a24_8e79_391bd95aeb35"/>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tbl>
      <w:tblPr>
        <w:tblW w:w="9252" w:type="dxa"/>
        <w:jc w:val="left"/>
        <w:tblInd w:w="0" w:type="dxa"/>
        <w:tblLayout w:type="fixed"/>
        <w:tblCellMar>
          <w:top w:w="0" w:type="dxa"/>
          <w:left w:w="0" w:type="dxa"/>
          <w:bottom w:w="0" w:type="dxa"/>
          <w:right w:w="0" w:type="dxa"/>
        </w:tblCellMar>
      </w:tblPr>
      <w:tblGrid>
        <w:gridCol w:w="6331"/>
        <w:gridCol w:w="326"/>
        <w:gridCol w:w="211"/>
        <w:gridCol w:w="901"/>
        <w:gridCol w:w="326"/>
        <w:gridCol w:w="211"/>
        <w:gridCol w:w="946"/>
      </w:tblGrid>
      <w:tr>
        <w:trPr/>
        <w:tc>
          <w:tcPr>
            <w:tcW w:w="6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020185" cy="175260"/>
                      <wp:effectExtent l="0" t="0" r="0" b="0"/>
                      <wp:wrapNone/>
                      <wp:docPr id="34" name="Frame34"/>
                      <a:graphic xmlns:a="http://schemas.openxmlformats.org/drawingml/2006/main">
                        <a:graphicData uri="http://schemas.microsoft.com/office/word/2010/wordprocessingShape">
                          <wps:wsp>
                            <wps:cNvSpPr txBox="1"/>
                            <wps:spPr>
                              <a:xfrm>
                                <a:off x="0" y="0"/>
                                <a:ext cx="4020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72135" cy="175260"/>
                      <wp:effectExtent l="0" t="0" r="0" b="0"/>
                      <wp:wrapNone/>
                      <wp:docPr id="37" name="Frame3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00710" cy="175260"/>
                      <wp:effectExtent l="0" t="0" r="0" b="0"/>
                      <wp:wrapNone/>
                      <wp:docPr id="40" name="Frame4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33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59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33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59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33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left"/>
              <w:rPr/>
            </w:pPr>
            <w:r>
              <w:rPr/>
              <w:t>​</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89,136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(129,560)</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4,810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3,684</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Non-cash lease expense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2,404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2,202</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24,225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23,196</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Non-cash interest expense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4,635</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(accretion of discount) amortization of premium on investments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(5,193)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(2,380)</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Non-cash debt extinguishment gain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(173,658)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1,683</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Changes in assets and liabilities: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(17,339)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(4,949)</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2,696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15,640</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(4,332)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(417)</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7,806</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(25,826)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(23,686)</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long-term liabilities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(7,238)</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3,158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(11,099)</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(2,889)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(2,556)</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(101,513)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(122,961)</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pPr>
            <w:r>
              <w:rPr/>
              <w:t>​</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(2,584)</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investments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(200,165)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(132,875)</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Maturities of investments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278,400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308,250</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77,131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172,791</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at-the-market offerings, net of issuance costs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48,936</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946" w:type="dxa"/>
            <w:tcBorders/>
            <w:vAlign w:val="center"/>
          </w:tcPr>
          <w:p>
            <w:pPr>
              <w:pStyle w:val="TableContents"/>
              <w:bidi w:val="0"/>
              <w:spacing w:lineRule="auto" w:line="285" w:before="0" w:after="0"/>
              <w:ind w:left="0" w:right="0" w:hanging="0"/>
              <w:jc w:val="right"/>
              <w:rPr/>
            </w:pPr>
            <w:r>
              <w:rPr/>
              <w:t>—</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proceeds from stock option exercises and employee stock purchase plan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18,396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payments for financing arrangements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66,963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right"/>
              <w:rPr/>
            </w:pPr>
            <w:r>
              <w:rPr/>
              <w:t>​</w:t>
            </w:r>
          </w:p>
        </w:tc>
        <w:tc>
          <w:tcPr>
            <w:tcW w:w="946" w:type="dxa"/>
            <w:tcBorders/>
            <w:shd w:fill="CCEEFF" w:val="clear"/>
            <w:vAlign w:val="center"/>
          </w:tcPr>
          <w:p>
            <w:pPr>
              <w:pStyle w:val="TableContents"/>
              <w:bidi w:val="0"/>
              <w:spacing w:lineRule="auto" w:line="285" w:before="0" w:after="0"/>
              <w:ind w:left="0" w:right="0" w:hanging="0"/>
              <w:jc w:val="right"/>
              <w:rPr/>
            </w:pPr>
            <w:r>
              <w:rPr/>
              <w:t>—</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increase in cash, cash equivalents, and restricted cash</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42,581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49,830</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81,524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124,904</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end of period</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123,960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174,931</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0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46" w:type="dxa"/>
            <w:tcBorders/>
            <w:vAlign w:val="center"/>
          </w:tcPr>
          <w:p>
            <w:pPr>
              <w:pStyle w:val="TableContents"/>
              <w:bidi w:val="0"/>
              <w:spacing w:lineRule="auto" w:line="285" w:before="0" w:after="0"/>
              <w:ind w:left="0" w:right="0" w:hanging="0"/>
              <w:jc w:val="right"/>
              <w:rPr/>
            </w:pPr>
            <w:r>
              <w:rPr/>
              <w:t>​</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14,280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7,084</w:t>
            </w:r>
          </w:p>
        </w:tc>
      </w:tr>
      <w:tr>
        <w:trPr/>
        <w:tc>
          <w:tcPr>
            <w:tcW w:w="6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purchases unpaid at period end</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1,834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63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paid for taxes, net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311</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unaudited condensed consolidated financial statements.</w:t>
      </w:r>
    </w:p>
    <w:p>
      <w:pPr>
        <w:pStyle w:val="TextBody"/>
        <w:bidi w:val="0"/>
        <w:spacing w:lineRule="auto" w:line="285" w:before="0" w:after="0"/>
        <w:ind w:left="0" w:right="0" w:firstLine="720"/>
        <w:jc w:val="left"/>
        <w:rPr/>
      </w:pPr>
      <w:bookmarkStart w:id="495" w:name="_bac8505d_8508_4221_bf38_95fd2b12a8e2"/>
      <w:bookmarkEnd w:id="495"/>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bookmarkStart w:id="496" w:name="_f7a65471_9854_4f3c_82d5_ca72f0d0f042"/>
      <w:bookmarkEnd w:id="496"/>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Blueprint Medicines Corporation</w:t>
      </w:r>
    </w:p>
    <w:p>
      <w:pPr>
        <w:pStyle w:val="TextBody"/>
        <w:bidi w:val="0"/>
        <w:spacing w:lineRule="auto" w:line="285" w:before="0" w:after="0"/>
        <w:ind w:left="0" w:right="0" w:hanging="0"/>
        <w:jc w:val="center"/>
        <w:rPr>
          <w:rFonts w:ascii="Times New Roman;Times;serif" w:hAnsi="Times New Roman;Times;serif"/>
          <w:b/>
          <w:sz w:val="20"/>
        </w:rPr>
      </w:pPr>
      <w:bookmarkStart w:id="497" w:name="Notes_47889"/>
      <w:bookmarkEnd w:id="497"/>
      <w:r>
        <w:rPr>
          <w:rFonts w:ascii="Times New Roman;Times;serif" w:hAnsi="Times New Roman;Times;serif"/>
          <w:b/>
          <w:sz w:val="20"/>
        </w:rPr>
        <w:t>Notes to Condensed Consolidated Financial Statements</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lineRule="auto" w:line="285" w:before="0" w:after="0"/>
        <w:ind w:left="0" w:right="0" w:hanging="0"/>
        <w:jc w:val="center"/>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 Nature of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Blueprint Medicines Corporation (the Company), a Delaware corporation incorporated on October 14, 2008, is a global fully-integrated biopharmaceutical company that invents life-changing medicines in two core focus areas: allergy/inflammation and oncology/hematology. The Company’s approach targets the root causes of disease, using deep scientific knowledge in the Company’s core focus areas and drug discovery expertise across multiple therapeutic modalities.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has a track record of success with two approved medicines, including AYVAKIT®/AYVAKYT® (avapritinib), which the Company is bringing to patients living with systemic mastocytosis (SM) and PDGFRA Exon 18 mutant GIST in the U.S. and Europe. Leveraging the Company’s established research, development, and commercial capability and infrastructure, the Company now aims to significantly scale its impact by advancing a board pipeline of programs ranging from early science to advanced clinical trials in mast cell diseases including SM and chronic urticaria, breast cancer and other solid tumors.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March 31, 2024, the Company had cash, cash equivalents and marketable securities of $735.6 million. Based on the Company’s current operating plans, the Company anticipates that its existing cash, cash equivalents and marketable securities will </w:t>
      </w:r>
      <w:r>
        <w:rPr>
          <w:rFonts w:ascii="Times New Roman;Times;serif" w:hAnsi="Times New Roman;Times;serif"/>
          <w:color w:val="212529"/>
          <w:sz w:val="20"/>
          <w:shd w:fill="FFFFFF" w:val="clear"/>
        </w:rPr>
        <w:t xml:space="preserve">be sufficient to enable it to fund its current operations for at least the next twelve months from the issuance of the financial statements. </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 and Recent Accounting Pronouncements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unaudited interim condensed consolidated financial statements of the Company included herein have been prepared in accordance with accounting principles generally accepted in the U.S.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2023 and notes thereto included in the Company’s Annual Report on Form 10-K for the year ended December 31, 2023, filed with the SEC on February 15, 2024 (2023 Annual Report on Form 10-K).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unaudited interim condensed consolidated financial statements have been prepared on the same basis as the audited financial statements, and updated, as necessary, in this report. In the opinion of the Company’s management, the accompanying unaudited interim condensed consolidated financial statements contain all adjustments that are necessary to present fairly the Company’s financial position as of March 31, 2024, the results of its operations for the three months ended March 31, 2024 and 2023, stockholder’s equity for the three months ended March 31, 2024 and 2023 and cash flows for three months ended March 31, 2024 and 2023. Such adjustments are of a normal and recurring nature. The results for the three months ended March 31, 2024 are not necessarily indicative of the results for the year ending December 31, 2024 or for any future period.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accompanying unaudited interim condensed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and Blueprint Medicines (Italy) S.r.L. All intercompany transactions and balances have been eliminated.</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inventory, operating lease right-of-use assets, operating lease liabilities, stock-based compensation expense, accrued expenses, liabilities related to the sale of future royalties and future revenues, equity investment, and income taxes. Actual results may differ from these estimates.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significant accounting policies used in preparation of these condensed consolidated financial statements for the three months ended March 31, 2024 are consistent with those discussed in Note 2 to the consolidated financial statements in the 2023 Annual Report on Form 10-K, with the exception of the below new policy.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Modification of debt instruments </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When the Company’s debt instrument, where the Company is the debtor, is modified or exchanged, the Company shall analyze whether the modification should be accounted for as a modification or an extinguishment. Modified terms are considered substantially different if, after an exchange or modification of debt instruments with the same creditor, the present value of cash flows under the terms of the new debt instrument differs by at least 10% from the present value of the remaining cash flows under the terms of the original debt instrument. If the modified instrument is considered substantially different from the original debt instrument, the modification or exchange is accounted for as an extinguishment. The new instrument is recorded at its fair value and that fair value is used to determine the extinguishment gain or loss.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New Accounting Pronouncements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From time to time, new accounting pronouncements are issued by the FASB or other standard setting bodies that the Company adopts as of the specified effective date. The Company does not believe that the adoption of recently issued standards have or may have a material impact on its condensed consolidated financial statements and disclosures.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Reclassification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Certain items in the prior year’s condensed consolidated financial statements have been reclassified to conform to the current presentation.</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3. Financing Arrangements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Royalty Pharma Purchase and Sale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June 30, 2022, the Company entered into a purchase and sale agreement (Royalty Purchase Agreement) with Royalty Pharma Investments 2019 ICAV (Royalty Pharma). Pursuant to the Royalty Purchase Agreement, the Company received an upfront payment of $175.0 million in consideration for the Company’s rights to receive royalty payments on the net sales of GAVRETO worldwide, excluding the CStone Territory (as defined below) and the U.S., under the terms of the Roche pralsetinib collaboration agreement.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Despite selling all rights to receive royalties on GAVRETO net sales of the underlying territories to Royalty Pharma, the Company maintained its involvement in the global co-development of pralsetinib with Roche and was therefore involved in the generation of these future royalties. Due to the Company’s significant continued involvement, any royalties and development and commercialization milestones earned pertaining to the underlying territory under the Roche pralsetinib collaboration agreement were recognized as collaboration revenue on the consolidated statements of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operations and comprehensive income (loss) throughout the contract term of the Roche pralsetinib collaboration agreement. The net proceeds received from the transaction were recorded as a liability related to sale of future royalties and revenues on the consolidated balance sheet on June 30, 2022.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February 2023, the Company received written notice from Roche of their election to terminate for convenience the Roche pralsetinib collaboration agreement. The termination became effective February 2024 and the Company regained commercialization and development rights to GAVRETO from Roche worldwide excluding the CStone Territory. In January 2024, the Company decided to discontinue global development and marketing of GAVRETO in territories excluding the U.S. and the CStone Territory following the termination of the Roche pralsetinib collaboration. In connection with and effective upon the termination of the Roche pralsetinib collaboration agreement, on February 22, 2024 (the Royalty Pharma Termination Date), Royalty Pharma and the Company agreed to terminate the Royalty Purchase Agreement (Royalty Pharma Termination Agreement). Following the termination of the Royalty Purchase Agreement, the Company has no outstanding obligations under the Royalty Purchase Agreement, other than the remaining royalty payment obligation related to GAVRETO net sales through the termination effective date</w:t>
      </w:r>
      <w:r>
        <w:rPr>
          <w:rFonts w:ascii="Times New Roman;Times;serif" w:hAnsi="Times New Roman;Times;serif"/>
          <w:sz w:val="20"/>
          <w:shd w:fill="FFFFFF" w:val="clear"/>
        </w:rPr>
        <w:t>.</w:t>
      </w:r>
      <w:r>
        <w:rPr>
          <w:rFonts w:ascii="Times New Roman;Times;serif" w:hAnsi="Times New Roman;Times;serif"/>
          <w:sz w:val="20"/>
        </w:rPr>
        <w:t xml:space="preserve"> As of March 31, 2024, the Company had no plan to enter into a new arrangement to commercialize GAVRETO outside of the U.S. and the CStone territory.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has no material outstanding obligations under the Royalty Pharma Termination Agreement and it was accounted for as a debt extinguishment under ASC 470-50 as the terms and conditions of the Royalty Purchase Agreement had undergone a substantial modification and the modified terms are considered substantially different. As a result, during the three months ended March 31, 2024, the Company recorded a debt extinguishment gain of $173.7 million as other income in the unaudited condensed consolidated statements of operations and comprehensive income (loss). As of March 31, 2024, the net carrying value of liability related to these agreements was $0.9 million, which was determined based on the fair value of the remaining cash flow associated with anticipated future payments outlined in the Royalty Pharma Termination Agreement.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Financing Arrangements with Sixth Street Partners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 July 2022, the Company closed two transactions pursuant to a purchase and sale agreement (Future Revenue Purchase Agreement) and a debt financing transaction for up to $660.0 million (as amended, Financing Agreement) with Sixth Street Partners. Because two transactions were entered into with the same parties and in contemplation of one another, the Company recorded these transactions based on the relative fair values of each freestanding financial instrument and allocated the proceeds in proportion to those fair value amounts.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Sixth Street Partners Purchase and Sale Agreement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Pursuant to the Future Revenue Purchase Agreement, the Company received gross proceeds of $250.0 million in exchange for future royalty payments at a rate of 9.75% on up to $900 million each year of (i) aggregate worldwide annual net product sales of AYVAKIT/AYVAKYT (avapritinib) and (ii), if it is approved, aggregate worldwide annual net product sales of BLU-263 (elenestinib),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 continues to own the research, development, manufacturing and commercialization of AYVAKIT/AYVAKYT and if it is approved, elenestinib, and has significant continuing involvement in the generation of the cash flows under the Future Revenue Purchase Agreement. Therefore, the Company continues to account for any revenue earned from worldwide product sales of AYVAKIT/AYVAKYT and, if it is approved, elenestinib, on its consolidated statements of operations and comprehensive income (loss). Net proceeds received from the transaction were recorded as a liability related to sale of future royalties and revenues on the consolidated balance sheet. The Company accretes the $250.0 million, net of transaction costs of $5.4 million, to the total of these future payments as interest expense using the effective interest method over the estimated life of the arrangement.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payments are made to Sixth Street Partners, the balance of the liability is effectively repaid over the life of the Future Revenue Purchase Agreement. In order to determine the amortization of the liability, the Company estimates the total amount of future revenue payments to be paid to Sixth Street Partners over the life of the arrangement. The exact amount of repayment is likely to change each reporting period. A significant increase or decrease in worldwide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bookmarkStart w:id="498" w:name="Tc_3mRGudO7jEKvzmRF_1lAOw_6_5"/>
      <w:bookmarkStart w:id="499" w:name="Tc_nt1_LmTnskS9sWx4UAingQ_6_2"/>
      <w:bookmarkStart w:id="500" w:name="Tc_rt7uh4bPrkOgXSyOq_o77w_6_0"/>
      <w:bookmarkStart w:id="501" w:name="Tc_IMuJ-3aWgkamN3AnHgUcDg_5_0"/>
      <w:bookmarkStart w:id="502" w:name="Tc_wB0wBluLj06VitIHBWfBDg_4_0"/>
      <w:bookmarkStart w:id="503" w:name="Tc_ZfzsqfQwX0SgbyobpeKqTA_3_5"/>
      <w:bookmarkStart w:id="504" w:name="Tc_P8nT1Bn8sk6HxVonj-FRqw_3_2"/>
      <w:bookmarkStart w:id="505" w:name="Tc_v6IGgKRCE0OWoKvZI5apmg_3_0"/>
      <w:bookmarkStart w:id="506" w:name="Tc_jbK8VSA-KkmXHQtjTOupXg_2_5"/>
      <w:bookmarkStart w:id="507" w:name="Tc_OcuFIe_BekSqw30IjLOSPg_2_2"/>
      <w:bookmarkStart w:id="508" w:name="Tc_3Eh4ThU1iUWIXcnZW0Sd0A_1_2"/>
      <w:bookmarkStart w:id="509" w:name="_c7919a53_8685_4bc5_a937_80544fb8dd84"/>
      <w:bookmarkStart w:id="510" w:name="Tc_nB81ttr8mk6L5F6SKGqomg_6_5"/>
      <w:bookmarkStart w:id="511" w:name="Tc_XjlJY_N6Mkqbguhrldqn2w_6_2"/>
      <w:bookmarkStart w:id="512" w:name="Tc_VmuFQTH_106NDKefkwwz4Q_6_0"/>
      <w:bookmarkStart w:id="513" w:name="Tc_sLbjWOGA0EWnX7tw4oPYyA_5_0"/>
      <w:bookmarkStart w:id="514" w:name="Tc_N7RGglLuQEGdfa8RozxhvA_4_0"/>
      <w:bookmarkStart w:id="515" w:name="Tc__r4JQ4nVdkKEMAR4Sj9pSw_3_5"/>
      <w:bookmarkStart w:id="516" w:name="Tc_dVAbb70aCke5m7bhHh4-pg_3_2"/>
      <w:bookmarkStart w:id="517" w:name="Tc_bYckcxl3vUuQjaZiYx72QQ_3_0"/>
      <w:bookmarkStart w:id="518" w:name="Tc_ncJEuS58CEm79o-HNbVtJQ_2_5"/>
      <w:bookmarkStart w:id="519" w:name="Tc_RK7-8e3koEyPxMc1x_haaQ_2_2"/>
      <w:bookmarkStart w:id="520" w:name="Tc_46HK3jdsm0O6WoZPXaY1zA_1_2"/>
      <w:bookmarkStart w:id="521" w:name="_e305c9a3_e5a2_4eab_b0f2_5adc83671fd3"/>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r>
        <w:rPr>
          <w:rFonts w:ascii="Times New Roman;Times;serif" w:hAnsi="Times New Roman;Times;serif"/>
          <w:sz w:val="20"/>
        </w:rPr>
        <w:t xml:space="preserve">product sales of AYVAKIT/AYVAKYT and, if it is approved, elenestinib, will materially impact the liability related to this arrangement, interest expense and the time period for repayment. The Company periodically assesses the expected payments to Sixth Street Partners and prospectively adjusts the amortization of the liability related to this arrangement for material changes in such payments. As of March 31, 2024, the Company’s estimate of this total interest expense resulted in an effective annual interest rate of 10.8%. </w:t>
      </w:r>
      <w:r>
        <w:rPr>
          <w:rFonts w:ascii="Times New Roman;Times;serif" w:hAnsi="Times New Roman;Times;serif"/>
          <w:sz w:val="20"/>
          <w:shd w:fill="FFFFFF" w:val="clear"/>
        </w:rPr>
        <w:t xml:space="preserve">These estimates contain assumptions that impact the amount recorded and the interest expense that will be recognized in future periods.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March 31, 2024, the net carrying value of the liability related to this arrangement was $266.9 million. The following table shows the activity within the liability account (in thousands):</w:t>
      </w:r>
    </w:p>
    <w:p>
      <w:pPr>
        <w:pStyle w:val="TextBody"/>
        <w:bidi w:val="0"/>
        <w:spacing w:lineRule="auto" w:line="285" w:before="0" w:after="0"/>
        <w:ind w:left="0" w:right="0" w:hanging="0"/>
        <w:jc w:val="left"/>
        <w:rPr/>
      </w:pPr>
      <w:r>
        <w:rPr/>
        <w:t>​</w:t>
      </w:r>
    </w:p>
    <w:tbl>
      <w:tblPr>
        <w:tblW w:w="5472" w:type="dxa"/>
        <w:jc w:val="left"/>
        <w:tblInd w:w="0" w:type="dxa"/>
        <w:tblLayout w:type="fixed"/>
        <w:tblCellMar>
          <w:top w:w="0" w:type="dxa"/>
          <w:left w:w="0" w:type="dxa"/>
          <w:bottom w:w="0" w:type="dxa"/>
          <w:right w:w="0" w:type="dxa"/>
        </w:tblCellMar>
      </w:tblPr>
      <w:tblGrid>
        <w:gridCol w:w="2716"/>
        <w:gridCol w:w="266"/>
        <w:gridCol w:w="223"/>
        <w:gridCol w:w="826"/>
        <w:gridCol w:w="281"/>
        <w:gridCol w:w="223"/>
        <w:gridCol w:w="937"/>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724660" cy="175260"/>
                      <wp:effectExtent l="0" t="0" r="0" b="0"/>
                      <wp:wrapNone/>
                      <wp:docPr id="41" name="Frame41"/>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68910" cy="175260"/>
                      <wp:effectExtent l="0" t="0" r="0" b="0"/>
                      <wp:wrapNone/>
                      <wp:docPr id="42" name="Frame4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1605" cy="175260"/>
                      <wp:effectExtent l="0" t="0" r="0" b="0"/>
                      <wp:wrapNone/>
                      <wp:docPr id="43" name="Frame43"/>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24510" cy="175260"/>
                      <wp:effectExtent l="0" t="0" r="0" b="0"/>
                      <wp:wrapNone/>
                      <wp:docPr id="44" name="Frame4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78435" cy="175260"/>
                      <wp:effectExtent l="0" t="0" r="0" b="0"/>
                      <wp:wrapNone/>
                      <wp:docPr id="45" name="Frame4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1605" cy="175260"/>
                      <wp:effectExtent l="0" t="0" r="0" b="0"/>
                      <wp:wrapNone/>
                      <wp:docPr id="46" name="Frame4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94995" cy="175260"/>
                      <wp:effectExtent l="0" t="0" r="0" b="0"/>
                      <wp:wrapNone/>
                      <wp:docPr id="47" name="Frame47"/>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249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71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   </w:t>
            </w:r>
          </w:p>
        </w:tc>
        <w:tc>
          <w:tcPr>
            <w:tcW w:w="104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81" w:type="dxa"/>
            <w:tcBorders/>
            <w:vAlign w:val="center"/>
          </w:tcPr>
          <w:p>
            <w:pPr>
              <w:pStyle w:val="TableContents"/>
              <w:bidi w:val="0"/>
              <w:spacing w:lineRule="auto" w:line="285" w:before="0" w:after="0"/>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Beginning Balance at January 1</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266,670</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254,328</w:t>
            </w:r>
          </w:p>
        </w:tc>
      </w:tr>
      <w:tr>
        <w:trPr/>
        <w:tc>
          <w:tcPr>
            <w:tcW w:w="27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recognized</w:t>
            </w:r>
          </w:p>
        </w:tc>
        <w:tc>
          <w:tcPr>
            <w:tcW w:w="26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7,096</w:t>
            </w:r>
          </w:p>
        </w:tc>
        <w:tc>
          <w:tcPr>
            <w:tcW w:w="281"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93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7,089</w:t>
            </w:r>
          </w:p>
        </w:tc>
      </w:tr>
      <w:tr>
        <w:trPr/>
        <w:tc>
          <w:tcPr>
            <w:tcW w:w="27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(6,875)</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(2,883)</w:t>
            </w:r>
          </w:p>
        </w:tc>
      </w:tr>
      <w:tr>
        <w:trPr/>
        <w:tc>
          <w:tcPr>
            <w:tcW w:w="27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Carrying value as of March 31</w:t>
            </w:r>
          </w:p>
        </w:tc>
        <w:tc>
          <w:tcPr>
            <w:tcW w:w="266" w:type="dxa"/>
            <w:tcBorders/>
            <w:vAlign w:val="center"/>
          </w:tcPr>
          <w:p>
            <w:pPr>
              <w:pStyle w:val="TableContents"/>
              <w:bidi w:val="0"/>
              <w:spacing w:lineRule="auto" w:line="285"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266,891</w:t>
            </w:r>
          </w:p>
        </w:tc>
        <w:tc>
          <w:tcPr>
            <w:tcW w:w="281" w:type="dxa"/>
            <w:tcBorders/>
            <w:vAlign w:val="center"/>
          </w:tcPr>
          <w:p>
            <w:pPr>
              <w:pStyle w:val="TableContents"/>
              <w:bidi w:val="0"/>
              <w:spacing w:lineRule="auto" w:line="285"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258,534</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Sixth Street Partners Term Loan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The Financing Agreement entered into by the parties in connection with the transaction provides for (i) a senior secured term loan facility of up to $150.0 million and (ii) a senior secured delayed draw term loan facility of up to $250.0 million to be funded in two tranches at the Company’s choice subject to certain terms and conditions. The term loans will mature on June 30, 2028 and bear interest at a variable rate equal to either the Secured Overnight Financing Rate (SOFR) plus 6.50% or the base rate plus 5.50%, subject to a floor of 1% and 2% with respect to the SOFR and base rate, respectively.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part of the Financing Agreement with Sixth Street Partners, the Company received gross proceeds of $150.0 million in July 2022 and incurred an aggregate of $12.2 million of debt discounts and transaction costs. In August 2023, the Company received the first tranche of the senior secured delayed draw term loan facility in the amount of $100.0 million in gross proceeds and incurred $2.1 million of transaction costs. Debt discounts and transaction costs have been recorded as a reduction to the carrying amount of the debt on the Company’s consolidated balance sheet and are amortized as additional interest expenses using the effective interest rate method over the period from issuance through maturity. In addition, the Company may at any time request an incremental term loan in an amount not to exceed $260.0 million on terms to be agreed and subject to the consent of Sixth Street Partners providing such incremental term loan. As of March 31, 2024, the Company’s estimate of the total interest expense resulted in an effective annual interest rate of 13.2%. </w:t>
      </w:r>
      <w:r>
        <w:rPr>
          <w:rFonts w:ascii="Times New Roman;Times;serif" w:hAnsi="Times New Roman;Times;serif"/>
          <w:sz w:val="20"/>
          <w:shd w:fill="FFFFFF" w:val="clear"/>
        </w:rPr>
        <w:t>The carrying amount of the debt as of March 31, 2024 is subject to variable interest rates, which are based on current market rates, and as such, approximates fair value</w:t>
      </w:r>
      <w:r>
        <w:rPr>
          <w:rFonts w:ascii="Times New Roman;Times;serif" w:hAnsi="Times New Roman;Times;serif"/>
          <w:sz w:val="20"/>
        </w:rPr>
        <w:t xml:space="preserve">.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shows the activity within the liability account (in thousands):</w:t>
      </w:r>
    </w:p>
    <w:p>
      <w:pPr>
        <w:pStyle w:val="TextBody"/>
        <w:bidi w:val="0"/>
        <w:spacing w:lineRule="auto" w:line="285" w:before="0" w:after="0"/>
        <w:ind w:left="0" w:right="0" w:hanging="0"/>
        <w:jc w:val="left"/>
        <w:rPr/>
      </w:pPr>
      <w:r>
        <w:rPr/>
        <w:t>​</w:t>
      </w:r>
    </w:p>
    <w:tbl>
      <w:tblPr>
        <w:tblW w:w="5472" w:type="dxa"/>
        <w:jc w:val="left"/>
        <w:tblInd w:w="0" w:type="dxa"/>
        <w:tblLayout w:type="fixed"/>
        <w:tblCellMar>
          <w:top w:w="0" w:type="dxa"/>
          <w:left w:w="0" w:type="dxa"/>
          <w:bottom w:w="0" w:type="dxa"/>
          <w:right w:w="0" w:type="dxa"/>
        </w:tblCellMar>
      </w:tblPr>
      <w:tblGrid>
        <w:gridCol w:w="2716"/>
        <w:gridCol w:w="266"/>
        <w:gridCol w:w="223"/>
        <w:gridCol w:w="826"/>
        <w:gridCol w:w="281"/>
        <w:gridCol w:w="223"/>
        <w:gridCol w:w="937"/>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724660" cy="175260"/>
                      <wp:effectExtent l="0" t="0" r="0" b="0"/>
                      <wp:wrapNone/>
                      <wp:docPr id="48" name="Frame48"/>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68910" cy="175260"/>
                      <wp:effectExtent l="0" t="0" r="0" b="0"/>
                      <wp:wrapNone/>
                      <wp:docPr id="49" name="Frame4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41605" cy="175260"/>
                      <wp:effectExtent l="0" t="0" r="0" b="0"/>
                      <wp:wrapNone/>
                      <wp:docPr id="50" name="Frame50"/>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24510" cy="175260"/>
                      <wp:effectExtent l="0" t="0" r="0" b="0"/>
                      <wp:wrapNone/>
                      <wp:docPr id="51" name="Frame5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78435" cy="175260"/>
                      <wp:effectExtent l="0" t="0" r="0" b="0"/>
                      <wp:wrapNone/>
                      <wp:docPr id="52" name="Frame52"/>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41605" cy="175260"/>
                      <wp:effectExtent l="0" t="0" r="0" b="0"/>
                      <wp:wrapNone/>
                      <wp:docPr id="53" name="Frame53"/>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94995" cy="175260"/>
                      <wp:effectExtent l="0" t="0" r="0" b="0"/>
                      <wp:wrapNone/>
                      <wp:docPr id="54" name="Frame54"/>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249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71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   </w:t>
            </w:r>
          </w:p>
        </w:tc>
        <w:tc>
          <w:tcPr>
            <w:tcW w:w="104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81" w:type="dxa"/>
            <w:tcBorders/>
            <w:vAlign w:val="center"/>
          </w:tcPr>
          <w:p>
            <w:pPr>
              <w:pStyle w:val="TableContents"/>
              <w:bidi w:val="0"/>
              <w:spacing w:lineRule="auto" w:line="285" w:before="0" w:after="0"/>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Beginning Balance at January 1</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238,813</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139,083</w:t>
            </w:r>
          </w:p>
        </w:tc>
      </w:tr>
      <w:tr>
        <w:trPr/>
        <w:tc>
          <w:tcPr>
            <w:tcW w:w="27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recognized</w:t>
            </w:r>
          </w:p>
        </w:tc>
        <w:tc>
          <w:tcPr>
            <w:tcW w:w="266"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7,977</w:t>
            </w:r>
          </w:p>
        </w:tc>
        <w:tc>
          <w:tcPr>
            <w:tcW w:w="281" w:type="dxa"/>
            <w:tcBorders/>
            <w:vAlign w:val="center"/>
          </w:tcPr>
          <w:p>
            <w:pPr>
              <w:pStyle w:val="TableContents"/>
              <w:bidi w:val="0"/>
              <w:spacing w:lineRule="auto" w:line="285" w:before="0" w:after="0"/>
              <w:ind w:left="0" w:right="0" w:hanging="0"/>
              <w:jc w:val="left"/>
              <w:rPr/>
            </w:pPr>
            <w:r>
              <w:rPr/>
              <w:t>​</w:t>
            </w:r>
          </w:p>
        </w:tc>
        <w:tc>
          <w:tcPr>
            <w:tcW w:w="223" w:type="dxa"/>
            <w:tcBorders/>
            <w:vAlign w:val="center"/>
          </w:tcPr>
          <w:p>
            <w:pPr>
              <w:pStyle w:val="TableContents"/>
              <w:bidi w:val="0"/>
              <w:spacing w:lineRule="auto" w:line="285" w:before="0" w:after="0"/>
              <w:ind w:left="0" w:right="0" w:hanging="0"/>
              <w:jc w:val="left"/>
              <w:rPr/>
            </w:pPr>
            <w:r>
              <w:rPr/>
              <w:t>​</w:t>
            </w:r>
          </w:p>
        </w:tc>
        <w:tc>
          <w:tcPr>
            <w:tcW w:w="93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4,630</w:t>
            </w:r>
          </w:p>
        </w:tc>
      </w:tr>
      <w:tr>
        <w:trPr/>
        <w:tc>
          <w:tcPr>
            <w:tcW w:w="27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Payments</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(7,405)</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(4,201)</w:t>
            </w:r>
          </w:p>
        </w:tc>
      </w:tr>
      <w:tr>
        <w:trPr/>
        <w:tc>
          <w:tcPr>
            <w:tcW w:w="27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Carrying value as of March 31</w:t>
            </w:r>
          </w:p>
        </w:tc>
        <w:tc>
          <w:tcPr>
            <w:tcW w:w="266" w:type="dxa"/>
            <w:tcBorders/>
            <w:vAlign w:val="center"/>
          </w:tcPr>
          <w:p>
            <w:pPr>
              <w:pStyle w:val="TableContents"/>
              <w:bidi w:val="0"/>
              <w:spacing w:lineRule="auto" w:line="285"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239,385</w:t>
            </w:r>
          </w:p>
        </w:tc>
        <w:tc>
          <w:tcPr>
            <w:tcW w:w="281" w:type="dxa"/>
            <w:tcBorders/>
            <w:vAlign w:val="center"/>
          </w:tcPr>
          <w:p>
            <w:pPr>
              <w:pStyle w:val="TableContents"/>
              <w:bidi w:val="0"/>
              <w:spacing w:lineRule="auto" w:line="285"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139,512</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obligations under the Financing Agreement are secured, subject to certain exceptions, by security interests in substantially all assets of the Company and certain of its subsidiaries. The Financing Agreement contains customary negative covenants that, among other things and subject to certain exceptions, could restrict the Company’s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indebtedness. The Financing Agreement also requires the Company to maintain a consolidated liquidity of at least (i) $50.0 million during the period commencing from the date on which the term loans are funded to the date which is the day before the next term loans are funded and (ii) $80.0 million for each day thereafter. As of March 31, 2024, the Company was in compliance with the applicable terms and conditions of the covenants under the Financing Agreement.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b/>
          <w:sz w:val="20"/>
        </w:rPr>
      </w:pPr>
      <w:bookmarkStart w:id="522" w:name="Tc_2Wgrb5CrvEaZ_mOMDNA2gw_6_11"/>
      <w:bookmarkStart w:id="523" w:name="Tc_P_Xgsu6-w0ChCEwgTP00OA_6_8"/>
      <w:bookmarkStart w:id="524" w:name="Tc_nQx6BIy_106AMEBMdsF_1A_6_5"/>
      <w:bookmarkStart w:id="525" w:name="Tc_EvtI-p9A7UqdUP1K7NIOsw_6_2"/>
      <w:bookmarkStart w:id="526" w:name="Tc_iuUeOwQq10Ca1axGGIE3Tw_6_0"/>
      <w:bookmarkStart w:id="527" w:name="Tc_wkEW8UE2L0S-6eX6lnBB4g_5_0"/>
      <w:bookmarkStart w:id="528" w:name="Tc_46r-9DsUHkm4dLGfUAjLhA_4_11"/>
      <w:bookmarkStart w:id="529" w:name="Tc_V2IT3KGsdUODaVyzCjDNcQ_4_8"/>
      <w:bookmarkStart w:id="530" w:name="Tc_xH76RPqz70qEFFXIzv3bzg_4_5"/>
      <w:bookmarkStart w:id="531" w:name="Tc_2y6C3Po8-kWXIZ2xwx2vOg_4_2"/>
      <w:bookmarkStart w:id="532" w:name="Tc_IY0h3tqI7U-2h82mmr1TUA_4_0"/>
      <w:bookmarkStart w:id="533" w:name="Tc_HSDkrgh-1EySRX_lK2EMxA_3_11"/>
      <w:bookmarkStart w:id="534" w:name="Tc_EIf9ezXs7U-ABm3LZKB9BQ_3_8"/>
      <w:bookmarkStart w:id="535" w:name="Tc_7d7OUQtx7Uak4yJAMuAHnQ_3_5"/>
      <w:bookmarkStart w:id="536" w:name="Tc_BQzBA-gaek6rsE7gXxkikA_3_2"/>
      <w:bookmarkStart w:id="537" w:name="Tc_fTFfUyMYlUmx1L4OGy4WnA_2_11"/>
      <w:bookmarkStart w:id="538" w:name="Tc_VmWBK_jtqUe56svSha3Lbw_2_8"/>
      <w:bookmarkStart w:id="539" w:name="Tc_Qq9u0levR0ub4vc_S-N7OA_2_5"/>
      <w:bookmarkStart w:id="540" w:name="Tc_DmGdnJS6LEiKbMDzG93s0Q_2_2"/>
      <w:bookmarkStart w:id="541" w:name="Tc_-uo-eDaV4Embt7QzcAGHrw_1_8"/>
      <w:bookmarkStart w:id="542" w:name="Tc_iHmMNpGrskSerhL7KE4y2Q_1_2"/>
      <w:bookmarkStart w:id="543" w:name="_5f8e33a9_8da6_43a5_815c_5d1f2711d578"/>
      <w:bookmarkStart w:id="544" w:name="Tc_hsZgdDBwx0etYdxxDHf0VQ_6_11"/>
      <w:bookmarkStart w:id="545" w:name="Tc_b2D8igJ4sE-MicK2E3jrpw_6_8"/>
      <w:bookmarkStart w:id="546" w:name="Tc_qPsv7bMtYkmXn6BEClHNvw_6_5"/>
      <w:bookmarkStart w:id="547" w:name="Tc_ogYJWsW1Ok24JbZd0Qsq_w_6_2"/>
      <w:bookmarkStart w:id="548" w:name="Tc_3hCh3OQS6UuuwEE4AuAiuA_6_0"/>
      <w:bookmarkStart w:id="549" w:name="Tc_YjhkGYgrTEK_FaE9IeNtEQ_5_0"/>
      <w:bookmarkStart w:id="550" w:name="Tc_7hrWtvmc_UiHbBizlZXRgA_4_11"/>
      <w:bookmarkStart w:id="551" w:name="Tc_I3K1duGdmke0ra3-bdRm6w_4_8"/>
      <w:bookmarkStart w:id="552" w:name="Tc_ivirID69d0ugtPyemIVpuQ_4_5"/>
      <w:bookmarkStart w:id="553" w:name="Tc_xudqc3hh10eggvh5Fef59Q_4_2"/>
      <w:bookmarkStart w:id="554" w:name="Tc__ZpoZ1x_dUihhghafEE0fA_4_0"/>
      <w:bookmarkStart w:id="555" w:name="Tc_kt90YvHtGEy74MdOIsd7Cg_3_11"/>
      <w:bookmarkStart w:id="556" w:name="Tc_uSU3xrtStki2XlW4RNFavw_3_8"/>
      <w:bookmarkStart w:id="557" w:name="Tc_44972xtdTE6T095xcL_QUw_3_5"/>
      <w:bookmarkStart w:id="558" w:name="Tc_UwTTAcYQjUaI_Bx0944FKw_3_2"/>
      <w:bookmarkStart w:id="559" w:name="Tc_fLrtiwwYkU2xlS12jP-hrg_2_11"/>
      <w:bookmarkStart w:id="560" w:name="Tc_d2EdNz4WSku7Mx9NMJ093w_2_8"/>
      <w:bookmarkStart w:id="561" w:name="Tc_76E8c6N-40yNbi1BCRPuMw_2_5"/>
      <w:bookmarkStart w:id="562" w:name="Tc_eOpNWMe_Lk-vzh6prJwnpw_2_2"/>
      <w:bookmarkStart w:id="563" w:name="Tc_wq0XXQsMhEyoNsPrVyi2jg_1_8"/>
      <w:bookmarkStart w:id="564" w:name="Tc_S8Abkni5QkqeAbQf4Cnt3w_1_2"/>
      <w:bookmarkStart w:id="565" w:name="_282794a7_a42c_4c77_b54f_209a41b36a77"/>
      <w:bookmarkStart w:id="566" w:name="Tc_ymXA9tu8BEWdYkKnXtidOg_6_11"/>
      <w:bookmarkStart w:id="567" w:name="Tc_P8Uh_x0LB0eL4xU7BLsNdA_6_8"/>
      <w:bookmarkStart w:id="568" w:name="Tc_oqj0bCoMX0CS0TMnJmyS-g_6_5"/>
      <w:bookmarkStart w:id="569" w:name="Tc_cTXPrlV59UuWgeoRHaoHWQ_6_2"/>
      <w:bookmarkStart w:id="570" w:name="Tc_5eWiucJfvEWaDMJ1FXZTtA_6_0"/>
      <w:bookmarkStart w:id="571" w:name="Tc_PLqKv6rOvESjqjV2CLGWGg_5_0"/>
      <w:bookmarkStart w:id="572" w:name="Tc_NoEJiDeYpUqL44PUPZER2g_4_11"/>
      <w:bookmarkStart w:id="573" w:name="Tc_MVELZcnTV0K6sVi3cj4MPA_4_8"/>
      <w:bookmarkStart w:id="574" w:name="Tc_x7IwTugVhE6uP5Yailj_Qg_4_5"/>
      <w:bookmarkStart w:id="575" w:name="Tc_uZQplK3tKUy59mGMocMCbQ_4_2"/>
      <w:bookmarkStart w:id="576" w:name="Tc_CLbRKmKe20KOyq7DWBraGw_4_0"/>
      <w:bookmarkStart w:id="577" w:name="Tc_b2QxnmI3EUi-3RTPNTtcEA_3_0"/>
      <w:bookmarkStart w:id="578" w:name="Tc_tf6m3Y4SpUWtVtL7BNtIeg_2_11"/>
      <w:bookmarkStart w:id="579" w:name="Tc_mZRpu_S8Y0uzetz7MXxQSQ_2_8"/>
      <w:bookmarkStart w:id="580" w:name="Tc_79lP3fZIokyaV38V9Cz1rQ_2_5"/>
      <w:bookmarkStart w:id="581" w:name="Tc_0Vm4YupSJkO5q9tATohHBQ_2_2"/>
      <w:bookmarkStart w:id="582" w:name="Tc_fkZrVqMv60GnKPuQJdwy_g_2_0"/>
      <w:bookmarkStart w:id="583" w:name="Tc_5auEYMLqCE6cE1moOs87Xg_1_11"/>
      <w:bookmarkStart w:id="584" w:name="Tc_F0wwHGiLBkaWDUtbGwrdpg_1_8"/>
      <w:bookmarkStart w:id="585" w:name="Tc_8lpuwlDGBUGVOuZ8wJ6Pug_1_5"/>
      <w:bookmarkStart w:id="586" w:name="Tc_AFKJn_I23UCoZGQ34U52dQ_1_2"/>
      <w:bookmarkStart w:id="587" w:name="_360511f8_3541_443b_ac37_c54057062330"/>
      <w:bookmarkStart w:id="588" w:name="Tc_AKS-rJgOyEqNkk8mJzzPjA_6_11"/>
      <w:bookmarkStart w:id="589" w:name="Tc_MZzqEOH8306QLfokXS9CFg_6_8"/>
      <w:bookmarkStart w:id="590" w:name="Tc_rO7f5xrBc0upWx5hj_1sKw_6_5"/>
      <w:bookmarkStart w:id="591" w:name="Tc_c_VZW1rsNEGDZFPtj8LibA_6_2"/>
      <w:bookmarkStart w:id="592" w:name="Tc_xr1STVYBOUy1doiEH7XEGg_6_0"/>
      <w:bookmarkStart w:id="593" w:name="Tc_FwgXSj5L9UOKaxX8qQxVLg_5_0"/>
      <w:bookmarkStart w:id="594" w:name="Tc_ooQkQGAdw0-t9K5xLp9XCw_4_11"/>
      <w:bookmarkStart w:id="595" w:name="Tc_GrMNuJFnhUmhktFA63EEtg_4_8"/>
      <w:bookmarkStart w:id="596" w:name="Tc_u5wyJpYk3Ue6xhw65VtRLA_4_5"/>
      <w:bookmarkStart w:id="597" w:name="Tc_be0HWfV1vkGPOMt6cv45Wg_4_2"/>
      <w:bookmarkStart w:id="598" w:name="Tc_wpi9LElRMkeH_3jkwfEv2g_4_0"/>
      <w:bookmarkStart w:id="599" w:name="Tc_uHPdjs_Iwk-0v-27HBCJnw_3_0"/>
      <w:bookmarkStart w:id="600" w:name="Tc_xxcZIlkO7kmpJEbSkG_3DA_2_11"/>
      <w:bookmarkStart w:id="601" w:name="Tc_feD322QV7E6CDpdyeVNRcg_2_8"/>
      <w:bookmarkStart w:id="602" w:name="Tc_XPb0LsSHSUuFOpPb_W69Pw_2_5"/>
      <w:bookmarkStart w:id="603" w:name="Tc_7bF0GeDFmEekSPrlvp7ynw_2_2"/>
      <w:bookmarkStart w:id="604" w:name="Tc_9XTpnPKO-0CoCKfcL7Eghw_2_0"/>
      <w:bookmarkStart w:id="605" w:name="Tc_ZzSXzA3wCEOUKAG8x3qSGw_1_11"/>
      <w:bookmarkStart w:id="606" w:name="Tc_7ZmOTBnVVk-vYRv70LPj9g_1_8"/>
      <w:bookmarkStart w:id="607" w:name="Tc_KIGtXgtk6UKHY3WSMhlJ3Q_1_5"/>
      <w:bookmarkStart w:id="608" w:name="Tc_foftd6XUqk6lqaBD3MPP8g_1_2"/>
      <w:bookmarkStart w:id="609" w:name="_9e84090c_b136_40f7_9e75_be6bced43fef"/>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r>
        <w:rPr>
          <w:rFonts w:ascii="Times New Roman;Times;serif" w:hAnsi="Times New Roman;Times;serif"/>
          <w:b/>
          <w:sz w:val="20"/>
        </w:rPr>
        <w:t>4. Marketable Securities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Marketable securities consisted of the following at March 31, 2024 and December 31, 2023 (in thousands):</w:t>
      </w:r>
    </w:p>
    <w:p>
      <w:pPr>
        <w:pStyle w:val="TextBody"/>
        <w:bidi w:val="0"/>
        <w:spacing w:lineRule="auto" w:line="285" w:before="0" w:after="0"/>
        <w:ind w:left="0" w:right="0" w:hanging="0"/>
        <w:jc w:val="left"/>
        <w:rPr/>
      </w:pPr>
      <w:r>
        <w:rPr/>
        <w:t>​</w:t>
      </w:r>
    </w:p>
    <w:tbl>
      <w:tblPr>
        <w:tblW w:w="8630" w:type="dxa"/>
        <w:jc w:val="left"/>
        <w:tblInd w:w="0" w:type="dxa"/>
        <w:tblLayout w:type="fixed"/>
        <w:tblCellMar>
          <w:top w:w="0" w:type="dxa"/>
          <w:left w:w="0" w:type="dxa"/>
          <w:bottom w:w="0" w:type="dxa"/>
          <w:right w:w="0" w:type="dxa"/>
        </w:tblCellMar>
      </w:tblPr>
      <w:tblGrid>
        <w:gridCol w:w="3421"/>
        <w:gridCol w:w="326"/>
        <w:gridCol w:w="211"/>
        <w:gridCol w:w="781"/>
        <w:gridCol w:w="326"/>
        <w:gridCol w:w="371"/>
        <w:gridCol w:w="559"/>
        <w:gridCol w:w="326"/>
        <w:gridCol w:w="270"/>
        <w:gridCol w:w="616"/>
        <w:gridCol w:w="326"/>
        <w:gridCol w:w="211"/>
        <w:gridCol w:w="88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72335" cy="175260"/>
                      <wp:effectExtent l="0" t="0" r="0" b="0"/>
                      <wp:wrapNone/>
                      <wp:docPr id="55" name="Frame55"/>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95935" cy="175260"/>
                      <wp:effectExtent l="0" t="0" r="0" b="0"/>
                      <wp:wrapNone/>
                      <wp:docPr id="58" name="Frame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35585" cy="175260"/>
                      <wp:effectExtent l="0" t="0" r="0" b="0"/>
                      <wp:wrapNone/>
                      <wp:docPr id="60" name="Frame6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54965" cy="175260"/>
                      <wp:effectExtent l="0" t="0" r="0" b="0"/>
                      <wp:wrapNone/>
                      <wp:docPr id="61" name="Frame61"/>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71450" cy="175260"/>
                      <wp:effectExtent l="0" t="0" r="0" b="0"/>
                      <wp:wrapNone/>
                      <wp:docPr id="63" name="Frame63"/>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91160" cy="175260"/>
                      <wp:effectExtent l="0" t="0" r="0" b="0"/>
                      <wp:wrapNone/>
                      <wp:docPr id="64" name="Frame6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62610" cy="175260"/>
                      <wp:effectExtent l="0" t="0" r="0" b="0"/>
                      <wp:wrapNone/>
                      <wp:docPr id="67" name="Frame6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lineRule="auto" w:line="285" w:before="0" w:after="0"/>
              <w:ind w:left="0" w:right="0" w:hanging="0"/>
              <w:jc w:val="left"/>
              <w:rPr/>
            </w:pPr>
            <w:r>
              <w:rPr/>
              <w:t>    </w:t>
            </w:r>
          </w:p>
        </w:tc>
        <w:tc>
          <w:tcPr>
            <w:tcW w:w="93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Unrealized </w:t>
            </w:r>
          </w:p>
        </w:tc>
        <w:tc>
          <w:tcPr>
            <w:tcW w:w="326" w:type="dxa"/>
            <w:tcBorders/>
            <w:vAlign w:val="center"/>
          </w:tcPr>
          <w:p>
            <w:pPr>
              <w:pStyle w:val="TableContents"/>
              <w:bidi w:val="0"/>
              <w:spacing w:lineRule="auto" w:line="285" w:before="0" w:after="0"/>
              <w:ind w:left="0" w:right="0" w:hanging="0"/>
              <w:jc w:val="left"/>
              <w:rPr/>
            </w:pPr>
            <w:r>
              <w:rPr/>
              <w:t>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lineRule="auto" w:line="285" w:before="0" w:after="0"/>
              <w:ind w:left="0" w:right="0" w:hanging="0"/>
              <w:jc w:val="left"/>
              <w:rPr/>
            </w:pPr>
            <w:r>
              <w:rPr/>
              <w:t>    </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747"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March 31, 2024</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lineRule="auto" w:line="285" w:before="0" w:after="0"/>
              <w:ind w:left="0" w:right="0" w:hanging="0"/>
              <w:jc w:val="center"/>
              <w:rPr/>
            </w:pPr>
            <w:r>
              <w:rPr/>
              <w:t> </w:t>
            </w:r>
          </w:p>
        </w:tc>
        <w:tc>
          <w:tcPr>
            <w:tcW w:w="9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326" w:type="dxa"/>
            <w:tcBorders/>
            <w:vAlign w:val="center"/>
          </w:tcPr>
          <w:p>
            <w:pPr>
              <w:pStyle w:val="TableContents"/>
              <w:bidi w:val="0"/>
              <w:spacing w:lineRule="auto" w:line="285"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lineRule="auto" w:line="285"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71" w:type="dxa"/>
            <w:tcBorders/>
            <w:shd w:fill="CCEEFF" w:val="clear"/>
            <w:vAlign w:val="center"/>
          </w:tcPr>
          <w:p>
            <w:pPr>
              <w:pStyle w:val="TableContents"/>
              <w:bidi w:val="0"/>
              <w:spacing w:lineRule="auto" w:line="285" w:before="0" w:after="0"/>
              <w:ind w:left="0" w:right="0" w:hanging="0"/>
              <w:jc w:val="left"/>
              <w:rPr/>
            </w:pPr>
            <w:r>
              <w:rPr/>
              <w:t>​</w:t>
            </w:r>
          </w:p>
        </w:tc>
        <w:tc>
          <w:tcPr>
            <w:tcW w:w="559"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61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6"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120,099</w:t>
            </w:r>
          </w:p>
        </w:tc>
        <w:tc>
          <w:tcPr>
            <w:tcW w:w="326" w:type="dxa"/>
            <w:tcBorders/>
            <w:vAlign w:val="center"/>
          </w:tcPr>
          <w:p>
            <w:pPr>
              <w:pStyle w:val="TableContents"/>
              <w:bidi w:val="0"/>
              <w:spacing w:lineRule="auto" w:line="285" w:before="0" w:after="0"/>
              <w:ind w:left="0" w:right="0" w:hanging="0"/>
              <w:jc w:val="left"/>
              <w:rPr/>
            </w:pPr>
            <w:r>
              <w:rPr/>
              <w:t>​</w:t>
            </w:r>
          </w:p>
        </w:tc>
        <w:tc>
          <w:tcPr>
            <w:tcW w:w="3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119,760</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treasury obligations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502,933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502,518</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623,032</w:t>
            </w:r>
          </w:p>
        </w:tc>
        <w:tc>
          <w:tcPr>
            <w:tcW w:w="326" w:type="dxa"/>
            <w:tcBorders/>
            <w:vAlign w:val="center"/>
          </w:tcPr>
          <w:p>
            <w:pPr>
              <w:pStyle w:val="TableContents"/>
              <w:bidi w:val="0"/>
              <w:spacing w:lineRule="auto" w:line="285" w:before="0" w:after="0"/>
              <w:ind w:left="0" w:right="0" w:hanging="0"/>
              <w:jc w:val="left"/>
              <w:rPr/>
            </w:pPr>
            <w:r>
              <w:rPr/>
              <w:t>​</w:t>
            </w:r>
          </w:p>
        </w:tc>
        <w:tc>
          <w:tcPr>
            <w:tcW w:w="37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vAlign w:val="center"/>
          </w:tcPr>
          <w:p>
            <w:pPr>
              <w:pStyle w:val="TableContents"/>
              <w:bidi w:val="0"/>
              <w:spacing w:lineRule="auto" w:line="285"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622,278</w:t>
            </w:r>
          </w:p>
        </w:tc>
      </w:tr>
    </w:tbl>
    <w:p>
      <w:pPr>
        <w:pStyle w:val="TextBody"/>
        <w:bidi w:val="0"/>
        <w:spacing w:lineRule="auto" w:line="285" w:before="0" w:after="0"/>
        <w:ind w:left="0" w:right="0" w:hanging="0"/>
        <w:jc w:val="left"/>
        <w:rPr/>
      </w:pPr>
      <w:r>
        <w:rPr/>
        <w:t>​</w:t>
      </w:r>
    </w:p>
    <w:tbl>
      <w:tblPr>
        <w:tblW w:w="8630" w:type="dxa"/>
        <w:jc w:val="left"/>
        <w:tblInd w:w="0" w:type="dxa"/>
        <w:tblLayout w:type="fixed"/>
        <w:tblCellMar>
          <w:top w:w="0" w:type="dxa"/>
          <w:left w:w="0" w:type="dxa"/>
          <w:bottom w:w="0" w:type="dxa"/>
          <w:right w:w="0" w:type="dxa"/>
        </w:tblCellMar>
      </w:tblPr>
      <w:tblGrid>
        <w:gridCol w:w="3421"/>
        <w:gridCol w:w="326"/>
        <w:gridCol w:w="211"/>
        <w:gridCol w:w="781"/>
        <w:gridCol w:w="326"/>
        <w:gridCol w:w="309"/>
        <w:gridCol w:w="621"/>
        <w:gridCol w:w="326"/>
        <w:gridCol w:w="270"/>
        <w:gridCol w:w="616"/>
        <w:gridCol w:w="326"/>
        <w:gridCol w:w="211"/>
        <w:gridCol w:w="88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72335" cy="175260"/>
                      <wp:effectExtent l="0" t="0" r="0" b="0"/>
                      <wp:wrapNone/>
                      <wp:docPr id="68" name="Frame68"/>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95935" cy="175260"/>
                      <wp:effectExtent l="0" t="0" r="0" b="0"/>
                      <wp:wrapNone/>
                      <wp:docPr id="71" name="Frame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96215" cy="175260"/>
                      <wp:effectExtent l="0" t="0" r="0" b="0"/>
                      <wp:wrapNone/>
                      <wp:docPr id="73" name="Frame73"/>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94335" cy="175260"/>
                      <wp:effectExtent l="0" t="0" r="0" b="0"/>
                      <wp:wrapNone/>
                      <wp:docPr id="74" name="Frame74"/>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71450" cy="175260"/>
                      <wp:effectExtent l="0" t="0" r="0" b="0"/>
                      <wp:wrapNone/>
                      <wp:docPr id="76" name="Frame76"/>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91160" cy="175260"/>
                      <wp:effectExtent l="0" t="0" r="0" b="0"/>
                      <wp:wrapNone/>
                      <wp:docPr id="77" name="Frame77"/>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62610" cy="175260"/>
                      <wp:effectExtent l="0" t="0" r="0" b="0"/>
                      <wp:wrapNone/>
                      <wp:docPr id="80" name="Frame8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lineRule="auto" w:line="285" w:before="0" w:after="0"/>
              <w:ind w:left="0" w:right="0" w:hanging="0"/>
              <w:jc w:val="left"/>
              <w:rPr/>
            </w:pPr>
            <w:r>
              <w:rPr/>
              <w:t>    </w:t>
            </w:r>
          </w:p>
        </w:tc>
        <w:tc>
          <w:tcPr>
            <w:tcW w:w="93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Unrealized </w:t>
            </w:r>
          </w:p>
        </w:tc>
        <w:tc>
          <w:tcPr>
            <w:tcW w:w="326" w:type="dxa"/>
            <w:tcBorders/>
            <w:vAlign w:val="center"/>
          </w:tcPr>
          <w:p>
            <w:pPr>
              <w:pStyle w:val="TableContents"/>
              <w:bidi w:val="0"/>
              <w:spacing w:lineRule="auto" w:line="285" w:before="0" w:after="0"/>
              <w:ind w:left="0" w:right="0" w:hanging="0"/>
              <w:jc w:val="left"/>
              <w:rPr/>
            </w:pPr>
            <w:r>
              <w:rPr/>
              <w:t>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lineRule="auto" w:line="285" w:before="0" w:after="0"/>
              <w:ind w:left="0" w:right="0" w:hanging="0"/>
              <w:jc w:val="left"/>
              <w:rPr/>
            </w:pPr>
            <w:r>
              <w:rPr/>
              <w:t>    </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747"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December 31, 2023</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lineRule="auto" w:line="285" w:before="0" w:after="0"/>
              <w:ind w:left="0" w:right="0" w:hanging="0"/>
              <w:jc w:val="center"/>
              <w:rPr/>
            </w:pPr>
            <w:r>
              <w:rPr/>
              <w:t> </w:t>
            </w:r>
          </w:p>
        </w:tc>
        <w:tc>
          <w:tcPr>
            <w:tcW w:w="9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326" w:type="dxa"/>
            <w:tcBorders/>
            <w:vAlign w:val="center"/>
          </w:tcPr>
          <w:p>
            <w:pPr>
              <w:pStyle w:val="TableContents"/>
              <w:bidi w:val="0"/>
              <w:spacing w:lineRule="auto" w:line="285"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lineRule="auto" w:line="285"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09" w:type="dxa"/>
            <w:tcBorders/>
            <w:shd w:fill="CCEEFF" w:val="clear"/>
            <w:vAlign w:val="center"/>
          </w:tcPr>
          <w:p>
            <w:pPr>
              <w:pStyle w:val="TableContents"/>
              <w:bidi w:val="0"/>
              <w:spacing w:lineRule="auto" w:line="285" w:before="0" w:after="0"/>
              <w:ind w:left="0" w:right="0" w:hanging="0"/>
              <w:jc w:val="left"/>
              <w:rPr/>
            </w:pPr>
            <w:r>
              <w:rPr/>
              <w:t>​</w:t>
            </w:r>
          </w:p>
        </w:tc>
        <w:tc>
          <w:tcPr>
            <w:tcW w:w="62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61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6"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agency securities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170,194</w:t>
            </w:r>
          </w:p>
        </w:tc>
        <w:tc>
          <w:tcPr>
            <w:tcW w:w="326" w:type="dxa"/>
            <w:tcBorders/>
            <w:vAlign w:val="center"/>
          </w:tcPr>
          <w:p>
            <w:pPr>
              <w:pStyle w:val="TableContents"/>
              <w:bidi w:val="0"/>
              <w:spacing w:lineRule="auto" w:line="285" w:before="0" w:after="0"/>
              <w:ind w:left="0" w:right="0" w:hanging="0"/>
              <w:jc w:val="left"/>
              <w:rPr/>
            </w:pPr>
            <w:r>
              <w:rPr/>
              <w:t>​</w:t>
            </w:r>
          </w:p>
        </w:tc>
        <w:tc>
          <w:tcPr>
            <w:tcW w:w="30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169,803</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treasury obligations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525,880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526,082</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696,074</w:t>
            </w:r>
          </w:p>
        </w:tc>
        <w:tc>
          <w:tcPr>
            <w:tcW w:w="326" w:type="dxa"/>
            <w:tcBorders/>
            <w:vAlign w:val="center"/>
          </w:tcPr>
          <w:p>
            <w:pPr>
              <w:pStyle w:val="TableContents"/>
              <w:bidi w:val="0"/>
              <w:spacing w:lineRule="auto" w:line="285" w:before="0" w:after="0"/>
              <w:ind w:left="0" w:right="0" w:hanging="0"/>
              <w:jc w:val="left"/>
              <w:rPr/>
            </w:pPr>
            <w:r>
              <w:rPr/>
              <w:t>​</w:t>
            </w:r>
          </w:p>
        </w:tc>
        <w:tc>
          <w:tcPr>
            <w:tcW w:w="3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615</w:t>
            </w:r>
          </w:p>
        </w:tc>
        <w:tc>
          <w:tcPr>
            <w:tcW w:w="326" w:type="dxa"/>
            <w:tcBorders/>
            <w:vAlign w:val="center"/>
          </w:tcPr>
          <w:p>
            <w:pPr>
              <w:pStyle w:val="TableContents"/>
              <w:bidi w:val="0"/>
              <w:spacing w:lineRule="auto" w:line="285" w:before="0" w:after="0"/>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695,885</w:t>
            </w:r>
          </w:p>
        </w:tc>
      </w:tr>
    </w:tbl>
    <w:p>
      <w:pPr>
        <w:pStyle w:val="TextBody"/>
        <w:bidi w:val="0"/>
        <w:spacing w:lineRule="auto" w:line="285" w:before="0" w:after="0"/>
        <w:ind w:left="0" w:right="0" w:hanging="0"/>
        <w:jc w:val="left"/>
        <w:rPr/>
      </w:pPr>
      <w:r>
        <w:rPr/>
        <w:t> </w:t>
      </w:r>
    </w:p>
    <w:p>
      <w:pPr>
        <w:pStyle w:val="TextBody"/>
        <w:shd w:fill="FFFFFF" w:val="clear"/>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amortized cost basis and estimated fair value of the Company’s available-for-sale securities by contractual maturity as of March 31, 2024</w:t>
      </w:r>
      <w:r>
        <w:rPr>
          <w:rFonts w:ascii="Times New Roman;Times;serif" w:hAnsi="Times New Roman;Times;serif"/>
          <w:color w:val="212529"/>
          <w:sz w:val="20"/>
        </w:rPr>
        <w:t xml:space="preserve"> and December 31, 2023 (in thousands):</w:t>
      </w:r>
    </w:p>
    <w:p>
      <w:pPr>
        <w:pStyle w:val="TextBody"/>
        <w:bidi w:val="0"/>
        <w:spacing w:lineRule="auto" w:line="285" w:before="0" w:after="0"/>
        <w:ind w:left="0" w:right="0" w:hanging="0"/>
        <w:jc w:val="left"/>
        <w:rPr>
          <w:color w:val="212529"/>
        </w:rPr>
      </w:pPr>
      <w:r>
        <w:rPr>
          <w:color w:val="212529"/>
        </w:rPr>
        <w:t>​</w:t>
      </w:r>
    </w:p>
    <w:tbl>
      <w:tblPr>
        <w:tblW w:w="7763" w:type="dxa"/>
        <w:jc w:val="left"/>
        <w:tblInd w:w="0" w:type="dxa"/>
        <w:tblLayout w:type="fixed"/>
        <w:tblCellMar>
          <w:top w:w="0" w:type="dxa"/>
          <w:left w:w="0" w:type="dxa"/>
          <w:bottom w:w="0" w:type="dxa"/>
          <w:right w:w="0" w:type="dxa"/>
        </w:tblCellMar>
      </w:tblPr>
      <w:tblGrid>
        <w:gridCol w:w="2386"/>
        <w:gridCol w:w="326"/>
        <w:gridCol w:w="211"/>
        <w:gridCol w:w="781"/>
        <w:gridCol w:w="326"/>
        <w:gridCol w:w="211"/>
        <w:gridCol w:w="781"/>
        <w:gridCol w:w="326"/>
        <w:gridCol w:w="211"/>
        <w:gridCol w:w="781"/>
        <w:gridCol w:w="326"/>
        <w:gridCol w:w="211"/>
        <w:gridCol w:w="886"/>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515110" cy="175260"/>
                      <wp:effectExtent l="0" t="0" r="0" b="0"/>
                      <wp:wrapNone/>
                      <wp:docPr id="81" name="Frame81"/>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5935" cy="175260"/>
                      <wp:effectExtent l="0" t="0" r="0" b="0"/>
                      <wp:wrapNone/>
                      <wp:docPr id="84" name="Frame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95935" cy="175260"/>
                      <wp:effectExtent l="0" t="0" r="0" b="0"/>
                      <wp:wrapNone/>
                      <wp:docPr id="87" name="Frame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95935" cy="175260"/>
                      <wp:effectExtent l="0" t="0" r="0" b="0"/>
                      <wp:wrapNone/>
                      <wp:docPr id="90" name="Frame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62610" cy="175260"/>
                      <wp:effectExtent l="0" t="0" r="0" b="0"/>
                      <wp:wrapNone/>
                      <wp:docPr id="93" name="Frame9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3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lineRule="auto" w:line="285" w:before="0" w:after="0"/>
              <w:ind w:left="0" w:right="0" w:hanging="0"/>
              <w:jc w:val="center"/>
              <w:rPr/>
            </w:pPr>
            <w:r>
              <w:rPr/>
              <w:t>    </w:t>
            </w:r>
          </w:p>
        </w:tc>
        <w:tc>
          <w:tcPr>
            <w:tcW w:w="241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lineRule="auto" w:line="285" w:before="0" w:after="0"/>
              <w:ind w:left="0" w:right="0" w:hanging="0"/>
              <w:jc w:val="center"/>
              <w:rPr/>
            </w:pPr>
            <w:r>
              <w:rPr/>
              <w:t>    </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lineRule="auto" w:line="285"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3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Within one year</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535,195</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534,575</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639,881</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639,355</w:t>
            </w:r>
          </w:p>
        </w:tc>
      </w:tr>
      <w:tr>
        <w:trPr/>
        <w:tc>
          <w:tcPr>
            <w:tcW w:w="23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After one through five years</w:t>
            </w:r>
          </w:p>
        </w:tc>
        <w:tc>
          <w:tcPr>
            <w:tcW w:w="32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87,837</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87,703</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56,193</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56,530</w:t>
            </w:r>
          </w:p>
        </w:tc>
      </w:tr>
      <w:tr>
        <w:trPr/>
        <w:tc>
          <w:tcPr>
            <w:tcW w:w="23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623,032</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622,278</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696,074</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695,885</w:t>
            </w:r>
          </w:p>
        </w:tc>
      </w:tr>
    </w:tbl>
    <w:p>
      <w:pPr>
        <w:pStyle w:val="TextBody"/>
        <w:bidi w:val="0"/>
        <w:spacing w:lineRule="auto" w:line="285" w:before="0" w:after="0"/>
        <w:ind w:left="0" w:right="0" w:hanging="0"/>
        <w:jc w:val="left"/>
        <w:rPr>
          <w:color w:val="212529"/>
        </w:rPr>
      </w:pPr>
      <w:r>
        <w:rPr>
          <w:color w:val="212529"/>
        </w:rPr>
        <w:t> </w:t>
      </w:r>
    </w:p>
    <w:p>
      <w:pPr>
        <w:pStyle w:val="TextBody"/>
        <w:bidi w:val="0"/>
        <w:spacing w:lineRule="auto" w:line="285" w:before="0" w:after="0"/>
        <w:ind w:left="0" w:right="0" w:hanging="0"/>
        <w:jc w:val="left"/>
        <w:rPr>
          <w:color w:val="212529"/>
        </w:rPr>
      </w:pPr>
      <w:r>
        <w:rPr>
          <w:color w:val="212529"/>
        </w:rPr>
        <w:t>​</w:t>
      </w:r>
    </w:p>
    <w:p>
      <w:pPr>
        <w:pStyle w:val="TextBody"/>
        <w:shd w:fill="FFFFFF" w:val="clear"/>
        <w:bidi w:val="0"/>
        <w:spacing w:lineRule="auto" w:line="285" w:before="0" w:after="0"/>
        <w:ind w:left="0" w:right="0" w:firstLine="720"/>
        <w:jc w:val="left"/>
        <w:rPr/>
      </w:pPr>
      <w:r>
        <w:rPr/>
        <w:t>​</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March 31, 2024 and December 31, 2023, the Company held 84 and 62 debt securities, respectively, that were in an unrealized loss position. The following table summarizes the estimated fair value and the aggregate unrealized loss of the Company’s available-for-sale securities that are in loss position as of March 31, 2024 and December 31, 2023 by the length of time the security has been in loss position (in thousands):</w:t>
      </w:r>
    </w:p>
    <w:p>
      <w:pPr>
        <w:pStyle w:val="TextBody"/>
        <w:shd w:fill="FFFFFF" w:val="clear"/>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437"/>
        <w:gridCol w:w="109"/>
        <w:gridCol w:w="211"/>
        <w:gridCol w:w="781"/>
        <w:gridCol w:w="206"/>
        <w:gridCol w:w="270"/>
        <w:gridCol w:w="616"/>
        <w:gridCol w:w="326"/>
        <w:gridCol w:w="211"/>
        <w:gridCol w:w="781"/>
        <w:gridCol w:w="326"/>
        <w:gridCol w:w="266"/>
        <w:gridCol w:w="665"/>
      </w:tblGrid>
      <w:tr>
        <w:trPr/>
        <w:tc>
          <w:tcPr>
            <w:tcW w:w="5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452495" cy="175260"/>
                      <wp:effectExtent l="0" t="0" r="0" b="0"/>
                      <wp:wrapNone/>
                      <wp:docPr id="94" name="Frame94"/>
                      <a:graphic xmlns:a="http://schemas.openxmlformats.org/drawingml/2006/main">
                        <a:graphicData uri="http://schemas.microsoft.com/office/word/2010/wordprocessingShape">
                          <wps:wsp>
                            <wps:cNvSpPr txBox="1"/>
                            <wps:spPr>
                              <a:xfrm>
                                <a:off x="0" y="0"/>
                                <a:ext cx="3452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5" name="Frame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95935" cy="175260"/>
                      <wp:effectExtent l="0" t="0" r="0" b="0"/>
                      <wp:wrapNone/>
                      <wp:docPr id="97" name="Frame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0810" cy="175260"/>
                      <wp:effectExtent l="0" t="0" r="0" b="0"/>
                      <wp:wrapNone/>
                      <wp:docPr id="98" name="Frame9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71450" cy="175260"/>
                      <wp:effectExtent l="0" t="0" r="0" b="0"/>
                      <wp:wrapNone/>
                      <wp:docPr id="99" name="Frame99"/>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91160" cy="175260"/>
                      <wp:effectExtent l="0" t="0" r="0" b="0"/>
                      <wp:wrapNone/>
                      <wp:docPr id="100" name="Frame10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95935" cy="175260"/>
                      <wp:effectExtent l="0" t="0" r="0" b="0"/>
                      <wp:wrapNone/>
                      <wp:docPr id="103" name="Frame10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68910" cy="175260"/>
                      <wp:effectExtent l="0" t="0" r="0" b="0"/>
                      <wp:wrapNone/>
                      <wp:docPr id="105" name="Frame10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22275" cy="175260"/>
                      <wp:effectExtent l="0" t="0" r="0" b="0"/>
                      <wp:wrapNone/>
                      <wp:docPr id="106" name="Frame106"/>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43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8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lineRule="auto" w:line="285" w:before="0" w:after="0"/>
              <w:ind w:left="0" w:right="0" w:hanging="0"/>
              <w:jc w:val="center"/>
              <w:rPr/>
            </w:pPr>
            <w:r>
              <w:rPr/>
              <w:t>    </w:t>
            </w:r>
          </w:p>
        </w:tc>
        <w:tc>
          <w:tcPr>
            <w:tcW w:w="224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543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c>
          <w:tcPr>
            <w:tcW w:w="206" w:type="dxa"/>
            <w:tcBorders/>
            <w:vAlign w:val="center"/>
          </w:tcPr>
          <w:p>
            <w:pPr>
              <w:pStyle w:val="TableContents"/>
              <w:bidi w:val="0"/>
              <w:spacing w:lineRule="auto" w:line="285" w:before="0" w:after="0"/>
              <w:ind w:left="0" w:right="0" w:hanging="0"/>
              <w:jc w:val="left"/>
              <w:rPr/>
            </w:pPr>
            <w:r>
              <w:rPr/>
              <w:t>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lineRule="auto" w:line="285" w:before="0" w:after="0"/>
              <w:ind w:left="0" w:right="0" w:hanging="0"/>
              <w:jc w:val="left"/>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w:t>
            </w:r>
          </w:p>
        </w:tc>
        <w:tc>
          <w:tcPr>
            <w:tcW w:w="326" w:type="dxa"/>
            <w:tcBorders/>
            <w:vAlign w:val="center"/>
          </w:tcPr>
          <w:p>
            <w:pPr>
              <w:pStyle w:val="TableContents"/>
              <w:bidi w:val="0"/>
              <w:spacing w:lineRule="auto" w:line="285" w:before="0" w:after="0"/>
              <w:ind w:left="0" w:right="0" w:hanging="0"/>
              <w:jc w:val="left"/>
              <w:rPr/>
            </w:pPr>
            <w:r>
              <w:rPr/>
              <w:t>  </w:t>
            </w:r>
          </w:p>
        </w:tc>
        <w:tc>
          <w:tcPr>
            <w:tcW w:w="93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r>
      <w:tr>
        <w:trPr/>
        <w:tc>
          <w:tcPr>
            <w:tcW w:w="543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206" w:type="dxa"/>
            <w:tcBorders/>
            <w:vAlign w:val="center"/>
          </w:tcPr>
          <w:p>
            <w:pPr>
              <w:pStyle w:val="TableContents"/>
              <w:bidi w:val="0"/>
              <w:spacing w:lineRule="auto" w:line="285"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lineRule="auto" w:line="285" w:before="0" w:after="0"/>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r>
      <w:tr>
        <w:trPr/>
        <w:tc>
          <w:tcPr>
            <w:tcW w:w="543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Debt securities in unrealized loss position for 12 months or less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439,535</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267,917</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(550)</w:t>
            </w:r>
          </w:p>
        </w:tc>
      </w:tr>
      <w:tr>
        <w:trPr/>
        <w:tc>
          <w:tcPr>
            <w:tcW w:w="543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Debt securities in unrealized loss position for more than 12 months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54,782</w:t>
            </w:r>
          </w:p>
        </w:tc>
        <w:tc>
          <w:tcPr>
            <w:tcW w:w="2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64,659</w:t>
            </w:r>
          </w:p>
        </w:tc>
        <w:tc>
          <w:tcPr>
            <w:tcW w:w="326" w:type="dxa"/>
            <w:tcBorders/>
            <w:vAlign w:val="center"/>
          </w:tcPr>
          <w:p>
            <w:pPr>
              <w:pStyle w:val="TableContents"/>
              <w:bidi w:val="0"/>
              <w:spacing w:lineRule="auto" w:line="285" w:before="0" w:after="0"/>
              <w:ind w:left="0" w:right="0" w:hanging="0"/>
              <w:jc w:val="center"/>
              <w:rPr/>
            </w:pPr>
            <w:r>
              <w:rPr/>
              <w:t>    </w:t>
            </w:r>
          </w:p>
        </w:tc>
        <w:tc>
          <w:tcPr>
            <w:tcW w:w="2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(254)</w:t>
            </w:r>
          </w:p>
        </w:tc>
      </w:tr>
      <w:tr>
        <w:trPr/>
        <w:tc>
          <w:tcPr>
            <w:tcW w:w="543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debt securities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494,317</w:t>
            </w:r>
          </w:p>
        </w:tc>
        <w:tc>
          <w:tcPr>
            <w:tcW w:w="20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332,576</w:t>
            </w:r>
          </w:p>
        </w:tc>
        <w:tc>
          <w:tcPr>
            <w:tcW w:w="326" w:type="dxa"/>
            <w:tcBorders/>
            <w:shd w:fill="CCEEFF" w:val="clear"/>
            <w:vAlign w:val="center"/>
          </w:tcPr>
          <w:p>
            <w:pPr>
              <w:pStyle w:val="TableContents"/>
              <w:bidi w:val="0"/>
              <w:spacing w:lineRule="auto" w:line="285" w:before="0" w:after="0"/>
              <w:ind w:left="0" w:right="0" w:hanging="0"/>
              <w:jc w:val="center"/>
              <w:rPr/>
            </w:pPr>
            <w:r>
              <w:rPr/>
              <w:t>    </w:t>
            </w:r>
          </w:p>
        </w:tc>
        <w:tc>
          <w:tcPr>
            <w:tcW w:w="2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(804)</w:t>
            </w:r>
          </w:p>
        </w:tc>
      </w:tr>
    </w:tbl>
    <w:p>
      <w:pPr>
        <w:pStyle w:val="TextBody"/>
        <w:shd w:fill="FFFFFF" w:val="clear"/>
        <w:bidi w:val="0"/>
        <w:spacing w:lineRule="auto" w:line="285" w:before="0" w:after="0"/>
        <w:ind w:left="0" w:right="0" w:hanging="0"/>
        <w:jc w:val="left"/>
        <w:rPr/>
      </w:pPr>
      <w:r>
        <w:rPr/>
        <w:t> </w:t>
      </w:r>
    </w:p>
    <w:p>
      <w:pPr>
        <w:pStyle w:val="TextBody"/>
        <w:shd w:fill="FFFFFF" w:val="clear"/>
        <w:bidi w:val="0"/>
        <w:spacing w:lineRule="auto" w:line="285" w:before="0" w:after="0"/>
        <w:ind w:left="0" w:right="0" w:hanging="0"/>
        <w:jc w:val="left"/>
        <w:rPr/>
      </w:pPr>
      <w:r>
        <w:rPr/>
        <w:t>​</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 has the intent and ability to hold its debt securities until recovery of amortized cost basis. As a result, the Company did not recognize any differences between the fair value and amortized cost basis as a loss in its condensed consolidated statements of operations and comprehensive income (loss) for the three months ended March 31, 2024 and 2023. The Company did not record any credit-related impairments for its available-for-sale securities for the three months ended March 31, 2024 and 2023.</w:t>
      </w:r>
    </w:p>
    <w:p>
      <w:pPr>
        <w:pStyle w:val="TextBody"/>
        <w:shd w:fill="FFFFFF" w:val="clear"/>
        <w:bidi w:val="0"/>
        <w:spacing w:lineRule="auto" w:line="285" w:before="0" w:after="0"/>
        <w:ind w:left="0" w:right="0" w:firstLine="720"/>
        <w:jc w:val="left"/>
        <w:rPr>
          <w:color w:val="212529"/>
        </w:rPr>
      </w:pPr>
      <w:r>
        <w:rPr>
          <w:color w:val="212529"/>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color w:val="212529"/>
          <w:sz w:val="20"/>
        </w:rPr>
      </w:pPr>
      <w:bookmarkStart w:id="610" w:name="Tc_E-uMjo7iIUW-pKtvyq3c5g_3_5"/>
      <w:bookmarkStart w:id="611" w:name="Tc_huQgoPrZoUKusB2N7VJe0A_3_2"/>
      <w:bookmarkStart w:id="612" w:name="Tc_CVi7ztuAb0yP4fvfnuLqew_3_0"/>
      <w:bookmarkStart w:id="613" w:name="Tc_R43ytS5hHU2khz318BxvLw_2_5"/>
      <w:bookmarkStart w:id="614" w:name="Tc_Cvt0jXCY4EqjpY7ZHzyvoQ_2_2"/>
      <w:bookmarkStart w:id="615" w:name="Tc_9HwqDfE-yEOcWFy3_WeLqg_1_2"/>
      <w:bookmarkStart w:id="616" w:name="_1ae58243_8d91_4e47_bf3c_7f7f3aaadd24"/>
      <w:bookmarkEnd w:id="610"/>
      <w:bookmarkEnd w:id="611"/>
      <w:bookmarkEnd w:id="612"/>
      <w:bookmarkEnd w:id="613"/>
      <w:bookmarkEnd w:id="614"/>
      <w:bookmarkEnd w:id="615"/>
      <w:bookmarkEnd w:id="616"/>
      <w:r>
        <w:rPr>
          <w:rFonts w:ascii="Times New Roman;Times;serif" w:hAnsi="Times New Roman;Times;serif"/>
          <w:color w:val="212529"/>
          <w:sz w:val="20"/>
        </w:rPr>
        <w:t>The following table summarizes the proceeds from maturities of debt securities during the three months ended March 31, 2024 and 2023 (in thousands):</w:t>
      </w:r>
    </w:p>
    <w:p>
      <w:pPr>
        <w:pStyle w:val="TextBody"/>
        <w:bidi w:val="0"/>
        <w:spacing w:lineRule="auto" w:line="285" w:before="0" w:after="0"/>
        <w:ind w:left="0" w:right="0" w:hanging="0"/>
        <w:jc w:val="left"/>
        <w:rPr/>
      </w:pPr>
      <w:r>
        <w:rPr/>
        <w:t>​</w:t>
      </w:r>
    </w:p>
    <w:tbl>
      <w:tblPr>
        <w:tblW w:w="6140" w:type="dxa"/>
        <w:jc w:val="left"/>
        <w:tblInd w:w="0" w:type="dxa"/>
        <w:tblLayout w:type="fixed"/>
        <w:tblCellMar>
          <w:top w:w="0" w:type="dxa"/>
          <w:left w:w="0" w:type="dxa"/>
          <w:bottom w:w="0" w:type="dxa"/>
          <w:right w:w="0" w:type="dxa"/>
        </w:tblCellMar>
      </w:tblPr>
      <w:tblGrid>
        <w:gridCol w:w="3541"/>
        <w:gridCol w:w="109"/>
        <w:gridCol w:w="223"/>
        <w:gridCol w:w="826"/>
        <w:gridCol w:w="281"/>
        <w:gridCol w:w="223"/>
        <w:gridCol w:w="937"/>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248535" cy="175260"/>
                      <wp:effectExtent l="0" t="0" r="0" b="0"/>
                      <wp:wrapNone/>
                      <wp:docPr id="107" name="Frame107"/>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41605" cy="175260"/>
                      <wp:effectExtent l="0" t="0" r="0" b="0"/>
                      <wp:wrapNone/>
                      <wp:docPr id="109" name="Frame109"/>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24510" cy="175260"/>
                      <wp:effectExtent l="0" t="0" r="0" b="0"/>
                      <wp:wrapNone/>
                      <wp:docPr id="110" name="Frame11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78435" cy="175260"/>
                      <wp:effectExtent l="0" t="0" r="0" b="0"/>
                      <wp:wrapNone/>
                      <wp:docPr id="111" name="Frame111"/>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1605" cy="175260"/>
                      <wp:effectExtent l="0" t="0" r="0" b="0"/>
                      <wp:wrapNone/>
                      <wp:docPr id="112" name="Frame112"/>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94995" cy="175260"/>
                      <wp:effectExtent l="0" t="0" r="0" b="0"/>
                      <wp:wrapNone/>
                      <wp:docPr id="113" name="Frame113"/>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9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5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4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81" w:type="dxa"/>
            <w:tcBorders/>
            <w:vAlign w:val="center"/>
          </w:tcPr>
          <w:p>
            <w:pPr>
              <w:pStyle w:val="TableContents"/>
              <w:bidi w:val="0"/>
              <w:spacing w:lineRule="auto" w:line="285" w:before="0" w:after="0"/>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maturities of debt securities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278,400</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22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308,250</w:t>
            </w:r>
          </w:p>
        </w:tc>
      </w:tr>
    </w:tbl>
    <w:p>
      <w:pPr>
        <w:pStyle w:val="TextBody"/>
        <w:bidi w:val="0"/>
        <w:spacing w:lineRule="auto" w:line="285" w:before="0" w:after="0"/>
        <w:ind w:left="0" w:right="0" w:hanging="0"/>
        <w:jc w:val="left"/>
        <w:rPr>
          <w:color w:val="212529"/>
        </w:rPr>
      </w:pPr>
      <w:r>
        <w:rPr>
          <w:color w:val="212529"/>
        </w:rPr>
        <w:t> </w:t>
      </w:r>
    </w:p>
    <w:p>
      <w:pPr>
        <w:pStyle w:val="TextBody"/>
        <w:bidi w:val="0"/>
        <w:spacing w:lineRule="auto" w:line="285" w:before="0" w:after="0"/>
        <w:ind w:left="0" w:right="0" w:hanging="0"/>
        <w:jc w:val="left"/>
        <w:rPr>
          <w:color w:val="212529"/>
        </w:rPr>
      </w:pPr>
      <w:r>
        <w:rPr>
          <w:color w:val="212529"/>
        </w:rPr>
        <w:t>​</w:t>
      </w:r>
    </w:p>
    <w:p>
      <w:pPr>
        <w:pStyle w:val="TextBody"/>
        <w:bidi w:val="0"/>
        <w:spacing w:lineRule="auto" w:line="285" w:before="0" w:after="0"/>
        <w:ind w:left="0" w:right="0" w:firstLine="720"/>
        <w:jc w:val="left"/>
        <w:rPr>
          <w:color w:val="212529"/>
        </w:rPr>
      </w:pPr>
      <w:r>
        <w:rPr>
          <w:color w:val="212529"/>
        </w:rPr>
        <w:t>​</w:t>
      </w:r>
    </w:p>
    <w:p>
      <w:pPr>
        <w:pStyle w:val="TextBody"/>
        <w:bidi w:val="0"/>
        <w:spacing w:lineRule="auto" w:line="285" w:before="0" w:after="0"/>
        <w:ind w:left="0" w:right="0" w:firstLine="720"/>
        <w:jc w:val="left"/>
        <w:rPr>
          <w:rFonts w:ascii="Times New Roman;Times;serif" w:hAnsi="Times New Roman;Times;serif"/>
          <w:color w:val="212529"/>
          <w:sz w:val="20"/>
        </w:rPr>
      </w:pPr>
      <w:r>
        <w:rPr>
          <w:rFonts w:ascii="Times New Roman;Times;serif" w:hAnsi="Times New Roman;Times;serif"/>
          <w:color w:val="212529"/>
          <w:sz w:val="20"/>
        </w:rPr>
        <w:t>The Company did not realize any gains or losses from maturities of debt securities for the three months ended March 31, 2024 and 2023.</w:t>
      </w:r>
    </w:p>
    <w:p>
      <w:pPr>
        <w:pStyle w:val="TextBody"/>
        <w:bidi w:val="0"/>
        <w:spacing w:lineRule="auto" w:line="285" w:before="0" w:after="0"/>
        <w:ind w:left="0" w:right="0" w:hanging="0"/>
        <w:jc w:val="left"/>
        <w:rPr>
          <w:color w:val="212529"/>
        </w:rPr>
      </w:pPr>
      <w:r>
        <w:rPr>
          <w:color w:val="212529"/>
        </w:rPr>
        <w:t>​</w:t>
      </w:r>
    </w:p>
    <w:p>
      <w:pPr>
        <w:pStyle w:val="TextBody"/>
        <w:bidi w:val="0"/>
        <w:spacing w:lineRule="auto" w:line="285" w:before="0" w:after="160"/>
        <w:ind w:left="0" w:right="0" w:hanging="0"/>
        <w:jc w:val="left"/>
        <w:rPr>
          <w:rFonts w:ascii="Times New Roman;Times;serif" w:hAnsi="Times New Roman;Times;serif"/>
          <w:b/>
          <w:sz w:val="20"/>
        </w:rPr>
      </w:pPr>
      <w:bookmarkStart w:id="617" w:name="Tc_bY99SZktc0mBTV1XOzClqw_9_12"/>
      <w:bookmarkStart w:id="618" w:name="Tc_4-49NJhvGkON9eoyYhDkgA_9_11"/>
      <w:bookmarkStart w:id="619" w:name="Tc_K7I3Gf6-8EGL5K2V7XSq3Q_9_8"/>
      <w:bookmarkStart w:id="620" w:name="Tc_5Eh7oMdevEivD71ccxasOA_9_5"/>
      <w:bookmarkStart w:id="621" w:name="Tc_Bd2hGu9XFUSwV0wHxd7eiA_9_2"/>
      <w:bookmarkStart w:id="622" w:name="Tc_ONe-9aCczkOUqQ5ZSbrYlQ_9_0"/>
      <w:bookmarkStart w:id="623" w:name="Tc_BNbKY0e7qUSfeO7PJn76vg_8_12"/>
      <w:bookmarkStart w:id="624" w:name="Tc_WaBkS1nIjEeXdX4WXWE73Q_8_9"/>
      <w:bookmarkStart w:id="625" w:name="Tc_ksGYVmX0K06OxAwOCSFfGg_8_0"/>
      <w:bookmarkStart w:id="626" w:name="Tc_K0rE_NKNhUmYOVrBNmTuAw_7_12"/>
      <w:bookmarkStart w:id="627" w:name="Tc_NGuNBJSES06ehMrnMlQWlw_7_0"/>
      <w:bookmarkStart w:id="628" w:name="Tc_pdN0dhI79kGbmYMhWv36jw_6_0"/>
      <w:bookmarkStart w:id="629" w:name="Tc_VxxkTmAJ8UulkCmagrdxng_5_12"/>
      <w:bookmarkStart w:id="630" w:name="Tc_i7TyKcfwA0Otzuj7eev8Hw_5_11"/>
      <w:bookmarkStart w:id="631" w:name="Tc_bx9XVpMdREOo91KRoPFCBg_5_9"/>
      <w:bookmarkStart w:id="632" w:name="Tc_7_cTMxpXikKC1_NLFFfn0g_5_8"/>
      <w:bookmarkStart w:id="633" w:name="Tc_nHrQocsMCEGXaDGyfZJhVg_5_5"/>
      <w:bookmarkStart w:id="634" w:name="Tc_CVnjutfVqU-WI96IBTE9ug_5_2"/>
      <w:bookmarkStart w:id="635" w:name="Tc_QEvfGYKUvkSB12_8pxJybg_5_0"/>
      <w:bookmarkStart w:id="636" w:name="Tc_aW4s4MaWy0aiPZ05n9AF5Q_4_0"/>
      <w:bookmarkStart w:id="637" w:name="Tc_QpKtLo7YVkWDWTUAlPGa6g_3_11"/>
      <w:bookmarkStart w:id="638" w:name="Tc_nFjEtmPQbEi8iICIkH3Hlg_3_8"/>
      <w:bookmarkStart w:id="639" w:name="Tc_l8cFfLrxQkix2v-MoxZztQ_3_5"/>
      <w:bookmarkStart w:id="640" w:name="Tc_XvfH6xI5n0-FQe2CxPJsfQ_3_2"/>
      <w:bookmarkStart w:id="641" w:name="Tc_36G2DXJBdk-9bCGMjeC5Sg_3_0"/>
      <w:bookmarkStart w:id="642" w:name="Tc_QDBoW3yQrkiCTzMFEqqoTw_2_11"/>
      <w:bookmarkStart w:id="643" w:name="Tc_zNklU7_MBkKtOvFBeDBSWg_2_8"/>
      <w:bookmarkStart w:id="644" w:name="Tc_TbL8S21boEuG_Kt3yKeVTQ_2_5"/>
      <w:bookmarkStart w:id="645" w:name="Tc_eXoNr8kHIEivwRbZeIihQg_2_2"/>
      <w:bookmarkStart w:id="646" w:name="Tc_m-RAkpOfXkKTO64D-4w8Dg_1_11"/>
      <w:bookmarkStart w:id="647" w:name="Tc_09fplAJNZkOPzZwLVUahSA_1_8"/>
      <w:bookmarkStart w:id="648" w:name="Tc_PkWRL1C0w0SQiVxyXG3BqA_1_5"/>
      <w:bookmarkStart w:id="649" w:name="_0afdae7e_a779_4cc8_9b24_c3cb770e6a44"/>
      <w:bookmarkStart w:id="650" w:name="Tc_lM0BsGOhRku-dVDCCRJgBQ_9_12"/>
      <w:bookmarkStart w:id="651" w:name="Tc_p6UWycCWUUel51Ewdxes4g_9_11"/>
      <w:bookmarkStart w:id="652" w:name="Tc_FPgHhJUHt0WpXox0UnzivQ_9_8"/>
      <w:bookmarkStart w:id="653" w:name="Tc_nlxNztHnmkGHwpi06IPVGg_9_5"/>
      <w:bookmarkStart w:id="654" w:name="Tc_wtrrcz7wm0yFW4gNoIMsvQ_9_2"/>
      <w:bookmarkStart w:id="655" w:name="Tc__hcmFLeMnUe93ZlgIhlC1g_9_0"/>
      <w:bookmarkStart w:id="656" w:name="Tc_pV2b40Lm9kmKECVX71i-WQ_8_12"/>
      <w:bookmarkStart w:id="657" w:name="Tc_KJTDs_JU70SSea5kfcenqg_8_9"/>
      <w:bookmarkStart w:id="658" w:name="Tc_3dPKAAlh2U-65HG8SinkdQ_8_0"/>
      <w:bookmarkStart w:id="659" w:name="Tc_Su_4vuXff0OFKMkKnjx0bg_7_12"/>
      <w:bookmarkStart w:id="660" w:name="Tc_HBbq6B03hUeFXxJ32kMRMQ_7_6"/>
      <w:bookmarkStart w:id="661" w:name="Tc_OM1N1puEgk-x4_ZAZBa4ag_7_0"/>
      <w:bookmarkStart w:id="662" w:name="Tc_4RC_hR6uOEaRPMyab2yKBA_6_0"/>
      <w:bookmarkStart w:id="663" w:name="Tc_awoo0l-K8kinBGx-V6uwtg_5_12"/>
      <w:bookmarkStart w:id="664" w:name="Tc_iW1LRdB6t0ubQ0AnuIV4lg_5_11"/>
      <w:bookmarkStart w:id="665" w:name="Tc_5oCj92y34keoK0qxoTI8Kg_5_9"/>
      <w:bookmarkStart w:id="666" w:name="Tc_Ti9maKgFm0GXJjHVhvbkxg_5_8"/>
      <w:bookmarkStart w:id="667" w:name="Tc_JaPcEcGBKkK4ajLgFrmfgA_5_5"/>
      <w:bookmarkStart w:id="668" w:name="Tc_lRc61M0M4UOspnTcWYN7XA_5_2"/>
      <w:bookmarkStart w:id="669" w:name="Tc_EMkuf_m60kqxD1lqhK6IzQ_5_0"/>
      <w:bookmarkStart w:id="670" w:name="Tc_Bew38zWG1Uembni3mZNTkA_4_0"/>
      <w:bookmarkStart w:id="671" w:name="Tc_h6EPmvqxMEeBDuGaFwgiZA_3_11"/>
      <w:bookmarkStart w:id="672" w:name="Tc_092WpCJtUkyvYpz-rfFUYg_3_8"/>
      <w:bookmarkStart w:id="673" w:name="Tc_91KyCJTWCk-iNZlj7DMdiw_3_5"/>
      <w:bookmarkStart w:id="674" w:name="Tc_lncqIYnxA0eTf6VM1ClODw_3_2"/>
      <w:bookmarkStart w:id="675" w:name="Tc_X4zkfx6dbUiHn7-J0JvwTg_3_0"/>
      <w:bookmarkStart w:id="676" w:name="Tc_UgVqz2ItrkmHz9RvnktnkA_2_11"/>
      <w:bookmarkStart w:id="677" w:name="Tc_44R8az7YnU60jBgP2Cacng_2_8"/>
      <w:bookmarkStart w:id="678" w:name="Tc_HHdBUIUo7UKPae88VrksOQ_2_5"/>
      <w:bookmarkStart w:id="679" w:name="Tc_Jx4YUD5hY0CvcPN-nIgHJA_2_2"/>
      <w:bookmarkStart w:id="680" w:name="Tc_b29eYqmfU0-gAC0ZApZxnA_1_11"/>
      <w:bookmarkStart w:id="681" w:name="Tc_cnm8yJgayk2iBYRLKkiFBA_1_8"/>
      <w:bookmarkStart w:id="682" w:name="Tc_YCq-5ESlnUG_dj-P__c5QQ_1_5"/>
      <w:bookmarkStart w:id="683" w:name="_b5e410fc_a25f_4f8e_8cc7_95c591eab7c9"/>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r>
        <w:rPr>
          <w:rFonts w:ascii="Times New Roman;Times;serif" w:hAnsi="Times New Roman;Times;serif"/>
          <w:b/>
          <w:sz w:val="20"/>
        </w:rPr>
        <w:t>5. Fair Value of Financial Instruments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Company’s cash equivalents and marketable securities measured at fair value on a recurring basis as of March 31, 2024 (in thousands):</w:t>
      </w:r>
    </w:p>
    <w:tbl>
      <w:tblPr>
        <w:tblW w:w="8842" w:type="dxa"/>
        <w:jc w:val="left"/>
        <w:tblInd w:w="0" w:type="dxa"/>
        <w:tblLayout w:type="fixed"/>
        <w:tblCellMar>
          <w:top w:w="0" w:type="dxa"/>
          <w:left w:w="0" w:type="dxa"/>
          <w:bottom w:w="0" w:type="dxa"/>
          <w:right w:w="0" w:type="dxa"/>
        </w:tblCellMar>
      </w:tblPr>
      <w:tblGrid>
        <w:gridCol w:w="3421"/>
        <w:gridCol w:w="326"/>
        <w:gridCol w:w="211"/>
        <w:gridCol w:w="781"/>
        <w:gridCol w:w="326"/>
        <w:gridCol w:w="211"/>
        <w:gridCol w:w="781"/>
        <w:gridCol w:w="326"/>
        <w:gridCol w:w="211"/>
        <w:gridCol w:w="781"/>
        <w:gridCol w:w="326"/>
        <w:gridCol w:w="363"/>
        <w:gridCol w:w="778"/>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72335" cy="175260"/>
                      <wp:effectExtent l="0" t="0" r="0" b="0"/>
                      <wp:wrapNone/>
                      <wp:docPr id="114" name="Frame114"/>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95935" cy="175260"/>
                      <wp:effectExtent l="0" t="0" r="0" b="0"/>
                      <wp:wrapNone/>
                      <wp:docPr id="117" name="Frame1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95935" cy="175260"/>
                      <wp:effectExtent l="0" t="0" r="0" b="0"/>
                      <wp:wrapNone/>
                      <wp:docPr id="120" name="Frame1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95935" cy="175260"/>
                      <wp:effectExtent l="0" t="0" r="0" b="0"/>
                      <wp:wrapNone/>
                      <wp:docPr id="123" name="Frame1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30505" cy="175260"/>
                      <wp:effectExtent l="0" t="0" r="0" b="0"/>
                      <wp:wrapNone/>
                      <wp:docPr id="125" name="Frame125"/>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94030" cy="175260"/>
                      <wp:effectExtent l="0" t="0" r="0" b="0"/>
                      <wp:wrapNone/>
                      <wp:docPr id="126" name="Frame126"/>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211"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lineRule="auto" w:line="285" w:before="0" w:after="0"/>
              <w:ind w:left="0" w:right="0" w:hanging="0"/>
              <w:jc w:val="center"/>
              <w:rPr/>
            </w:pPr>
            <w:r>
              <w:rPr/>
              <w:t>    </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lef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100,072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100,072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119,760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119,760</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pPr>
            <w:r>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U.S. treasury obligations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502,518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502,518</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722,350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602,590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119,760</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Company’s cash equivalents and marketable securities measured at fair value on a recurring basis as of December 31, 2023 (in thousands):</w:t>
      </w:r>
    </w:p>
    <w:tbl>
      <w:tblPr>
        <w:tblW w:w="8990" w:type="dxa"/>
        <w:jc w:val="left"/>
        <w:tblInd w:w="0" w:type="dxa"/>
        <w:tblLayout w:type="fixed"/>
        <w:tblCellMar>
          <w:top w:w="0" w:type="dxa"/>
          <w:left w:w="0" w:type="dxa"/>
          <w:bottom w:w="0" w:type="dxa"/>
          <w:right w:w="0" w:type="dxa"/>
        </w:tblCellMar>
      </w:tblPr>
      <w:tblGrid>
        <w:gridCol w:w="3421"/>
        <w:gridCol w:w="326"/>
        <w:gridCol w:w="242"/>
        <w:gridCol w:w="898"/>
        <w:gridCol w:w="326"/>
        <w:gridCol w:w="211"/>
        <w:gridCol w:w="781"/>
        <w:gridCol w:w="326"/>
        <w:gridCol w:w="211"/>
        <w:gridCol w:w="781"/>
        <w:gridCol w:w="326"/>
        <w:gridCol w:w="363"/>
        <w:gridCol w:w="778"/>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72335" cy="175260"/>
                      <wp:effectExtent l="0" t="0" r="0" b="0"/>
                      <wp:wrapNone/>
                      <wp:docPr id="127" name="Frame127"/>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53670" cy="175260"/>
                      <wp:effectExtent l="0" t="0" r="0" b="0"/>
                      <wp:wrapNone/>
                      <wp:docPr id="129" name="Frame12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70230" cy="175260"/>
                      <wp:effectExtent l="0" t="0" r="0" b="0"/>
                      <wp:wrapNone/>
                      <wp:docPr id="130" name="Frame13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95935" cy="175260"/>
                      <wp:effectExtent l="0" t="0" r="0" b="0"/>
                      <wp:wrapNone/>
                      <wp:docPr id="133" name="Frame1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95935" cy="175260"/>
                      <wp:effectExtent l="0" t="0" r="0" b="0"/>
                      <wp:wrapNone/>
                      <wp:docPr id="136" name="Frame1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30505" cy="175260"/>
                      <wp:effectExtent l="0" t="0" r="0" b="0"/>
                      <wp:wrapNone/>
                      <wp:docPr id="138" name="Frame138"/>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94030" cy="175260"/>
                      <wp:effectExtent l="0" t="0" r="0" b="0"/>
                      <wp:wrapNone/>
                      <wp:docPr id="139" name="Frame139"/>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242" w:type="dxa"/>
            <w:tcBorders/>
            <w:vAlign w:val="center"/>
          </w:tcPr>
          <w:p>
            <w:pPr>
              <w:pStyle w:val="TableContents"/>
              <w:bidi w:val="0"/>
              <w:spacing w:lineRule="auto" w:line="285" w:before="0" w:after="0"/>
              <w:ind w:left="0" w:right="0" w:hanging="0"/>
              <w:jc w:val="center"/>
              <w:rPr/>
            </w:pPr>
            <w:r>
              <w:rPr/>
              <w:t>​</w:t>
            </w:r>
          </w:p>
        </w:tc>
        <w:tc>
          <w:tcPr>
            <w:tcW w:w="898"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lineRule="auto" w:line="285" w:before="0" w:after="0"/>
              <w:ind w:left="0" w:right="0" w:hanging="0"/>
              <w:jc w:val="center"/>
              <w:rPr/>
            </w:pPr>
            <w:r>
              <w:rPr/>
              <w:t>    </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34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lineRule="auto" w:line="285"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42" w:type="dxa"/>
            <w:tcBorders/>
            <w:shd w:fill="CCEEFF" w:val="clear"/>
            <w:vAlign w:val="center"/>
          </w:tcPr>
          <w:p>
            <w:pPr>
              <w:pStyle w:val="TableContents"/>
              <w:bidi w:val="0"/>
              <w:spacing w:lineRule="auto" w:line="285" w:before="0" w:after="0"/>
              <w:ind w:left="0" w:right="0" w:hanging="0"/>
              <w:jc w:val="left"/>
              <w:rPr/>
            </w:pPr>
            <w:r>
              <w:rPr/>
              <w:t>​</w:t>
            </w:r>
          </w:p>
        </w:tc>
        <w:tc>
          <w:tcPr>
            <w:tcW w:w="898"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lef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lef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lineRule="auto" w:line="285" w:before="0" w:after="0"/>
              <w:ind w:left="0" w:right="0" w:hanging="0"/>
              <w:jc w:val="left"/>
              <w:rPr/>
            </w:pPr>
            <w:r>
              <w:rPr/>
              <w:t>​</w:t>
            </w:r>
          </w:p>
        </w:tc>
        <w:tc>
          <w:tcPr>
            <w:tcW w:w="2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55,412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55,412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 available-for-sale:</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42" w:type="dxa"/>
            <w:tcBorders/>
            <w:shd w:fill="CCEEFF" w:val="clear"/>
            <w:vAlign w:val="center"/>
          </w:tcPr>
          <w:p>
            <w:pPr>
              <w:pStyle w:val="TableContents"/>
              <w:bidi w:val="0"/>
              <w:spacing w:lineRule="auto" w:line="285" w:before="0" w:after="0"/>
              <w:ind w:left="0" w:right="0" w:hanging="0"/>
              <w:jc w:val="left"/>
              <w:rPr/>
            </w:pPr>
            <w:r>
              <w:rPr/>
              <w:t>​</w:t>
            </w:r>
          </w:p>
        </w:tc>
        <w:tc>
          <w:tcPr>
            <w:tcW w:w="898"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shd w:fill="CCEEFF" w:val="clear"/>
            <w:vAlign w:val="center"/>
          </w:tcPr>
          <w:p>
            <w:pPr>
              <w:pStyle w:val="TableContents"/>
              <w:bidi w:val="0"/>
              <w:spacing w:lineRule="auto" w:line="285" w:before="0" w:after="0"/>
              <w:ind w:left="0" w:right="0" w:hanging="0"/>
              <w:jc w:val="left"/>
              <w:rPr/>
            </w:pPr>
            <w:r>
              <w:rPr/>
              <w:t>​</w:t>
            </w:r>
          </w:p>
        </w:tc>
        <w:tc>
          <w:tcPr>
            <w:tcW w:w="778" w:type="dxa"/>
            <w:tcBorders/>
            <w:shd w:fill="CCEEFF" w:val="cle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 </w:t>
            </w:r>
          </w:p>
        </w:tc>
        <w:tc>
          <w:tcPr>
            <w:tcW w:w="326" w:type="dxa"/>
            <w:tcBorders/>
            <w:vAlign w:val="center"/>
          </w:tcPr>
          <w:p>
            <w:pPr>
              <w:pStyle w:val="TableContents"/>
              <w:bidi w:val="0"/>
              <w:spacing w:lineRule="auto" w:line="285" w:before="0" w:after="0"/>
              <w:ind w:left="0" w:right="0" w:hanging="0"/>
              <w:jc w:val="left"/>
              <w:rPr/>
            </w:pPr>
            <w:r>
              <w:rPr/>
              <w:t>​</w:t>
            </w:r>
          </w:p>
        </w:tc>
        <w:tc>
          <w:tcPr>
            <w:tcW w:w="242" w:type="dxa"/>
            <w:tcBorders/>
            <w:vAlign w:val="center"/>
          </w:tcPr>
          <w:p>
            <w:pPr>
              <w:pStyle w:val="TableContents"/>
              <w:bidi w:val="0"/>
              <w:spacing w:lineRule="auto" w:line="285" w:before="0" w:after="0"/>
              <w:ind w:left="0" w:right="0" w:hanging="0"/>
              <w:jc w:val="left"/>
              <w:rPr/>
            </w:pPr>
            <w:r>
              <w:rPr/>
              <w:t>​</w:t>
            </w:r>
          </w:p>
        </w:tc>
        <w:tc>
          <w:tcPr>
            <w:tcW w:w="89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169,803</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169,803</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vAlign w:val="center"/>
          </w:tcPr>
          <w:p>
            <w:pPr>
              <w:pStyle w:val="TableContents"/>
              <w:bidi w:val="0"/>
              <w:spacing w:lineRule="auto" w:line="285" w:before="0" w:after="0"/>
              <w:ind w:left="0" w:right="0" w:hanging="0"/>
              <w:jc w:val="left"/>
              <w:rPr/>
            </w:pPr>
            <w:r>
              <w:rPr/>
              <w:t>​</w:t>
            </w:r>
          </w:p>
        </w:tc>
        <w:tc>
          <w:tcPr>
            <w:tcW w:w="778" w:type="dxa"/>
            <w:tcBorders/>
            <w:vAlign w:val="center"/>
          </w:tcPr>
          <w:p>
            <w:pPr>
              <w:pStyle w:val="TableContents"/>
              <w:bidi w:val="0"/>
              <w:spacing w:lineRule="auto" w:line="285" w:before="0" w:after="0"/>
              <w:ind w:left="0" w:right="0" w:hanging="0"/>
              <w:jc w:val="right"/>
              <w:rPr/>
            </w:pPr>
            <w:r>
              <w:rPr/>
              <w:t>—</w:t>
            </w:r>
          </w:p>
        </w:tc>
      </w:tr>
      <w:tr>
        <w:trPr/>
        <w:tc>
          <w:tcPr>
            <w:tcW w:w="34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U.S. treasury obligations </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526,082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526,082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34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lineRule="auto" w:line="285"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751,297</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581,494</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169,803</w:t>
            </w:r>
          </w:p>
        </w:tc>
        <w:tc>
          <w:tcPr>
            <w:tcW w:w="326" w:type="dxa"/>
            <w:tcBorders/>
            <w:vAlign w:val="center"/>
          </w:tcPr>
          <w:p>
            <w:pPr>
              <w:pStyle w:val="TableContents"/>
              <w:bidi w:val="0"/>
              <w:spacing w:lineRule="auto" w:line="285" w:before="0" w:after="0"/>
              <w:ind w:left="0" w:right="0" w:hanging="0"/>
              <w:jc w:val="left"/>
              <w:rPr/>
            </w:pPr>
            <w:r>
              <w:rPr/>
              <w:t>​</w:t>
            </w:r>
          </w:p>
        </w:tc>
        <w:tc>
          <w:tcPr>
            <w:tcW w:w="36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pPr>
            <w:r>
              <w:rPr/>
              <w:t>—</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240"/>
        <w:ind w:left="0" w:right="0" w:hanging="0"/>
        <w:jc w:val="left"/>
        <w:rPr>
          <w:rFonts w:ascii="Times New Roman;Times;serif" w:hAnsi="Times New Roman;Times;serif"/>
          <w:b/>
          <w:sz w:val="20"/>
        </w:rPr>
      </w:pPr>
      <w:bookmarkStart w:id="684" w:name="Tc_z70mdMeIUkS6aDwevZ18cw_6_5"/>
      <w:bookmarkStart w:id="685" w:name="Tc_QO2Moep29k6T0DzB-Vl4TQ_6_2"/>
      <w:bookmarkStart w:id="686" w:name="Tc_fwPjWhiOzkeW2m-LF4-_8A_6_0"/>
      <w:bookmarkStart w:id="687" w:name="Tc_O7PKw4d4OUSlL39XKS_9cA_5_0"/>
      <w:bookmarkStart w:id="688" w:name="Tc_GFDzbHaza0qE5ro3PHspjQ_4_5"/>
      <w:bookmarkStart w:id="689" w:name="Tc_bf071_ugiEOAjsKvd68gQw_4_2"/>
      <w:bookmarkStart w:id="690" w:name="Tc_P9SEdRHgIUapJrFGJB3fWg_4_0"/>
      <w:bookmarkStart w:id="691" w:name="Tc_TILgErwFgEivE11Gs0n_dQ_3_5"/>
      <w:bookmarkStart w:id="692" w:name="Tc_x8-I5TJFb0uU__SoPLfKiw_3_2"/>
      <w:bookmarkStart w:id="693" w:name="Tc_-KghyGolBEaRum2JoGfWzA_2_2"/>
      <w:bookmarkStart w:id="694" w:name="Tc_1k9OBStZ7U-mGCj18kPE1Q_1_2"/>
      <w:bookmarkStart w:id="695" w:name="_483b36b5_f382_4a75_a007_12579aa38640"/>
      <w:bookmarkEnd w:id="684"/>
      <w:bookmarkEnd w:id="685"/>
      <w:bookmarkEnd w:id="686"/>
      <w:bookmarkEnd w:id="687"/>
      <w:bookmarkEnd w:id="688"/>
      <w:bookmarkEnd w:id="689"/>
      <w:bookmarkEnd w:id="690"/>
      <w:bookmarkEnd w:id="691"/>
      <w:bookmarkEnd w:id="692"/>
      <w:bookmarkEnd w:id="693"/>
      <w:bookmarkEnd w:id="694"/>
      <w:bookmarkEnd w:id="695"/>
      <w:r>
        <w:rPr>
          <w:rFonts w:ascii="Times New Roman;Times;serif" w:hAnsi="Times New Roman;Times;serif"/>
          <w:b/>
          <w:sz w:val="20"/>
        </w:rPr>
        <w:t>6. Product Revenue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generates product revenue from the sales of AYVAKIT/AYVAKYT in the U.S. and Europe.</w:t>
      </w:r>
      <w:r>
        <w:rPr>
          <w:rFonts w:ascii="Times New Roman;Times;serif" w:hAnsi="Times New Roman;Times;serif"/>
          <w:sz w:val="20"/>
          <w:shd w:fill="FFFFFF" w:val="clear"/>
        </w:rPr>
        <w:t xml:space="preserve"> </w:t>
      </w:r>
      <w:r>
        <w:rPr>
          <w:rFonts w:ascii="Times New Roman;Times;serif" w:hAnsi="Times New Roman;Times;serif"/>
          <w:sz w:val="20"/>
        </w:rPr>
        <w:t xml:space="preserve">The following table summarizes net revenue recognized from product sales for the three months ended March 31, 2024 and 2023 (in thousands): </w:t>
      </w:r>
    </w:p>
    <w:p>
      <w:pPr>
        <w:pStyle w:val="TextBody"/>
        <w:bidi w:val="0"/>
        <w:spacing w:lineRule="auto" w:line="285" w:before="0" w:after="0"/>
        <w:ind w:left="0" w:right="0" w:hanging="0"/>
        <w:jc w:val="left"/>
        <w:rPr/>
      </w:pPr>
      <w:r>
        <w:rPr/>
        <w:t>​</w:t>
      </w:r>
    </w:p>
    <w:tbl>
      <w:tblPr>
        <w:tblW w:w="4055" w:type="dxa"/>
        <w:jc w:val="left"/>
        <w:tblInd w:w="0" w:type="dxa"/>
        <w:tblLayout w:type="fixed"/>
        <w:tblCellMar>
          <w:top w:w="0" w:type="dxa"/>
          <w:left w:w="0" w:type="dxa"/>
          <w:bottom w:w="0" w:type="dxa"/>
          <w:right w:w="0" w:type="dxa"/>
        </w:tblCellMar>
      </w:tblPr>
      <w:tblGrid>
        <w:gridCol w:w="1921"/>
        <w:gridCol w:w="109"/>
        <w:gridCol w:w="211"/>
        <w:gridCol w:w="676"/>
        <w:gridCol w:w="146"/>
        <w:gridCol w:w="211"/>
        <w:gridCol w:w="781"/>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219835" cy="175260"/>
                      <wp:effectExtent l="0" t="0" r="0" b="0"/>
                      <wp:wrapNone/>
                      <wp:docPr id="140" name="Frame140"/>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1" name="Frame1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29260" cy="175260"/>
                      <wp:effectExtent l="0" t="0" r="0" b="0"/>
                      <wp:wrapNone/>
                      <wp:docPr id="143" name="Frame1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92710" cy="175260"/>
                      <wp:effectExtent l="0" t="0" r="0" b="0"/>
                      <wp:wrapNone/>
                      <wp:docPr id="144" name="Frame14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95935" cy="175260"/>
                      <wp:effectExtent l="0" t="0" r="0" b="0"/>
                      <wp:wrapNone/>
                      <wp:docPr id="146" name="Frame14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2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2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lineRule="auto" w:line="285"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9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83,136</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34,927</w:t>
            </w:r>
          </w:p>
        </w:tc>
      </w:tr>
      <w:tr>
        <w:trPr/>
        <w:tc>
          <w:tcPr>
            <w:tcW w:w="19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 of World</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9,389</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4,142</w:t>
            </w:r>
          </w:p>
        </w:tc>
      </w:tr>
      <w:tr>
        <w:trPr/>
        <w:tc>
          <w:tcPr>
            <w:tcW w:w="19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product revenue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92,525</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39,069</w:t>
            </w:r>
          </w:p>
        </w:tc>
      </w:tr>
    </w:tbl>
    <w:p>
      <w:pPr>
        <w:pStyle w:val="TextBody"/>
        <w:bidi w:val="0"/>
        <w:spacing w:lineRule="auto" w:line="285" w:before="0" w:after="0"/>
        <w:ind w:left="0" w:right="0" w:hanging="0"/>
        <w:jc w:val="left"/>
        <w:rPr/>
      </w:pPr>
      <w:r>
        <w:rPr/>
        <w: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bookmarkStart w:id="696" w:name="Tc_HElXkEeUc0q3vIf5dJlfjA_5_4"/>
      <w:bookmarkStart w:id="697" w:name="Tc_KivRNIkTCUGi8UZv6n7Khg_5_1"/>
      <w:bookmarkStart w:id="698" w:name="Tc_YnLyBduRFkiCePZmONCs5A_5_0"/>
      <w:bookmarkStart w:id="699" w:name="Tc_3_KLBGVnxkW2oon35w_FjA_4_0"/>
      <w:bookmarkStart w:id="700" w:name="Tc_Xksjd-fWE0WvciivKmB7BQ_3_4"/>
      <w:bookmarkStart w:id="701" w:name="Tc_IRRasUOIWEGTZwJZVtDTlA_3_1"/>
      <w:bookmarkStart w:id="702" w:name="Tc_AzV6QcZvAk2utTv6fT21aA_3_0"/>
      <w:bookmarkStart w:id="703" w:name="Tc_cLD5djLg40GwHUwaOh9SiA_2_4"/>
      <w:bookmarkStart w:id="704" w:name="Tc_BjLrLkSrkkadR18SR2asJw_2_1"/>
      <w:bookmarkStart w:id="705" w:name="Tc_qLcpwm200UGQKnFtsYf0yQ_1_4"/>
      <w:bookmarkStart w:id="706" w:name="Tc_nOEwkucsNUCBqRICrB6biw_1_1"/>
      <w:bookmarkStart w:id="707" w:name="_3eb0aa7b_e73c_424a_85f3_66599e7395d7"/>
      <w:bookmarkStart w:id="708" w:name="Tc_qKwv9TkezEqxIoPvxFIsqg_7_4"/>
      <w:bookmarkStart w:id="709" w:name="Tc_aBQp0lDzF0KoV44uECtK1w_7_1"/>
      <w:bookmarkStart w:id="710" w:name="Tc_4mSrtT2eiUqTAHPALPpHHg_7_0"/>
      <w:bookmarkStart w:id="711" w:name="Tc_blRRYD9YQk6LvZ7wMdu4RQ_6_0"/>
      <w:bookmarkStart w:id="712" w:name="Tc_W4BtOC-UrkmaIeWqjVXvHw_5_0"/>
      <w:bookmarkStart w:id="713" w:name="Tc_i9JV44hh60a02ZJTMwr7FA_4_0"/>
      <w:bookmarkStart w:id="714" w:name="Tc_sE__vop8dke5V1oLrTeqeQ_3_4"/>
      <w:bookmarkStart w:id="715" w:name="Tc_-F0GEHdVtEu3-d-sP6EW9g_3_1"/>
      <w:bookmarkStart w:id="716" w:name="Tc_Z1PxKQqn4kW92gagWZDQtA_3_0"/>
      <w:bookmarkStart w:id="717" w:name="Tc_RK-hTAk0I0q9W9-DKtiB5Q_2_4"/>
      <w:bookmarkStart w:id="718" w:name="Tc_gzTcqeugyUiYidXETmusDg_2_1"/>
      <w:bookmarkStart w:id="719" w:name="Tc_wjH4DeqExEOCDmP2s8tlLA_1_1"/>
      <w:bookmarkStart w:id="720" w:name="_d00bc77d_91c8_4927_a4fc_082d25fa463b"/>
      <w:bookmarkStart w:id="721" w:name="Tc_PblBAfCVY0ypTkVrXtTiiA_6_6"/>
      <w:bookmarkStart w:id="722" w:name="Tc_-dqbNA-TZ0m3mgyOd-cNKQ_6_3"/>
      <w:bookmarkStart w:id="723" w:name="Tc_OBT0qH_DhUeNnsgQ97WjQA_6_2"/>
      <w:bookmarkStart w:id="724" w:name="Tc_kK7BX7q0BkipBzrF1HhX4g_6_0"/>
      <w:bookmarkStart w:id="725" w:name="Tc_g4NKfA4DTECTXPrsC2umvg_5_6"/>
      <w:bookmarkStart w:id="726" w:name="Tc_KP4U_8MOjUWjSOdoLiXHpQ_5_3"/>
      <w:bookmarkStart w:id="727" w:name="Tc_D4YjqEm5s0uwq7fblCrHmw_5_0"/>
      <w:bookmarkStart w:id="728" w:name="Tc_-jHe9SUBKUmXx-FahEfuPQ_4_6"/>
      <w:bookmarkStart w:id="729" w:name="Tc_jx864WD5dkqbPuM1qFNLSA_4_3"/>
      <w:bookmarkStart w:id="730" w:name="Tc_wA3b5nk9L0O71zfoFDE5-w_4_0"/>
      <w:bookmarkStart w:id="731" w:name="Tc_7N2kZlTZUkq81DDnETU5dg_3_6"/>
      <w:bookmarkStart w:id="732" w:name="Tc__mufAvOKHU6R267fLmFg6g_3_3"/>
      <w:bookmarkStart w:id="733" w:name="Tc_XvI5RxABfECp5lpjimnSHg_3_0"/>
      <w:bookmarkStart w:id="734" w:name="Tc_sIq58ZmbOEebBn4j1hrQkg_2_5"/>
      <w:bookmarkStart w:id="735" w:name="Tc_DqxqDx9f4EejFVrBzLYnGw_2_2"/>
      <w:bookmarkStart w:id="736" w:name="Tc_hjKq25fFX0Kt4Nz3-xvkYQ_1_5"/>
      <w:bookmarkStart w:id="737" w:name="Tc_7aZSq5KQIUyc73rVKJ0C8g_1_2"/>
      <w:bookmarkStart w:id="738" w:name="_a1a58f02_3031_4162_b27f_e1fa279840aa"/>
      <w:bookmarkStart w:id="739" w:name="Tc_r2Vbq0-zSk-rWHAfZIi8VQ_4_6"/>
      <w:bookmarkStart w:id="740" w:name="Tc_G3QTOmyocUmXtH7qQxWWKA_4_3"/>
      <w:bookmarkStart w:id="741" w:name="Tc_Sopf1Og5Zkq_vl6atD9nMg_4_2"/>
      <w:bookmarkStart w:id="742" w:name="Tc_mRT2CbTIr0qeSkKPqEDxOg_4_0"/>
      <w:bookmarkStart w:id="743" w:name="Tc_kqXtpOYKz0ifJ3iIL2V6QQ_3_6"/>
      <w:bookmarkStart w:id="744" w:name="Tc_RdaEgRLN0E-k9pZOeZOQOw_3_3"/>
      <w:bookmarkStart w:id="745" w:name="Tc_yR4WSq6GgUqU5MgV6Ehn6A_3_0"/>
      <w:bookmarkStart w:id="746" w:name="Tc_7hpeaCf86kGchS4JTr7IjQ_2_5"/>
      <w:bookmarkStart w:id="747" w:name="Tc_OT20nz26m02e7rUZduANxg_2_2"/>
      <w:bookmarkStart w:id="748" w:name="Tc_mkwJLgqMqkGFP6RrFk1P-g_1_2"/>
      <w:bookmarkStart w:id="749" w:name="_231d1b25_7a39_47c2_b0c9_3df0070d3269"/>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r>
        <w:rPr/>
        <w:t>​</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The Company primarily sells AYVAKIT/AYVAKYT through specialty distributors and specialty pharmacies. The following table summarizes the customers that represent 10% or greater of gross product revenue for the three months ended March 31, 2024, and 2023 (in thousands):</w:t>
      </w:r>
    </w:p>
    <w:p>
      <w:pPr>
        <w:pStyle w:val="TextBody"/>
        <w:bidi w:val="0"/>
        <w:spacing w:lineRule="auto" w:line="285" w:before="0" w:after="0"/>
        <w:ind w:left="0" w:right="0" w:hanging="0"/>
        <w:jc w:val="left"/>
        <w:rPr/>
      </w:pPr>
      <w:r>
        <w:rPr/>
        <w:t>​</w:t>
      </w:r>
    </w:p>
    <w:tbl>
      <w:tblPr>
        <w:tblW w:w="3648" w:type="dxa"/>
        <w:jc w:val="left"/>
        <w:tblInd w:w="0" w:type="dxa"/>
        <w:tblLayout w:type="fixed"/>
        <w:tblCellMar>
          <w:top w:w="0" w:type="dxa"/>
          <w:left w:w="0" w:type="dxa"/>
          <w:bottom w:w="0" w:type="dxa"/>
          <w:right w:w="0" w:type="dxa"/>
        </w:tblCellMar>
      </w:tblPr>
      <w:tblGrid>
        <w:gridCol w:w="1051"/>
        <w:gridCol w:w="109"/>
        <w:gridCol w:w="592"/>
        <w:gridCol w:w="508"/>
        <w:gridCol w:w="204"/>
        <w:gridCol w:w="592"/>
        <w:gridCol w:w="592"/>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67385" cy="175260"/>
                      <wp:effectExtent l="0" t="0" r="0" b="0"/>
                      <wp:wrapNone/>
                      <wp:docPr id="147" name="Frame14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75920" cy="175260"/>
                      <wp:effectExtent l="0" t="0" r="0" b="0"/>
                      <wp:wrapNone/>
                      <wp:docPr id="149" name="Frame149"/>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22580" cy="175260"/>
                      <wp:effectExtent l="0" t="0" r="0" b="0"/>
                      <wp:wrapNone/>
                      <wp:docPr id="150" name="Frame150"/>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29540" cy="175260"/>
                      <wp:effectExtent l="0" t="0" r="0" b="0"/>
                      <wp:wrapNone/>
                      <wp:docPr id="151" name="Frame151"/>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75920" cy="175260"/>
                      <wp:effectExtent l="0" t="0" r="0" b="0"/>
                      <wp:wrapNone/>
                      <wp:docPr id="152" name="Frame152"/>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75920" cy="175260"/>
                      <wp:effectExtent l="0" t="0" r="0" b="0"/>
                      <wp:wrapNone/>
                      <wp:docPr id="153" name="Frame153"/>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8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1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04" w:type="dxa"/>
            <w:tcBorders/>
            <w:vAlign w:val="center"/>
          </w:tcPr>
          <w:p>
            <w:pPr>
              <w:pStyle w:val="TableContents"/>
              <w:bidi w:val="0"/>
              <w:spacing w:lineRule="auto" w:line="285" w:before="0" w:after="0"/>
              <w:ind w:left="0" w:right="0" w:hanging="0"/>
              <w:jc w:val="left"/>
              <w:rPr/>
            </w:pPr>
            <w:r>
              <w:rPr/>
              <w:t>​</w:t>
            </w:r>
          </w:p>
        </w:tc>
        <w:tc>
          <w:tcPr>
            <w:tcW w:w="118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5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5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4" w:type="dxa"/>
            <w:tcBorders/>
            <w:shd w:fill="CCEEFF" w:val="clear"/>
            <w:vAlign w:val="center"/>
          </w:tcPr>
          <w:p>
            <w:pPr>
              <w:pStyle w:val="TableContents"/>
              <w:bidi w:val="0"/>
              <w:spacing w:lineRule="auto" w:line="285" w:before="0" w:after="0"/>
              <w:ind w:left="0" w:right="0" w:hanging="0"/>
              <w:jc w:val="left"/>
              <w:rPr/>
            </w:pPr>
            <w:r>
              <w:rPr/>
              <w:t>​</w:t>
            </w:r>
          </w:p>
        </w:tc>
        <w:tc>
          <w:tcPr>
            <w:tcW w:w="59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5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2</w:t>
            </w:r>
          </w:p>
        </w:tc>
        <w:tc>
          <w:tcPr>
            <w:tcW w:w="109" w:type="dxa"/>
            <w:tcBorders/>
            <w:vAlign w:val="center"/>
          </w:tcPr>
          <w:p>
            <w:pPr>
              <w:pStyle w:val="TableContents"/>
              <w:bidi w:val="0"/>
              <w:spacing w:lineRule="auto" w:line="285" w:before="0" w:after="0"/>
              <w:ind w:left="0" w:right="0" w:hanging="0"/>
              <w:jc w:val="left"/>
              <w:rPr/>
            </w:pPr>
            <w:r>
              <w:rPr/>
              <w:t>​</w:t>
            </w:r>
          </w:p>
        </w:tc>
        <w:tc>
          <w:tcPr>
            <w:tcW w:w="59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50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4" w:type="dxa"/>
            <w:tcBorders/>
            <w:vAlign w:val="center"/>
          </w:tcPr>
          <w:p>
            <w:pPr>
              <w:pStyle w:val="TableContents"/>
              <w:bidi w:val="0"/>
              <w:spacing w:lineRule="auto" w:line="285" w:before="0" w:after="0"/>
              <w:ind w:left="0" w:right="0" w:hanging="0"/>
              <w:jc w:val="left"/>
              <w:rPr/>
            </w:pPr>
            <w:r>
              <w:rPr/>
              <w:t>​</w:t>
            </w:r>
          </w:p>
        </w:tc>
        <w:tc>
          <w:tcPr>
            <w:tcW w:w="59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59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The following table summarizes the customers with amounts due that represent 10% or greater of the accounts receivable associated with the Company’s product sales as of March 31, 2024 and December 31, 2023 (in thousands):</w:t>
      </w:r>
    </w:p>
    <w:p>
      <w:pPr>
        <w:pStyle w:val="TextBody"/>
        <w:bidi w:val="0"/>
        <w:spacing w:lineRule="auto" w:line="285" w:before="0" w:after="0"/>
        <w:ind w:left="0" w:right="0" w:hanging="0"/>
        <w:jc w:val="left"/>
        <w:rPr/>
      </w:pPr>
      <w:r>
        <w:rPr/>
        <w:t>​</w:t>
      </w:r>
    </w:p>
    <w:tbl>
      <w:tblPr>
        <w:tblW w:w="3355" w:type="dxa"/>
        <w:jc w:val="left"/>
        <w:tblInd w:w="0" w:type="dxa"/>
        <w:tblLayout w:type="fixed"/>
        <w:tblCellMar>
          <w:top w:w="0" w:type="dxa"/>
          <w:left w:w="0" w:type="dxa"/>
          <w:bottom w:w="0" w:type="dxa"/>
          <w:right w:w="0" w:type="dxa"/>
        </w:tblCellMar>
      </w:tblPr>
      <w:tblGrid>
        <w:gridCol w:w="1051"/>
        <w:gridCol w:w="109"/>
        <w:gridCol w:w="484"/>
        <w:gridCol w:w="416"/>
        <w:gridCol w:w="109"/>
        <w:gridCol w:w="593"/>
        <w:gridCol w:w="593"/>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67385" cy="175260"/>
                      <wp:effectExtent l="0" t="0" r="0" b="0"/>
                      <wp:wrapNone/>
                      <wp:docPr id="154" name="Frame15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07340" cy="175260"/>
                      <wp:effectExtent l="0" t="0" r="0" b="0"/>
                      <wp:wrapNone/>
                      <wp:docPr id="156" name="Frame156"/>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64160" cy="175260"/>
                      <wp:effectExtent l="0" t="0" r="0" b="0"/>
                      <wp:wrapNone/>
                      <wp:docPr id="157" name="Frame157"/>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76555" cy="175260"/>
                      <wp:effectExtent l="0" t="0" r="0" b="0"/>
                      <wp:wrapNone/>
                      <wp:docPr id="159" name="Frame159"/>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76555" cy="175260"/>
                      <wp:effectExtent l="0" t="0" r="0" b="0"/>
                      <wp:wrapNone/>
                      <wp:docPr id="160" name="Frame160"/>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0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lineRule="auto" w:line="285" w:before="0" w:after="0"/>
              <w:ind w:left="0" w:right="0" w:hanging="0"/>
              <w:jc w:val="left"/>
              <w:rPr/>
            </w:pPr>
            <w:r>
              <w:rPr/>
              <w:t>​</w:t>
            </w:r>
          </w:p>
        </w:tc>
        <w:tc>
          <w:tcPr>
            <w:tcW w:w="11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0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lineRule="auto" w:line="285" w:before="0" w:after="0"/>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4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5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5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2</w:t>
            </w:r>
          </w:p>
        </w:tc>
        <w:tc>
          <w:tcPr>
            <w:tcW w:w="109" w:type="dxa"/>
            <w:tcBorders/>
            <w:vAlign w:val="center"/>
          </w:tcPr>
          <w:p>
            <w:pPr>
              <w:pStyle w:val="TableContents"/>
              <w:bidi w:val="0"/>
              <w:spacing w:lineRule="auto" w:line="285" w:before="0" w:after="0"/>
              <w:ind w:left="0" w:right="0" w:hanging="0"/>
              <w:jc w:val="left"/>
              <w:rPr/>
            </w:pPr>
            <w:r>
              <w:rPr/>
              <w:t>​</w:t>
            </w:r>
          </w:p>
        </w:tc>
        <w:tc>
          <w:tcPr>
            <w:tcW w:w="48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285" w:before="0" w:after="0"/>
              <w:ind w:left="0" w:right="0" w:hanging="0"/>
              <w:jc w:val="left"/>
              <w:rPr/>
            </w:pPr>
            <w:r>
              <w:rPr/>
              <w:t>​</w:t>
            </w:r>
          </w:p>
        </w:tc>
        <w:tc>
          <w:tcPr>
            <w:tcW w:w="5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59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5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5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4</w:t>
            </w:r>
          </w:p>
        </w:tc>
        <w:tc>
          <w:tcPr>
            <w:tcW w:w="109" w:type="dxa"/>
            <w:tcBorders/>
            <w:vAlign w:val="center"/>
          </w:tcPr>
          <w:p>
            <w:pPr>
              <w:pStyle w:val="TableContents"/>
              <w:bidi w:val="0"/>
              <w:spacing w:lineRule="auto" w:line="285" w:before="0" w:after="0"/>
              <w:ind w:left="0" w:right="0" w:hanging="0"/>
              <w:jc w:val="left"/>
              <w:rPr/>
            </w:pPr>
            <w:r>
              <w:rPr/>
              <w:t>​</w:t>
            </w:r>
          </w:p>
        </w:tc>
        <w:tc>
          <w:tcPr>
            <w:tcW w:w="48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lineRule="auto" w:line="285" w:before="0" w:after="0"/>
              <w:ind w:left="0" w:right="0" w:hanging="0"/>
              <w:jc w:val="left"/>
              <w:rPr/>
            </w:pPr>
            <w:r>
              <w:rPr/>
              <w:t>​</w:t>
            </w:r>
          </w:p>
        </w:tc>
        <w:tc>
          <w:tcPr>
            <w:tcW w:w="59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59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307" w:before="0" w:after="0"/>
        <w:ind w:left="0" w:right="0" w:hanging="0"/>
        <w:jc w:val="left"/>
        <w:rPr/>
      </w:pPr>
      <w:r>
        <w:rPr/>
        <w:t> </w:t>
      </w:r>
    </w:p>
    <w:p>
      <w:pPr>
        <w:pStyle w:val="TextBody"/>
        <w:bidi w:val="0"/>
        <w:spacing w:lineRule="auto" w:line="307" w:before="0" w:after="0"/>
        <w:ind w:left="0" w:right="0" w:hanging="0"/>
        <w:jc w:val="left"/>
        <w:rPr>
          <w:rFonts w:ascii="Times New Roman;Times;serif" w:hAnsi="Times New Roman;Times;serif"/>
          <w:sz w:val="18"/>
        </w:rPr>
      </w:pPr>
      <w:r>
        <w:rPr>
          <w:rFonts w:ascii="Times New Roman;Times;serif" w:hAnsi="Times New Roman;Times;serif"/>
          <w:sz w:val="18"/>
        </w:rPr>
        <w:t xml:space="preserve">* Indicates the customer’s share is under 10%. </w:t>
      </w:r>
    </w:p>
    <w:p>
      <w:pPr>
        <w:pStyle w:val="TextBody"/>
        <w:bidi w:val="0"/>
        <w:spacing w:lineRule="auto" w:line="307" w:before="0" w:after="0"/>
        <w:ind w:left="0" w:right="0" w:hanging="0"/>
        <w:jc w:val="left"/>
        <w:rPr/>
      </w:pPr>
      <w:r>
        <w:rPr/>
        <w:t> </w:t>
      </w:r>
    </w:p>
    <w:p>
      <w:pPr>
        <w:pStyle w:val="TextBody"/>
        <w:bidi w:val="0"/>
        <w:spacing w:lineRule="auto" w:line="307" w:before="0" w:after="160"/>
        <w:ind w:left="0" w:right="0" w:hanging="0"/>
        <w:jc w:val="left"/>
        <w:rPr/>
      </w:pPr>
      <w:r>
        <w:rPr/>
        <w:t> </w:t>
      </w:r>
    </w:p>
    <w:p>
      <w:pPr>
        <w:pStyle w:val="TextBody"/>
        <w:bidi w:val="0"/>
        <w:spacing w:lineRule="auto" w:line="285" w:before="24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activity in each of the product revenue allowance and reserve categories for the three months ended March 31, 2024 and 2023 (in thousands):</w:t>
      </w:r>
    </w:p>
    <w:p>
      <w:pPr>
        <w:pStyle w:val="TextBody"/>
        <w:bidi w:val="0"/>
        <w:spacing w:lineRule="auto" w:line="285" w:before="0" w:after="0"/>
        <w:ind w:left="0" w:right="0" w:hanging="0"/>
        <w:jc w:val="left"/>
        <w:rPr/>
      </w:pPr>
      <w:r>
        <w:rPr/>
        <w:t>​</w:t>
      </w:r>
    </w:p>
    <w:tbl>
      <w:tblPr>
        <w:tblW w:w="6329" w:type="dxa"/>
        <w:jc w:val="left"/>
        <w:tblInd w:w="0" w:type="dxa"/>
        <w:tblLayout w:type="fixed"/>
        <w:tblCellMar>
          <w:top w:w="0" w:type="dxa"/>
          <w:left w:w="0" w:type="dxa"/>
          <w:bottom w:w="0" w:type="dxa"/>
          <w:right w:w="0" w:type="dxa"/>
        </w:tblCellMar>
      </w:tblPr>
      <w:tblGrid>
        <w:gridCol w:w="3841"/>
        <w:gridCol w:w="249"/>
        <w:gridCol w:w="940"/>
        <w:gridCol w:w="128"/>
        <w:gridCol w:w="249"/>
        <w:gridCol w:w="922"/>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439035" cy="175260"/>
                      <wp:effectExtent l="0" t="0" r="0" b="0"/>
                      <wp:wrapNone/>
                      <wp:docPr id="161" name="Frame161"/>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58115" cy="175260"/>
                      <wp:effectExtent l="0" t="0" r="0" b="0"/>
                      <wp:wrapNone/>
                      <wp:docPr id="162" name="Frame16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96900" cy="175260"/>
                      <wp:effectExtent l="0" t="0" r="0" b="0"/>
                      <wp:wrapNone/>
                      <wp:docPr id="163" name="Frame163"/>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81280" cy="175260"/>
                      <wp:effectExtent l="0" t="0" r="0" b="0"/>
                      <wp:wrapNone/>
                      <wp:docPr id="164" name="Frame164"/>
                      <a:graphic xmlns:a="http://schemas.openxmlformats.org/drawingml/2006/main">
                        <a:graphicData uri="http://schemas.microsoft.com/office/word/2010/wordprocessingShape">
                          <wps:wsp>
                            <wps:cNvSpPr txBox="1"/>
                            <wps:spPr>
                              <a:xfrm>
                                <a:off x="0" y="0"/>
                                <a:ext cx="812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58115" cy="175260"/>
                      <wp:effectExtent l="0" t="0" r="0" b="0"/>
                      <wp:wrapNone/>
                      <wp:docPr id="165" name="Frame16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85470" cy="175260"/>
                      <wp:effectExtent l="0" t="0" r="0" b="0"/>
                      <wp:wrapNone/>
                      <wp:docPr id="166" name="Frame166"/>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lineRule="auto" w:line="285" w:before="0" w:after="0"/>
              <w:ind w:left="0" w:right="0" w:hanging="0"/>
              <w:jc w:val="left"/>
              <w:rPr/>
            </w:pPr>
            <w:r>
              <w:rPr/>
              <w:t>​</w:t>
            </w:r>
          </w:p>
        </w:tc>
        <w:tc>
          <w:tcPr>
            <w:tcW w:w="248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841" w:type="dxa"/>
            <w:tcBorders/>
            <w:vAlign w:val="center"/>
          </w:tcPr>
          <w:p>
            <w:pPr>
              <w:pStyle w:val="TableContents"/>
              <w:bidi w:val="0"/>
              <w:spacing w:lineRule="auto" w:line="285" w:before="0" w:after="0"/>
              <w:ind w:left="0" w:right="0" w:hanging="0"/>
              <w:jc w:val="left"/>
              <w:rPr/>
            </w:pPr>
            <w:r>
              <w:rPr/>
              <w:t>​</w:t>
            </w:r>
          </w:p>
        </w:tc>
        <w:tc>
          <w:tcPr>
            <w:tcW w:w="118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28" w:type="dxa"/>
            <w:tcBorders/>
            <w:vAlign w:val="center"/>
          </w:tcPr>
          <w:p>
            <w:pPr>
              <w:pStyle w:val="TableContents"/>
              <w:bidi w:val="0"/>
              <w:spacing w:lineRule="auto" w:line="285" w:before="0" w:after="0"/>
              <w:ind w:left="0" w:right="0" w:hanging="0"/>
              <w:jc w:val="left"/>
              <w:rPr/>
            </w:pPr>
            <w:r>
              <w:rPr/>
              <w:t>​</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Beginning balance at January 1</w:t>
            </w:r>
          </w:p>
        </w:tc>
        <w:tc>
          <w:tcPr>
            <w:tcW w:w="24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19,274</w:t>
            </w:r>
          </w:p>
        </w:tc>
        <w:tc>
          <w:tcPr>
            <w:tcW w:w="128"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9,788</w:t>
            </w:r>
          </w:p>
        </w:tc>
      </w:tr>
      <w:tr>
        <w:trPr/>
        <w:tc>
          <w:tcPr>
            <w:tcW w:w="3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related to sales in the current period</w:t>
            </w:r>
          </w:p>
        </w:tc>
        <w:tc>
          <w:tcPr>
            <w:tcW w:w="249" w:type="dxa"/>
            <w:tcBorders/>
            <w:vAlign w:val="center"/>
          </w:tcPr>
          <w:p>
            <w:pPr>
              <w:pStyle w:val="TableContents"/>
              <w:bidi w:val="0"/>
              <w:spacing w:lineRule="auto" w:line="285" w:before="0" w:after="0"/>
              <w:ind w:left="0" w:right="0" w:hanging="0"/>
              <w:jc w:val="right"/>
              <w:rPr/>
            </w:pPr>
            <w:r>
              <w:rPr/>
              <w:t> </w:t>
            </w:r>
          </w:p>
        </w:tc>
        <w:tc>
          <w:tcPr>
            <w:tcW w:w="94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16,926</w:t>
            </w:r>
          </w:p>
        </w:tc>
        <w:tc>
          <w:tcPr>
            <w:tcW w:w="128"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8,502</w:t>
            </w:r>
          </w:p>
        </w:tc>
      </w:tr>
      <w:tr>
        <w:trPr/>
        <w:tc>
          <w:tcPr>
            <w:tcW w:w="3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 related to prior periods sales</w:t>
            </w:r>
          </w:p>
        </w:tc>
        <w:tc>
          <w:tcPr>
            <w:tcW w:w="249" w:type="dxa"/>
            <w:tcBorders/>
            <w:shd w:fill="CCEEFF" w:val="clear"/>
            <w:vAlign w:val="center"/>
          </w:tcPr>
          <w:p>
            <w:pPr>
              <w:pStyle w:val="TableContents"/>
              <w:bidi w:val="0"/>
              <w:spacing w:lineRule="auto" w:line="285" w:before="0" w:after="0"/>
              <w:ind w:left="0" w:right="0" w:hanging="0"/>
              <w:jc w:val="right"/>
              <w:rPr/>
            </w:pPr>
            <w:r>
              <w:rPr/>
              <w:t> </w:t>
            </w:r>
          </w:p>
        </w:tc>
        <w:tc>
          <w:tcPr>
            <w:tcW w:w="9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128"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(228)</w:t>
            </w:r>
          </w:p>
        </w:tc>
      </w:tr>
      <w:tr>
        <w:trPr/>
        <w:tc>
          <w:tcPr>
            <w:tcW w:w="38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Credits and payments made</w:t>
            </w:r>
          </w:p>
        </w:tc>
        <w:tc>
          <w:tcPr>
            <w:tcW w:w="24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9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(12,488)</w:t>
            </w:r>
          </w:p>
        </w:tc>
        <w:tc>
          <w:tcPr>
            <w:tcW w:w="128" w:type="dxa"/>
            <w:tcBorders/>
            <w:vAlign w:val="center"/>
          </w:tcPr>
          <w:p>
            <w:pPr>
              <w:pStyle w:val="TableContents"/>
              <w:bidi w:val="0"/>
              <w:spacing w:lineRule="auto" w:line="285"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(4,773)</w:t>
            </w:r>
          </w:p>
        </w:tc>
      </w:tr>
      <w:tr>
        <w:trPr/>
        <w:tc>
          <w:tcPr>
            <w:tcW w:w="38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Ending balance at March 31</w:t>
            </w:r>
          </w:p>
        </w:tc>
        <w:tc>
          <w:tcPr>
            <w:tcW w:w="24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23,403</w:t>
            </w:r>
          </w:p>
        </w:tc>
        <w:tc>
          <w:tcPr>
            <w:tcW w:w="128"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13,289</w:t>
            </w:r>
          </w:p>
        </w:tc>
      </w:tr>
    </w:tbl>
    <w:p>
      <w:pPr>
        <w:pStyle w:val="TextBody"/>
        <w:bidi w:val="0"/>
        <w:spacing w:lineRule="auto" w:line="285" w:before="0" w:after="160"/>
        <w:ind w:left="0" w:right="0" w:hanging="0"/>
        <w:jc w:val="left"/>
        <w:rPr/>
      </w:pPr>
      <w:r>
        <w:rPr/>
        <w: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total reserves that are included in the Company’s unaudited condensed consolidated balance sheets as of March 31, 2024 and December 31, 2023, are summarized as follows (in thousands):</w:t>
      </w:r>
    </w:p>
    <w:p>
      <w:pPr>
        <w:pStyle w:val="TextBody"/>
        <w:bidi w:val="0"/>
        <w:spacing w:lineRule="auto" w:line="285" w:before="0" w:after="0"/>
        <w:ind w:left="0" w:right="0" w:hanging="0"/>
        <w:jc w:val="left"/>
        <w:rPr/>
      </w:pPr>
      <w:r>
        <w:rPr/>
        <w:t>​</w:t>
      </w:r>
    </w:p>
    <w:tbl>
      <w:tblPr>
        <w:tblW w:w="5375" w:type="dxa"/>
        <w:jc w:val="left"/>
        <w:tblInd w:w="0" w:type="dxa"/>
        <w:tblLayout w:type="fixed"/>
        <w:tblCellMar>
          <w:top w:w="0" w:type="dxa"/>
          <w:left w:w="0" w:type="dxa"/>
          <w:bottom w:w="0" w:type="dxa"/>
          <w:right w:w="0" w:type="dxa"/>
        </w:tblCellMar>
      </w:tblPr>
      <w:tblGrid>
        <w:gridCol w:w="3181"/>
        <w:gridCol w:w="214"/>
        <w:gridCol w:w="686"/>
        <w:gridCol w:w="109"/>
        <w:gridCol w:w="252"/>
        <w:gridCol w:w="933"/>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19935" cy="175260"/>
                      <wp:effectExtent l="0" t="0" r="0" b="0"/>
                      <wp:wrapNone/>
                      <wp:docPr id="167" name="Frame167"/>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5890" cy="175260"/>
                      <wp:effectExtent l="0" t="0" r="0" b="0"/>
                      <wp:wrapNone/>
                      <wp:docPr id="168" name="Frame16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35610" cy="175260"/>
                      <wp:effectExtent l="0" t="0" r="0" b="0"/>
                      <wp:wrapNone/>
                      <wp:docPr id="169" name="Frame169"/>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60020" cy="175260"/>
                      <wp:effectExtent l="0" t="0" r="0" b="0"/>
                      <wp:wrapNone/>
                      <wp:docPr id="171" name="Frame17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92455" cy="175260"/>
                      <wp:effectExtent l="0" t="0" r="0" b="0"/>
                      <wp:wrapNone/>
                      <wp:docPr id="172" name="Frame172"/>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90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81" w:type="dxa"/>
            <w:tcBorders/>
            <w:vAlign w:val="center"/>
          </w:tcPr>
          <w:p>
            <w:pPr>
              <w:pStyle w:val="TableContents"/>
              <w:bidi w:val="0"/>
              <w:spacing w:lineRule="auto" w:line="285"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lineRule="auto" w:line="285"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Reduction of accounts receivable, net</w:t>
            </w:r>
          </w:p>
        </w:tc>
        <w:tc>
          <w:tcPr>
            <w:tcW w:w="2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2,640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1,809</w:t>
            </w:r>
          </w:p>
        </w:tc>
      </w:tr>
      <w:tr>
        <w:trPr/>
        <w:tc>
          <w:tcPr>
            <w:tcW w:w="31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Component of accrued expenses</w:t>
            </w:r>
          </w:p>
        </w:tc>
        <w:tc>
          <w:tcPr>
            <w:tcW w:w="2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20,763</w:t>
            </w:r>
          </w:p>
        </w:tc>
        <w:tc>
          <w:tcPr>
            <w:tcW w:w="109" w:type="dxa"/>
            <w:tcBorders/>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17,465</w:t>
            </w:r>
          </w:p>
        </w:tc>
      </w:tr>
      <w:tr>
        <w:trPr/>
        <w:tc>
          <w:tcPr>
            <w:tcW w:w="3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revenue-related reserves</w:t>
            </w:r>
          </w:p>
        </w:tc>
        <w:tc>
          <w:tcPr>
            <w:tcW w:w="21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23,403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19,274</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750" w:name="Tc_REWd6MDu20eIh379Fk-7jQ_6_5"/>
      <w:bookmarkStart w:id="751" w:name="Tc_e5HlO9Lx50WHl-0DnT71-g_6_2"/>
      <w:bookmarkStart w:id="752" w:name="Tc_b6PMUs5XYUSZqnAyubODDQ_6_0"/>
      <w:bookmarkStart w:id="753" w:name="Tc_AY-DwMZ0a0a3RUxkayMVfw_5_0"/>
      <w:bookmarkStart w:id="754" w:name="Tc_qXFZC890rE2p0ADaUSZ5_w_4_0"/>
      <w:bookmarkStart w:id="755" w:name="Tc_i-W5TpnyGEmr2VF-UlvtBg_3_5"/>
      <w:bookmarkStart w:id="756" w:name="Tc_PJP_9uKKpUyIcjerB2SmPQ_3_2"/>
      <w:bookmarkStart w:id="757" w:name="Tc_bDemUuhHL0iimyFxYrdgnA_3_0"/>
      <w:bookmarkStart w:id="758" w:name="Tc_eGGqOcqWC0iZnVQwd820fA_2_5"/>
      <w:bookmarkStart w:id="759" w:name="Tc_tldfO8mB9EK-grAk7KAgeg_2_2"/>
      <w:bookmarkStart w:id="760" w:name="Tc_GtHJDm2vCEWKL7wwhZ69rQ_1_5"/>
      <w:bookmarkStart w:id="761" w:name="Tc_kN6nxLCD806ONMK-Gp3tog_1_2"/>
      <w:bookmarkStart w:id="762" w:name="_69d59e8b_f1d5_47bc_9495_264411eb0e87"/>
      <w:bookmarkEnd w:id="750"/>
      <w:bookmarkEnd w:id="751"/>
      <w:bookmarkEnd w:id="752"/>
      <w:bookmarkEnd w:id="753"/>
      <w:bookmarkEnd w:id="754"/>
      <w:bookmarkEnd w:id="755"/>
      <w:bookmarkEnd w:id="756"/>
      <w:bookmarkEnd w:id="757"/>
      <w:bookmarkEnd w:id="758"/>
      <w:bookmarkEnd w:id="759"/>
      <w:bookmarkEnd w:id="760"/>
      <w:bookmarkEnd w:id="761"/>
      <w:bookmarkEnd w:id="762"/>
      <w:r>
        <w:rPr>
          <w:rFonts w:ascii="Times New Roman;Times;serif" w:hAnsi="Times New Roman;Times;serif"/>
          <w:b/>
          <w:sz w:val="20"/>
        </w:rPr>
        <w:t xml:space="preserve">7. Inventory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Capitalized inventory consists of the following at March 31, 2024 and December 31, 2023 (in thousands):</w:t>
      </w:r>
    </w:p>
    <w:p>
      <w:pPr>
        <w:pStyle w:val="TextBody"/>
        <w:bidi w:val="0"/>
        <w:spacing w:lineRule="auto" w:line="285" w:before="0" w:after="0"/>
        <w:ind w:left="0" w:right="0" w:hanging="0"/>
        <w:jc w:val="left"/>
        <w:rPr/>
      </w:pPr>
      <w:r>
        <w:rPr/>
        <w:t>​</w:t>
      </w:r>
    </w:p>
    <w:tbl>
      <w:tblPr>
        <w:tblW w:w="3946" w:type="dxa"/>
        <w:jc w:val="left"/>
        <w:tblInd w:w="0" w:type="dxa"/>
        <w:tblLayout w:type="fixed"/>
        <w:tblCellMar>
          <w:top w:w="0" w:type="dxa"/>
          <w:left w:w="0" w:type="dxa"/>
          <w:bottom w:w="0" w:type="dxa"/>
          <w:right w:w="0" w:type="dxa"/>
        </w:tblCellMar>
      </w:tblPr>
      <w:tblGrid>
        <w:gridCol w:w="1426"/>
        <w:gridCol w:w="109"/>
        <w:gridCol w:w="214"/>
        <w:gridCol w:w="686"/>
        <w:gridCol w:w="326"/>
        <w:gridCol w:w="252"/>
        <w:gridCol w:w="933"/>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905510" cy="175260"/>
                      <wp:effectExtent l="0" t="0" r="0" b="0"/>
                      <wp:wrapNone/>
                      <wp:docPr id="173" name="Frame173"/>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215" cy="175260"/>
                      <wp:effectExtent l="0" t="0" r="0" b="0"/>
                      <wp:wrapNone/>
                      <wp:docPr id="174"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5890" cy="175260"/>
                      <wp:effectExtent l="0" t="0" r="0" b="0"/>
                      <wp:wrapNone/>
                      <wp:docPr id="175" name="Frame17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35610" cy="175260"/>
                      <wp:effectExtent l="0" t="0" r="0" b="0"/>
                      <wp:wrapNone/>
                      <wp:docPr id="176" name="Frame176"/>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60020" cy="175260"/>
                      <wp:effectExtent l="0" t="0" r="0" b="0"/>
                      <wp:wrapNone/>
                      <wp:docPr id="178" name="Frame178"/>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92455" cy="175260"/>
                      <wp:effectExtent l="0" t="0" r="0" b="0"/>
                      <wp:wrapNone/>
                      <wp:docPr id="179" name="Frame179"/>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90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4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Raw materials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3,069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3,147</w:t>
            </w:r>
          </w:p>
        </w:tc>
      </w:tr>
      <w:tr>
        <w:trPr/>
        <w:tc>
          <w:tcPr>
            <w:tcW w:w="14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109" w:type="dxa"/>
            <w:tcBorders/>
            <w:vAlign w:val="center"/>
          </w:tcPr>
          <w:p>
            <w:pPr>
              <w:pStyle w:val="TableContents"/>
              <w:bidi w:val="0"/>
              <w:spacing w:lineRule="auto" w:line="285" w:before="0" w:after="0"/>
              <w:ind w:left="0" w:right="0" w:hanging="0"/>
              <w:jc w:val="left"/>
              <w:rPr/>
            </w:pPr>
            <w:r>
              <w:rPr/>
              <w:t>​</w:t>
            </w:r>
          </w:p>
        </w:tc>
        <w:tc>
          <w:tcPr>
            <w:tcW w:w="214" w:type="dxa"/>
            <w:tcBorders/>
            <w:vAlign w:val="center"/>
          </w:tcPr>
          <w:p>
            <w:pPr>
              <w:pStyle w:val="TableContents"/>
              <w:bidi w:val="0"/>
              <w:spacing w:lineRule="auto" w:line="285" w:before="0" w:after="0"/>
              <w:ind w:left="0" w:right="0" w:hanging="0"/>
              <w:jc w:val="left"/>
              <w:rPr/>
            </w:pPr>
            <w:r>
              <w:rPr/>
              <w:t>​</w:t>
            </w:r>
          </w:p>
        </w:tc>
        <w:tc>
          <w:tcPr>
            <w:tcW w:w="6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30,777</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vAlign w:val="center"/>
          </w:tcPr>
          <w:p>
            <w:pPr>
              <w:pStyle w:val="TableContents"/>
              <w:bidi w:val="0"/>
              <w:spacing w:lineRule="auto" w:line="285" w:before="0" w:after="0"/>
              <w:ind w:left="0" w:right="0" w:hanging="0"/>
              <w:jc w:val="left"/>
              <w:rPr/>
            </w:pPr>
            <w:r>
              <w:rPr/>
              <w:t>​</w:t>
            </w:r>
          </w:p>
        </w:tc>
        <w:tc>
          <w:tcPr>
            <w:tcW w:w="93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29,132</w:t>
            </w:r>
          </w:p>
        </w:tc>
      </w:tr>
      <w:tr>
        <w:trPr/>
        <w:tc>
          <w:tcPr>
            <w:tcW w:w="14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4,823</w:t>
            </w:r>
          </w:p>
        </w:tc>
      </w:tr>
      <w:tr>
        <w:trPr/>
        <w:tc>
          <w:tcPr>
            <w:tcW w:w="14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36,847</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37,102</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i/>
          <w:sz w:val="20"/>
        </w:rPr>
      </w:pPr>
      <w:bookmarkStart w:id="763" w:name="Tc_oNaXzkr4xkOnjkogCZqC4w_5_5"/>
      <w:bookmarkStart w:id="764" w:name="Tc_05RJAD5aV0a3t3_km6d-sw_5_2"/>
      <w:bookmarkStart w:id="765" w:name="Tc_G0ohijPvvEywh16GMMqC0w_5_0"/>
      <w:bookmarkStart w:id="766" w:name="Tc_yWe-YeMGiEOWSV3uCp8Slg_4_0"/>
      <w:bookmarkStart w:id="767" w:name="Tc_UEp8D3hVPEOH-H_pLdQSvQ_3_5"/>
      <w:bookmarkStart w:id="768" w:name="Tc_CVZMqCF_EU6e55TSbsWQnQ_3_2"/>
      <w:bookmarkStart w:id="769" w:name="Tc_xEplbhiDc0aO_lg-1JSBIQ_3_0"/>
      <w:bookmarkStart w:id="770" w:name="Tc_2xGSdlj27UKG9yb1QP38vQ_2_5"/>
      <w:bookmarkStart w:id="771" w:name="Tc_AsFoZvakdk-9T_TIDhp1kQ_2_2"/>
      <w:bookmarkStart w:id="772" w:name="Tc_ki1ayfgMOkKkuZqcBYZFaA_1_5"/>
      <w:bookmarkStart w:id="773" w:name="Tc_3HZZRDYRG0-2wnAtBvyBmQ_1_2"/>
      <w:bookmarkStart w:id="774" w:name="_23691ca8_8b90_4e0e_b51d_ba7190972267"/>
      <w:bookmarkEnd w:id="763"/>
      <w:bookmarkEnd w:id="764"/>
      <w:bookmarkEnd w:id="765"/>
      <w:bookmarkEnd w:id="766"/>
      <w:bookmarkEnd w:id="767"/>
      <w:bookmarkEnd w:id="768"/>
      <w:bookmarkEnd w:id="769"/>
      <w:bookmarkEnd w:id="770"/>
      <w:bookmarkEnd w:id="771"/>
      <w:bookmarkEnd w:id="772"/>
      <w:bookmarkEnd w:id="773"/>
      <w:bookmarkEnd w:id="774"/>
      <w:r>
        <w:rPr>
          <w:rFonts w:ascii="Times New Roman;Times;serif" w:hAnsi="Times New Roman;Times;serif"/>
          <w:i/>
          <w:sz w:val="20"/>
        </w:rPr>
        <w:t>Balance sheet classification</w:t>
      </w:r>
    </w:p>
    <w:tbl>
      <w:tblPr>
        <w:tblW w:w="3601" w:type="dxa"/>
        <w:jc w:val="left"/>
        <w:tblInd w:w="0" w:type="dxa"/>
        <w:tblLayout w:type="fixed"/>
        <w:tblCellMar>
          <w:top w:w="0" w:type="dxa"/>
          <w:left w:w="0" w:type="dxa"/>
          <w:bottom w:w="0" w:type="dxa"/>
          <w:right w:w="0" w:type="dxa"/>
        </w:tblCellMar>
      </w:tblPr>
      <w:tblGrid>
        <w:gridCol w:w="1081"/>
        <w:gridCol w:w="109"/>
        <w:gridCol w:w="214"/>
        <w:gridCol w:w="686"/>
        <w:gridCol w:w="326"/>
        <w:gridCol w:w="252"/>
        <w:gridCol w:w="933"/>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86435" cy="175260"/>
                      <wp:effectExtent l="0" t="0" r="0" b="0"/>
                      <wp:wrapNone/>
                      <wp:docPr id="180" name="Frame18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5890" cy="175260"/>
                      <wp:effectExtent l="0" t="0" r="0" b="0"/>
                      <wp:wrapNone/>
                      <wp:docPr id="182" name="Frame18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35610" cy="175260"/>
                      <wp:effectExtent l="0" t="0" r="0" b="0"/>
                      <wp:wrapNone/>
                      <wp:docPr id="183" name="Frame183"/>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60020" cy="175260"/>
                      <wp:effectExtent l="0" t="0" r="0" b="0"/>
                      <wp:wrapNone/>
                      <wp:docPr id="185" name="Frame185"/>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92455" cy="175260"/>
                      <wp:effectExtent l="0" t="0" r="0" b="0"/>
                      <wp:wrapNone/>
                      <wp:docPr id="186" name="Frame186"/>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90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0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0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09" w:type="dxa"/>
            <w:tcBorders/>
            <w:shd w:fill="CCEEFF" w:val="clear"/>
            <w:vAlign w:val="center"/>
          </w:tcPr>
          <w:p>
            <w:pPr>
              <w:pStyle w:val="TableContents"/>
              <w:bidi w:val="0"/>
              <w:spacing w:lineRule="auto" w:line="285" w:before="0" w:after="0"/>
              <w:ind w:left="0" w:right="0" w:hanging="0"/>
              <w:jc w:val="center"/>
              <w:rPr/>
            </w:pPr>
            <w:r>
              <w:rPr/>
              <w:t>​</w:t>
            </w:r>
          </w:p>
        </w:tc>
        <w:tc>
          <w:tcPr>
            <w:tcW w:w="2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30,940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21,223</w:t>
            </w:r>
          </w:p>
        </w:tc>
      </w:tr>
      <w:tr>
        <w:trPr/>
        <w:tc>
          <w:tcPr>
            <w:tcW w:w="10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5,907</w:t>
            </w:r>
          </w:p>
        </w:tc>
        <w:tc>
          <w:tcPr>
            <w:tcW w:w="326" w:type="dxa"/>
            <w:tcBorders/>
            <w:vAlign w:val="center"/>
          </w:tcPr>
          <w:p>
            <w:pPr>
              <w:pStyle w:val="TableContents"/>
              <w:bidi w:val="0"/>
              <w:spacing w:lineRule="auto" w:line="285"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15,879</w:t>
            </w:r>
          </w:p>
        </w:tc>
      </w:tr>
      <w:tr>
        <w:trPr/>
        <w:tc>
          <w:tcPr>
            <w:tcW w:w="10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36,847</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37,102</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Inventory amounts written down as a result of excess, obsolescence, unmarketability or other reasons are charged to cost of sales. The Company recognized an insignificant write-down and write-down of $1.5 million for the three months ended March 31, 2024 and 2023, respectively. Long-term inventory, which consists of work in process, is included in other assets in the unaudited condensed consolidated balance sheets.</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775" w:name="Tc_dITrokMOlUiuBSw2Q7jxgw_5_5"/>
      <w:bookmarkStart w:id="776" w:name="Tc__njZe6hRkUu3RGcoPdAxCg_5_2"/>
      <w:bookmarkStart w:id="777" w:name="Tc_E2iQMeA6_UeAX-UBkFlfkA_5_0"/>
      <w:bookmarkStart w:id="778" w:name="Tc_5-iqH275zkmpeTIWw0wIyg_4_0"/>
      <w:bookmarkStart w:id="779" w:name="Tc_8xZijKbc1kqJtc0LdI0f_A_3_5"/>
      <w:bookmarkStart w:id="780" w:name="Tc_dqw_e8YngEucM0AYsWeKDA_3_2"/>
      <w:bookmarkStart w:id="781" w:name="Tc_DGncjpQcCkansNvQiXGx5Q_3_0"/>
      <w:bookmarkStart w:id="782" w:name="Tc_LwQW_T8_KE2gbUgpZ3yVYQ_2_5"/>
      <w:bookmarkStart w:id="783" w:name="Tc_x9-XE7UI9ka7aD5WVs9I2Q_2_2"/>
      <w:bookmarkStart w:id="784" w:name="Tc_Qx1QEvVBKEa6-HxlI8HFWQ_1_5"/>
      <w:bookmarkStart w:id="785" w:name="Tc_HQKvqlMzWU-QN4aNXQWFjg_1_2"/>
      <w:bookmarkStart w:id="786" w:name="_e6215b03_b185_42d9_8669_e0dca6eb20c2"/>
      <w:bookmarkEnd w:id="775"/>
      <w:bookmarkEnd w:id="776"/>
      <w:bookmarkEnd w:id="777"/>
      <w:bookmarkEnd w:id="778"/>
      <w:bookmarkEnd w:id="779"/>
      <w:bookmarkEnd w:id="780"/>
      <w:bookmarkEnd w:id="781"/>
      <w:bookmarkEnd w:id="782"/>
      <w:bookmarkEnd w:id="783"/>
      <w:bookmarkEnd w:id="784"/>
      <w:bookmarkEnd w:id="785"/>
      <w:bookmarkEnd w:id="786"/>
      <w:r>
        <w:rPr>
          <w:rFonts w:ascii="Times New Roman;Times;serif" w:hAnsi="Times New Roman;Times;serif"/>
          <w:b/>
          <w:sz w:val="20"/>
        </w:rPr>
        <w:t>8. Restricted Cash</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Company's condensed consolidated balance sheets for the three months ended March 31, 2024 and 2023 (in thousands):</w:t>
      </w:r>
    </w:p>
    <w:p>
      <w:pPr>
        <w:pStyle w:val="TextBody"/>
        <w:bidi w:val="0"/>
        <w:spacing w:lineRule="auto" w:line="285" w:before="0" w:after="0"/>
        <w:ind w:left="0" w:right="0" w:hanging="0"/>
        <w:jc w:val="left"/>
        <w:rPr/>
      </w:pPr>
      <w:r>
        <w:rPr/>
        <w:t>​</w:t>
      </w:r>
    </w:p>
    <w:tbl>
      <w:tblPr>
        <w:tblW w:w="9658" w:type="dxa"/>
        <w:jc w:val="left"/>
        <w:tblInd w:w="0" w:type="dxa"/>
        <w:tblLayout w:type="fixed"/>
        <w:tblCellMar>
          <w:top w:w="0" w:type="dxa"/>
          <w:left w:w="0" w:type="dxa"/>
          <w:bottom w:w="0" w:type="dxa"/>
          <w:right w:w="0" w:type="dxa"/>
        </w:tblCellMar>
      </w:tblPr>
      <w:tblGrid>
        <w:gridCol w:w="7486"/>
        <w:gridCol w:w="109"/>
        <w:gridCol w:w="199"/>
        <w:gridCol w:w="701"/>
        <w:gridCol w:w="109"/>
        <w:gridCol w:w="199"/>
        <w:gridCol w:w="701"/>
        <w:gridCol w:w="154"/>
      </w:tblGrid>
      <w:tr>
        <w:trPr/>
        <w:tc>
          <w:tcPr>
            <w:tcW w:w="7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753610" cy="175260"/>
                      <wp:effectExtent l="0" t="0" r="0" b="0"/>
                      <wp:wrapNone/>
                      <wp:docPr id="187" name="Frame187"/>
                      <a:graphic xmlns:a="http://schemas.openxmlformats.org/drawingml/2006/main">
                        <a:graphicData uri="http://schemas.microsoft.com/office/word/2010/wordprocessingShape">
                          <wps:wsp>
                            <wps:cNvSpPr txBox="1"/>
                            <wps:spPr>
                              <a:xfrm>
                                <a:off x="0" y="0"/>
                                <a:ext cx="4753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8" name="Frame1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6365" cy="175260"/>
                      <wp:effectExtent l="0" t="0" r="0" b="0"/>
                      <wp:wrapNone/>
                      <wp:docPr id="189" name="Frame189"/>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45135" cy="175260"/>
                      <wp:effectExtent l="0" t="0" r="0" b="0"/>
                      <wp:wrapNone/>
                      <wp:docPr id="190" name="Frame190"/>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91"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26365" cy="175260"/>
                      <wp:effectExtent l="0" t="0" r="0" b="0"/>
                      <wp:wrapNone/>
                      <wp:docPr id="192" name="Frame192"/>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45135" cy="175260"/>
                      <wp:effectExtent l="0" t="0" r="0" b="0"/>
                      <wp:wrapNone/>
                      <wp:docPr id="193" name="Frame193"/>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97790" cy="175260"/>
                      <wp:effectExtent l="0" t="0" r="0" b="0"/>
                      <wp:wrapNone/>
                      <wp:docPr id="194" name="Frame19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4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90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lineRule="auto" w:line="285" w:before="0" w:after="0"/>
              <w:ind w:left="0" w:right="0" w:hanging="0"/>
              <w:jc w:val="left"/>
              <w:rPr/>
            </w:pPr>
            <w:r>
              <w:rPr/>
              <w:t>​</w:t>
            </w:r>
          </w:p>
        </w:tc>
        <w:tc>
          <w:tcPr>
            <w:tcW w:w="90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74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lineRule="auto" w:line="285" w:before="0" w:after="0"/>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7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113,326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169,724</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748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109" w:type="dxa"/>
            <w:tcBorders/>
            <w:vAlign w:val="center"/>
          </w:tcPr>
          <w:p>
            <w:pPr>
              <w:pStyle w:val="TableContents"/>
              <w:bidi w:val="0"/>
              <w:spacing w:lineRule="auto" w:line="285"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10,634</w:t>
            </w:r>
          </w:p>
        </w:tc>
        <w:tc>
          <w:tcPr>
            <w:tcW w:w="109" w:type="dxa"/>
            <w:tcBorders/>
            <w:vAlign w:val="center"/>
          </w:tcPr>
          <w:p>
            <w:pPr>
              <w:pStyle w:val="TableContents"/>
              <w:bidi w:val="0"/>
              <w:spacing w:lineRule="auto" w:line="285"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5,207</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7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cash, cash equivalents, and restricted cash shown in condensed consolidated statements of cash flows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123,960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174,931</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March 31, 2024 and December 31, 2023, $10.6 million and $10.2 million, respectively, of the Company’s cash is restricted by a financial institution primarily related to funds held to satisfy the requirements of certain government agreements and the security deposits for the lease agreements for the Company’s office and laboratory spaces.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787" w:name="Tc_BtxF4JOIwUeSGNIyYyHq3A_8_5"/>
      <w:bookmarkStart w:id="788" w:name="Tc_nK4Jzi2qSEa7uWu14b0Gzw_8_2"/>
      <w:bookmarkStart w:id="789" w:name="Tc_p3T2-t4Psk6EsQlWXT3ffw_8_0"/>
      <w:bookmarkStart w:id="790" w:name="Tc_XIcXvNg-KUGFQc8EbE5B2A_7_0"/>
      <w:bookmarkStart w:id="791" w:name="Tc_WSBpeykzc0acE8nPFDIM8Q_6_0"/>
      <w:bookmarkStart w:id="792" w:name="Tc_LMKxqnO020ayjj4Kp2LZDA_5_0"/>
      <w:bookmarkStart w:id="793" w:name="Tc_xGYPevla8UGso41poYhBrA_4_0"/>
      <w:bookmarkStart w:id="794" w:name="Tc_dJp8HNdve0SzsRujq4uiew_3_5"/>
      <w:bookmarkStart w:id="795" w:name="Tc_ZOB0igj1Kke8hQbmwYzN6w_3_2"/>
      <w:bookmarkStart w:id="796" w:name="Tc_EqKa7HCB_UGlxhVXyPx6lQ_3_0"/>
      <w:bookmarkStart w:id="797" w:name="Tc_TdyYRFNRNE6tJrH0Z3skiw_2_5"/>
      <w:bookmarkStart w:id="798" w:name="Tc_3vUzJ3Ot1kiFgaEgp0jUAw_2_2"/>
      <w:bookmarkStart w:id="799" w:name="Tc_-eIAecj2GECaO4EBm9L3iw_1_5"/>
      <w:bookmarkStart w:id="800" w:name="Tc_rvCUtWXWa0ORXlBfxM0C5Q_1_2"/>
      <w:bookmarkStart w:id="801" w:name="_9a254f94_f439_4e02_a769_8974d5e53ad5"/>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r>
        <w:rPr>
          <w:rFonts w:ascii="Times New Roman;Times;serif" w:hAnsi="Times New Roman;Times;serif"/>
          <w:b/>
          <w:sz w:val="20"/>
        </w:rPr>
        <w:t>9. Accrued Expenses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Accrued expenses as of March 31, 2024 and December 31, 2023 consist of the following (in thousands):</w:t>
      </w:r>
    </w:p>
    <w:p>
      <w:pPr>
        <w:pStyle w:val="TextBody"/>
        <w:bidi w:val="0"/>
        <w:spacing w:lineRule="auto" w:line="285" w:before="0" w:after="0"/>
        <w:ind w:left="0" w:right="0" w:hanging="0"/>
        <w:jc w:val="left"/>
        <w:rPr/>
      </w:pPr>
      <w:r>
        <w:rPr/>
        <w:t>​</w:t>
      </w:r>
    </w:p>
    <w:tbl>
      <w:tblPr>
        <w:tblW w:w="7330" w:type="dxa"/>
        <w:jc w:val="left"/>
        <w:tblInd w:w="0" w:type="dxa"/>
        <w:tblLayout w:type="fixed"/>
        <w:tblCellMar>
          <w:top w:w="0" w:type="dxa"/>
          <w:left w:w="0" w:type="dxa"/>
          <w:bottom w:w="0" w:type="dxa"/>
          <w:right w:w="0" w:type="dxa"/>
        </w:tblCellMar>
      </w:tblPr>
      <w:tblGrid>
        <w:gridCol w:w="4501"/>
        <w:gridCol w:w="326"/>
        <w:gridCol w:w="211"/>
        <w:gridCol w:w="781"/>
        <w:gridCol w:w="326"/>
        <w:gridCol w:w="226"/>
        <w:gridCol w:w="959"/>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858135" cy="175260"/>
                      <wp:effectExtent l="0" t="0" r="0" b="0"/>
                      <wp:wrapNone/>
                      <wp:docPr id="195" name="Frame195"/>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95935" cy="175260"/>
                      <wp:effectExtent l="0" t="0" r="0" b="0"/>
                      <wp:wrapNone/>
                      <wp:docPr id="198" name="Frame1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43510" cy="175260"/>
                      <wp:effectExtent l="0" t="0" r="0" b="0"/>
                      <wp:wrapNone/>
                      <wp:docPr id="200" name="Frame20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08965" cy="175260"/>
                      <wp:effectExtent l="0" t="0" r="0" b="0"/>
                      <wp:wrapNone/>
                      <wp:docPr id="201" name="Frame201"/>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5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lineRule="auto" w:line="285" w:before="0" w:after="0"/>
              <w:ind w:left="0" w:right="0" w:hanging="0"/>
              <w:jc w:val="left"/>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5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development and commercial contract costs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39,612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49,354</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 compensation</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20,006</w:t>
            </w:r>
          </w:p>
        </w:tc>
        <w:tc>
          <w:tcPr>
            <w:tcW w:w="3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43,434</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19,852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 </w:t>
            </w:r>
          </w:p>
        </w:tc>
        <w:tc>
          <w:tcPr>
            <w:tcW w:w="9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12,522</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Revenue-related reserves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20,763</w:t>
            </w:r>
          </w:p>
        </w:tc>
        <w:tc>
          <w:tcPr>
            <w:tcW w:w="3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17,465</w:t>
            </w:r>
          </w:p>
        </w:tc>
      </w:tr>
      <w:tr>
        <w:trPr/>
        <w:tc>
          <w:tcPr>
            <w:tcW w:w="4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7,044</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5,217</w:t>
            </w:r>
          </w:p>
        </w:tc>
      </w:tr>
      <w:tr>
        <w:trPr/>
        <w:tc>
          <w:tcPr>
            <w:tcW w:w="4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107,277</w:t>
            </w:r>
          </w:p>
        </w:tc>
        <w:tc>
          <w:tcPr>
            <w:tcW w:w="326" w:type="dxa"/>
            <w:tcBorders/>
            <w:vAlign w:val="center"/>
          </w:tcPr>
          <w:p>
            <w:pPr>
              <w:pStyle w:val="TableContents"/>
              <w:bidi w:val="0"/>
              <w:spacing w:lineRule="auto" w:line="285"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127,992</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10. Collaboration and Other Agreements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Rigel</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February 22, 2024, the Company entered into an Asset Purchase Agreement with Rigel Pharmaceuticals, Inc. (“Rigel”) for Rigel to purchase certain assets from the Company comprising the U.S. rights to research, develop, manufacture and commercialize GAVRETO (pralsetinib). Such assets include, among other things, applicable intellectual property related to pralsetinib in the U.S, including patents, copyrights and trademarks, as well as clinical regulatory and commercial data and records. Simultaneously and in connection with entering into the Asset Purchase Agreement, the parties also entered into certain supporting agreements, including a customary transition agreement, (such agreements collectively, the Rigel agreement), pursuant to which, during a transition period, the Company will transition certain inventory and regulatory and distribution responsibility for pralsetinib to Rigel. This transition is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anticipated to be completed in the third quarter of 2024.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terms of the Rigel agreement, the Company will receive a purchase price of $15.0 million, with $10.0 million payable upon first commercial sale of GAVRETO by Rigel and an additional $5.0 million payable on the earlier of (i) the first anniversary of the closing date of the transaction as a delayed purchase price, or (ii) the completion of certain transition activities. The Company is also eligible to receive up to $102.5 million in contingent specified regulatory and commercial milestone payments, in addition to tiered percentage royalties ranging from ten percent to 30 percent on annual net sales of GAVRETO in the U.S. The royalties will be payable until the later of (i) the expiration of the royalty term, as defined in the agreement, which begins on the date of the first commercial sale of GAVRETO in the U.S., (ii) the date of expiration of the last valid patent claim within the Company’s IP that covers GAVRETO in the U.S., and (iii) the expiration of the last regulatory exclusivity for GAVRETO in the U.S. Under the Rigel agreement, the Company has an obligation to provide compensation to Rigel in response to credit events arising from the transition activities as defined in the Rigel agreement.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determined that the Rigel agreement is a transaction with a customer and therefore accounted for the transaction in accordance with ASC 606. For the purpose of ASC 606, the transaction price, including variable considerations, of the Rigel agreement at the outset of the arrangement are fully constrained until key transition activities, including transfer of the new drug application (NDA), stipulated in the Rigel agreement have been completed based on the defined timeline. Therefore, no revenue was recognized in the condensed consolidated statement of operations during the three months ended March 31, 2024.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IDRx</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August 2022, the Company entered into </w:t>
      </w:r>
      <w:r>
        <w:rPr>
          <w:rFonts w:ascii="Times New Roman;Times;serif" w:hAnsi="Times New Roman;Times;serif"/>
          <w:sz w:val="20"/>
          <w:shd w:fill="FFFFFF" w:val="clear"/>
        </w:rPr>
        <w:t>a license agreement with IDRx, Inc. (IDRx), pursuant to which the Company granted IDRx an exclusive, worldwide, royalty-bearing license to exploit the Company’s internally discovered KIT exon 13 inhibitor IDRX-73 (IDRx License Agreement). IDRx is a clinical-stage biopharmaceutical company and a</w:t>
      </w:r>
      <w:r>
        <w:rPr>
          <w:rFonts w:ascii="Times New Roman;Times;serif" w:hAnsi="Times New Roman;Times;serif"/>
          <w:sz w:val="20"/>
        </w:rPr>
        <w:t xml:space="preserve">mong IDRx’s founders are Alexis Borisy, George Demetri, M.D., and Nicholas Lydon, Ph.D., who were each members of the Company’s board of directors at the time. Due to these relationships, the transaction with IDRx is a related party transaction. </w:t>
      </w:r>
    </w:p>
    <w:p>
      <w:pPr>
        <w:pStyle w:val="TextBody"/>
        <w:bidi w:val="0"/>
        <w:spacing w:lineRule="auto" w:line="285" w:before="28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In connection with the IDRx License Agreement, the Company also entered into a stock purchase agreement with IDRx (IDRx Stock Purchase Agreement), pursuant to which the Company received 4,509,105 shares of IDRx’s Series A preferred stock with the right to receive additional shares of IDRx’s Series A preferred stock through an anti-dilution provision subject to a defined financing cap. In July 2023, the Company received 192,282 additional shares under the anti-dilution provision. The shares are restricted from reselling unless IDRx subsequently proposes a resale registered under the Securities Act or if an exemption from registration is otherwise available. </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is also eligible to receive up to $217.5 million in contingent cash payments, including specified development, regulatory and sales-based milestone payments. In addition, IDRx is obligated to pay to the Company royalties on aggregate annual worldwide net sales of licensed products at tiered percentage rates up to low-teens, subject to adjustments in specified circumstances under the IDRx License Agreement. </w:t>
      </w:r>
    </w:p>
    <w:p>
      <w:pPr>
        <w:pStyle w:val="TextBody"/>
        <w:bidi w:val="0"/>
        <w:spacing w:lineRule="auto" w:line="285"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Unless earlier terminated, the IDRx License Agreement will expire on a country-by-country, licensed product-by-licensed product basis upon the latest of: (a) the expiration of the last valid claim within the licensed patents covering such licensed product in a such country, (b) the expiration of the regulatory exclusivity period for such licensed product in such country, or (c) the 10th anniversary of the first commercial sale of such licensed product in such country. Following the end of the term for any such licensed product and in such region by expiration, the license granted to IDRx will become exclusive, perpetual, irrevocable, fully paid-up and royalty-free. IDRx may terminate the IDRx License Agreement for convenience at any time upon at least twelve months’ prior written notice to the Company. Either party may also terminate the IDRx License Agreement for material breach of the other party or for insolvency, and the Company may terminate the IDRx License Agreement for IDRx’s breach of the anti-dilution provision in the IDRx Stock Purchase Agreement. Upon termination of the license agreement in its entirety, all rights and obligations under the license agreement will terminate and revert back to the Company, and the Company has a license under certain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intellectual property of IDRx to continue to exploit the compound and terminated product, subject to a royalty that will be negotiated at the time of termination.</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considered the ASC 606 criteria for combining contracts and determined the IDRx License Agreement and the IDRx Stock Purchase Agreement should be combined into a single contract because they were negotiated and entered into in contemplation of one another. Therefore, the Company determined that the 4,509,105 shares of IDRx’s Series A preferred stock and the anti-dilution right to receive additional shares should be attributed to the transaction price of the IDRx License Agreement.</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Company evaluated the IDRx License Agreement under ASC 606. The Company identified the following material promises under the agreement: (1) the exclusive license and (2) the initial know-how transfer.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transfer, should be combined into one distinct performance obligation. The Company concluded that the license is a functional intellectual property license. The Company determined that IDRx benefited from the license along with the initial know-how transfer at the time of grant, and therefore the related performance obligation is satisfied at a point in time.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purposes of ASC 606, the transaction price of the IDRx License Agreement at the contract inception was determined to be $27.5 million and recorded as license revenue-related party on the consolidated statements of operations and comprehensive loss during 2022. The fair value was derived from IDRx’s most recent financing transaction with unrelated investors. All potential milestone payments that the Company is eligible to receive under the IDRx License Agreement have been excluded from the transaction price. The Company reevaluates the transaction price for inclusion of milestone payments and royalties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Additionally, the Company is entitled to sales milestones and royalties from the sales of the licensed products, and revenue are recognized when the related sales occur.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concluded the preferred stock investment should be accounted for as an equity investment as it is not mandatorily redeemable nor does the Company have the unilateral right to redeem the preferred stock, and the Company, along with its related parties, do not have a controlling financial interest in IDRx nor have the ability to influence the financial and operating policies through the ownership of preferred stock. IDRx’s preferred stock is not exchange-traded and does not have a readily determinable fair value. Therefore, the preferred stock investment is accounted for under the measurement alternative for equity investments that do not have a readily determinable fair value, which is at cost of $27.8 million including transaction costs of $0.3 million. As of March 31, 2024, the cost of the investment in IDRx’s preferred stock was $27.8 million and no adjustments have been recognized related to the preferred stock investment as a result of the application of the measurement alternative. No revenue was recorded under the IDRx License Agreement during the three months ended March 31, 2024 and 2023.</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VantAI</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In February 2022, the Company entered into an exclusive collaboration agreement with Oncopia Therapeutics, Inc. d/b/a Proteovant Therapeutics, Inc. (Proteovant) (the 2022 Agreement) to jointly research and advance certain protein degrader therapies into development candidates, with VantAI, Inc. (VantAI) performing computational chemistry services on behalf of Proteovant under the agreement. In December 2023, the Company entered into an Amended and Restated Collaboration and License Agreement (the A&amp;R Agreement) with VantAI and Proteovant, which amended and restated and replaced in its entirety the 2022 Agreement. Under the A&amp;R Agreement, Proteovant ceased its role under the 2022 Agreement and VantAI will provide expanded computational support directly to the Company, including computational biology and expanded computational chemistry to advance three novel protein degrader programs, and the Company has the option, at its sole discretion, to expand the collaboration to include a fourth target program.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the A&amp;R Agreement, VantAI will be eligible to receive up to $1.67 billion in contingent payments including specified research, development, regulatory and commercialization milestones for all the target programs. The Company will be obligated to pay VantAI tiered percentage royalties on a licensed product-by-licensed product basis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ranging from the mid-single digits on annual net sales of each licensed product in the applicable territory, subject to adjustment in specified circumstances.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the 2022 Agreement, the Company paid Proteovant an upfront payment of $20.0 million in connection with the execution of the 2022 Agreement. This upfront payment was recorded as a prepaid asset on the Company’s consolidated balance sheet and was amortized as research and development expense over the expected research period because the Company concluded that Proteovant was providing the Company with research services throughout such period. The Company determined to continue to amortize the remaining prepaid asset balance as research and development expense over the expected research period of the A&amp;R Agreement as VantAI continued to provide such research and development services. During the three months ended March 31, 2024 and 2023, the Company recorded research and development expense of $2.1 million and $1.3 million under the A&amp;R Agreement and the 2022 Agreement, respectively.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reevaluates the expected research period at the end of each reporting period and prospectively adjusts the amortization of the asset for changes in the expected research period. Each research and development milestone payment is accrued and expensed when probable.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Zai Lab</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November 2021, the Company entered into a collaboration (the Zai Lab agreement) with Zai Lab (Shanghai) Co., Ltd., (Zai Lab) to develop and commercialize certain licensed products for the treatment of EGFR-driven non-small cell lung cancer in Greater China, including Mainland China, Hong Kong, Macau and Taiwan (collectively, the Zai Lab Territory). The collaboration aims to accelerate and expand global development of the licensed products, which currently include BLU-945 and BLU-525. In January 2024, the Company decided to discontinue further investment in the early clinical-stage therapies for EGFR-mutant NSCLC globally, which includes BLU-945 and BLU-525. Zai Lab retains its rights to BLU-945 and BLU-525 under the agreement. The Company retains exclusive rights to the licensed products outside the Zai Lab Territory. The decision to deprioritize the licensed products does not have an impact on the Company’s accounting treatment related to the Zai Lab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Zai Lab agreement, the Company received an upfront cash payment of $25.0 million and, in addition to the upfront payment received, the Company is eligible to receive up to $590.0 million in contingent payments, including specified development, regulatory and sales-based milestones and tiered percentage royalties on a licensed product-by-licensed product basis ranging from the low-teens to mid-teens on annual net sales of each licensed product in the Zai Lab Territory, subject to adjustment in specified circumstances. Zai Lab is responsible for costs related to clinical trials in the Zai Lab Territory, other than the specified shared services costs as defined in the Zai Lab agreement which are shared by the Company and Zai Lab.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Pursuant to the terms of the Zai Lab agreement, Zai Lab is responsible for conducting all development and commercialization activities in the Zai Lab Territory related to the licensed drug candidates. In addition, under the Zai Lab agreement, each party has granted the other party specified intellectual property licenses to enable the other party to perform its obligations and exercise its rights under the Zai Lab agreement, including license grants to enable each party to conduct research, development and commercialization activities pursuant to the terms of the Zai Lab agreement.</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The Zai Lab agreement will continue on a licensed product-by-product and region-by-region basis until the later of (i) the 12</w:t>
      </w:r>
      <w:r>
        <w:rPr>
          <w:rFonts w:ascii="Times New Roman;Times;serif" w:hAnsi="Times New Roman;Times;serif"/>
          <w:sz w:val="15"/>
        </w:rPr>
        <w:t>th</w:t>
      </w:r>
      <w:r>
        <w:rPr>
          <w:rFonts w:ascii="Times New Roman;Times;serif" w:hAnsi="Times New Roman;Times;serif"/>
          <w:sz w:val="20"/>
        </w:rPr>
        <w:t xml:space="preserve"> anniversary of the date of the first commercial sale of a licensed product in the Zai Lab Territory, (ii) the date of expiration of the last valid patent claim related to the Company’s patent rights of the product in the Zai Lab Territory, and (iii) the expiration of the last regulatory exclusivity for that product in a region in the Zai Lab Territory. Zai Lab may terminate the agreement for convenience by giving a written notice after the </w:t>
      </w:r>
      <w:r>
        <w:rPr>
          <w:rFonts w:ascii="Times New Roman;Times;serif" w:hAnsi="Times New Roman;Times;serif"/>
          <w:b w:val="false"/>
          <w:i w:val="false"/>
          <w:caps w:val="false"/>
          <w:smallCaps w:val="false"/>
          <w:sz w:val="20"/>
        </w:rPr>
        <w:t>second</w:t>
      </w:r>
      <w:r>
        <w:rPr>
          <w:rFonts w:ascii="Times New Roman;Times;serif" w:hAnsi="Times New Roman;Times;serif"/>
          <w:sz w:val="20"/>
        </w:rPr>
        <w:t xml:space="preserve"> anniversary of the effective date (a) at least 12 months after the date of notice, in the event such notice is given after the first commercial sale of a licensed product in the Zai Lab Territory or (b) at least nine months after the date of such notice, in the event such notice is given prior to the first commercial sale of the first licensed product in the Zai Lab Territory. Either party may terminate the Zai Lab agreement for the other party’s uncured material breach or insolvency. Upon termination, all licenses and all other rights granted by the Company to Zai Lab will terminate. Each party will retain its joint ownership interests in any joint collaboration technology.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evaluated the Zai Lab agreement to determine whether it is a collaborative arrangement in the scope of ASC 808. The Company concluded that the Zai Lab agreement is a collaborative agreement under ASC 808 as both parties are active participants in the clinical trials and are exposed to significant risks and rewards of those activities under the Zai Lab agreement. The Company determined that the Zai Lab agreement contained two material components: (i) licenses granted to Zai Lab to exploit and develop each licensed product in the Zai Lab Territory and related activities in the Zai Lab Territory, including manufacturing, and (ii) the parties’ participation in the global development of the licensed products. The Company used the criteria specified in ASC 606 to determine which of the components of the Zai Lab agreement are performance obligations with a customer and concluded that Zai Lab is the Company’s customer for the licenses and related activities in the Zai Lab Territory under ASC 606. The global development activities under the agreement does not present a transaction with a customer and the payments received by the Company for global development activities, including manufacturing, are accounted for as a reduction of related expenses. During the three months ended March 31, 2024, the Company did not record any reductions of expenses under the Zai Lab agreement and such reductions of expenses were insignificant during the three months ended March 31, 2023.</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Zai Lab Territory specific licenses and related activities under ASC 606 as these transactions are considered transactions with a customer and identified three material promises at the outset of the Zai Lab agreement, which consists of the following for each licensed product: (1) the exclusive license, (2) the initial know-how transfer and (3) manufacturing activities related to development and commercial supply of the licensed product in the Zai Lab Territory. The Company determined that the exclusive license and the initial know-how transfer were not distinct from each other, as the exclusive license has limited value without the corresponding know-how transfer. As such, for the purposes of ASC 606, the Company determined that these two material promises, the exclusive license and the initial know-how, should be combined into one distinct performance obligation. The Company further evaluated the material promise associated with manufacturing activities related to development and commercial supply of the licensed products in the Zai Lab Territory, given Zai Lab is not obligated to purchase any minimum amount or quantities of the development and commercial supply from the Company, the Company concluded that, for the purpose of ASC 606, the provision of manufacturing activities related to development and commercial supply of the licensed product in Zai Lab Territory was an option but not a performance obligation of the Company at the inception of the Zai Lab collaboration agreement and will be accounted for if and when exercised. The Company also concluded that there is no separate material right in connection with the development and commercial supply of the licensed product, as the expected pricing was not issued at a significant and incremental discount. Therefore, the manufacturing activities were excluded as performance obligation at the outset of the arrangement.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evaluated the license under ASC 606 and concluded that the license is a functional intellectual property license. The Company determined that Zai Lab benefited from the license along with the initial know-how transfer at the time of grant, and therefore the related performance obligation is satisfied at a point in time. Additionally, the Company is entitled to sales milestones and royalties from Zai Lab upon future sales of the licensed products in the Zai Lab Territory, and revenue will be recognized when the related sales occur. Costs that are incurred associated with Zai Lab Territory specific activities are reimbursable from Zai Lab and are recognized as revenue. During the three months ended March 31, 2024, the Company did not record any revenue under the Zai Lab agreement and revenue recorded during the three months ended March 31, 2023 under the Zai Lab agreement was insignificant.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purposes of ASC 606, the transaction price of the Zai Lab agreement at the outset of the arrangement was determined to be $25.0 million, which consisted of the upfront cash payment. The other potential milestone payments that the Company is eligible to receive were excluded from the transaction price, as all milestone amounts were fully constrained based on the probability of achievement. The Company satisfied the performance obligation upon delivery of the licenses and initial know-how transfer, and recognized the upfront payment of $25.0 million as revenue in 2021.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Roche – Pralsetinib Collaboration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In July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 In February 2023, the Company received written notice from Roche of their election to terminate for convenience the Roche pralsetinib collaboration agreement. The termination became effective on February 22, 2024 (the collaboration termination effective date), at which time the Company regained commercialization and development rights to GAVRETO from Roche worldwide excluding the CStone Territory. In January 2024, the Company decided to discontinue global development and marketing of GAVRETO in territories excluding the U.S. and the CStone Territory, due to a lack of an alternate partner in these regions. On February 22, 2024, the Company and Roche entered into a transition agreement (the Roche transition agreement) in connection with the termination of the Roche pralsetinib collaboration agreement.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Roche pralsetinib collaboration agreement, the Company received an upfront cash payment of $675.0 million. Through the collaboration termination effective date, the Company received an aggregate of $105.0 million in specified regulatory and commercialization milestones under the Roche pralsetinib collaboration agreement. The Company and Roche continued to perform their respective obligations under the Roche pralsetinib collaboration agreement through the collaboration termination effective date.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U.S., the Company and Roche co-commercialized pralsetinib and shared responsibilities, profits and losses equally. In addition, the Company received tiered royalties ranging from high-teens to mid-twenties on annual net sales of pralsetinib outside the U.S., excluding the CStone Territory (the Roche Territory). The Company and Roche also co-developed pralsetinib globally in RET-altered solid tumors, including non-small cell lung cancer, medullary thyroid carcinoma and other thyroid cancers, as well as other solid tumors. The Company and Roche shared global development costs for pralsetinib at a rate of 45 percent for the Company and 55 percent for Roche.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Roche pralsetinib collaboration agreement, on July 13, 2020, the Company also entered into a stock purchase agreement with Roche Holdings, Inc. (Roche Holdings) pursuant to which the Company issued and sold an aggregate of 1,035,519 shares of common stock to Roche Holdings at a purchase price of $96.57 per share and received an aggregate of $100.0 million in the third quarter of 2020. The closing for a minority portion of the equity investment occurred following the expiration of the waiting period under the Hart-Scott-Rodino Antitrust Improvements Act of 1976, as amended, and other customary closing conditions.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considered the ASC 606 criteria for combining contracts and determined that the Roche pralsetinib collaboration agreement and stock purchase agreement should be combined into a single contract because they were negotiated and entered into in contemplation of one another. The Company accounted for the common stock issued to Roche Holdings based on the fair market value of the common stock on the dates of issuance. The fair market value of the common stock issued to Roche Holdings was $79.3 million, based on the closing price of the Company’s common stock on the dates of issuance, resulting in a $20.7 million premium. The Company determined that the premium paid by Roche Holdings for the common stock should be attributed to the transaction price of the Roche pralsetinib collaboration agreement.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determined that the Roche pralsetinib collaboration agreement contained four material components: (i) licenses granted to Roche to develop and commercialize pralsetinib worldwide, excluding the CStone Territory (pralsetinib license); (ii) the Roche Territory-specific commercialization activities for pralsetinib, including manufacturing (Roche Territory activities); (iii) the parties’ joint development activities for pralsetinib worldwide, excluding the CStone Territory; and (iv) the parties’ joint commercialization activities for pralsetinib in the U.S. The Company considered the guidance in ASC 606 to determine which of the components of the Roche pralsetinib collaboration agreement are performance obligations with a customer and concluded that the pralsetinib license and the Roche Territory activities are within the scope of ASC 606 because Roche is the Company’s customer in those transactions.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Roche pralsetinib license under ASC 606 and concluded that the pralsetinib license is a functional intellectual property license and is a distinct performance obligation. The Company determined that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802" w:name="_cp_change_4211"/>
      <w:bookmarkStart w:id="803" w:name="Tc_DmfpgUF06kGaWpBtwyBpOA_7_5"/>
      <w:bookmarkStart w:id="804" w:name="Tc_kr9SRAkUYUqSPVS21O-wuA_7_2"/>
      <w:bookmarkStart w:id="805" w:name="Tc_Tns44cD9hEO5kr4tEWd-wQ_7_0"/>
      <w:bookmarkStart w:id="806" w:name="Tc_Yjf69AtzTUiwbOTlMsfS8g_6_6"/>
      <w:bookmarkStart w:id="807" w:name="Tc_I4o-49qo_kmJiWSoxwwPhA_6_0"/>
      <w:bookmarkStart w:id="808" w:name="Tc_Er--gwibYk6d8ZybIkoTJw_5_0"/>
      <w:bookmarkStart w:id="809" w:name="Tc_U5ZTAQF6fEaRc9Z2eXy_-w_4_5"/>
      <w:bookmarkStart w:id="810" w:name="Tc_rnNa-b0eHUOAiebzoHKI7g_4_2"/>
      <w:bookmarkStart w:id="811" w:name="Tc_E7YZxjJPKkSjxHbVQM-NnA_4_0"/>
      <w:bookmarkStart w:id="812" w:name="Tc_LxlyYz9hgEaamwU4gIE1UA_3_5"/>
      <w:bookmarkStart w:id="813" w:name="Tc_vjGx0jyryE2NYkmq9ZPG0Q_3_2"/>
      <w:bookmarkStart w:id="814" w:name="Tc_D-2krVHpYE2NMUUuhJNGKg_2_2"/>
      <w:bookmarkStart w:id="815" w:name="Tc_VJcah8i9L066WIZI0b2r1A_1_2"/>
      <w:bookmarkStart w:id="816" w:name="_23bcc73e_3cd5_428c_b3db_7b219b91b00c"/>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r>
        <w:rPr>
          <w:rFonts w:ascii="Times New Roman;Times;serif" w:hAnsi="Times New Roman;Times;serif"/>
          <w:sz w:val="20"/>
        </w:rPr>
        <w:t>Roche benefited from the pralsetinib license at the time of grant, and therefore the related performance obligation is satisfied at a point in time.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Roche Territory activities under ASC 606 and identified one material promise associated with manufacturing activities related to development and commercial supply of pralsetinib in the Roche Territory for up to 24 months. Given that Roche was not obligated to purchase any minimum amount or quantities of the development and commercial supply from the Company, the Company concluded that, for the purpose of ASC 606, the provision of manufacturing activities related to development and commercial supply of pralsetinib in Roche Territory was an option but not a performance obligation of the Company at the inception of the Roche collaboration agreement and was accounted for when exercised. The Company also concluded that there was no separate material right in connection with the development and commercial supply of pralsetinib, as the expected pricing was not issued at a significant and incremental discount. Therefore, the manufacturing activities were excluded as performance obligations at the outset of the arrangement. Costs incurred associated with the Roche Territory activities were reimbursable from Roche and were recognized as revenue.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purposes of ASC 606, the transaction price of the Roche pralsetinib collaboration agreement at the outset of the arrangement was determined to be $695.7 million, which consisted of the upfront cash payment of $675.0 million and the $20.7 million premium on the sale of common stock to Roche Holdings, which was allocated to the performance obligation related to the pralsetinib licenses. Through the collaboration termination effective date, the Company achieved an aggregate of $105.0 million in specified regulatory and commercialization milestones which were added to the estimated transaction price of the Roche pralsetinib collaboration agreement.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Roche was the principal for recording product sales to customers in the U.S., and the Company recognized a portion of the profit as revenue and losses as collaboration loss sharing in its consolidated statements of operations and comprehensive income (loss). During the three months ended March 31, 2024, the Company recorded revenue of $1.4 million derived from profit sharing on Roche sales of GAVRETO in the U.S. through the collaboration termination effective date. During the three months ended March 31, 2023, the Company recorded a collaboration loss sharing expense of $1.3 million on Roche’s sales of GAVRETO in the U.S..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Despite selling all rights to receive royalties on GAVRETO net sales of Roche Territory to Royalty Pharma in June 2022, given the Company’s significant continued involvement in the generation of future royalties through the collaboration termination effective date, the Company continued to record any royalties earned related to the Roche Territory activities under the Roche pralsetinib collaboration agreement as collaboration revenue on its consolidated statements of operations and comprehensive income (loss) through the collaboration termination effective date. For additional information, see Note 3 – </w:t>
      </w:r>
      <w:r>
        <w:rPr>
          <w:rFonts w:ascii="Times New Roman;Times;serif" w:hAnsi="Times New Roman;Times;serif"/>
          <w:i/>
          <w:sz w:val="20"/>
        </w:rPr>
        <w:t>Financing Arrangements</w:t>
      </w:r>
      <w:r>
        <w:rPr>
          <w:rFonts w:ascii="Times New Roman;Times;serif" w:hAnsi="Times New Roman;Times;serif"/>
          <w:sz w:val="20"/>
        </w:rPr>
        <w:t>.</w:t>
      </w:r>
    </w:p>
    <w:p>
      <w:pPr>
        <w:pStyle w:val="TextBody"/>
        <w:bidi w:val="0"/>
        <w:spacing w:lineRule="auto" w:line="285" w:before="0" w:after="0"/>
        <w:ind w:left="0" w:right="0" w:firstLine="720"/>
        <w:jc w:val="left"/>
        <w:rPr/>
      </w:pPr>
      <w:r>
        <w:rPr/>
        <w:t>​</w:t>
      </w:r>
    </w:p>
    <w:p>
      <w:pPr>
        <w:pStyle w:val="TextBody"/>
        <w:bidi w:val="0"/>
        <w:spacing w:lineRule="auto" w:line="307"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revenue recognized under the Roche pralsetinib collaboration during the three months ended March 31, 2024 and 2023 (in thousands): </w:t>
      </w:r>
    </w:p>
    <w:p>
      <w:pPr>
        <w:pStyle w:val="TextBody"/>
        <w:bidi w:val="0"/>
        <w:spacing w:lineRule="auto" w:line="285" w:before="0" w:after="0"/>
        <w:ind w:left="0" w:right="0" w:hanging="0"/>
        <w:jc w:val="left"/>
        <w:rPr/>
      </w:pPr>
      <w:r>
        <w:rPr/>
        <w:t>​</w:t>
      </w:r>
    </w:p>
    <w:tbl>
      <w:tblPr>
        <w:tblW w:w="7224" w:type="dxa"/>
        <w:jc w:val="left"/>
        <w:tblInd w:w="0" w:type="dxa"/>
        <w:tblLayout w:type="fixed"/>
        <w:tblCellMar>
          <w:top w:w="0" w:type="dxa"/>
          <w:left w:w="0" w:type="dxa"/>
          <w:bottom w:w="0" w:type="dxa"/>
          <w:right w:w="0" w:type="dxa"/>
        </w:tblCellMar>
      </w:tblPr>
      <w:tblGrid>
        <w:gridCol w:w="5386"/>
        <w:gridCol w:w="146"/>
        <w:gridCol w:w="214"/>
        <w:gridCol w:w="581"/>
        <w:gridCol w:w="148"/>
        <w:gridCol w:w="214"/>
        <w:gridCol w:w="535"/>
      </w:tblGrid>
      <w:tr>
        <w:trPr/>
        <w:tc>
          <w:tcPr>
            <w:tcW w:w="538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92710" cy="175260"/>
                      <wp:effectExtent l="0" t="0" r="0" b="0"/>
                      <wp:wrapNone/>
                      <wp:docPr id="202" name="Frame20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5890" cy="175260"/>
                      <wp:effectExtent l="0" t="0" r="0" b="0"/>
                      <wp:wrapNone/>
                      <wp:docPr id="203" name="Frame20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68935" cy="175260"/>
                      <wp:effectExtent l="0" t="0" r="0" b="0"/>
                      <wp:wrapNone/>
                      <wp:docPr id="204" name="Frame204"/>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93980" cy="175260"/>
                      <wp:effectExtent l="0" t="0" r="0" b="0"/>
                      <wp:wrapNone/>
                      <wp:docPr id="205" name="Frame205"/>
                      <a:graphic xmlns:a="http://schemas.openxmlformats.org/drawingml/2006/main">
                        <a:graphicData uri="http://schemas.microsoft.com/office/word/2010/wordprocessingShape">
                          <wps:wsp>
                            <wps:cNvSpPr txBox="1"/>
                            <wps:spPr>
                              <a:xfrm>
                                <a:off x="0" y="0"/>
                                <a:ext cx="939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5890" cy="175260"/>
                      <wp:effectExtent l="0" t="0" r="0" b="0"/>
                      <wp:wrapNone/>
                      <wp:docPr id="206" name="Frame20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39725" cy="175260"/>
                      <wp:effectExtent l="0" t="0" r="0" b="0"/>
                      <wp:wrapNone/>
                      <wp:docPr id="207" name="Frame207"/>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38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692"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38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692"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38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 </w:t>
            </w:r>
          </w:p>
        </w:tc>
        <w:tc>
          <w:tcPr>
            <w:tcW w:w="7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8" w:type="dxa"/>
            <w:tcBorders/>
            <w:vAlign w:val="center"/>
          </w:tcPr>
          <w:p>
            <w:pPr>
              <w:pStyle w:val="TableContents"/>
              <w:bidi w:val="0"/>
              <w:spacing w:lineRule="auto" w:line="285" w:before="0" w:after="0"/>
              <w:ind w:left="0" w:right="0" w:hanging="0"/>
              <w:jc w:val="left"/>
              <w:rPr/>
            </w:pPr>
            <w:r>
              <w:rPr/>
              <w:t> </w:t>
            </w:r>
          </w:p>
        </w:tc>
        <w:tc>
          <w:tcPr>
            <w:tcW w:w="74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3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Manufacturing and research and development services related to </w:t>
              <w:br/>
              <w:t>ex-US territory-specific activities</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148" w:type="dxa"/>
            <w:tcBorders/>
            <w:shd w:fill="CCEEFF" w:val="clear"/>
            <w:vAlign w:val="center"/>
          </w:tcPr>
          <w:p>
            <w:pPr>
              <w:pStyle w:val="TableContents"/>
              <w:bidi w:val="0"/>
              <w:spacing w:lineRule="auto" w:line="285" w:before="0" w:after="0"/>
              <w:ind w:left="0" w:right="0" w:hanging="0"/>
              <w:jc w:val="left"/>
              <w:rPr/>
            </w:pPr>
            <w:r>
              <w:rPr/>
              <w:t> </w:t>
            </w:r>
          </w:p>
        </w:tc>
        <w:tc>
          <w:tcPr>
            <w:tcW w:w="21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53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Royalty revenue</w:t>
            </w:r>
          </w:p>
        </w:tc>
        <w:tc>
          <w:tcPr>
            <w:tcW w:w="146" w:type="dxa"/>
            <w:tcBorders/>
            <w:vAlign w:val="center"/>
          </w:tcPr>
          <w:p>
            <w:pPr>
              <w:pStyle w:val="TableContents"/>
              <w:bidi w:val="0"/>
              <w:spacing w:lineRule="auto" w:line="285" w:before="0" w:after="0"/>
              <w:ind w:left="0" w:right="0" w:hanging="0"/>
              <w:jc w:val="left"/>
              <w:rPr/>
            </w:pPr>
            <w:r>
              <w:rPr/>
              <w:t> </w:t>
            </w:r>
          </w:p>
        </w:tc>
        <w:tc>
          <w:tcPr>
            <w:tcW w:w="214" w:type="dxa"/>
            <w:tcBorders/>
            <w:vAlign w:val="center"/>
          </w:tcPr>
          <w:p>
            <w:pPr>
              <w:pStyle w:val="TableContents"/>
              <w:bidi w:val="0"/>
              <w:spacing w:lineRule="auto" w:line="285" w:before="0" w:after="0"/>
              <w:ind w:left="0" w:right="0" w:hanging="0"/>
              <w:jc w:val="left"/>
              <w:rPr/>
            </w:pPr>
            <w:r>
              <w:rPr/>
              <w:t>​</w:t>
            </w:r>
          </w:p>
        </w:tc>
        <w:tc>
          <w:tcPr>
            <w:tcW w:w="5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198</w:t>
            </w:r>
          </w:p>
        </w:tc>
        <w:tc>
          <w:tcPr>
            <w:tcW w:w="148" w:type="dxa"/>
            <w:tcBorders/>
            <w:vAlign w:val="center"/>
          </w:tcPr>
          <w:p>
            <w:pPr>
              <w:pStyle w:val="TableContents"/>
              <w:bidi w:val="0"/>
              <w:spacing w:lineRule="auto" w:line="285" w:before="0" w:after="0"/>
              <w:ind w:left="0" w:right="0" w:hanging="0"/>
              <w:jc w:val="left"/>
              <w:rPr/>
            </w:pPr>
            <w:r>
              <w:rPr/>
              <w:t> </w:t>
            </w:r>
          </w:p>
        </w:tc>
        <w:tc>
          <w:tcPr>
            <w:tcW w:w="214" w:type="dxa"/>
            <w:tcBorders/>
            <w:vAlign w:val="center"/>
          </w:tcPr>
          <w:p>
            <w:pPr>
              <w:pStyle w:val="TableContents"/>
              <w:bidi w:val="0"/>
              <w:spacing w:lineRule="auto" w:line="285" w:before="0" w:after="0"/>
              <w:ind w:left="0" w:right="0" w:hanging="0"/>
              <w:jc w:val="left"/>
              <w:rPr/>
            </w:pPr>
            <w:r>
              <w:rPr/>
              <w:t>​</w:t>
            </w:r>
          </w:p>
        </w:tc>
        <w:tc>
          <w:tcPr>
            <w:tcW w:w="53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437</w:t>
            </w:r>
          </w:p>
        </w:tc>
      </w:tr>
      <w:tr>
        <w:trPr/>
        <w:tc>
          <w:tcPr>
            <w:tcW w:w="53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GAVRETO profit share in the U.S.</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1,416</w:t>
            </w:r>
          </w:p>
        </w:tc>
        <w:tc>
          <w:tcPr>
            <w:tcW w:w="148" w:type="dxa"/>
            <w:tcBorders/>
            <w:shd w:fill="CCEEFF" w:val="clear"/>
            <w:vAlign w:val="center"/>
          </w:tcPr>
          <w:p>
            <w:pPr>
              <w:pStyle w:val="TableContents"/>
              <w:bidi w:val="0"/>
              <w:spacing w:lineRule="auto" w:line="285"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53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Roche pralsetinib collaboration revenue</w:t>
            </w:r>
          </w:p>
        </w:tc>
        <w:tc>
          <w:tcPr>
            <w:tcW w:w="146" w:type="dxa"/>
            <w:tcBorders/>
            <w:vAlign w:val="center"/>
          </w:tcPr>
          <w:p>
            <w:pPr>
              <w:pStyle w:val="TableContents"/>
              <w:bidi w:val="0"/>
              <w:spacing w:lineRule="auto" w:line="285" w:before="0" w:after="0"/>
              <w:ind w:left="0" w:right="0" w:hanging="0"/>
              <w:jc w:val="left"/>
              <w:rPr/>
            </w:pPr>
            <w:r>
              <w:rPr/>
              <w:t> </w:t>
            </w:r>
          </w:p>
        </w:tc>
        <w:tc>
          <w:tcPr>
            <w:tcW w:w="21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1,938</w:t>
            </w:r>
          </w:p>
        </w:tc>
        <w:tc>
          <w:tcPr>
            <w:tcW w:w="148" w:type="dxa"/>
            <w:tcBorders/>
            <w:vAlign w:val="center"/>
          </w:tcPr>
          <w:p>
            <w:pPr>
              <w:pStyle w:val="TableContents"/>
              <w:bidi w:val="0"/>
              <w:spacing w:lineRule="auto" w:line="285" w:before="0" w:after="0"/>
              <w:ind w:left="0" w:right="0" w:hanging="0"/>
              <w:jc w:val="left"/>
              <w:rPr/>
            </w:pPr>
            <w:r>
              <w:rPr/>
              <w:t> </w:t>
            </w:r>
          </w:p>
        </w:tc>
        <w:tc>
          <w:tcPr>
            <w:tcW w:w="21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5"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564</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parties’ participation in global development for pralsetinib and the U.S. commercialization activities for GAVRETO, the Company concluded that those activities and cost-sharing payments related to such activities are within the scope of ASC 808, as both parties are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are accounted for either as an increase or reduction of research and development expenses.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817" w:name="Tc_wFylakorjk-Vyt9moWeNjA_4_5"/>
      <w:bookmarkStart w:id="818" w:name="Tc_CzqBm2GKzEuImo6uoDRkjA_4_3"/>
      <w:bookmarkStart w:id="819" w:name="Tc_06OMcfrA1k6OdwkDtjXGlw_4_2"/>
      <w:bookmarkStart w:id="820" w:name="Tc_CRKxOsqUQ0aApCxD6MfrZw_4_0"/>
      <w:bookmarkStart w:id="821" w:name="Tc_l7tiwu7xTkWjC1OXbRmf8Q_3_5"/>
      <w:bookmarkStart w:id="822" w:name="Tc_F-xG1UBRQ0KP-vPvgI2aXg_3_2"/>
      <w:bookmarkStart w:id="823" w:name="Tc_JHLcEJXynEaOQPs0WD27ig_3_0"/>
      <w:bookmarkStart w:id="824" w:name="Tc_5XaxRK9x8kmQsm-wrIxWNQ_2_5"/>
      <w:bookmarkStart w:id="825" w:name="Tc_itRo76DG1ku5ZMfRAAy5Ow_2_2"/>
      <w:bookmarkStart w:id="826" w:name="Tc_zenYq9V0K0iIw9_9my8LZA_1_5"/>
      <w:bookmarkStart w:id="827" w:name="Tc_4GFOGRO4uEKz2zLJdImBQw_1_2"/>
      <w:bookmarkStart w:id="828" w:name="_ae5bef59_caac_4227_9802_22a61cb455c4"/>
      <w:bookmarkStart w:id="829" w:name="Tc_ReOdF29-FUyAn7LTFoc0xA_5_5"/>
      <w:bookmarkStart w:id="830" w:name="Tc_OwGfW32PKk-lF7amTct1jQ_5_2"/>
      <w:bookmarkStart w:id="831" w:name="Tc_0N4cAFcyaEORL3XlMA94uw_5_0"/>
      <w:bookmarkStart w:id="832" w:name="Tc_JRQ7QPO7eUCVQsJxVA9XTw_4_5"/>
      <w:bookmarkStart w:id="833" w:name="Tc_mz0sjP9ItUegFTmjOMbeYA_4_2"/>
      <w:bookmarkStart w:id="834" w:name="Tc_WuXoPGkmiUuDeUhcYFhImQ_4_0"/>
      <w:bookmarkStart w:id="835" w:name="Tc_6u3vhm38tUiO2kUEWuUaZg_3_5"/>
      <w:bookmarkStart w:id="836" w:name="Tc_VFeSU7AH20-3sfbjEk0Ifw_3_2"/>
      <w:bookmarkStart w:id="837" w:name="Tc_soCBAhyxPEa3pc_YF0Zt6Q_2_2"/>
      <w:bookmarkStart w:id="838" w:name="Tc_AEhUBwjYD0GsdgN0NfFAcQ_1_2"/>
      <w:bookmarkStart w:id="839" w:name="_00025dc3_85e2_44ee_8e6d_8ae36a4434b9"/>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r>
        <w:rPr>
          <w:rFonts w:ascii="Times New Roman;Times;serif" w:hAnsi="Times New Roman;Times;serif"/>
          <w:sz w:val="20"/>
        </w:rPr>
        <w:t xml:space="preserve">The following table summarizes the amounts recognized as reductions to selling, general and administrative expenses related to the commercialization of GAVRETO in the U.S. and increases in research and development expenses related to global development activities for pralsetinib under the Roche pralsetinib collaboration during the three months ended March 31, 2024 and 2023 (in thousands): </w:t>
      </w:r>
    </w:p>
    <w:p>
      <w:pPr>
        <w:pStyle w:val="TextBody"/>
        <w:bidi w:val="0"/>
        <w:spacing w:lineRule="auto" w:line="285" w:before="0" w:after="0"/>
        <w:ind w:left="0" w:right="0" w:hanging="0"/>
        <w:jc w:val="left"/>
        <w:rPr/>
      </w:pPr>
      <w:r>
        <w:rPr/>
        <w:t>​</w:t>
      </w:r>
    </w:p>
    <w:tbl>
      <w:tblPr>
        <w:tblW w:w="7137" w:type="dxa"/>
        <w:jc w:val="left"/>
        <w:tblInd w:w="0" w:type="dxa"/>
        <w:tblLayout w:type="fixed"/>
        <w:tblCellMar>
          <w:top w:w="0" w:type="dxa"/>
          <w:left w:w="0" w:type="dxa"/>
          <w:bottom w:w="0" w:type="dxa"/>
          <w:right w:w="0" w:type="dxa"/>
        </w:tblCellMar>
      </w:tblPr>
      <w:tblGrid>
        <w:gridCol w:w="4936"/>
        <w:gridCol w:w="266"/>
        <w:gridCol w:w="211"/>
        <w:gridCol w:w="571"/>
        <w:gridCol w:w="266"/>
        <w:gridCol w:w="211"/>
        <w:gridCol w:w="676"/>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134360" cy="175260"/>
                      <wp:effectExtent l="0" t="0" r="0" b="0"/>
                      <wp:wrapNone/>
                      <wp:docPr id="208" name="Frame208"/>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68910" cy="175260"/>
                      <wp:effectExtent l="0" t="0" r="0" b="0"/>
                      <wp:wrapNone/>
                      <wp:docPr id="209" name="Frame20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62585" cy="175260"/>
                      <wp:effectExtent l="0" t="0" r="0" b="0"/>
                      <wp:wrapNone/>
                      <wp:docPr id="211" name="Frame21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68910" cy="175260"/>
                      <wp:effectExtent l="0" t="0" r="0" b="0"/>
                      <wp:wrapNone/>
                      <wp:docPr id="212" name="Frame21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29260" cy="175260"/>
                      <wp:effectExtent l="0" t="0" r="0" b="0"/>
                      <wp:wrapNone/>
                      <wp:docPr id="214" name="Frame2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193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193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66" w:type="dxa"/>
            <w:tcBorders/>
            <w:vAlign w:val="center"/>
          </w:tcPr>
          <w:p>
            <w:pPr>
              <w:pStyle w:val="TableContents"/>
              <w:bidi w:val="0"/>
              <w:spacing w:lineRule="auto" w:line="285"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Reductions to selling, general and administrative expenses </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980</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2,781</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Increases in research and development expenses </w:t>
            </w:r>
          </w:p>
        </w:tc>
        <w:tc>
          <w:tcPr>
            <w:tcW w:w="26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1,421</w:t>
            </w:r>
          </w:p>
        </w:tc>
        <w:tc>
          <w:tcPr>
            <w:tcW w:w="26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8,276</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Upon termination of the Roche pralsetinib collaboration agreement, the Company chose not to assume responsibility for any ongoing pralsetinib clinical trials, and pursuant to the Roche pralsetinib collaboration agreement, Roche will bear sole responsibility for all costs associated with the wind-down of these trials. Consequently, Roche has effectively waived the Company’s cost-sharing responsibility pertaining to the ongoing pralsetinib clinical trials. Since the global development activities for pralsetinib and cost-sharing payments related to such activities are within the scope of ASC 808 under the Roche pralsetinib collaboration agreement, and payments to or reimbursements from Roche related to the global development activities are accounted for either as an increase or reduction of research and development expenses, the wind-down cost Roche would incur in connection with such activities does not have a financial impact on the Company’s condensed consolidated financial statements. </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the Roche transition agreement, the Company is obligated to reimburse Roche for wind-down costs associated with the marketing and commercialization activities occurred for Roche Territory until December 31, 2026. Additionally, the Company is obligated to reimburse Roche for any U.S. transition related costs that exceeds GAVRETO’s net sales in the U.S., and any remaining net profit are shared equally between the Company and Roche until December 31, 2025. The Company has concluded that such activities and associated payments to Roche are not within the scope of ASC 808 as only the Company are exposed to significant risks and awards associated with those activities. The Company records those wind-down costs and the net amount of U.S. transition costs reimbursable to Roche as selling, general, and administrative expenses when they are incurred. During the three months ended March 31, 2024, the net amount reimbursable to Roche for these wind-down and U.S. transition related costs was insignificant.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assets and liabilities associated with the Roche pralsetinib agreements as of March 31, 2024 and December 31, 2023 (in thousands):</w:t>
      </w:r>
    </w:p>
    <w:p>
      <w:pPr>
        <w:pStyle w:val="TextBody"/>
        <w:bidi w:val="0"/>
        <w:spacing w:lineRule="auto" w:line="285" w:before="0" w:after="0"/>
        <w:ind w:left="0" w:right="0" w:hanging="0"/>
        <w:jc w:val="left"/>
        <w:rPr/>
      </w:pPr>
      <w:r>
        <w:rPr/>
        <w:t>​</w:t>
      </w:r>
    </w:p>
    <w:tbl>
      <w:tblPr>
        <w:tblW w:w="4268" w:type="dxa"/>
        <w:jc w:val="left"/>
        <w:tblInd w:w="0" w:type="dxa"/>
        <w:tblLayout w:type="fixed"/>
        <w:tblCellMar>
          <w:top w:w="0" w:type="dxa"/>
          <w:left w:w="0" w:type="dxa"/>
          <w:bottom w:w="0" w:type="dxa"/>
          <w:right w:w="0" w:type="dxa"/>
        </w:tblCellMar>
      </w:tblPr>
      <w:tblGrid>
        <w:gridCol w:w="1696"/>
        <w:gridCol w:w="266"/>
        <w:gridCol w:w="299"/>
        <w:gridCol w:w="601"/>
        <w:gridCol w:w="266"/>
        <w:gridCol w:w="271"/>
        <w:gridCol w:w="869"/>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076960" cy="175260"/>
                      <wp:effectExtent l="0" t="0" r="0" b="0"/>
                      <wp:wrapNone/>
                      <wp:docPr id="215" name="Frame215"/>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68910" cy="175260"/>
                      <wp:effectExtent l="0" t="0" r="0" b="0"/>
                      <wp:wrapNone/>
                      <wp:docPr id="216" name="Frame21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89865" cy="175260"/>
                      <wp:effectExtent l="0" t="0" r="0" b="0"/>
                      <wp:wrapNone/>
                      <wp:docPr id="217" name="Frame217"/>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81635" cy="175260"/>
                      <wp:effectExtent l="0" t="0" r="0" b="0"/>
                      <wp:wrapNone/>
                      <wp:docPr id="218" name="Frame21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68910" cy="175260"/>
                      <wp:effectExtent l="0" t="0" r="0" b="0"/>
                      <wp:wrapNone/>
                      <wp:docPr id="219" name="Frame21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72085" cy="175260"/>
                      <wp:effectExtent l="0" t="0" r="0" b="0"/>
                      <wp:wrapNone/>
                      <wp:docPr id="220" name="Frame22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51815" cy="175260"/>
                      <wp:effectExtent l="0" t="0" r="0" b="0"/>
                      <wp:wrapNone/>
                      <wp:docPr id="221" name="Frame221"/>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90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66" w:type="dxa"/>
            <w:tcBorders/>
            <w:vAlign w:val="center"/>
          </w:tcPr>
          <w:p>
            <w:pPr>
              <w:pStyle w:val="TableContents"/>
              <w:bidi w:val="0"/>
              <w:spacing w:lineRule="auto" w:line="285" w:before="0" w:after="0"/>
              <w:ind w:left="0" w:right="0" w:hanging="0"/>
              <w:jc w:val="center"/>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69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66"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6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9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361</w:t>
            </w:r>
          </w:p>
        </w:tc>
      </w:tr>
      <w:tr>
        <w:trPr/>
        <w:tc>
          <w:tcPr>
            <w:tcW w:w="16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266" w:type="dxa"/>
            <w:tcBorders/>
            <w:vAlign w:val="center"/>
          </w:tcPr>
          <w:p>
            <w:pPr>
              <w:pStyle w:val="TableContents"/>
              <w:bidi w:val="0"/>
              <w:spacing w:lineRule="auto" w:line="285" w:before="0" w:after="0"/>
              <w:ind w:left="0" w:right="0" w:hanging="0"/>
              <w:jc w:val="left"/>
              <w:rPr/>
            </w:pPr>
            <w:r>
              <w:rPr/>
              <w:t>   </w:t>
            </w:r>
          </w:p>
        </w:tc>
        <w:tc>
          <w:tcPr>
            <w:tcW w:w="29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lineRule="auto" w:line="285" w:before="0" w:after="0"/>
              <w:ind w:left="0" w:right="0" w:hanging="0"/>
              <w:jc w:val="right"/>
              <w:rPr/>
            </w:pPr>
            <w:r>
              <w:rPr/>
              <w:t>—</w:t>
            </w:r>
          </w:p>
        </w:tc>
        <w:tc>
          <w:tcPr>
            <w:tcW w:w="266" w:type="dxa"/>
            <w:tcBorders/>
            <w:vAlign w:val="center"/>
          </w:tcPr>
          <w:p>
            <w:pPr>
              <w:pStyle w:val="TableContents"/>
              <w:bidi w:val="0"/>
              <w:spacing w:lineRule="auto" w:line="285" w:before="0" w:after="0"/>
              <w:ind w:left="0" w:right="0" w:hanging="0"/>
              <w:jc w:val="left"/>
              <w:rPr/>
            </w:pPr>
            <w:r>
              <w:rPr/>
              <w:t>   </w:t>
            </w:r>
          </w:p>
        </w:tc>
        <w:tc>
          <w:tcPr>
            <w:tcW w:w="2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7,388</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Clementia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October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Phase 1 clinical development for the treatment of fibrodysplasia ossificans progressiva (FOP), as well as specified other compounds related to the BLU-782 program.</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the Clementia agreement, the Company received an upfront cash payment of $25.0 million and through March 31, 2024, the Company has received an aggregate of $50.0 million in cash milestone payments. Subject to the terms of the Clementia agreement, in addition to the upfront and milestone payments received through March 31, 2024, the Company is eligible to receive up to $460.0 million in contingent payments, including specified development, regulatory and sales-based milestones for licensed products. In addition, Clementia is obligated to pay to the Company royalties on aggregate annual worldwide net sales of licensed products at tiered percentage rates ranging from the low-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to mid-teens, subject to adjustment in specified circumstances under the Clementia agreement, and Clementia purchased specified manufacturing inventory from the Company for a total of $1.5 million.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upon at least 12 months’ prior written notice to the Company. 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Clementia licensed products.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determined that the transaction price at the outset of the arrangement was $46.5 million, which was allocated to the three performance obligations on a relative stand-alone selling price basis, and was recognized as </w:t>
      </w:r>
      <w:r>
        <w:rPr>
          <w:rFonts w:ascii="Times New Roman;Times;serif" w:hAnsi="Times New Roman;Times;serif"/>
          <w:b w:val="false"/>
          <w:i w:val="false"/>
          <w:caps w:val="false"/>
          <w:smallCaps w:val="false"/>
          <w:sz w:val="20"/>
        </w:rPr>
        <w:t>revenue</w:t>
      </w:r>
      <w:r>
        <w:rPr>
          <w:rFonts w:ascii="Times New Roman;Times;serif" w:hAnsi="Times New Roman;Times;serif"/>
          <w:sz w:val="20"/>
        </w:rPr>
        <w:t xml:space="preserve"> during 2019 and 2020.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March 31, 2024 and 2023, no revenue was recognized from the Clementia agreement. All potential milestone payments that the Company is eligible to receive were excluded from the transaction price, as the amounts were fully constrained based on the probability of achievement. 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was no revenue deferred as a contract liability associated with the Clementia agreement as of March 31, 2024 and December 31, 2023.</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CStone Pharmaceuticals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June 2018, the Company entered into a collaboration and license agreement (the CStone agreement) with CStone Pharmaceuticals (CStone) pursuant to which the Company granted CStone exclusive rights to develop and commercialize the Company’s drug candidates avapritinib, pralsetinib and fisogatinib, including back-up and other forms thereof, in Mainland China, Hong Kong, Macau and Taiwan (each, a CStone region and collectively, the CStone Territory), either as a monotherapy or as part of a combination therapy.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received an upfront cash payment of $40.0 million, and through March 31, 2024, the Company has achieved an aggregate of $38.5 million in milestones under this collaboration. Subject to the terms of the CStone agreement, in addition to the upfront payments received and milestones achieved through March 31, 2024, the Company will be eligible to receive up to $307.5 million in contingent payments, including specified development, regulatory and sales-based milestones for licensed products. In addition, CStone is obligated to pay the Company tiered percentage royalties on a licensed product-by-licensed product basis ranging from the mid-teens to low twenties on annual net sales of each licensed product in the CStone Territory, subject to adjustment in specified circumstances. CStone is responsible for costs related to the development of the licensed products in the CStone Territory, other than specified costs related to the development of fisogatinib as a combination therapy in the CStone Territory that are shared by the Company and CStone.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Pursuant to the terms of the CStone agreement, CStone is responsible for conducting all development and commercialization activities in the CStone Territory related to the licensed products. Subject to specified exceptions,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net payments received by the Company for global development activities under the CStone agreement, including manufacturing, are accounted for as a reduction of related expenses.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did not have significant manufacturing and research and development services related to the global development activities during the three months ended March 31, 2024 and 2023.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840" w:name="Tc_Q0CA4Uxt4kWMEEtr-T0Hgg_5_5"/>
      <w:bookmarkStart w:id="841" w:name="Tc_I3fcy-8-30GFK6q_gK5urw_5_3"/>
      <w:bookmarkStart w:id="842" w:name="Tc__46vKdRS0ESr0WKl0NX4IQ_5_2"/>
      <w:bookmarkStart w:id="843" w:name="Tc_bH35_2GPIkGIuS1R2jk_Dw_5_0"/>
      <w:bookmarkStart w:id="844" w:name="Tc_HfoVE2aGtUG2t1VD1niEoQ_4_5"/>
      <w:bookmarkStart w:id="845" w:name="Tc_G9L5kCz6j02pIHH6NmpZKQ_4_2"/>
      <w:bookmarkStart w:id="846" w:name="Tc_3lxwM6_C8EuVzKjO7vOPcQ_4_0"/>
      <w:bookmarkStart w:id="847" w:name="Tc_eSuLLfle90Wzu9kQjUwkUw_3_6"/>
      <w:bookmarkStart w:id="848" w:name="Tc_DgbFsDEk40a--pSSLStdIA_3_5"/>
      <w:bookmarkStart w:id="849" w:name="Tc_NXOPwHDZd0iMAnsxFmGutA_3_2"/>
      <w:bookmarkStart w:id="850" w:name="Tc_Hip-25BEWE-KQNXQEl61xw_3_0"/>
      <w:bookmarkStart w:id="851" w:name="Tc_9eemnvAMTUWScnASWdtwmA_2_5"/>
      <w:bookmarkStart w:id="852" w:name="Tc_JJg_vWj0ckiS8lrMpQGZ0Q_2_2"/>
      <w:bookmarkStart w:id="853" w:name="Tc_1VoEzlV7EUe-ph3aVgm98Q_1_5"/>
      <w:bookmarkStart w:id="854" w:name="Tc_AtPzqvEZZUGmlgrhLH8drA_1_2"/>
      <w:bookmarkStart w:id="855" w:name="_e0ad8390_f970_4857_81b4_5c6d6a663a05"/>
      <w:bookmarkStart w:id="856" w:name="Tc_mM_hx14lz0STz5MMY8fYWQ_4_5"/>
      <w:bookmarkStart w:id="857" w:name="Tc_cHwbrcwDTUSyFe57J3FDew_4_2"/>
      <w:bookmarkStart w:id="858" w:name="Tc_KHZQD5bA7kq2WiOc_sXIbQ_4_0"/>
      <w:bookmarkStart w:id="859" w:name="Tc_kq3O73IOdUGIH545DtrKqg_3_5"/>
      <w:bookmarkStart w:id="860" w:name="Tc_mc7yVLmq6EugUznU_UINjw_3_2"/>
      <w:bookmarkStart w:id="861" w:name="Tc_p9pNbZ4U4U6T8j4bc5NNQQ_2_2"/>
      <w:bookmarkStart w:id="862" w:name="Tc_6f7q-LZbDUyk5BaBlI7_vQ_1_2"/>
      <w:bookmarkStart w:id="863" w:name="_d88ec593_5a02_4dba_bad7_805e5d1354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Pr>
          <w:rFonts w:ascii="Times New Roman;Times;serif" w:hAnsi="Times New Roman;Times;serif"/>
          <w:sz w:val="20"/>
        </w:rPr>
        <w:t xml:space="preserve">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Based on these assessments, the Company identified three distinct performance obligations at the outset of the CStone agreement, which consists of the following for each licensed product: (1) the exclusive license and (2) the initial know-how transfer.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the CStone agreement, in order to evaluate the transaction price for purposes of ASC 606, the Company determined that the upfront amount of $40.0 million constituted the entirety of the consideration to be included in the transaction price at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in 2018.</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did not achieve any milestones under the CStone agreement during the three months ended March 31, 2024 and 2023. The Company reevaluates the transaction price at the end of each reporting period and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Subsequent to the CStone agreement, the Company entered into various commercial supply and manufacturing technology transfer agreements for avapritinib and pralsetinib related to supply of drug substance and commercialization activities conducted specifically for the CStone Territory. The manufacturing activities in these agreements were considered as distinct performance obligations from the CStone collaboration agreement and collaboration revenue is recognized upon delivery of the drug substance and drug product to CStone.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 summary of revenue recognized under the CStone agreement during the three months ended March 31, 2024 and 2023 is as follows (in thousands): </w:t>
      </w:r>
    </w:p>
    <w:p>
      <w:pPr>
        <w:pStyle w:val="TextBody"/>
        <w:bidi w:val="0"/>
        <w:spacing w:lineRule="auto" w:line="285" w:before="0" w:after="0"/>
        <w:ind w:left="0" w:right="0" w:hanging="0"/>
        <w:jc w:val="left"/>
        <w:rPr/>
      </w:pPr>
      <w:r>
        <w:rPr/>
        <w:t>​</w:t>
      </w:r>
    </w:p>
    <w:tbl>
      <w:tblPr>
        <w:tblW w:w="9440" w:type="dxa"/>
        <w:jc w:val="left"/>
        <w:tblInd w:w="0" w:type="dxa"/>
        <w:tblLayout w:type="fixed"/>
        <w:tblCellMar>
          <w:top w:w="0" w:type="dxa"/>
          <w:left w:w="0" w:type="dxa"/>
          <w:bottom w:w="0" w:type="dxa"/>
          <w:right w:w="0" w:type="dxa"/>
        </w:tblCellMar>
      </w:tblPr>
      <w:tblGrid>
        <w:gridCol w:w="7336"/>
        <w:gridCol w:w="109"/>
        <w:gridCol w:w="211"/>
        <w:gridCol w:w="571"/>
        <w:gridCol w:w="326"/>
        <w:gridCol w:w="211"/>
        <w:gridCol w:w="676"/>
      </w:tblGrid>
      <w:tr>
        <w:trPr/>
        <w:tc>
          <w:tcPr>
            <w:tcW w:w="7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658360" cy="175260"/>
                      <wp:effectExtent l="0" t="0" r="0" b="0"/>
                      <wp:wrapNone/>
                      <wp:docPr id="222" name="Frame222"/>
                      <a:graphic xmlns:a="http://schemas.openxmlformats.org/drawingml/2006/main">
                        <a:graphicData uri="http://schemas.microsoft.com/office/word/2010/wordprocessingShape">
                          <wps:wsp>
                            <wps:cNvSpPr txBox="1"/>
                            <wps:spPr>
                              <a:xfrm>
                                <a:off x="0" y="0"/>
                                <a:ext cx="4658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62585" cy="175260"/>
                      <wp:effectExtent l="0" t="0" r="0" b="0"/>
                      <wp:wrapNone/>
                      <wp:docPr id="225" name="Frame22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29260" cy="175260"/>
                      <wp:effectExtent l="0" t="0" r="0" b="0"/>
                      <wp:wrapNone/>
                      <wp:docPr id="228" name="Frame2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3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9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73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99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3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3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Manufacturing services and royalty revenue related to CStone territory-specific activities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1,653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1,652</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contract assets and contract liability associated with the CStone collaboration as of March 31, 2024 and December 31, 2023 (in thousands):</w:t>
      </w:r>
    </w:p>
    <w:p>
      <w:pPr>
        <w:pStyle w:val="TextBody"/>
        <w:bidi w:val="0"/>
        <w:spacing w:lineRule="auto" w:line="285" w:before="0" w:after="0"/>
        <w:ind w:left="0" w:right="0" w:hanging="0"/>
        <w:jc w:val="left"/>
        <w:rPr/>
      </w:pPr>
      <w:r>
        <w:rPr/>
        <w:t>​</w:t>
      </w:r>
    </w:p>
    <w:tbl>
      <w:tblPr>
        <w:tblW w:w="4688" w:type="dxa"/>
        <w:jc w:val="left"/>
        <w:tblInd w:w="0" w:type="dxa"/>
        <w:tblLayout w:type="fixed"/>
        <w:tblCellMar>
          <w:top w:w="0" w:type="dxa"/>
          <w:left w:w="0" w:type="dxa"/>
          <w:bottom w:w="0" w:type="dxa"/>
          <w:right w:w="0" w:type="dxa"/>
        </w:tblCellMar>
      </w:tblPr>
      <w:tblGrid>
        <w:gridCol w:w="2116"/>
        <w:gridCol w:w="266"/>
        <w:gridCol w:w="242"/>
        <w:gridCol w:w="658"/>
        <w:gridCol w:w="266"/>
        <w:gridCol w:w="271"/>
        <w:gridCol w:w="869"/>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43660" cy="175260"/>
                      <wp:effectExtent l="0" t="0" r="0" b="0"/>
                      <wp:wrapNone/>
                      <wp:docPr id="229" name="Frame229"/>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68910" cy="175260"/>
                      <wp:effectExtent l="0" t="0" r="0" b="0"/>
                      <wp:wrapNone/>
                      <wp:docPr id="230" name="Frame23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53670" cy="175260"/>
                      <wp:effectExtent l="0" t="0" r="0" b="0"/>
                      <wp:wrapNone/>
                      <wp:docPr id="231" name="Frame23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17830" cy="175260"/>
                      <wp:effectExtent l="0" t="0" r="0" b="0"/>
                      <wp:wrapNone/>
                      <wp:docPr id="232" name="Frame232"/>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68910" cy="175260"/>
                      <wp:effectExtent l="0" t="0" r="0" b="0"/>
                      <wp:wrapNone/>
                      <wp:docPr id="233" name="Frame23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72085" cy="175260"/>
                      <wp:effectExtent l="0" t="0" r="0" b="0"/>
                      <wp:wrapNone/>
                      <wp:docPr id="234" name="Frame23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51815" cy="175260"/>
                      <wp:effectExtent l="0" t="0" r="0" b="0"/>
                      <wp:wrapNone/>
                      <wp:docPr id="235" name="Frame235"/>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90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66" w:type="dxa"/>
            <w:tcBorders/>
            <w:vAlign w:val="center"/>
          </w:tcPr>
          <w:p>
            <w:pPr>
              <w:pStyle w:val="TableContents"/>
              <w:bidi w:val="0"/>
              <w:spacing w:lineRule="auto" w:line="285" w:before="0" w:after="0"/>
              <w:ind w:left="0" w:right="0" w:hanging="0"/>
              <w:jc w:val="left"/>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116"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66" w:type="dxa"/>
            <w:tcBorders/>
            <w:vAlign w:val="center"/>
          </w:tcPr>
          <w:p>
            <w:pPr>
              <w:pStyle w:val="TableContents"/>
              <w:bidi w:val="0"/>
              <w:spacing w:lineRule="auto" w:line="285"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1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1,937</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lineRule="auto" w:line="285" w:before="0" w:after="0"/>
              <w:ind w:left="0" w:right="0" w:hanging="0"/>
              <w:jc w:val="right"/>
              <w:rPr/>
            </w:pPr>
            <w:r>
              <w:rPr/>
              <w:t>—</w:t>
            </w:r>
          </w:p>
        </w:tc>
      </w:tr>
      <w:tr>
        <w:trPr/>
        <w:tc>
          <w:tcPr>
            <w:tcW w:w="21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Contract liability</w:t>
            </w:r>
          </w:p>
        </w:tc>
        <w:tc>
          <w:tcPr>
            <w:tcW w:w="266" w:type="dxa"/>
            <w:tcBorders/>
            <w:vAlign w:val="center"/>
          </w:tcPr>
          <w:p>
            <w:pPr>
              <w:pStyle w:val="TableContents"/>
              <w:bidi w:val="0"/>
              <w:spacing w:lineRule="auto" w:line="285" w:before="0" w:after="0"/>
              <w:ind w:left="0" w:right="0" w:hanging="0"/>
              <w:jc w:val="left"/>
              <w:rPr/>
            </w:pPr>
            <w:r>
              <w:rPr/>
              <w:t>​</w:t>
            </w:r>
          </w:p>
        </w:tc>
        <w:tc>
          <w:tcPr>
            <w:tcW w:w="2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3,762</w:t>
            </w:r>
          </w:p>
        </w:tc>
        <w:tc>
          <w:tcPr>
            <w:tcW w:w="266" w:type="dxa"/>
            <w:tcBorders/>
            <w:vAlign w:val="center"/>
          </w:tcPr>
          <w:p>
            <w:pPr>
              <w:pStyle w:val="TableContents"/>
              <w:bidi w:val="0"/>
              <w:spacing w:lineRule="auto" w:line="285" w:before="0" w:after="0"/>
              <w:ind w:left="0" w:right="0" w:hanging="0"/>
              <w:jc w:val="left"/>
              <w:rPr/>
            </w:pPr>
            <w:r>
              <w:rPr/>
              <w:t>​</w:t>
            </w:r>
          </w:p>
        </w:tc>
        <w:tc>
          <w:tcPr>
            <w:tcW w:w="2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604</w:t>
            </w:r>
          </w:p>
        </w:tc>
      </w:tr>
      <w:tr>
        <w:trPr/>
        <w:tc>
          <w:tcPr>
            <w:tcW w:w="21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lineRule="auto" w:line="285" w:before="0" w:after="0"/>
              <w:ind w:left="0" w:right="0" w:hanging="0"/>
              <w:jc w:val="right"/>
              <w:rPr/>
            </w:pPr>
            <w:r>
              <w:rPr/>
              <w:t>—</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2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1,863</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liabilities associated with the CStone collaboration as of March 31, 2024 and December 31, 2023 resulted primarily from the Company’s obligations in connection with commercial supply of pralsetinib for the CStone Territory.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Roche – Immunotherapy Collaboration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March 2016, the Company entered into a collaboration and license agreement (as amended, the Roche immunotherapy agreement) with F. Hoffmann-La Roche Ltd and Hoffmann-La Roche Inc. (collectively, Roche) for the discovery, development and commercialization of small molecule therapeutics targeting kinases believed to be important in cancer immunotherapy, as single products or possibly in combination with other therapeutics. On April 30, 2023, the Company and Roche entered into a mutual termination agreement to terminate the Roche immunotherapy agreement. Certain licenses granted by Roche to the Company survived and became exclusive, worldwide, perpetual, royalty-free and irrevocable and the Company retained ownership of all the targets developed under the collaboration.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Roche immunotherapy agreement represented a vendor-customer relationship under ASC 606 as the Company performed its one performance obligation at the outset of the Roche immunotherapy agreement, which consists of: (1) the non-exclusive license; (2) the research and development activities through Phase 1; and (3) regulatory responsibilities under Phase 1 clinical trials.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aggregate net transaction price of the Roche immunotherapy agreement was $64.7 million, which comprised of an upfront payment of $45.0 million, an aggregate of $25.0 million in research milestones achieved under the collaboration, and a reduction of $5.3 million as a result of the Company’s payment to Roche for certain clinical development costs. This payment resulted from a cost sharing under the clinical development plan for investigational new drug-enabling activities (IND-enabling), for BLU-852, which the Company and Roche endorsed in 2022 prior to the termination of the agreement.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recognized revenue associated with the performance obligation as the research and development services were provided using an input method, according to the costs incurred as related to the research and development activities on each program and the costs expected to be incurred in the future to satisfy the performance obligation for each respective period. The amounts received that had not yet been recognized as revenue were deferred as a contract liability on the Company’s consolidated balance sheet and recognized over the remaining research and development period until the performance obligation was satisfied. The performance obligation was completely satisfied as of June 30, 2023 and no revenue was recognized thereafter for this agreement. There was no revenue deferred as a contract liability associated with the Roche immunotherapy agreement as of March 31, 2024 and December 31, 2023.</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During the three months ended March 31, 2023, the transaction price and the percentage of completion revenue to be recognized under the collaboration was increased because both the estimated lifetime cost to satisfy the Company’s performance obligation under the Roche immunotherapy collaboration and the estimated cost to be shared with Roche for the IND-enabling activities for BLU-852 were reduced as a result of the termination. </w:t>
      </w:r>
      <w:r>
        <w:rPr>
          <w:rFonts w:ascii="Times New Roman;Times;serif" w:hAnsi="Times New Roman;Times;serif"/>
          <w:sz w:val="20"/>
        </w:rPr>
        <w:t>Therefore, the Company recognized $22.0 million in revenue under the Roche immunotherapy agreement during the three months ended March 31, 2023, of which $15.8 million was recognized due to the changes in the contract liability balances at the beginning of the respective period.</w:t>
      </w:r>
    </w:p>
    <w:p>
      <w:pPr>
        <w:pStyle w:val="TextBody"/>
        <w:bidi w:val="0"/>
        <w:spacing w:lineRule="auto" w:line="285" w:before="280" w:after="0"/>
        <w:ind w:left="0" w:right="0" w:hanging="0"/>
        <w:jc w:val="left"/>
        <w:rPr>
          <w:rFonts w:ascii="Times New Roman;Times;serif" w:hAnsi="Times New Roman;Times;serif"/>
          <w:b/>
          <w:sz w:val="20"/>
        </w:rPr>
      </w:pPr>
      <w:r>
        <w:rPr>
          <w:rFonts w:ascii="Times New Roman;Times;serif" w:hAnsi="Times New Roman;Times;serif"/>
          <w:b/>
          <w:sz w:val="20"/>
        </w:rPr>
        <w:t>11. Stockholders’ Equity</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In February 2022, the Company entered into an at-the-market (ATM) Facility with Cowen, pursuant to which the Company may offer and sell, from time to time at its sole discretion, shares of its common stock having an aggregate offering price of up to $300.0 million through Cowen as sales agent. During the three months ended March 31, 2024, the Company issued and sold 544,719 shares of its common stock under the ATM Facility and received net proceeds of $48.9 million. The Company did not issue any shares under the ATM Facility during the three months ended March 31, 2023.</w:t>
      </w:r>
    </w:p>
    <w:p>
      <w:pPr>
        <w:pStyle w:val="TextBody"/>
        <w:bidi w:val="0"/>
        <w:spacing w:lineRule="auto" w:line="285" w:before="280" w:after="240"/>
        <w:ind w:left="0" w:right="0" w:hanging="0"/>
        <w:jc w:val="left"/>
        <w:rPr>
          <w:rFonts w:ascii="Times New Roman;Times;serif" w:hAnsi="Times New Roman;Times;serif"/>
          <w:b/>
          <w:sz w:val="20"/>
        </w:rPr>
      </w:pPr>
      <w:r>
        <w:rPr>
          <w:rFonts w:ascii="Times New Roman;Times;serif" w:hAnsi="Times New Roman;Times;serif"/>
          <w:b/>
          <w:sz w:val="20"/>
        </w:rPr>
        <w:t>12. Stock-based Compensation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2015 Stock Option and Incentive Plan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performance-based restricted stock units, unrestricted stock, performance-based awards and cash-</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864" w:name="Tc_yudkqMyd60-XnezoDGOxWA_7_4"/>
      <w:bookmarkStart w:id="865" w:name="Tc_0HvJnWS7rkSvcSuH8YSL5A_7_0"/>
      <w:bookmarkStart w:id="866" w:name="Tc_BlC2FVK-kEedsNQDvxoKBA_6_0"/>
      <w:bookmarkStart w:id="867" w:name="Tc_pP5WSKdJIEqaWybY_MjGvA_5_0"/>
      <w:bookmarkStart w:id="868" w:name="Tc_XDM9bpskM0GT7kJIJr5RnA_4_0"/>
      <w:bookmarkStart w:id="869" w:name="Tc_Xhs_4RFec0eYhIR5f1Vvkw_3_4"/>
      <w:bookmarkStart w:id="870" w:name="Tc_Ex0iKQ4us0-Gae6ITfBmBA_3_0"/>
      <w:bookmarkStart w:id="871" w:name="Tc_TJYeSw-Sr0u7KLx0kK35AA_2_4"/>
      <w:bookmarkStart w:id="872" w:name="Tc_QTTsaH9rg0-ECOFQCEFLRg_2_2"/>
      <w:bookmarkStart w:id="873" w:name="Tc_Wfc6oYFXwkm2IbB2HsbgRA_1_4"/>
      <w:bookmarkStart w:id="874" w:name="_6323d5ce_e14c_49c4_8c48_f733001a8abf"/>
      <w:bookmarkStart w:id="875" w:name="Tc_EOjZ_kbfeUKzeF6L6Hp3og_8_4"/>
      <w:bookmarkStart w:id="876" w:name="Tc_0cNbzIFFQU-2HZVpCzGMig_8_0"/>
      <w:bookmarkStart w:id="877" w:name="Tc_HHNgcwA14k-VSb2qg1oLgQ_7_4"/>
      <w:bookmarkStart w:id="878" w:name="Tc_61Pks0HL_U6x35EYCMbh8A_7_0"/>
      <w:bookmarkStart w:id="879" w:name="Tc_gZeSyptlGEeDVjC2kTCThQ_6_0"/>
      <w:bookmarkStart w:id="880" w:name="Tc_Er7mN1o21EKQQCqDqKwJmQ_5_0"/>
      <w:bookmarkStart w:id="881" w:name="Tc_Ow80NTvSwEyO7nPUgiiB8w_4_0"/>
      <w:bookmarkStart w:id="882" w:name="Tc_KDGx-vzrHkabOyuK2wuASw_3_4"/>
      <w:bookmarkStart w:id="883" w:name="Tc_6PGK6IaUfk6hFNvGNSxecA_3_0"/>
      <w:bookmarkStart w:id="884" w:name="Tc_2zgrT8yIek-Av3jGKwPLow_2_4"/>
      <w:bookmarkStart w:id="885" w:name="Tc_RJ1hpLmkaU6En0VyjEzImA_2_2"/>
      <w:bookmarkStart w:id="886" w:name="Tc_2Er2OyqmiUKqCbaR1ZKufA_1_4"/>
      <w:bookmarkStart w:id="887" w:name="_0733e19e_562f_4b2f_afce_0eb1e22d93e9"/>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r>
        <w:rPr>
          <w:rFonts w:ascii="Times New Roman;Times;serif" w:hAnsi="Times New Roman;Times;serif"/>
          <w:sz w:val="20"/>
        </w:rPr>
        <w:t>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2024, the number of shares reserved for issuance under the 2015 Plan was increased by 2,445,889 shares. In addition, the total number of shares reserved for issuance is subject to adjustment in the event of a stock split, stock dividend or other change in the Company’s capitalization. As of March 31, 2024, there were 5,388,122 shares available for future grant under the 2015 Plan.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2020 Inducement Plan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March 2020, the Company’s board of directors adopted the 2020 Inducement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1,000,000 shares of common stock for the issuance of awards under the Inducement Plan. In June 2022, the Company’s board of directors approved the reservation of an additional 1,500,000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or a committee thereof to use the stock-based awards available under the Inducement Plan to attract key employees for the growth of the Company. As of March 31, 2024, there were 1,372,658 shares available for future grant under the Inducement Plan.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the stock option activity for the three months ended March 31, 2024: </w:t>
      </w:r>
    </w:p>
    <w:p>
      <w:pPr>
        <w:pStyle w:val="TextBody"/>
        <w:bidi w:val="0"/>
        <w:spacing w:lineRule="auto" w:line="285" w:before="0" w:after="0"/>
        <w:ind w:left="0" w:right="0" w:hanging="0"/>
        <w:jc w:val="left"/>
        <w:rPr/>
      </w:pPr>
      <w:r>
        <w:rPr/>
        <w:t>​</w:t>
      </w:r>
    </w:p>
    <w:tbl>
      <w:tblPr>
        <w:tblW w:w="5920" w:type="dxa"/>
        <w:jc w:val="left"/>
        <w:tblInd w:w="0" w:type="dxa"/>
        <w:tblLayout w:type="fixed"/>
        <w:tblCellMar>
          <w:top w:w="0" w:type="dxa"/>
          <w:left w:w="0" w:type="dxa"/>
          <w:bottom w:w="0" w:type="dxa"/>
          <w:right w:w="0" w:type="dxa"/>
        </w:tblCellMar>
      </w:tblPr>
      <w:tblGrid>
        <w:gridCol w:w="2941"/>
        <w:gridCol w:w="266"/>
        <w:gridCol w:w="931"/>
        <w:gridCol w:w="266"/>
        <w:gridCol w:w="360"/>
        <w:gridCol w:w="115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867535" cy="175260"/>
                      <wp:effectExtent l="0" t="0" r="0" b="0"/>
                      <wp:wrapNone/>
                      <wp:docPr id="236" name="Frame236"/>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68910" cy="175260"/>
                      <wp:effectExtent l="0" t="0" r="0" b="0"/>
                      <wp:wrapNone/>
                      <wp:docPr id="237" name="Frame23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91185" cy="175260"/>
                      <wp:effectExtent l="0" t="0" r="0" b="0"/>
                      <wp:wrapNone/>
                      <wp:docPr id="238" name="Frame2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68910" cy="175260"/>
                      <wp:effectExtent l="0" t="0" r="0" b="0"/>
                      <wp:wrapNone/>
                      <wp:docPr id="239" name="Frame23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28600" cy="175260"/>
                      <wp:effectExtent l="0" t="0" r="0" b="0"/>
                      <wp:wrapNone/>
                      <wp:docPr id="240" name="Frame24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734060" cy="175260"/>
                      <wp:effectExtent l="0" t="0" r="0" b="0"/>
                      <wp:wrapNone/>
                      <wp:docPr id="241" name="Frame24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266" w:type="dxa"/>
            <w:tcBorders/>
            <w:vAlign w:val="center"/>
          </w:tcPr>
          <w:p>
            <w:pPr>
              <w:pStyle w:val="TableContents"/>
              <w:bidi w:val="0"/>
              <w:spacing w:lineRule="auto" w:line="285" w:before="0" w:after="0"/>
              <w:ind w:left="0" w:right="0" w:hanging="0"/>
              <w:jc w:val="center"/>
              <w:rPr/>
            </w:pPr>
            <w:r>
              <w:rPr/>
              <w:t>​</w:t>
            </w:r>
          </w:p>
        </w:tc>
        <w:tc>
          <w:tcPr>
            <w:tcW w:w="151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94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66" w:type="dxa"/>
            <w:tcBorders/>
            <w:vAlign w:val="center"/>
          </w:tcPr>
          <w:p>
            <w:pPr>
              <w:pStyle w:val="TableContents"/>
              <w:bidi w:val="0"/>
              <w:spacing w:lineRule="auto" w:line="285" w:before="0" w:after="0"/>
              <w:ind w:left="0" w:right="0" w:hanging="0"/>
              <w:jc w:val="center"/>
              <w:rPr/>
            </w:pPr>
            <w:r>
              <w:rPr/>
              <w:t>   </w:t>
            </w:r>
          </w:p>
        </w:tc>
        <w:tc>
          <w:tcPr>
            <w:tcW w:w="15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2023</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6,658,444</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66.48</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26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968,539</w:t>
            </w:r>
          </w:p>
        </w:tc>
        <w:tc>
          <w:tcPr>
            <w:tcW w:w="266" w:type="dxa"/>
            <w:tcBorders/>
            <w:vAlign w:val="center"/>
          </w:tcPr>
          <w:p>
            <w:pPr>
              <w:pStyle w:val="TableContents"/>
              <w:bidi w:val="0"/>
              <w:spacing w:lineRule="auto" w:line="285" w:before="0" w:after="0"/>
              <w:ind w:left="0" w:right="0" w:hanging="0"/>
              <w:jc w:val="left"/>
              <w:rPr/>
            </w:pPr>
            <w:r>
              <w:rPr/>
              <w:t>​</w:t>
            </w:r>
          </w:p>
        </w:tc>
        <w:tc>
          <w:tcPr>
            <w:tcW w:w="360" w:type="dxa"/>
            <w:tcBorders/>
            <w:vAlign w:val="center"/>
          </w:tcPr>
          <w:p>
            <w:pPr>
              <w:pStyle w:val="TableContents"/>
              <w:bidi w:val="0"/>
              <w:spacing w:lineRule="auto" w:line="285" w:before="0" w:after="0"/>
              <w:ind w:left="0" w:right="0" w:hanging="0"/>
              <w:jc w:val="left"/>
              <w:rPr/>
            </w:pPr>
            <w:r>
              <w:rPr/>
              <w:t>​</w:t>
            </w:r>
          </w:p>
        </w:tc>
        <w:tc>
          <w:tcPr>
            <w:tcW w:w="115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95.06</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(325,771)</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shd w:fill="CCEEFF" w:val="clear"/>
            <w:vAlign w:val="center"/>
          </w:tcPr>
          <w:p>
            <w:pPr>
              <w:pStyle w:val="TableContents"/>
              <w:bidi w:val="0"/>
              <w:spacing w:lineRule="auto" w:line="285" w:before="0" w:after="0"/>
              <w:ind w:left="0" w:right="0" w:hanging="0"/>
              <w:jc w:val="right"/>
              <w:rPr/>
            </w:pPr>
            <w:r>
              <w:rPr/>
              <w:t>​</w:t>
            </w:r>
          </w:p>
        </w:tc>
        <w:tc>
          <w:tcPr>
            <w:tcW w:w="115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54.95</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Canceled</w:t>
            </w:r>
          </w:p>
        </w:tc>
        <w:tc>
          <w:tcPr>
            <w:tcW w:w="266" w:type="dxa"/>
            <w:tcBorders/>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(34,246)</w:t>
            </w:r>
          </w:p>
        </w:tc>
        <w:tc>
          <w:tcPr>
            <w:tcW w:w="266" w:type="dxa"/>
            <w:tcBorders/>
            <w:vAlign w:val="center"/>
          </w:tcPr>
          <w:p>
            <w:pPr>
              <w:pStyle w:val="TableContents"/>
              <w:bidi w:val="0"/>
              <w:spacing w:lineRule="auto" w:line="285"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15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80.09</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at March 31, 2024</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7,266,966</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70.75</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Exercisable at March 31, 2024</w:t>
            </w:r>
          </w:p>
        </w:tc>
        <w:tc>
          <w:tcPr>
            <w:tcW w:w="266" w:type="dxa"/>
            <w:tcBorders/>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4,610,372</w:t>
            </w:r>
          </w:p>
        </w:tc>
        <w:tc>
          <w:tcPr>
            <w:tcW w:w="266" w:type="dxa"/>
            <w:tcBorders/>
            <w:vAlign w:val="center"/>
          </w:tcPr>
          <w:p>
            <w:pPr>
              <w:pStyle w:val="TableContents"/>
              <w:bidi w:val="0"/>
              <w:spacing w:lineRule="auto" w:line="285" w:before="0" w:after="0"/>
              <w:ind w:left="0" w:right="0" w:hanging="0"/>
              <w:jc w:val="left"/>
              <w:rPr/>
            </w:pPr>
            <w:r>
              <w:rPr/>
              <w:t>​</w:t>
            </w:r>
          </w:p>
        </w:tc>
        <w:tc>
          <w:tcPr>
            <w:tcW w:w="36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70.08</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2024, the total unrecognized compensation expense related to unvested stock option awards was $101.3 million, which is expected to be recognized over a weighted-average period of approximately 2.88 years.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units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restricted stock units activity for the three months ended March 31, 2024:</w:t>
      </w:r>
    </w:p>
    <w:p>
      <w:pPr>
        <w:pStyle w:val="TextBody"/>
        <w:bidi w:val="0"/>
        <w:spacing w:lineRule="auto" w:line="285" w:before="0" w:after="0"/>
        <w:ind w:left="0" w:right="0" w:hanging="0"/>
        <w:jc w:val="left"/>
        <w:rPr/>
      </w:pPr>
      <w:r>
        <w:rPr/>
        <w:t>​</w:t>
      </w:r>
    </w:p>
    <w:tbl>
      <w:tblPr>
        <w:tblW w:w="6519" w:type="dxa"/>
        <w:jc w:val="left"/>
        <w:tblInd w:w="0" w:type="dxa"/>
        <w:tblLayout w:type="fixed"/>
        <w:tblCellMar>
          <w:top w:w="0" w:type="dxa"/>
          <w:left w:w="0" w:type="dxa"/>
          <w:bottom w:w="0" w:type="dxa"/>
          <w:right w:w="0" w:type="dxa"/>
        </w:tblCellMar>
      </w:tblPr>
      <w:tblGrid>
        <w:gridCol w:w="3241"/>
        <w:gridCol w:w="266"/>
        <w:gridCol w:w="931"/>
        <w:gridCol w:w="266"/>
        <w:gridCol w:w="431"/>
        <w:gridCol w:w="1384"/>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58035" cy="175260"/>
                      <wp:effectExtent l="0" t="0" r="0" b="0"/>
                      <wp:wrapNone/>
                      <wp:docPr id="242" name="Frame242"/>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68910" cy="175260"/>
                      <wp:effectExtent l="0" t="0" r="0" b="0"/>
                      <wp:wrapNone/>
                      <wp:docPr id="243" name="Frame24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91185" cy="175260"/>
                      <wp:effectExtent l="0" t="0" r="0" b="0"/>
                      <wp:wrapNone/>
                      <wp:docPr id="244" name="Frame2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68910" cy="175260"/>
                      <wp:effectExtent l="0" t="0" r="0" b="0"/>
                      <wp:wrapNone/>
                      <wp:docPr id="245" name="Frame24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73685" cy="175260"/>
                      <wp:effectExtent l="0" t="0" r="0" b="0"/>
                      <wp:wrapNone/>
                      <wp:docPr id="246" name="Frame246"/>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878840" cy="175260"/>
                      <wp:effectExtent l="0" t="0" r="0" b="0"/>
                      <wp:wrapNone/>
                      <wp:docPr id="247" name="Frame247"/>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266" w:type="dxa"/>
            <w:tcBorders/>
            <w:vAlign w:val="center"/>
          </w:tcPr>
          <w:p>
            <w:pPr>
              <w:pStyle w:val="TableContents"/>
              <w:bidi w:val="0"/>
              <w:spacing w:lineRule="auto" w:line="285" w:before="0" w:after="0"/>
              <w:ind w:left="0" w:right="0" w:hanging="0"/>
              <w:jc w:val="center"/>
              <w:rPr/>
            </w:pPr>
            <w:r>
              <w:rPr/>
              <w:t>​</w:t>
            </w:r>
          </w:p>
        </w:tc>
        <w:tc>
          <w:tcPr>
            <w:tcW w:w="181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66" w:type="dxa"/>
            <w:tcBorders/>
            <w:vAlign w:val="center"/>
          </w:tcPr>
          <w:p>
            <w:pPr>
              <w:pStyle w:val="TableContents"/>
              <w:bidi w:val="0"/>
              <w:spacing w:lineRule="auto" w:line="285" w:before="0" w:after="0"/>
              <w:ind w:left="0" w:right="0" w:hanging="0"/>
              <w:jc w:val="center"/>
              <w:rPr/>
            </w:pPr>
            <w:r>
              <w:rPr/>
              <w:t>   </w:t>
            </w:r>
          </w:p>
        </w:tc>
        <w:tc>
          <w:tcPr>
            <w:tcW w:w="181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December 31, 2023</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2,107,026</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60.33</w:t>
            </w:r>
          </w:p>
        </w:tc>
      </w:tr>
      <w:tr>
        <w:trPr/>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26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911,766</w:t>
            </w:r>
          </w:p>
        </w:tc>
        <w:tc>
          <w:tcPr>
            <w:tcW w:w="266" w:type="dxa"/>
            <w:tcBorders/>
            <w:vAlign w:val="center"/>
          </w:tcPr>
          <w:p>
            <w:pPr>
              <w:pStyle w:val="TableContents"/>
              <w:bidi w:val="0"/>
              <w:spacing w:lineRule="auto" w:line="285" w:before="0" w:after="0"/>
              <w:ind w:left="0" w:right="0" w:hanging="0"/>
              <w:jc w:val="left"/>
              <w:rPr/>
            </w:pPr>
            <w:r>
              <w:rPr/>
              <w:t>​</w:t>
            </w:r>
          </w:p>
        </w:tc>
        <w:tc>
          <w:tcPr>
            <w:tcW w:w="431" w:type="dxa"/>
            <w:tcBorders/>
            <w:vAlign w:val="center"/>
          </w:tcPr>
          <w:p>
            <w:pPr>
              <w:pStyle w:val="TableContents"/>
              <w:bidi w:val="0"/>
              <w:spacing w:lineRule="auto" w:line="285" w:before="0" w:after="0"/>
              <w:ind w:left="0" w:right="0" w:hanging="0"/>
              <w:jc w:val="right"/>
              <w:rPr/>
            </w:pPr>
            <w:r>
              <w:rPr/>
              <w:t> </w:t>
            </w:r>
          </w:p>
        </w:tc>
        <w:tc>
          <w:tcPr>
            <w:tcW w:w="138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95.08</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(576,521)</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shd w:fill="CCEEFF" w:val="clear"/>
            <w:vAlign w:val="center"/>
          </w:tcPr>
          <w:p>
            <w:pPr>
              <w:pStyle w:val="TableContents"/>
              <w:bidi w:val="0"/>
              <w:spacing w:lineRule="auto" w:line="285" w:before="0" w:after="0"/>
              <w:ind w:left="0" w:right="0" w:hanging="0"/>
              <w:jc w:val="right"/>
              <w:rPr/>
            </w:pPr>
            <w:r>
              <w:rPr/>
              <w:t> </w:t>
            </w:r>
          </w:p>
        </w:tc>
        <w:tc>
          <w:tcPr>
            <w:tcW w:w="138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62.74</w:t>
            </w:r>
          </w:p>
        </w:tc>
      </w:tr>
      <w:tr>
        <w:trPr/>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266" w:type="dxa"/>
            <w:tcBorders/>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(28,183)</w:t>
            </w:r>
          </w:p>
        </w:tc>
        <w:tc>
          <w:tcPr>
            <w:tcW w:w="266" w:type="dxa"/>
            <w:tcBorders/>
            <w:vAlign w:val="center"/>
          </w:tcPr>
          <w:p>
            <w:pPr>
              <w:pStyle w:val="TableContents"/>
              <w:bidi w:val="0"/>
              <w:spacing w:lineRule="auto" w:line="285" w:before="0" w:after="0"/>
              <w:ind w:left="0" w:right="0" w:hanging="0"/>
              <w:jc w:val="left"/>
              <w:rPr/>
            </w:pPr>
            <w:r>
              <w:rPr/>
              <w:t>​</w:t>
            </w:r>
          </w:p>
        </w:tc>
        <w:tc>
          <w:tcPr>
            <w:tcW w:w="4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138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66.11</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March 31, 2024</w:t>
            </w:r>
          </w:p>
        </w:tc>
        <w:tc>
          <w:tcPr>
            <w:tcW w:w="26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2,414,088</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4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72.82</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2024, the total unrecognized compensation expense related to unvested restricted stock units was $162.0 million, which is expected to be recognized over a weighted-average period of approximately 2.95 years.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bookmarkStart w:id="888" w:name="Tc_TYXf_4WFV0yv5fsa7gLJjQ_8_4"/>
      <w:bookmarkStart w:id="889" w:name="Tc_mL3XwU_Z7E6jj2bHclm2Tg_8_0"/>
      <w:bookmarkStart w:id="890" w:name="Tc_ow33zivYt0GXt1ClbJRyPA_7_5"/>
      <w:bookmarkStart w:id="891" w:name="Tc_3qOTN5MWvUCHKlC8FWCtqw_7_2"/>
      <w:bookmarkStart w:id="892" w:name="Tc_ellrQPrxfEGr-982lhef_g_7_0"/>
      <w:bookmarkStart w:id="893" w:name="Tc_V-vEMboMj0OBjmYJXa9sIQ_6_5"/>
      <w:bookmarkStart w:id="894" w:name="Tc_25gQY1D-PEKaDo60zwPeOQ_6_2"/>
      <w:bookmarkStart w:id="895" w:name="Tc_1hwZwXDjGUCo4J_lWWdKNQ_6_0"/>
      <w:bookmarkStart w:id="896" w:name="Tc_oSYHUhYMb02nYhsCAgx-bA_5_0"/>
      <w:bookmarkStart w:id="897" w:name="Tc_iES9Gu6eP06vhpNOgBrmIw_4_4"/>
      <w:bookmarkStart w:id="898" w:name="Tc_Y5d_ZBuUPkq3SAM0VIRs0Q_4_0"/>
      <w:bookmarkStart w:id="899" w:name="Tc_F5JEyphuq0SnW273s7vp3A_3_4"/>
      <w:bookmarkStart w:id="900" w:name="Tc_SkOo0jVF0EGNI8voUtyjvA_3_2"/>
      <w:bookmarkStart w:id="901" w:name="Tc_xpvsAD8n-E27IXGrZAeWhA_2_4"/>
      <w:bookmarkStart w:id="902" w:name="Tc_zhekKsiXyECUtFfi1Q4F5A_1_4"/>
      <w:bookmarkStart w:id="903" w:name="_25e15c4e_25cf_443e_951b_912d794bdd42"/>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r>
        <w:rPr>
          <w:rFonts w:ascii="Times New Roman;Times;serif" w:hAnsi="Times New Roman;Times;serif"/>
          <w:b/>
          <w:i/>
          <w:sz w:val="20"/>
        </w:rPr>
        <w:t>Performance-based restricted stock units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In 2023, the Company began granting performance-based restricted stock units (PSUs) that will settle in stock. PSUs awarded to employees have a three-year performance period and vest on the </w:t>
      </w:r>
      <w:r>
        <w:rPr>
          <w:rFonts w:ascii="Times New Roman;Times;serif" w:hAnsi="Times New Roman;Times;serif"/>
          <w:b w:val="false"/>
          <w:i w:val="false"/>
          <w:caps w:val="false"/>
          <w:smallCaps w:val="false"/>
          <w:sz w:val="20"/>
        </w:rPr>
        <w:t>third</w:t>
      </w:r>
      <w:r>
        <w:rPr>
          <w:rFonts w:ascii="Times New Roman;Times;serif" w:hAnsi="Times New Roman;Times;serif"/>
          <w:sz w:val="20"/>
        </w:rPr>
        <w:t xml:space="preserve"> anniversary of the grant date. The vesting of these awards is subject to the respective employee’s continued employment. The number of PSUs granted represents the target number of units that are eligible to be earned based on the achievement of cumulative three-year performance measures established at the beginning of the performance period, which ends on December 31 of the third year of the performance period.</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Participants may ultimately earn between zero and 200.0% of the target number of PSUs granted based on the degree of achievement of the performance metric which is measured on a three-year cumulative relative total shareholder return metric. Accordingly, additional PSUs may be issued or currently issued PSUs may be cancelled upon final determination of the number of units earned.</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PSU activity for the three months ended March 31, 2024:</w:t>
      </w:r>
    </w:p>
    <w:p>
      <w:pPr>
        <w:pStyle w:val="TextBody"/>
        <w:bidi w:val="0"/>
        <w:spacing w:lineRule="auto" w:line="285" w:before="0" w:after="0"/>
        <w:ind w:left="0" w:right="0" w:hanging="0"/>
        <w:jc w:val="left"/>
        <w:rPr/>
      </w:pPr>
      <w:r>
        <w:rPr/>
        <w:t>​</w:t>
      </w:r>
    </w:p>
    <w:tbl>
      <w:tblPr>
        <w:tblW w:w="6489" w:type="dxa"/>
        <w:jc w:val="left"/>
        <w:tblInd w:w="0" w:type="dxa"/>
        <w:tblLayout w:type="fixed"/>
        <w:tblCellMar>
          <w:top w:w="0" w:type="dxa"/>
          <w:left w:w="0" w:type="dxa"/>
          <w:bottom w:w="0" w:type="dxa"/>
          <w:right w:w="0" w:type="dxa"/>
        </w:tblCellMar>
      </w:tblPr>
      <w:tblGrid>
        <w:gridCol w:w="3241"/>
        <w:gridCol w:w="326"/>
        <w:gridCol w:w="781"/>
        <w:gridCol w:w="326"/>
        <w:gridCol w:w="385"/>
        <w:gridCol w:w="1430"/>
      </w:tblGrid>
      <w:tr>
        <w:trPr/>
        <w:tc>
          <w:tcPr>
            <w:tcW w:w="3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58035" cy="175260"/>
                      <wp:effectExtent l="0" t="0" r="0" b="0"/>
                      <wp:wrapNone/>
                      <wp:docPr id="248" name="Frame248"/>
                      <a:graphic xmlns:a="http://schemas.openxmlformats.org/drawingml/2006/main">
                        <a:graphicData uri="http://schemas.microsoft.com/office/word/2010/wordprocessingShape">
                          <wps:wsp>
                            <wps:cNvSpPr txBox="1"/>
                            <wps:spPr>
                              <a:xfrm>
                                <a:off x="0" y="0"/>
                                <a:ext cx="2058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95935" cy="175260"/>
                      <wp:effectExtent l="0" t="0" r="0" b="0"/>
                      <wp:wrapNone/>
                      <wp:docPr id="250" name="Frame2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44475" cy="175260"/>
                      <wp:effectExtent l="0" t="0" r="0" b="0"/>
                      <wp:wrapNone/>
                      <wp:docPr id="252" name="Frame252"/>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908050" cy="175260"/>
                      <wp:effectExtent l="0" t="0" r="0" b="0"/>
                      <wp:wrapNone/>
                      <wp:docPr id="253" name="Frame253"/>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81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81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24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lineRule="auto" w:line="285" w:before="0" w:after="0"/>
              <w:ind w:left="0" w:right="0" w:hanging="0"/>
              <w:jc w:val="center"/>
              <w:rPr/>
            </w:pPr>
            <w:r>
              <w:rPr/>
              <w:t>    </w:t>
            </w:r>
          </w:p>
        </w:tc>
        <w:tc>
          <w:tcPr>
            <w:tcW w:w="181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December 31, 2023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8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59.32</w:t>
            </w:r>
          </w:p>
        </w:tc>
      </w:tr>
      <w:tr>
        <w:trPr/>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90,000</w:t>
            </w:r>
          </w:p>
        </w:tc>
        <w:tc>
          <w:tcPr>
            <w:tcW w:w="326" w:type="dxa"/>
            <w:tcBorders/>
            <w:vAlign w:val="center"/>
          </w:tcPr>
          <w:p>
            <w:pPr>
              <w:pStyle w:val="TableContents"/>
              <w:bidi w:val="0"/>
              <w:spacing w:lineRule="auto" w:line="285" w:before="0" w:after="0"/>
              <w:ind w:left="0" w:right="0" w:hanging="0"/>
              <w:jc w:val="left"/>
              <w:rPr/>
            </w:pPr>
            <w:r>
              <w:rPr/>
              <w:t>​</w:t>
            </w:r>
          </w:p>
        </w:tc>
        <w:tc>
          <w:tcPr>
            <w:tcW w:w="385" w:type="dxa"/>
            <w:tcBorders/>
            <w:vAlign w:val="center"/>
          </w:tcPr>
          <w:p>
            <w:pPr>
              <w:pStyle w:val="TableContents"/>
              <w:bidi w:val="0"/>
              <w:spacing w:lineRule="auto" w:line="285" w:before="0" w:after="0"/>
              <w:ind w:left="0" w:right="0" w:hanging="0"/>
              <w:jc w:val="right"/>
              <w:rPr/>
            </w:pPr>
            <w:r>
              <w:rPr/>
              <w:t> </w:t>
            </w:r>
          </w:p>
        </w:tc>
        <w:tc>
          <w:tcPr>
            <w:tcW w:w="143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135.84</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85" w:type="dxa"/>
            <w:tcBorders/>
            <w:shd w:fill="CCEEFF" w:val="clear"/>
            <w:vAlign w:val="center"/>
          </w:tcPr>
          <w:p>
            <w:pPr>
              <w:pStyle w:val="TableContents"/>
              <w:bidi w:val="0"/>
              <w:spacing w:lineRule="auto" w:line="285" w:before="0" w:after="0"/>
              <w:ind w:left="0" w:right="0" w:hanging="0"/>
              <w:jc w:val="right"/>
              <w:rPr/>
            </w:pPr>
            <w:r>
              <w:rPr/>
              <w:t> </w:t>
            </w:r>
          </w:p>
        </w:tc>
        <w:tc>
          <w:tcPr>
            <w:tcW w:w="1430" w:type="dxa"/>
            <w:tcBorders/>
            <w:shd w:fill="CCEEFF" w:val="clear"/>
            <w:vAlign w:val="center"/>
          </w:tcPr>
          <w:p>
            <w:pPr>
              <w:pStyle w:val="TableContents"/>
              <w:bidi w:val="0"/>
              <w:spacing w:lineRule="auto" w:line="285" w:before="0" w:after="0"/>
              <w:ind w:left="0" w:right="0" w:hanging="0"/>
              <w:jc w:val="right"/>
              <w:rPr/>
            </w:pPr>
            <w:r>
              <w:rPr/>
              <w:t>—</w:t>
            </w:r>
          </w:p>
        </w:tc>
      </w:tr>
      <w:tr>
        <w:trPr/>
        <w:tc>
          <w:tcPr>
            <w:tcW w:w="3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lineRule="auto" w:line="285"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143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3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Unvested shares at March 31, 2024</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142,500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8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107.65</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As of March 31, 2024, the total unrecognized compensation expense related to unvested PSUs was $13.9 million, which is expected to be recognized over a weighted-average period of approximately 2.55 years.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Company values PSUs on the grant date using a lattice model with a Monte Carlo simulation. This valuation methodology utilizes several key assumptions, including defined consecutive trading day average closing stock price on the grant date, valuation date stock price, expected volatilities using historical volatilities, correlation coefficients based on the volatility data, risk-free rates of return and expected dividend yield. The probability of actual shares expected to be earned is considered in the grant date valuation and the expense is not adjusted to reflect the actual units earned.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2015 Employee Stock Purchase Plan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2015, the Company’s board of directors and stockholders approved the 2015 Employee Stock Purchase Plan (the 2015 ESPP), which became effective upon the closing of the Company’s initial public offering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2024, the number of shares reserved for issuance under the 2015 ESPP was increased by 611,472 shares.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160"/>
        <w:ind w:left="0" w:right="0" w:hanging="0"/>
        <w:jc w:val="left"/>
        <w:rPr>
          <w:rFonts w:ascii="Times New Roman;Times;serif" w:hAnsi="Times New Roman;Times;serif"/>
          <w:b/>
          <w:i/>
          <w:sz w:val="20"/>
        </w:rPr>
      </w:pPr>
      <w:bookmarkStart w:id="904" w:name="Tc_oHQ1hZuYuEWOLvjRybtW8w_6_5"/>
      <w:bookmarkStart w:id="905" w:name="Tc_lqfBGtM6-UaXVhPLMubCbQ_6_2"/>
      <w:bookmarkStart w:id="906" w:name="Tc_Vj62NJN5jUm0BY6iedcaIg_6_0"/>
      <w:bookmarkStart w:id="907" w:name="Tc_yihCP4evBUSqGm16zfN2PQ_5_0"/>
      <w:bookmarkStart w:id="908" w:name="Tc_WmwnhiNdikG9mvp9twaH0A_4_5"/>
      <w:bookmarkStart w:id="909" w:name="Tc_Ucks_17DXE2AQD2Qq0-MBQ_4_2"/>
      <w:bookmarkStart w:id="910" w:name="Tc_zmHNbyJ6W0Ce9b2zzV0V7A_4_0"/>
      <w:bookmarkStart w:id="911" w:name="Tc_KR_nvi2eBEuiO6Pp2Vd64w_3_5"/>
      <w:bookmarkStart w:id="912" w:name="Tc_0ma6A1j40ESv-sCPMtVitw_3_2"/>
      <w:bookmarkStart w:id="913" w:name="Tc_b-ymRnAMUE2wkP7yPxpBCQ_2_2"/>
      <w:bookmarkStart w:id="914" w:name="Tc_s5lZAvA390uVo4jsoJg5IQ_1_2"/>
      <w:bookmarkStart w:id="915" w:name="_05dd9d58_7813_4929_9a4c_e1467b32a99b"/>
      <w:bookmarkStart w:id="916" w:name="Tc_9heXunTidkOyzIcm-QPdFg_10_5"/>
      <w:bookmarkStart w:id="917" w:name="Tc_2NvbsE6TEkqMkubhk8eKvw_10_2"/>
      <w:bookmarkStart w:id="918" w:name="Tc_5Smxfq3ffkub89QzeV6Q_Q_10_0"/>
      <w:bookmarkStart w:id="919" w:name="Tc_3zUYN1DYiU-XofZOPmlLMg_9_0"/>
      <w:bookmarkStart w:id="920" w:name="Tc_YSenvyRkAk-JnbwAAtlPoQ_8_0"/>
      <w:bookmarkStart w:id="921" w:name="Tc_qa542-MV3EOmFkiOaP4uLw_7_0"/>
      <w:bookmarkStart w:id="922" w:name="Tc_khK7vwtZBU2dpnbE2-pb3g_6_0"/>
      <w:bookmarkStart w:id="923" w:name="Tc_J75bvfOsOk2wMIpOJPV4CQ_5_0"/>
      <w:bookmarkStart w:id="924" w:name="Tc_imnL4_LU00q2qv4JihortA_4_5"/>
      <w:bookmarkStart w:id="925" w:name="Tc_5s_MaH1maEqYMwbjVlSfow_4_2"/>
      <w:bookmarkStart w:id="926" w:name="Tc_K_PUC9y8LUuWbD6XzuRU-Q_4_0"/>
      <w:bookmarkStart w:id="927" w:name="Tc_RVJgMfyJ_kOvtXcrL_jtXw_3_6"/>
      <w:bookmarkStart w:id="928" w:name="Tc_14Zy0aPFc022TwiAhjT0Iw_3_3"/>
      <w:bookmarkStart w:id="929" w:name="Tc_ciK_GTDZb0qiRuXc7I8ikg_2_3"/>
      <w:bookmarkStart w:id="930" w:name="Tc_7FHNVJE0gk2vEjqlfPQevw_1_2"/>
      <w:bookmarkStart w:id="931" w:name="_9038be8d_690a_42aa_8b26_e75f2f67ddec"/>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r>
        <w:rPr>
          <w:rFonts w:ascii="Times New Roman;Times;serif" w:hAnsi="Times New Roman;Times;serif"/>
          <w:b/>
          <w:i/>
          <w:sz w:val="20"/>
        </w:rPr>
        <w:t>Stock-based compensation expense</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recognized stock-based compensation expense of $24.2 million and $23.2 million for the three months ended March 31, 2024, and 2023, respectively. Stock-based compensation expense by award type included within the unaudited condensed consolidated statements of operations and comprehensive income (loss) was as follows (in thousands):</w:t>
      </w:r>
    </w:p>
    <w:p>
      <w:pPr>
        <w:pStyle w:val="TextBody"/>
        <w:bidi w:val="0"/>
        <w:spacing w:lineRule="auto" w:line="285" w:before="0" w:after="0"/>
        <w:ind w:left="0" w:right="0" w:hanging="0"/>
        <w:jc w:val="left"/>
        <w:rPr/>
      </w:pPr>
      <w:r>
        <w:rPr/>
        <w:t>​</w:t>
      </w:r>
    </w:p>
    <w:tbl>
      <w:tblPr>
        <w:tblW w:w="9247" w:type="dxa"/>
        <w:jc w:val="left"/>
        <w:tblInd w:w="0" w:type="dxa"/>
        <w:tblLayout w:type="fixed"/>
        <w:tblCellMar>
          <w:top w:w="0" w:type="dxa"/>
          <w:left w:w="0" w:type="dxa"/>
          <w:bottom w:w="0" w:type="dxa"/>
          <w:right w:w="0" w:type="dxa"/>
        </w:tblCellMar>
      </w:tblPr>
      <w:tblGrid>
        <w:gridCol w:w="6721"/>
        <w:gridCol w:w="266"/>
        <w:gridCol w:w="211"/>
        <w:gridCol w:w="676"/>
        <w:gridCol w:w="266"/>
        <w:gridCol w:w="326"/>
        <w:gridCol w:w="781"/>
      </w:tblGrid>
      <w:tr>
        <w:trPr/>
        <w:tc>
          <w:tcPr>
            <w:tcW w:w="6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267835" cy="175260"/>
                      <wp:effectExtent l="0" t="0" r="0" b="0"/>
                      <wp:wrapNone/>
                      <wp:docPr id="254" name="Frame254"/>
                      <a:graphic xmlns:a="http://schemas.openxmlformats.org/drawingml/2006/main">
                        <a:graphicData uri="http://schemas.microsoft.com/office/word/2010/wordprocessingShape">
                          <wps:wsp>
                            <wps:cNvSpPr txBox="1"/>
                            <wps:spPr>
                              <a:xfrm>
                                <a:off x="0" y="0"/>
                                <a:ext cx="426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68910" cy="175260"/>
                      <wp:effectExtent l="0" t="0" r="0" b="0"/>
                      <wp:wrapNone/>
                      <wp:docPr id="255" name="Frame25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29260" cy="175260"/>
                      <wp:effectExtent l="0" t="0" r="0" b="0"/>
                      <wp:wrapNone/>
                      <wp:docPr id="257" name="Frame2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68910" cy="175260"/>
                      <wp:effectExtent l="0" t="0" r="0" b="0"/>
                      <wp:wrapNone/>
                      <wp:docPr id="258" name="Frame25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95935" cy="175260"/>
                      <wp:effectExtent l="0" t="0" r="0" b="0"/>
                      <wp:wrapNone/>
                      <wp:docPr id="260" name="Frame2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72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226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72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049"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721" w:type="dxa"/>
            <w:tcBorders/>
            <w:vAlign w:val="center"/>
          </w:tcPr>
          <w:p>
            <w:pPr>
              <w:pStyle w:val="TableContents"/>
              <w:bidi w:val="0"/>
              <w:spacing w:lineRule="auto" w:line="285" w:before="0" w:after="0"/>
              <w:ind w:left="0" w:right="0" w:hanging="0"/>
              <w:jc w:val="left"/>
              <w:rPr/>
            </w:pPr>
            <w:r>
              <w:rPr/>
              <w:t>​</w:t>
            </w:r>
          </w:p>
        </w:tc>
        <w:tc>
          <w:tcPr>
            <w:tcW w:w="266" w:type="dxa"/>
            <w:tcBorders/>
            <w:vAlign w:val="center"/>
          </w:tcPr>
          <w:p>
            <w:pPr>
              <w:pStyle w:val="TableContents"/>
              <w:bidi w:val="0"/>
              <w:spacing w:lineRule="auto" w:line="285"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66" w:type="dxa"/>
            <w:tcBorders/>
            <w:vAlign w:val="center"/>
          </w:tcPr>
          <w:p>
            <w:pPr>
              <w:pStyle w:val="TableContents"/>
              <w:bidi w:val="0"/>
              <w:spacing w:lineRule="auto" w:line="285" w:before="0" w:after="0"/>
              <w:ind w:left="0" w:right="0" w:hanging="0"/>
              <w:jc w:val="center"/>
              <w:rPr/>
            </w:pPr>
            <w:r>
              <w:rPr/>
              <w:t>   </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9,573</w:t>
            </w:r>
          </w:p>
        </w:tc>
        <w:tc>
          <w:tcPr>
            <w:tcW w:w="2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10,861</w:t>
            </w:r>
          </w:p>
        </w:tc>
      </w:tr>
      <w:tr>
        <w:trPr/>
        <w:tc>
          <w:tcPr>
            <w:tcW w:w="67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Restricted stock units </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13,836</w:t>
            </w:r>
          </w:p>
        </w:tc>
        <w:tc>
          <w:tcPr>
            <w:tcW w:w="266" w:type="dxa"/>
            <w:tcBorders/>
            <w:vAlign w:val="center"/>
          </w:tcPr>
          <w:p>
            <w:pPr>
              <w:pStyle w:val="TableContents"/>
              <w:bidi w:val="0"/>
              <w:spacing w:lineRule="auto" w:line="285" w:before="0" w:after="0"/>
              <w:ind w:left="0" w:right="0" w:hanging="0"/>
              <w:jc w:val="righ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11,940</w:t>
            </w:r>
          </w:p>
        </w:tc>
      </w:tr>
      <w:tr>
        <w:trPr/>
        <w:tc>
          <w:tcPr>
            <w:tcW w:w="6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Performance-based restricted stock units</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594</w:t>
            </w:r>
          </w:p>
        </w:tc>
        <w:tc>
          <w:tcPr>
            <w:tcW w:w="2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67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 stock purchase plan</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454</w:t>
            </w:r>
          </w:p>
        </w:tc>
        <w:tc>
          <w:tcPr>
            <w:tcW w:w="266" w:type="dxa"/>
            <w:tcBorders/>
            <w:vAlign w:val="center"/>
          </w:tcPr>
          <w:p>
            <w:pPr>
              <w:pStyle w:val="TableContents"/>
              <w:bidi w:val="0"/>
              <w:spacing w:lineRule="auto" w:line="285"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452</w:t>
            </w:r>
          </w:p>
        </w:tc>
      </w:tr>
      <w:tr>
        <w:trPr/>
        <w:tc>
          <w:tcPr>
            <w:tcW w:w="6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24,457</w:t>
            </w:r>
          </w:p>
        </w:tc>
        <w:tc>
          <w:tcPr>
            <w:tcW w:w="2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23,340</w:t>
            </w:r>
          </w:p>
        </w:tc>
      </w:tr>
      <w:tr>
        <w:trPr/>
        <w:tc>
          <w:tcPr>
            <w:tcW w:w="67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Capitalized stock-based compensation costs</w:t>
            </w:r>
          </w:p>
        </w:tc>
        <w:tc>
          <w:tcPr>
            <w:tcW w:w="26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266" w:type="dxa"/>
            <w:tcBorders/>
            <w:vAlign w:val="center"/>
          </w:tcPr>
          <w:p>
            <w:pPr>
              <w:pStyle w:val="TableContents"/>
              <w:bidi w:val="0"/>
              <w:spacing w:lineRule="auto" w:line="285" w:before="0" w:after="0"/>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67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 included in total cost and operating expenses</w:t>
            </w:r>
          </w:p>
        </w:tc>
        <w:tc>
          <w:tcPr>
            <w:tcW w:w="26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24,225</w:t>
            </w:r>
          </w:p>
        </w:tc>
        <w:tc>
          <w:tcPr>
            <w:tcW w:w="26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23,196</w:t>
            </w:r>
          </w:p>
        </w:tc>
      </w:tr>
    </w:tbl>
    <w:p>
      <w:pPr>
        <w:pStyle w:val="TextBody"/>
        <w:bidi w:val="0"/>
        <w:spacing w:lineRule="auto" w:line="285" w:before="0" w:after="0"/>
        <w:ind w:left="0" w:right="0" w:hanging="0"/>
        <w:jc w:val="left"/>
        <w:rPr>
          <w:shd w:fill="FFFFFF" w:val="clear"/>
        </w:rPr>
      </w:pPr>
      <w:r>
        <w:rPr>
          <w:shd w:fill="FFFFFF" w:val="clear"/>
        </w:rPr>
        <w:t> </w:t>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Stock-based compensation expense,</w:t>
      </w:r>
      <w:r>
        <w:rPr>
          <w:rFonts w:ascii="Times New Roman;Times;serif" w:hAnsi="Times New Roman;Times;serif"/>
          <w:sz w:val="20"/>
          <w:shd w:fill="FFFFFF" w:val="clear"/>
        </w:rPr>
        <w:t> that is included in operating expenses,</w:t>
      </w:r>
      <w:r>
        <w:rPr>
          <w:rFonts w:ascii="Times New Roman;Times;serif" w:hAnsi="Times New Roman;Times;serif"/>
          <w:sz w:val="20"/>
        </w:rPr>
        <w:t xml:space="preserve"> by classification within the unaudited condensed consolidated statements of operations and comprehensive loss is as follows (in thousands):</w:t>
      </w:r>
    </w:p>
    <w:p>
      <w:pPr>
        <w:pStyle w:val="TextBody"/>
        <w:bidi w:val="0"/>
        <w:spacing w:lineRule="auto" w:line="285" w:before="0" w:after="0"/>
        <w:ind w:left="0" w:right="0" w:hanging="0"/>
        <w:jc w:val="left"/>
        <w:rPr/>
      </w:pPr>
      <w:r>
        <w:rPr/>
        <w:t>​</w:t>
      </w:r>
    </w:p>
    <w:tbl>
      <w:tblPr>
        <w:tblW w:w="5536" w:type="dxa"/>
        <w:jc w:val="left"/>
        <w:tblInd w:w="0" w:type="dxa"/>
        <w:tblLayout w:type="fixed"/>
        <w:tblCellMar>
          <w:top w:w="0" w:type="dxa"/>
          <w:left w:w="0" w:type="dxa"/>
          <w:bottom w:w="0" w:type="dxa"/>
          <w:right w:w="0" w:type="dxa"/>
        </w:tblCellMar>
      </w:tblPr>
      <w:tblGrid>
        <w:gridCol w:w="2956"/>
        <w:gridCol w:w="109"/>
        <w:gridCol w:w="211"/>
        <w:gridCol w:w="676"/>
        <w:gridCol w:w="326"/>
        <w:gridCol w:w="211"/>
        <w:gridCol w:w="676"/>
        <w:gridCol w:w="37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877060" cy="175260"/>
                      <wp:effectExtent l="0" t="0" r="0" b="0"/>
                      <wp:wrapNone/>
                      <wp:docPr id="261" name="Frame261"/>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29260" cy="175260"/>
                      <wp:effectExtent l="0" t="0" r="0" b="0"/>
                      <wp:wrapNone/>
                      <wp:docPr id="264" name="Frame2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29260" cy="175260"/>
                      <wp:effectExtent l="0" t="0" r="0" b="0"/>
                      <wp:wrapNone/>
                      <wp:docPr id="267" name="Frame2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35585" cy="175260"/>
                      <wp:effectExtent l="0" t="0" r="0" b="0"/>
                      <wp:wrapNone/>
                      <wp:docPr id="268" name="Frame26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0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vAlign w:val="center"/>
          </w:tcPr>
          <w:p>
            <w:pPr>
              <w:pStyle w:val="TableContents"/>
              <w:bidi w:val="0"/>
              <w:spacing w:lineRule="auto" w:line="285" w:before="0" w:after="0"/>
              <w:ind w:left="0" w:right="0" w:hanging="0"/>
              <w:jc w:val="center"/>
              <w:rPr/>
            </w:pPr>
            <w:r>
              <w:rPr/>
              <w:t>​</w:t>
            </w:r>
          </w:p>
        </w:tc>
      </w:tr>
      <w:tr>
        <w:trPr/>
        <w:tc>
          <w:tcPr>
            <w:tcW w:w="29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71" w:type="dxa"/>
            <w:tcBorders/>
            <w:vAlign w:val="center"/>
          </w:tcPr>
          <w:p>
            <w:pPr>
              <w:pStyle w:val="TableContents"/>
              <w:bidi w:val="0"/>
              <w:spacing w:lineRule="auto" w:line="285" w:before="0" w:after="0"/>
              <w:ind w:left="0" w:right="0" w:hanging="0"/>
              <w:jc w:val="center"/>
              <w:rPr/>
            </w:pPr>
            <w:r>
              <w:rPr/>
              <w:t>​</w:t>
            </w:r>
          </w:p>
        </w:tc>
      </w:tr>
      <w:tr>
        <w:trPr/>
        <w:tc>
          <w:tcPr>
            <w:tcW w:w="29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lineRule="auto" w:line="285" w:before="0" w:after="0"/>
              <w:ind w:left="0" w:right="0" w:hanging="0"/>
              <w:jc w:val="center"/>
              <w:rPr/>
            </w:pPr>
            <w:r>
              <w:rPr/>
              <w:t>​</w:t>
            </w:r>
          </w:p>
        </w:tc>
      </w:tr>
      <w:tr>
        <w:trPr/>
        <w:tc>
          <w:tcPr>
            <w:tcW w:w="2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10,875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10,117</w:t>
            </w:r>
          </w:p>
        </w:tc>
        <w:tc>
          <w:tcPr>
            <w:tcW w:w="371" w:type="dxa"/>
            <w:tcBorders/>
            <w:shd w:fill="CCEEFF" w:val="clear"/>
            <w:vAlign w:val="center"/>
          </w:tcPr>
          <w:p>
            <w:pPr>
              <w:pStyle w:val="TableContents"/>
              <w:bidi w:val="0"/>
              <w:spacing w:lineRule="auto" w:line="285" w:before="0" w:after="0"/>
              <w:ind w:left="0" w:right="0" w:hanging="0"/>
              <w:jc w:val="left"/>
              <w:rPr/>
            </w:pPr>
            <w:r>
              <w:rPr/>
              <w:t>    </w:t>
            </w:r>
          </w:p>
        </w:tc>
      </w:tr>
      <w:tr>
        <w:trPr/>
        <w:tc>
          <w:tcPr>
            <w:tcW w:w="29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13,350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13,079</w:t>
            </w:r>
          </w:p>
        </w:tc>
        <w:tc>
          <w:tcPr>
            <w:tcW w:w="371" w:type="dxa"/>
            <w:tcBorders/>
            <w:vAlign w:val="center"/>
          </w:tcPr>
          <w:p>
            <w:pPr>
              <w:pStyle w:val="TableContents"/>
              <w:bidi w:val="0"/>
              <w:spacing w:lineRule="auto" w:line="285" w:before="0" w:after="0"/>
              <w:ind w:left="0" w:right="0" w:hanging="0"/>
              <w:jc w:val="left"/>
              <w:rPr/>
            </w:pPr>
            <w:r>
              <w:rPr/>
              <w:t>​</w:t>
            </w:r>
          </w:p>
        </w:tc>
      </w:tr>
      <w:tr>
        <w:trPr/>
        <w:tc>
          <w:tcPr>
            <w:tcW w:w="29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24,225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23,196</w:t>
            </w:r>
          </w:p>
        </w:tc>
        <w:tc>
          <w:tcPr>
            <w:tcW w:w="37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932" w:name="Tc_UYtmREUFZ0ugeAaohxkNpg_12_0"/>
      <w:bookmarkStart w:id="933" w:name="Tc_F3Q4Zoo0xEqrViky6Dtung_11_5"/>
      <w:bookmarkStart w:id="934" w:name="Tc_3padrldoZk-no-E8xVV6Aw_11_2"/>
      <w:bookmarkStart w:id="935" w:name="Tc_zkerbUIOCUOEQUrs13VqUQ_11_0"/>
      <w:bookmarkStart w:id="936" w:name="Tc_TXiJ2MQhVEqLDLSb09g0ZQ_10_0"/>
      <w:bookmarkStart w:id="937" w:name="Tc_zZtirbhykECKCwHwwKYRbw_9_6"/>
      <w:bookmarkStart w:id="938" w:name="Tc_bxv-6XMSwESCCdMwK53OgQ_9_0"/>
      <w:bookmarkStart w:id="939" w:name="Tc_070pWYvoYkerQjYu2EFmzg_8_6"/>
      <w:bookmarkStart w:id="940" w:name="Tc_zW5EnmMZtUKuSiMqJxQreA_8_0"/>
      <w:bookmarkStart w:id="941" w:name="Tc_ou7f6nXIK0eE0qEzPIq_Ng_7_6"/>
      <w:bookmarkStart w:id="942" w:name="Tc_g1kyZCm6bUajsKnx_YM2eg_7_0"/>
      <w:bookmarkStart w:id="943" w:name="Tc_WA-gHFDPF0SZinHsn4qhkA_6_0"/>
      <w:bookmarkStart w:id="944" w:name="Tc_fRXpm05O30SNSBQA0AE9kg_5_0"/>
      <w:bookmarkStart w:id="945" w:name="Tc_tN3KDPQP7kSynqjNc5UgQQ_4_5"/>
      <w:bookmarkStart w:id="946" w:name="Tc_6zqIDX5hV06GtAyree_Avw_4_2"/>
      <w:bookmarkStart w:id="947" w:name="Tc_w2I6rFLZ6kaldib19u91WA_4_0"/>
      <w:bookmarkStart w:id="948" w:name="Tc_oAbGT6ucFkeqNgvU9dduPw_3_5"/>
      <w:bookmarkStart w:id="949" w:name="Tc_Fs8p_HW5nkedplC7gTywEg_3_2"/>
      <w:bookmarkStart w:id="950" w:name="Tc_mau-tMvMZ0ud8tlfqRG7Aw_2_2"/>
      <w:bookmarkStart w:id="951" w:name="Tc_C3FatcjwaU-Fhg8t2KvSKQ_1_2"/>
      <w:bookmarkStart w:id="952" w:name="_a05a7a03_aa49_490e_a908_08132ee307e9"/>
      <w:bookmarkStart w:id="953" w:name="_9c224f91_e964_485b_a60e_c840f5ee474b"/>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r>
        <w:rPr>
          <w:rFonts w:ascii="Times New Roman;Times;serif" w:hAnsi="Times New Roman;Times;serif"/>
          <w:b/>
          <w:sz w:val="20"/>
        </w:rPr>
        <w:t xml:space="preserve">13. Earnings (Loss) per Share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Basic earnings per share (EPS) is calculated by dividing net income (loss) by the weighted average number of shares of common stock outstanding during the period. Diluted EPS is calculated by adjusting weighted average shares outstanding for the dilutive effect of common stock equivalents outstanding for the period. For purposes of the diluted EPS calculation, the effect of stock options, unvested restricted stock units, PSUs and ESPP shares on the weighted average number of shares is calculated using the treasury stock method. In periods with reported net operating losses, all common stock equivalents are deemed anti-dilutive such that basic net loss per share and diluted net loss per share are equal.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calculation of net income (loss) and the number of shares used to compute basic and diluted net income (loss) per share for are as follows (in thousands, except for per share data):</w:t>
      </w:r>
    </w:p>
    <w:p>
      <w:pPr>
        <w:pStyle w:val="TextBody"/>
        <w:bidi w:val="0"/>
        <w:spacing w:lineRule="auto" w:line="285" w:before="0" w:after="0"/>
        <w:ind w:left="0" w:right="0" w:hanging="0"/>
        <w:jc w:val="left"/>
        <w:rPr/>
      </w:pPr>
      <w:r>
        <w:rPr/>
        <w:t>​</w:t>
      </w:r>
    </w:p>
    <w:tbl>
      <w:tblPr>
        <w:tblW w:w="6691" w:type="dxa"/>
        <w:jc w:val="left"/>
        <w:tblInd w:w="0" w:type="dxa"/>
        <w:tblLayout w:type="fixed"/>
        <w:tblCellMar>
          <w:top w:w="0" w:type="dxa"/>
          <w:left w:w="0" w:type="dxa"/>
          <w:bottom w:w="0" w:type="dxa"/>
          <w:right w:w="0" w:type="dxa"/>
        </w:tblCellMar>
      </w:tblPr>
      <w:tblGrid>
        <w:gridCol w:w="3886"/>
        <w:gridCol w:w="109"/>
        <w:gridCol w:w="211"/>
        <w:gridCol w:w="676"/>
        <w:gridCol w:w="326"/>
        <w:gridCol w:w="211"/>
        <w:gridCol w:w="901"/>
        <w:gridCol w:w="371"/>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467610" cy="175260"/>
                      <wp:effectExtent l="0" t="0" r="0" b="0"/>
                      <wp:wrapNone/>
                      <wp:docPr id="269" name="Frame269"/>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1"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29260" cy="175260"/>
                      <wp:effectExtent l="0" t="0" r="0" b="0"/>
                      <wp:wrapNone/>
                      <wp:docPr id="272" name="Frame2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572135" cy="175260"/>
                      <wp:effectExtent l="0" t="0" r="0" b="0"/>
                      <wp:wrapNone/>
                      <wp:docPr id="275" name="Frame27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35585" cy="175260"/>
                      <wp:effectExtent l="0" t="0" r="0" b="0"/>
                      <wp:wrapNone/>
                      <wp:docPr id="276" name="Frame27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2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vAlign w:val="center"/>
          </w:tcPr>
          <w:p>
            <w:pPr>
              <w:pStyle w:val="TableContents"/>
              <w:bidi w:val="0"/>
              <w:spacing w:lineRule="auto" w:line="285" w:before="0" w:after="0"/>
              <w:ind w:left="0" w:right="0" w:hanging="0"/>
              <w:jc w:val="center"/>
              <w:rPr/>
            </w:pPr>
            <w:r>
              <w:rPr/>
              <w:t>​</w:t>
            </w:r>
          </w:p>
        </w:tc>
      </w:tr>
      <w:tr>
        <w:trPr/>
        <w:tc>
          <w:tcPr>
            <w:tcW w:w="38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32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71" w:type="dxa"/>
            <w:tcBorders/>
            <w:vAlign w:val="center"/>
          </w:tcPr>
          <w:p>
            <w:pPr>
              <w:pStyle w:val="TableContents"/>
              <w:bidi w:val="0"/>
              <w:spacing w:lineRule="auto" w:line="285" w:before="0" w:after="0"/>
              <w:ind w:left="0" w:right="0" w:hanging="0"/>
              <w:jc w:val="center"/>
              <w:rPr/>
            </w:pPr>
            <w:r>
              <w:rPr/>
              <w:t>​</w:t>
            </w:r>
          </w:p>
        </w:tc>
      </w:tr>
      <w:tr>
        <w:trPr/>
        <w:tc>
          <w:tcPr>
            <w:tcW w:w="38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lineRule="auto" w:line="285" w:before="0" w:after="0"/>
              <w:ind w:left="0" w:right="0" w:hanging="0"/>
              <w:jc w:val="center"/>
              <w:rPr/>
            </w:pPr>
            <w:r>
              <w:rPr/>
              <w:t>​</w:t>
            </w:r>
          </w:p>
        </w:tc>
      </w:tr>
      <w:tr>
        <w:trPr/>
        <w:tc>
          <w:tcPr>
            <w:tcW w:w="38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 - basic and diluted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89,136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(129,560)</w:t>
            </w:r>
          </w:p>
        </w:tc>
        <w:tc>
          <w:tcPr>
            <w:tcW w:w="371" w:type="dxa"/>
            <w:tcBorders/>
            <w:shd w:fill="CCEEFF" w:val="clear"/>
            <w:vAlign w:val="center"/>
          </w:tcPr>
          <w:p>
            <w:pPr>
              <w:pStyle w:val="TableContents"/>
              <w:bidi w:val="0"/>
              <w:spacing w:lineRule="auto" w:line="285" w:before="0" w:after="0"/>
              <w:ind w:left="0" w:right="0" w:hanging="0"/>
              <w:jc w:val="left"/>
              <w:rPr/>
            </w:pPr>
            <w:r>
              <w:rPr/>
              <w:t>    </w:t>
            </w:r>
          </w:p>
        </w:tc>
      </w:tr>
      <w:tr>
        <w:trPr/>
        <w:tc>
          <w:tcPr>
            <w:tcW w:w="38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 basic</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61,580</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60,126</w:t>
            </w:r>
          </w:p>
        </w:tc>
        <w:tc>
          <w:tcPr>
            <w:tcW w:w="371" w:type="dxa"/>
            <w:tcBorders/>
            <w:vAlign w:val="center"/>
          </w:tcPr>
          <w:p>
            <w:pPr>
              <w:pStyle w:val="TableContents"/>
              <w:bidi w:val="0"/>
              <w:spacing w:lineRule="auto" w:line="285" w:before="0" w:after="0"/>
              <w:ind w:left="0" w:right="0" w:hanging="0"/>
              <w:jc w:val="left"/>
              <w:rPr/>
            </w:pPr>
            <w:r>
              <w:rPr/>
              <w:t>​</w:t>
            </w:r>
          </w:p>
        </w:tc>
      </w:tr>
      <w:tr>
        <w:trPr/>
        <w:tc>
          <w:tcPr>
            <w:tcW w:w="38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Effect of dilutive securities: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pPr>
            <w:r>
              <w:rPr/>
              <w:t>​</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71" w:type="dxa"/>
            <w:tcBorders/>
            <w:shd w:fill="CCEEFF" w:val="clear"/>
            <w:vAlign w:val="center"/>
          </w:tcPr>
          <w:p>
            <w:pPr>
              <w:pStyle w:val="TableContents"/>
              <w:bidi w:val="0"/>
              <w:spacing w:lineRule="auto" w:line="285" w:before="0" w:after="0"/>
              <w:ind w:left="0" w:right="0" w:hanging="0"/>
              <w:jc w:val="left"/>
              <w:rPr/>
            </w:pPr>
            <w:r>
              <w:rPr/>
              <w:t>​</w:t>
            </w:r>
          </w:p>
        </w:tc>
      </w:tr>
      <w:tr>
        <w:trPr/>
        <w:tc>
          <w:tcPr>
            <w:tcW w:w="38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01" w:type="dxa"/>
            <w:tcBorders/>
            <w:vAlign w:val="center"/>
          </w:tcPr>
          <w:p>
            <w:pPr>
              <w:pStyle w:val="TableContents"/>
              <w:bidi w:val="0"/>
              <w:spacing w:lineRule="auto" w:line="285" w:before="0" w:after="0"/>
              <w:ind w:left="0" w:right="0" w:hanging="0"/>
              <w:jc w:val="right"/>
              <w:rPr/>
            </w:pPr>
            <w:r>
              <w:rPr/>
              <w:t>—</w:t>
            </w:r>
          </w:p>
        </w:tc>
        <w:tc>
          <w:tcPr>
            <w:tcW w:w="371" w:type="dxa"/>
            <w:tcBorders/>
            <w:vAlign w:val="center"/>
          </w:tcPr>
          <w:p>
            <w:pPr>
              <w:pStyle w:val="TableContents"/>
              <w:bidi w:val="0"/>
              <w:spacing w:lineRule="auto" w:line="285" w:before="0" w:after="0"/>
              <w:ind w:left="0" w:right="0" w:hanging="0"/>
              <w:jc w:val="left"/>
              <w:rPr/>
            </w:pPr>
            <w:r>
              <w:rPr/>
              <w:t>​</w:t>
            </w:r>
          </w:p>
        </w:tc>
      </w:tr>
      <w:tr>
        <w:trPr/>
        <w:tc>
          <w:tcPr>
            <w:tcW w:w="38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pPr>
            <w:r>
              <w:rPr/>
              <w:t>—</w:t>
            </w:r>
          </w:p>
        </w:tc>
        <w:tc>
          <w:tcPr>
            <w:tcW w:w="371" w:type="dxa"/>
            <w:tcBorders/>
            <w:shd w:fill="CCEEFF" w:val="clear"/>
            <w:vAlign w:val="center"/>
          </w:tcPr>
          <w:p>
            <w:pPr>
              <w:pStyle w:val="TableContents"/>
              <w:bidi w:val="0"/>
              <w:spacing w:lineRule="auto" w:line="285" w:before="0" w:after="0"/>
              <w:ind w:left="0" w:right="0" w:hanging="0"/>
              <w:jc w:val="left"/>
              <w:rPr/>
            </w:pPr>
            <w:r>
              <w:rPr/>
              <w:t>​</w:t>
            </w:r>
          </w:p>
        </w:tc>
      </w:tr>
      <w:tr>
        <w:trPr/>
        <w:tc>
          <w:tcPr>
            <w:tcW w:w="38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Performance-based restricted stock units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71" w:type="dxa"/>
            <w:tcBorders/>
            <w:vAlign w:val="center"/>
          </w:tcPr>
          <w:p>
            <w:pPr>
              <w:pStyle w:val="TableContents"/>
              <w:bidi w:val="0"/>
              <w:spacing w:lineRule="auto" w:line="285" w:before="0" w:after="0"/>
              <w:ind w:left="0" w:right="0" w:hanging="0"/>
              <w:jc w:val="left"/>
              <w:rPr/>
            </w:pPr>
            <w:r>
              <w:rPr/>
              <w:t>​</w:t>
            </w:r>
          </w:p>
        </w:tc>
      </w:tr>
      <w:tr>
        <w:trPr/>
        <w:tc>
          <w:tcPr>
            <w:tcW w:w="38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 diluted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63,802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60,126</w:t>
            </w:r>
          </w:p>
        </w:tc>
        <w:tc>
          <w:tcPr>
            <w:tcW w:w="371" w:type="dxa"/>
            <w:tcBorders/>
            <w:shd w:fill="CCEEFF" w:val="clear"/>
            <w:vAlign w:val="center"/>
          </w:tcPr>
          <w:p>
            <w:pPr>
              <w:pStyle w:val="TableContents"/>
              <w:bidi w:val="0"/>
              <w:spacing w:lineRule="auto" w:line="285" w:before="0" w:after="0"/>
              <w:ind w:left="0" w:right="0" w:hanging="0"/>
              <w:jc w:val="left"/>
              <w:rPr/>
            </w:pPr>
            <w:r>
              <w:rPr/>
              <w:t>​</w:t>
            </w:r>
          </w:p>
        </w:tc>
      </w:tr>
      <w:tr>
        <w:trPr/>
        <w:tc>
          <w:tcPr>
            <w:tcW w:w="38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 basic</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71" w:type="dxa"/>
            <w:tcBorders/>
            <w:vAlign w:val="center"/>
          </w:tcPr>
          <w:p>
            <w:pPr>
              <w:pStyle w:val="TableContents"/>
              <w:bidi w:val="0"/>
              <w:spacing w:lineRule="auto" w:line="285" w:before="0" w:after="0"/>
              <w:ind w:left="0" w:right="0" w:hanging="0"/>
              <w:jc w:val="left"/>
              <w:rPr/>
            </w:pPr>
            <w:r>
              <w:rPr/>
              <w:t>​</w:t>
            </w:r>
          </w:p>
        </w:tc>
      </w:tr>
      <w:tr>
        <w:trPr/>
        <w:tc>
          <w:tcPr>
            <w:tcW w:w="38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 diluted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7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954" w:name="Tc_Y1WZUIGhJEG2PiQ40c-mmw_7_0"/>
      <w:bookmarkStart w:id="955" w:name="Tc_GOy3KWZRO0mg_xp3xzQQoA_6_0"/>
      <w:bookmarkStart w:id="956" w:name="Tc_F7O7uRX4S0iSlvS5KnUS6w_5_0"/>
      <w:bookmarkStart w:id="957" w:name="Tc_luYHC3Y39kO772Wk4WnJKQ_4_0"/>
      <w:bookmarkStart w:id="958" w:name="Tc_h_arMc8VzkSHc3egl2PODA_3_0"/>
      <w:bookmarkStart w:id="959" w:name="Tc_U6pVxvN2Pkq_8JNGw3apVQ_2_4"/>
      <w:bookmarkStart w:id="960" w:name="Tc_AHnYZpJKR0eruOl9pbgKBw_2_2"/>
      <w:bookmarkStart w:id="961" w:name="Tc_9sQT3NtCok6qryemBxa4GQ_1_2"/>
      <w:bookmarkStart w:id="962" w:name="_a23eaf80_921e_4c4e_87f6_854b87d0f3a1"/>
      <w:bookmarkEnd w:id="954"/>
      <w:bookmarkEnd w:id="955"/>
      <w:bookmarkEnd w:id="956"/>
      <w:bookmarkEnd w:id="957"/>
      <w:bookmarkEnd w:id="958"/>
      <w:bookmarkEnd w:id="959"/>
      <w:bookmarkEnd w:id="960"/>
      <w:bookmarkEnd w:id="961"/>
      <w:bookmarkEnd w:id="962"/>
      <w:r>
        <w:rPr>
          <w:rFonts w:ascii="Times New Roman;Times;serif" w:hAnsi="Times New Roman;Times;serif"/>
          <w:sz w:val="20"/>
        </w:rPr>
        <w:t>The following table sets forth the potential shares excluded from the calculation of net income (loss) per share for the three months ended March 31, 2024 and 2023 because their inclusion would be anti-dilutive (in thousands):</w:t>
      </w:r>
    </w:p>
    <w:p>
      <w:pPr>
        <w:pStyle w:val="TextBody"/>
        <w:bidi w:val="0"/>
        <w:spacing w:lineRule="auto" w:line="285" w:before="0" w:after="0"/>
        <w:ind w:left="0" w:right="0" w:hanging="0"/>
        <w:jc w:val="left"/>
        <w:rPr/>
      </w:pPr>
      <w:r>
        <w:rPr/>
        <w:t>​</w:t>
      </w:r>
    </w:p>
    <w:tbl>
      <w:tblPr>
        <w:tblW w:w="5275" w:type="dxa"/>
        <w:jc w:val="left"/>
        <w:tblInd w:w="0" w:type="dxa"/>
        <w:tblLayout w:type="fixed"/>
        <w:tblCellMar>
          <w:top w:w="0" w:type="dxa"/>
          <w:left w:w="0" w:type="dxa"/>
          <w:bottom w:w="0" w:type="dxa"/>
          <w:right w:w="0" w:type="dxa"/>
        </w:tblCellMar>
      </w:tblPr>
      <w:tblGrid>
        <w:gridCol w:w="3376"/>
        <w:gridCol w:w="326"/>
        <w:gridCol w:w="571"/>
        <w:gridCol w:w="326"/>
        <w:gridCol w:w="676"/>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43760" cy="175260"/>
                      <wp:effectExtent l="0" t="0" r="0" b="0"/>
                      <wp:wrapNone/>
                      <wp:docPr id="277" name="Frame277"/>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62585" cy="175260"/>
                      <wp:effectExtent l="0" t="0" r="0" b="0"/>
                      <wp:wrapNone/>
                      <wp:docPr id="279" name="Frame27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429260" cy="175260"/>
                      <wp:effectExtent l="0" t="0" r="0" b="0"/>
                      <wp:wrapNone/>
                      <wp:docPr id="281" name="Frame28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1573"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37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2,126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7,189</w:t>
            </w:r>
          </w:p>
        </w:tc>
      </w:tr>
      <w:tr>
        <w:trPr/>
        <w:tc>
          <w:tcPr>
            <w:tcW w:w="33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vAlign w:val="center"/>
          </w:tcPr>
          <w:p>
            <w:pPr>
              <w:pStyle w:val="TableContents"/>
              <w:bidi w:val="0"/>
              <w:spacing w:lineRule="auto" w:line="285" w:before="0" w:after="0"/>
              <w:ind w:left="0" w:right="0" w:hanging="0"/>
              <w:jc w:val="left"/>
              <w:rPr/>
            </w:pPr>
            <w:r>
              <w:rP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326"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2,198</w:t>
            </w:r>
          </w:p>
        </w:tc>
      </w:tr>
      <w:tr>
        <w:trPr/>
        <w:tc>
          <w:tcPr>
            <w:tcW w:w="33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Performance-based restricted stock units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33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ESPP shares</w:t>
            </w:r>
          </w:p>
        </w:tc>
        <w:tc>
          <w:tcPr>
            <w:tcW w:w="326" w:type="dxa"/>
            <w:tcBorders/>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lineRule="auto" w:line="285" w:before="0" w:after="0"/>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33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2,568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9,495</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14. Income Taxes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utilizes the asset and liability method of accounting for income taxes. Under this method, deferred tax assets and liabilities are determined based on the difference between the financial statement carrying amounts and tax basis of assets and liabilities using enacted tax rates in effect for years in which the temporary differences are expected to reverse. The Company provides a valuation allowance when it is more likely than not that deferred tax assets will not be realized.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realization of deferred income tax assets is dependent on the generation of sufficient taxable income during future periods in which temporary differences are expected to reverse. Where the realization of such assets does not meet the more likely than not criterion, the Company applies a valuation allowance against the deferred income tax asset under consideration. The valuation allowance is reviewed periodically and if the assessment of the more likely than not criterion changes, the valuation allowance is adjusted accordingly. As of March 31, 2024, the Company has a full valuation allowance applied against its U.S. and foreign deferred tax assets.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June 30, 2022, the Company entered into a Royalty Purchase Agreement with Royalty Pharma and a Future Revenue Purchase Agreement with Sixth Street Partners. Pursuant to the agreements, the Company received gross proceeds of $175.0 million from Royalty Pharma in June 2022 and $250.0 million from Sixth Street Partners in July 2022 upon the transactions closing. The total cash consideration of $425.0 million, in its entirety, was considered taxable income for calendar year ended December 31, 2022. In connection with and effective upon the termination of the Roche collaboration agreement, on February 22, 2024, Royalty Pharma and the Company entered into a consent and agreement to terminate the Royalty Purchase Agreement. The Company accounted for the Royalty Pharma Termination Agreement as a debt extinguishment. As a result, during the three months ended March 31, 2024 the Company recorded $173.7 million as a debt extinguishment gain in its condensed consolidated financial statements. For additional information, see Note 3</w:t>
      </w:r>
      <w:r>
        <w:rPr>
          <w:rFonts w:ascii="Times New Roman;Times;serif" w:hAnsi="Times New Roman;Times;serif"/>
          <w:i/>
          <w:sz w:val="20"/>
        </w:rPr>
        <w:t>, Financing Arrangements</w:t>
      </w:r>
      <w:r>
        <w:rPr>
          <w:rFonts w:ascii="Times New Roman;Times;serif" w:hAnsi="Times New Roman;Times;serif"/>
          <w:sz w:val="20"/>
        </w:rPr>
        <w:t>, to our unaudited condensed consolidated financial statements. For tax purposes, the debt extinguishment gain was excluded from the December 31, 2024 estimated taxable income calculation since it was already included in taxable income during the year ended December 31, 2022.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2024, the Company expects to be in a taxable loss position for the calendar year ended December 31, 2024, and has recorded an income tax expense of $0.2 million for the three months ended March 31, 2024. The Company recorded an income tax provision despite forecasting a taxable loss due to state income tax and taxable income from the jurisdictions in which the Company is subject to tax.</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recognizes interest and penalties related to unrecognized tax benefits in the provision for income taxes. As of March 31, 2024, the Company did not have any gross unrecognized tax benefit. </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15. Leases</w:t>
      </w:r>
    </w:p>
    <w:p>
      <w:pPr>
        <w:pStyle w:val="TextBody"/>
        <w:bidi w:val="0"/>
        <w:spacing w:lineRule="auto" w:line="285" w:before="0" w:after="0"/>
        <w:ind w:left="0" w:right="0" w:hanging="0"/>
        <w:jc w:val="left"/>
        <w:rPr/>
      </w:pPr>
      <w:r>
        <w:rPr>
          <w:caps w:val="false"/>
          <w:smallCaps w:val="false"/>
          <w:shd w:fill="FFFFFF" w:val="clear"/>
        </w:rPr>
        <w:t> </w:t>
      </w:r>
      <w:r>
        <w:rPr>
          <w:rFonts w:ascii="Times New Roman;Times;serif" w:hAnsi="Times New Roman;Times;serif"/>
          <w:sz w:val="20"/>
          <w:shd w:fill="FFFFFF" w:val="clear"/>
        </w:rPr>
        <w:t xml:space="preserve">The Company’s building leases are comprised of office and laboratory spaces under non-cancelable operating leases. The lease agreements contain various clauses for renewal at the Company’s option and only certain exercised renewal options were included in the calculation of the operating lease assets and the operating lease liabilities, as other renewal options were not reasonably certain of being exercised as of March 31, 2024. The lease agreements do not contain residual value guarantees. </w:t>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bookmarkStart w:id="963" w:name="Tc_b5fMXdf-EUe6nmiygIHSKw_3_0"/>
      <w:bookmarkStart w:id="964" w:name="Tc_2IyAXdNTlkuD8kPupQccUA_2_0"/>
      <w:bookmarkStart w:id="965" w:name="Tc_Se1gaP8buEiUudtSRqHAtw_1_5"/>
      <w:bookmarkStart w:id="966" w:name="_7e6dbf88_ddd8_4a57_ae63_a56a58037681"/>
      <w:bookmarkStart w:id="967" w:name="Tc_aEOZW7ODtkiuudoPf1j80w_6_5"/>
      <w:bookmarkStart w:id="968" w:name="Tc_-IpDuY6xm0epj9339Do0Jw_6_4"/>
      <w:bookmarkStart w:id="969" w:name="Tc_PXPMMG32yEWks3RE--wDoQ_6_2"/>
      <w:bookmarkStart w:id="970" w:name="Tc_xRLCTtuvCkKc8U1AP1Ubrg_6_1"/>
      <w:bookmarkStart w:id="971" w:name="Tc_C4vivF51d0CeZ8JhOL9Qcw_6_0"/>
      <w:bookmarkStart w:id="972" w:name="Tc_aLhnDnUHTkyv6MLqaeJ4sw_5_0"/>
      <w:bookmarkStart w:id="973" w:name="Tc_FPZZfpfnPU6ebeYfqZ9_EA_4_4"/>
      <w:bookmarkStart w:id="974" w:name="Tc_Y5tWAqOupku1ikvOZ82RsQ_4_1"/>
      <w:bookmarkStart w:id="975" w:name="Tc__gOMJgvQRUGIH3appaut_Q_4_0"/>
      <w:bookmarkStart w:id="976" w:name="Tc_9rIepi9LykGDYa4uIJ62lQ_3_4"/>
      <w:bookmarkStart w:id="977" w:name="Tc_rYuPQKkY7kC9Ph4vKC85fQ_3_1"/>
      <w:bookmarkStart w:id="978" w:name="Tc_oP8VaSrsi0SL5-sxlEoLfA_2_1"/>
      <w:bookmarkStart w:id="979" w:name="Tc_m1H5efB56EWInMIjjZoUWw_1_1"/>
      <w:bookmarkStart w:id="980" w:name="_31d6d202_f2b1_4003_b38a_fd64bb33044b"/>
      <w:bookmarkStart w:id="981" w:name="Tc_J34Wf-gkckqgrsJigLbdtw_4_4"/>
      <w:bookmarkStart w:id="982" w:name="Tc_ws-TE3-rtE23YEbdVLL7gw_4_1"/>
      <w:bookmarkStart w:id="983" w:name="Tc_2hd7hDqwM0Ckd3dYpNayVQ_4_0"/>
      <w:bookmarkStart w:id="984" w:name="Tc_VHCOdGm8MkaCLyzvod2jbw_3_4"/>
      <w:bookmarkStart w:id="985" w:name="Tc_SlFokM9hQEiTc-01BOSn5w_3_1"/>
      <w:bookmarkStart w:id="986" w:name="Tc_Tvzz_PjdpUSD1PWiCp5YIg_3_0"/>
      <w:bookmarkStart w:id="987" w:name="Tc_Bc_tCPt5n0eeKCgkApsaDw_2_1"/>
      <w:bookmarkStart w:id="988" w:name="Tc_8a6WnmiUq0eJg_bVg_OlwA_1_1"/>
      <w:bookmarkStart w:id="989" w:name="_f9d77b57_c84e_433b_a5a6_7ba588ab84e6"/>
      <w:bookmarkStart w:id="990" w:name="_49467451_0627_45a2_b491_79c8fe6be4d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r>
        <w:rPr>
          <w:rFonts w:ascii="Times New Roman;Times;serif" w:hAnsi="Times New Roman;Times;serif"/>
          <w:sz w:val="20"/>
          <w:shd w:fill="FFFFFF" w:val="clear"/>
        </w:rPr>
        <w:t>L</w:t>
      </w:r>
      <w:r>
        <w:rPr>
          <w:rFonts w:ascii="Times New Roman;Times;serif" w:hAnsi="Times New Roman;Times;serif"/>
          <w:sz w:val="20"/>
        </w:rPr>
        <w:t>ease costs for the three months ended March 31, 2024 and 2023 were as follows (in thousands):</w:t>
      </w:r>
    </w:p>
    <w:p>
      <w:pPr>
        <w:pStyle w:val="TextBody"/>
        <w:bidi w:val="0"/>
        <w:spacing w:lineRule="auto" w:line="285" w:before="0" w:after="0"/>
        <w:ind w:left="0" w:right="0" w:hanging="0"/>
        <w:jc w:val="left"/>
        <w:rPr/>
      </w:pPr>
      <w:r>
        <w:rPr/>
        <w:t>​</w:t>
      </w:r>
    </w:p>
    <w:tbl>
      <w:tblPr>
        <w:tblW w:w="3294" w:type="dxa"/>
        <w:jc w:val="left"/>
        <w:tblInd w:w="0" w:type="dxa"/>
        <w:tblLayout w:type="fixed"/>
        <w:tblCellMar>
          <w:top w:w="0" w:type="dxa"/>
          <w:left w:w="0" w:type="dxa"/>
          <w:bottom w:w="0" w:type="dxa"/>
          <w:right w:w="0" w:type="dxa"/>
        </w:tblCellMar>
      </w:tblPr>
      <w:tblGrid>
        <w:gridCol w:w="1516"/>
        <w:gridCol w:w="211"/>
        <w:gridCol w:w="571"/>
        <w:gridCol w:w="109"/>
        <w:gridCol w:w="211"/>
        <w:gridCol w:w="67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962660" cy="175260"/>
                      <wp:effectExtent l="0" t="0" r="0" b="0"/>
                      <wp:wrapNone/>
                      <wp:docPr id="282" name="Frame282"/>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62585" cy="175260"/>
                      <wp:effectExtent l="0" t="0" r="0" b="0"/>
                      <wp:wrapNone/>
                      <wp:docPr id="284" name="Frame28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260"/>
                      <wp:effectExtent l="0" t="0" r="0" b="0"/>
                      <wp:wrapNone/>
                      <wp:docPr id="285" name="Frame2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29260" cy="175260"/>
                      <wp:effectExtent l="0" t="0" r="0" b="0"/>
                      <wp:wrapNone/>
                      <wp:docPr id="287" name="Frame2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lineRule="auto" w:line="285" w:before="0" w:after="0"/>
              <w:ind w:left="0" w:right="0" w:hanging="0"/>
              <w:jc w:val="left"/>
              <w:rPr/>
            </w:pPr>
            <w:r>
              <w:rPr/>
              <w:t>​</w:t>
            </w:r>
          </w:p>
        </w:tc>
        <w:tc>
          <w:tcPr>
            <w:tcW w:w="177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1516" w:type="dxa"/>
            <w:tcBorders/>
            <w:vAlign w:val="center"/>
          </w:tcPr>
          <w:p>
            <w:pPr>
              <w:pStyle w:val="TableContents"/>
              <w:bidi w:val="0"/>
              <w:spacing w:lineRule="auto" w:line="285" w:before="0" w:after="0"/>
              <w:ind w:left="0" w:right="0" w:hanging="0"/>
              <w:jc w:val="left"/>
              <w:rPr/>
            </w:pPr>
            <w:r>
              <w:rPr/>
              <w:t>​</w:t>
            </w:r>
          </w:p>
        </w:tc>
        <w:tc>
          <w:tcPr>
            <w:tcW w:w="177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15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lineRule="auto" w:line="285"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5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Lease cost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5,572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5,881</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has not entered into any material short-term leases or financing leases as of March 31, 2024.</w:t>
      </w:r>
    </w:p>
    <w:p>
      <w:pPr>
        <w:pStyle w:val="TextBody"/>
        <w:bidi w:val="0"/>
        <w:spacing w:lineRule="auto" w:line="307" w:before="0" w:after="160"/>
        <w:ind w:left="0" w:right="0" w:firstLine="720"/>
        <w:jc w:val="left"/>
        <w:rPr>
          <w:rFonts w:ascii="Times New Roman;Times;serif" w:hAnsi="Times New Roman;Times;serif"/>
          <w:sz w:val="20"/>
        </w:rPr>
      </w:pPr>
      <w:r>
        <w:rPr>
          <w:rFonts w:ascii="Times New Roman;Times;serif" w:hAnsi="Times New Roman;Times;serif"/>
          <w:sz w:val="20"/>
        </w:rPr>
        <w:t>Supplemental cash flow information related to leases for the three months ended March 31, 2024 and 2023 is as follows (in thousands):</w:t>
      </w:r>
    </w:p>
    <w:p>
      <w:pPr>
        <w:pStyle w:val="TextBody"/>
        <w:bidi w:val="0"/>
        <w:spacing w:lineRule="auto" w:line="285" w:before="0" w:after="0"/>
        <w:ind w:left="0" w:right="0" w:hanging="0"/>
        <w:jc w:val="left"/>
        <w:rPr/>
      </w:pPr>
      <w:r>
        <w:rPr/>
        <w:t>​</w:t>
      </w:r>
    </w:p>
    <w:tbl>
      <w:tblPr>
        <w:tblW w:w="7584" w:type="dxa"/>
        <w:jc w:val="left"/>
        <w:tblInd w:w="0" w:type="dxa"/>
        <w:tblLayout w:type="fixed"/>
        <w:tblCellMar>
          <w:top w:w="0" w:type="dxa"/>
          <w:left w:w="0" w:type="dxa"/>
          <w:bottom w:w="0" w:type="dxa"/>
          <w:right w:w="0" w:type="dxa"/>
        </w:tblCellMar>
      </w:tblPr>
      <w:tblGrid>
        <w:gridCol w:w="5866"/>
        <w:gridCol w:w="211"/>
        <w:gridCol w:w="571"/>
        <w:gridCol w:w="109"/>
        <w:gridCol w:w="211"/>
        <w:gridCol w:w="616"/>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3724910" cy="175260"/>
                      <wp:effectExtent l="0" t="0" r="0" b="0"/>
                      <wp:wrapNone/>
                      <wp:docPr id="288" name="Frame288"/>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62585" cy="175260"/>
                      <wp:effectExtent l="0" t="0" r="0" b="0"/>
                      <wp:wrapNone/>
                      <wp:docPr id="290" name="Frame2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260"/>
                      <wp:effectExtent l="0" t="0" r="0" b="0"/>
                      <wp:wrapNone/>
                      <wp:docPr id="291" name="Frame2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91160" cy="175260"/>
                      <wp:effectExtent l="0" t="0" r="0" b="0"/>
                      <wp:wrapNone/>
                      <wp:docPr id="293" name="Frame29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lineRule="auto" w:line="285" w:before="0" w:after="0"/>
              <w:ind w:left="0" w:right="0" w:hanging="0"/>
              <w:jc w:val="left"/>
              <w:rPr/>
            </w:pPr>
            <w:r>
              <w:rPr/>
              <w:t>​</w:t>
            </w:r>
          </w:p>
        </w:tc>
        <w:tc>
          <w:tcPr>
            <w:tcW w:w="171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866" w:type="dxa"/>
            <w:tcBorders/>
            <w:vAlign w:val="center"/>
          </w:tcPr>
          <w:p>
            <w:pPr>
              <w:pStyle w:val="TableContents"/>
              <w:bidi w:val="0"/>
              <w:spacing w:lineRule="auto" w:line="285" w:before="0" w:after="0"/>
              <w:ind w:left="0" w:right="0" w:hanging="0"/>
              <w:jc w:val="left"/>
              <w:rPr/>
            </w:pPr>
            <w:r>
              <w:rPr/>
              <w:t>​</w:t>
            </w:r>
          </w:p>
        </w:tc>
        <w:tc>
          <w:tcPr>
            <w:tcW w:w="171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866" w:type="dxa"/>
            <w:tcBorders/>
            <w:vAlign w:val="center"/>
          </w:tcPr>
          <w:p>
            <w:pPr>
              <w:pStyle w:val="TableContents"/>
              <w:bidi w:val="0"/>
              <w:spacing w:lineRule="auto" w:line="285"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8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4,546</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4,405</w:t>
            </w:r>
          </w:p>
        </w:tc>
      </w:tr>
      <w:tr>
        <w:trPr/>
        <w:tc>
          <w:tcPr>
            <w:tcW w:w="58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Lease liabilities arising from obtaining right-of-use assets:</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16" w:type="dxa"/>
            <w:tcBorders/>
            <w:vAlign w:val="center"/>
          </w:tcPr>
          <w:p>
            <w:pPr>
              <w:pStyle w:val="TableContents"/>
              <w:bidi w:val="0"/>
              <w:spacing w:lineRule="auto" w:line="285" w:before="0" w:after="0"/>
              <w:ind w:left="0" w:right="0" w:hanging="0"/>
              <w:jc w:val="left"/>
              <w:rPr/>
            </w:pPr>
            <w:r>
              <w:rPr/>
              <w:t>​</w:t>
            </w:r>
          </w:p>
        </w:tc>
      </w:tr>
      <w:tr>
        <w:trPr/>
        <w:tc>
          <w:tcPr>
            <w:tcW w:w="58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lineRule="auto" w:line="285" w:before="0" w:after="0"/>
              <w:ind w:left="0" w:right="60" w:hanging="0"/>
              <w:jc w:val="right"/>
              <w:rPr/>
            </w:pPr>
            <w:r>
              <w:rPr/>
              <w:t>—</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weighted average remaining lease term and weighted average discount rate of the operating leases are as follows:</w:t>
      </w:r>
    </w:p>
    <w:p>
      <w:pPr>
        <w:pStyle w:val="TextBody"/>
        <w:bidi w:val="0"/>
        <w:spacing w:lineRule="auto" w:line="285" w:before="0" w:after="0"/>
        <w:ind w:left="0" w:right="0" w:hanging="0"/>
        <w:jc w:val="left"/>
        <w:rPr/>
      </w:pPr>
      <w:r>
        <w:rPr/>
        <w:t>​</w:t>
      </w:r>
    </w:p>
    <w:tbl>
      <w:tblPr>
        <w:tblW w:w="5913" w:type="dxa"/>
        <w:jc w:val="left"/>
        <w:tblInd w:w="0" w:type="dxa"/>
        <w:tblLayout w:type="fixed"/>
        <w:tblCellMar>
          <w:top w:w="0" w:type="dxa"/>
          <w:left w:w="0" w:type="dxa"/>
          <w:bottom w:w="0" w:type="dxa"/>
          <w:right w:w="0" w:type="dxa"/>
        </w:tblCellMar>
      </w:tblPr>
      <w:tblGrid>
        <w:gridCol w:w="3991"/>
        <w:gridCol w:w="109"/>
        <w:gridCol w:w="109"/>
        <w:gridCol w:w="109"/>
        <w:gridCol w:w="109"/>
        <w:gridCol w:w="1486"/>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534285" cy="175260"/>
                      <wp:effectExtent l="0" t="0" r="0" b="0"/>
                      <wp:wrapNone/>
                      <wp:docPr id="294" name="Frame294"/>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9215" cy="175260"/>
                      <wp:effectExtent l="0" t="0" r="0" b="0"/>
                      <wp:wrapNone/>
                      <wp:docPr id="295" name="Frame2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215" cy="175260"/>
                      <wp:effectExtent l="0" t="0" r="0" b="0"/>
                      <wp:wrapNone/>
                      <wp:docPr id="296" name="Frame2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9215" cy="175260"/>
                      <wp:effectExtent l="0" t="0" r="0" b="0"/>
                      <wp:wrapNone/>
                      <wp:docPr id="297"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260"/>
                      <wp:effectExtent l="0" t="0" r="0" b="0"/>
                      <wp:wrapNone/>
                      <wp:docPr id="298" name="Frame2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943610" cy="175260"/>
                      <wp:effectExtent l="0" t="0" r="0" b="0"/>
                      <wp:wrapNone/>
                      <wp:docPr id="299" name="Frame299"/>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r>
      <w:tr>
        <w:trPr/>
        <w:tc>
          <w:tcPr>
            <w:tcW w:w="39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4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39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486"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7.4%</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16. Commitments and Contingencies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Commitments Associated with Clinical and Commercial Supply Agreements</w:t>
      </w:r>
    </w:p>
    <w:p>
      <w:pPr>
        <w:pStyle w:val="TextBody"/>
        <w:bidi w:val="0"/>
        <w:spacing w:lineRule="auto" w:line="285"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In connection with the commercialization of AYVAKIT/AYVAKYT, the Company has negotiated manufacturing agreements with certain vendors that require the Company to meet minimum purchase obligations on an annual basis. The Company also has unconditional purchase obligations related to certain clinical manufacturing agreements. The aggregate amount of future unconditional purchase obligations under these manufacturing agreements over the period of next five years is approximately $4.0 million as of March 31, 2024. </w:t>
      </w:r>
    </w:p>
    <w:p>
      <w:pPr>
        <w:pStyle w:val="TextBody"/>
        <w:bidi w:val="0"/>
        <w:spacing w:lineRule="auto" w:line="285" w:before="0" w:after="240"/>
        <w:ind w:left="0" w:right="0" w:hanging="0"/>
        <w:jc w:val="left"/>
        <w:rPr>
          <w:rFonts w:ascii="Times New Roman;Times;serif" w:hAnsi="Times New Roman;Times;serif"/>
          <w:b/>
          <w:i/>
          <w:color w:val="212529"/>
          <w:sz w:val="20"/>
          <w:shd w:fill="FFFFFF" w:val="clear"/>
        </w:rPr>
      </w:pPr>
      <w:r>
        <w:rPr>
          <w:rFonts w:ascii="Times New Roman;Times;serif" w:hAnsi="Times New Roman;Times;serif"/>
          <w:b/>
          <w:i/>
          <w:color w:val="212529"/>
          <w:sz w:val="20"/>
          <w:shd w:fill="FFFFFF" w:val="clear"/>
        </w:rPr>
        <w:t>Legal Proceedings</w:t>
      </w:r>
    </w:p>
    <w:p>
      <w:pPr>
        <w:pStyle w:val="TextBody"/>
        <w:bidi w:val="0"/>
        <w:spacing w:lineRule="auto" w:line="285"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w:t>
      </w:r>
    </w:p>
    <w:p>
      <w:pPr>
        <w:pStyle w:val="TextBody"/>
        <w:bidi w:val="0"/>
        <w:spacing w:lineRule="auto" w:line="285" w:before="0" w:after="240"/>
        <w:ind w:left="0" w:right="0" w:hanging="0"/>
        <w:jc w:val="left"/>
        <w:rPr>
          <w:rFonts w:ascii="Times New Roman;Times;serif" w:hAnsi="Times New Roman;Times;serif"/>
          <w:b/>
          <w:i/>
          <w:color w:val="212529"/>
          <w:sz w:val="20"/>
          <w:shd w:fill="FFFFFF" w:val="clear"/>
        </w:rPr>
      </w:pPr>
      <w:r>
        <w:rPr>
          <w:rFonts w:ascii="Times New Roman;Times;serif" w:hAnsi="Times New Roman;Times;serif"/>
          <w:b/>
          <w:i/>
          <w:color w:val="212529"/>
          <w:sz w:val="20"/>
          <w:shd w:fill="FFFFFF" w:val="clear"/>
        </w:rPr>
        <w:t>Indemnification Agreements</w:t>
      </w:r>
    </w:p>
    <w:p>
      <w:pPr>
        <w:pStyle w:val="TextBody"/>
        <w:bidi w:val="0"/>
        <w:spacing w:lineRule="auto" w:line="285"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of the Company.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in its condensed consolidated financial statements as of March 31, 2024 or December 31, 2023.</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240"/>
        <w:ind w:left="0" w:right="0" w:hanging="0"/>
        <w:jc w:val="left"/>
        <w:rPr>
          <w:rFonts w:ascii="Times New Roman;Times;serif" w:hAnsi="Times New Roman;Times;serif"/>
          <w:sz w:val="20"/>
        </w:rPr>
      </w:pPr>
      <w:bookmarkStart w:id="991" w:name="MANAGEMENTSDISCUSSION_129894"/>
      <w:bookmarkStart w:id="992" w:name="_cfcc25fe_1e62_4926_bda6_703395e9968b"/>
      <w:bookmarkEnd w:id="991"/>
      <w:bookmarkEnd w:id="992"/>
      <w:r>
        <w:rPr>
          <w:rFonts w:ascii="Times New Roman;Times;serif" w:hAnsi="Times New Roman;Times;serif"/>
          <w:b/>
          <w:sz w:val="20"/>
        </w:rPr>
        <w:t>Item 2. Management’s Discussion</w:t>
      </w:r>
      <w:r>
        <w:rPr>
          <w:rFonts w:ascii="Times New Roman;Times;serif" w:hAnsi="Times New Roman;Times;serif"/>
          <w:sz w:val="20"/>
        </w:rPr>
        <w:t xml:space="preserve"> </w:t>
      </w:r>
      <w:r>
        <w:rPr>
          <w:rFonts w:ascii="Times New Roman;Times;serif" w:hAnsi="Times New Roman;Times;serif"/>
          <w:b/>
          <w:sz w:val="20"/>
        </w:rPr>
        <w:t>and Analysis of Financial Condition and Results of Operations</w:t>
      </w:r>
    </w:p>
    <w:p>
      <w:pPr>
        <w:pStyle w:val="TextBody"/>
        <w:bidi w:val="0"/>
        <w:spacing w:lineRule="auto" w:line="285" w:before="0" w:after="240"/>
        <w:ind w:left="0" w:right="0" w:firstLine="72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our unaudited condensed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2023, filed with the Securities and Exchange Commission (the SEC) on February 15, 2024.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pStyle w:val="TextBody"/>
        <w:bidi w:val="0"/>
        <w:spacing w:lineRule="auto" w:line="285" w:before="28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We are a global, fully-integrated biopharmaceutical company that invents life-changing medicines. We seek to alleviate human suffering by solving important medical problems in two core focus areas: allergy/inflammation and oncology/hematology. Our approach targets the root causes of disease, using deep scientific knowledge in our core focus areas and drug discovery expertise across multiple therapeutic modalities. We have a track record of success with two approved medicines, including AYVAKIT®/AYVAKYT® (avapritinib), which we are bringing to patients with systemic mastocytosis (SM) and PDGFRA Exon 18 mutant GIST in the U.S. and Europe. Leveraging our established research, development, and commercial capability and infrastructure, we now aim to significantly scale our impact by advancing a broad pipeline of programs ranging from early science to advanced clinical trials in mast cell diseases including SM and chronic urticaria, breast cancer and other solid tumors.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Since 2011, we have advanced a drug discovery approach that combines evolving biological insights with our proprietary research platform and drug design capabilities, which currently includes kinase inhibition and targeted protein degradation. We aim to rapidly and reproducibly translate science into durable clinical benefit for broad populations of patients with significant medical needs, including patients with mast cell-mediated diseases, breast cancer and other solid tumors. Our focused business model integrates our research engine with robust clinical development and commercial capabilities in allergy/inflammation and solid tumors to create a sustainable cycle of innovation.</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Mast Cell-mediated Diseases — AYVAKIT®/AYVAKYT® (avapritinib), Elenestinib (BLU-263), and BLU-808</w:t>
      </w:r>
    </w:p>
    <w:p>
      <w:pPr>
        <w:pStyle w:val="TextBody"/>
        <w:bidi w:val="0"/>
        <w:spacing w:lineRule="auto" w:line="285" w:before="240" w:after="0"/>
        <w:ind w:left="0" w:right="0" w:hanging="0"/>
        <w:jc w:val="left"/>
        <w:rPr>
          <w:rFonts w:ascii="Times New Roman;Times;serif" w:hAnsi="Times New Roman;Times;serif"/>
          <w:sz w:val="20"/>
        </w:rPr>
      </w:pPr>
      <w:r>
        <w:rPr>
          <w:rFonts w:ascii="Times New Roman;Times;serif" w:hAnsi="Times New Roman;Times;serif"/>
          <w:sz w:val="20"/>
        </w:rPr>
        <w:t>Over the past decade, we have gained insights and knowledge of the mast cell space, and we have reason to believe that mast cells play a much larger role in a broader range of allergic and inflammatory conditions than previously appreciated. Mast cells are the central effector cells in many allergic disorders. The ability to prevent mast cell activation and degranulation may have a major impact on the way we treat these disorders, including, but not limited to, SM, chronic urticaria, asthma, atopic dermatitis, food allergy, eosinophilic esophagitis. These diseases impact large patient populations with medical needs, such that we believe multiple medicines can be supported by the market. Our understanding of the key characteristics of mast cells informs our research and development plans, and we are pursuing research and development approaches that aim to modulate mast cells directly, such as direct inhibition of KIT. AYVAKIT/AYVAKYT, elenestinib, and BLU-808 comprise our current portfolio of mast cell-targeted therapies, and the mast cell serves as the common thread for our expansion into additional monotherapy and combination therapy approaches and modalities.</w:t>
      </w:r>
    </w:p>
    <w:p>
      <w:pPr>
        <w:pStyle w:val="TextBody"/>
        <w:bidi w:val="0"/>
        <w:spacing w:lineRule="auto" w:line="285" w:before="240" w:after="0"/>
        <w:ind w:left="0" w:right="0" w:hanging="0"/>
        <w:jc w:val="left"/>
        <w:rPr>
          <w:rFonts w:ascii="Times New Roman;Times;serif" w:hAnsi="Times New Roman;Times;serif"/>
          <w:i/>
          <w:sz w:val="20"/>
        </w:rPr>
      </w:pPr>
      <w:r>
        <w:rPr>
          <w:rFonts w:ascii="Times New Roman;Times;serif" w:hAnsi="Times New Roman;Times;serif"/>
          <w:i/>
          <w:sz w:val="20"/>
        </w:rPr>
        <w:t>AYVAKIT/AYVAKYT (avapritinib)</w:t>
      </w:r>
    </w:p>
    <w:p>
      <w:pPr>
        <w:pStyle w:val="TextBody"/>
        <w:bidi w:val="0"/>
        <w:spacing w:lineRule="auto" w:line="285" w:before="240" w:after="0"/>
        <w:ind w:left="0" w:right="0" w:hanging="0"/>
        <w:jc w:val="left"/>
        <w:rPr>
          <w:rFonts w:ascii="Times New Roman;Times;serif" w:hAnsi="Times New Roman;Times;serif"/>
          <w:sz w:val="20"/>
        </w:rPr>
      </w:pPr>
      <w:r>
        <w:rPr>
          <w:rFonts w:ascii="Times New Roman;Times;serif" w:hAnsi="Times New Roman;Times;serif"/>
          <w:sz w:val="20"/>
        </w:rPr>
        <w:t>We are commercializing avapritinib for the treatment of advanced SM and indolent SM. SM is a rare hematologic disorder that causes an overproduction of mast cells and the accumulation of mast cells in the bone marrow and other organs, which can lead to a wide range of debilitating symptoms and, in advanced forms of the disease, organ dysfunction and failure. Nearly all cases of SM are driven by the KIT D816V mutation, which aberrantly activates mast cells. In June 2021, the FDA approved avapritinib under the brand name AYVAKIT for the treatment of adult patients with advanced SM, including aggressive SM (ASM), SM with an associated hematological neoplasm (SM-AHN), and mast cell leukemia (MCL) and, in May 2023, for adult patients with indolent SM. In March 2022, the European Commission approved the marketing authorization for AYVAKYT for the treatment of adult patients with ASM, SM-</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AHN, or MCL, after at least one systemic therapy. In December 2023, the European Commission approved AYVAKYT for the treatment of adult patients with indolent SM with moderate to severe symptoms inadequately controlled on symptomatic treatment. These approvals in advanced SM were supported by our ongoing Phase 1 clinical trial in advanced SM, which we refer to as our EXPLORER trial, and our ongoing Phase 2 clinical trial in advanced SM, which we refer to as our PATHFINDER trial. The FDA’s approval of AYVAKIT for the treatment of patients with indolent SM, was supported by data from our ongoing Phase 2 clinical trial in indolent SM, which we refer to as the PIONEER trial. At the American Academy of Allergy, Asthma, and Immunology (AAAAI) Annual Meeting 2024, we presented long-term data from PIONEER, demonstrating that AYVAKIT had a durable symptom impact and a well-tolerated safety profile, supporting long-term treatment and consistent with real-world experience observed in the commercial setting.</w:t>
      </w:r>
    </w:p>
    <w:p>
      <w:pPr>
        <w:pStyle w:val="TextBody"/>
        <w:shd w:fill="FFFFFF" w:val="clear"/>
        <w:bidi w:val="0"/>
        <w:spacing w:lineRule="auto" w:line="285" w:before="40" w:after="0"/>
        <w:ind w:left="0" w:right="0" w:firstLine="720"/>
        <w:jc w:val="left"/>
        <w:rPr>
          <w:rFonts w:ascii="Times New Roman;Times;serif" w:hAnsi="Times New Roman;Times;serif"/>
          <w:sz w:val="20"/>
        </w:rPr>
      </w:pPr>
      <w:r>
        <w:rPr>
          <w:rFonts w:ascii="Times New Roman;Times;serif" w:hAnsi="Times New Roman;Times;serif"/>
          <w:sz w:val="20"/>
        </w:rPr>
        <w:t>The FDA has granted breakthrough therapy designation to avapritinib for (i) the treatment of advanced SM, including the subtypes of ASM, SM-AHN and MCL, and (ii) the treatment of moderate to severe indolent SM. In addition, the FDA has granted orphan drug designation to avapritinib for the treatment of mastocytosis, and the European Commission has granted orphan medicinal product designation to avapritinib for the treatment of mastocytosis.</w:t>
      </w:r>
    </w:p>
    <w:p>
      <w:pPr>
        <w:pStyle w:val="TextBody"/>
        <w:shd w:fill="FFFFFF" w:val="clear"/>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Avapritinib is also approved in the U.S. under the brand name AYVAKIT for the treatment of adults with unresectable or metastatic GIST harboring a PDGFRA exon 18 mutation, including PDGFRA D842V mutations, and is approved in Europe with conditional marketing authorization under the brand name AYVAKYT as a monotherapy for the treatment of adult patients with unresectable or metastatic GIST harboring a PDGFRA D842V mutation. Currently, AYVAKIT is the only FDA-approved treatment for patients with D842V mutant PDGFRA-driven GIST. Through our collaboration with CStone, China’s National Medicinal Products Administration (NMPA) approved AYVAKIT for the treatment of adults with unresectable or metastatic GIST harboring a PDGFRA exon 18 mutation, including PDGFRA D842V mutations. AYVAKIT also received accelerated approval from the Taiwan Food and Drug Administration (TFDA) and approval in Hong Kong, both for adults with unresectable or metastatic GIST harboring PDGFRA D842V mutations.</w:t>
      </w:r>
      <w:r>
        <w:rPr>
          <w:rFonts w:ascii="Times New Roman;Times;serif" w:hAnsi="Times New Roman;Times;serif"/>
          <w:sz w:val="20"/>
          <w:shd w:fill="FFFFFF" w:val="clear"/>
        </w:rPr>
        <w:t xml:space="preserve"> The FDA has granted breakthrough therapy designation for avapritinib for the treatment of unresectable or metastatic GIST harboring the PDGFRA D842V mutation. In addition, the FDA has granted orphan drug designation to avapritinib for the treatment of GIST, and the European Commission has granted orphan medicinal product designation to avapritinib for the treatment of GIST.</w:t>
      </w:r>
    </w:p>
    <w:p>
      <w:pPr>
        <w:pStyle w:val="TextBody"/>
        <w:pBdr/>
        <w:bidi w:val="0"/>
        <w:spacing w:lineRule="auto" w:line="285" w:before="240" w:after="0"/>
        <w:ind w:left="0" w:right="0" w:hanging="0"/>
        <w:jc w:val="left"/>
        <w:rPr>
          <w:rFonts w:ascii="Times New Roman;Times;serif" w:hAnsi="Times New Roman;Times;serif"/>
          <w:i/>
          <w:sz w:val="20"/>
        </w:rPr>
      </w:pPr>
      <w:r>
        <w:rPr>
          <w:rFonts w:ascii="Times New Roman;Times;serif" w:hAnsi="Times New Roman;Times;serif"/>
          <w:i/>
          <w:sz w:val="20"/>
        </w:rPr>
        <w:t>Elenestinib (BLU-263)</w:t>
      </w:r>
    </w:p>
    <w:p>
      <w:pPr>
        <w:pStyle w:val="TextBody"/>
        <w:shd w:fill="FFFFFF" w:val="clear"/>
        <w:bidi w:val="0"/>
        <w:spacing w:lineRule="auto" w:line="285" w:before="40" w:after="0"/>
        <w:ind w:left="0" w:right="0" w:firstLine="720"/>
        <w:jc w:val="left"/>
        <w:rPr>
          <w:rFonts w:ascii="Times New Roman;Times;serif" w:hAnsi="Times New Roman;Times;serif"/>
          <w:sz w:val="20"/>
        </w:rPr>
      </w:pPr>
      <w:r>
        <w:rPr>
          <w:rFonts w:ascii="Times New Roman;Times;serif" w:hAnsi="Times New Roman;Times;serif"/>
          <w:sz w:val="20"/>
        </w:rPr>
        <w:t>We are developing elenestinib, an investigational, orally available, potent and highly selective KIT inhibitor, for the treatment of indolent SM and other mast cell disorders. Elenestinib is designed to have equivalent potency as avapritinib, with low off-target activity and lower penetration of the central nervous system (CNS) relative to avapritinib based on preclinical data.</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are evaluating elenestinib in an ongoing Phase 2/3 clinical trial in indolent SM, which we refer to as our HARBOR trial. In December 2023, we presented HARBOR Part 1 trial data for elenestinib in indolent SM, demonstrating a compelling benefit-risk profile, at the 65th American Society of Hematology (ASH) Annual Meeting and Exposition. We plan to initiate the registration-enabling Part 2 of the HARBOR trial of elenestinib in indolent SM in the second half of 2024.</w:t>
      </w:r>
    </w:p>
    <w:p>
      <w:pPr>
        <w:pStyle w:val="TextBody"/>
        <w:pBdr/>
        <w:shd w:fill="FFFFFF" w:val="clear"/>
        <w:bidi w:val="0"/>
        <w:spacing w:lineRule="auto" w:line="285" w:before="0" w:after="0"/>
        <w:ind w:left="0" w:right="0" w:firstLine="720"/>
        <w:jc w:val="left"/>
        <w:rPr>
          <w:rFonts w:ascii="Times New Roman;Times;serif" w:hAnsi="Times New Roman;Times;serif"/>
          <w:i/>
          <w:sz w:val="20"/>
        </w:rPr>
      </w:pPr>
      <w:r>
        <w:rPr>
          <w:rFonts w:ascii="Times New Roman;Times;serif" w:hAnsi="Times New Roman;Times;serif"/>
          <w:i/>
          <w:sz w:val="20"/>
        </w:rPr>
        <w:t>BLU-808</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first half of 2023, we nominated the development candidate BLU-808 from our discovery programs, an oral, highly potent and selective wild-type KIT inhibitor. We plan to develop BLU-808 as a potential first- and best-in-class treatment for mast cell disorders, including chronic urticaria, as well as other potential related allergic-inflammatory indications. Chronic urticaria is a debilitating inflammatory skin disorder characterized by wheals (hives); sleep disruption, stress and anxiety due to severe itching are major contributors to the disease burden of chronic urticaria. There are approximately 680,000 people living with chronic urticaria who are refractory to treatment with antihistamines visible in claims data across the U.S. and EU4 (France, Germany, Italy, Spain). Wild-type KIT inhibition has an established proof-of-concept in chronic urticaria, and BLU-808 represents a small molecule TKI approach with the opportunity to drive market expansion with an oral regimen.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2024, at the AAAAI Annual Meeting, we presented the preclinical attributes of BLU-808 that demonstrate its potency, selectivity, low potential for drug-drug interactions, and peripheral restriction. BLU-808 treatment led to dose-dependent inhibition and depletion of mast cells in multiple in vivo studies, and also improved lung function in an ovalbumin-induced asthma model. Based on these data, we are on track to submit an IND application for BLU-808 in the second quarter 2024, and subsequently plan to initiate a Phase 1 study in healthy volunteers. </w:t>
      </w:r>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i/>
          <w:sz w:val="20"/>
        </w:rPr>
        <w:t>HR+/HER2- Breast Cancer and Other Solid Tumors– BLU-222, BLU-956 and additional research programs</w:t>
      </w:r>
      <w:r>
        <w:rPr>
          <w:rFonts w:ascii="Times New Roman;Times;serif" w:hAnsi="Times New Roman;Times;serif"/>
          <w:color w:val="D13438"/>
          <w:sz w:val="20"/>
        </w:rPr>
        <w:t>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advancing multiple therapeutic candidates and research programs targeting the cell cycle as potential treatments for patients with hormone-receptor-positive/human epidermal growth receptor 2 negative (HR+/HER2-) breast cancer and other solid tumors. Our lead therapy in this area, BLU-222, targets CDK2, a cell cycle regulator and an important cancer target, with relevance across multiple malignancies, including HR+/HER2- breast cancer and other cancers, such as subsets of ovarian and endometrial cancer. Across multiple cancer types, aberrant CCNE1 hyperactivates CDK2, resulting in cell cycle dysregulation and tumor proliferation. Aberrant CCNE1 has been observed as a primary driver of disease, as well as a mechanism of resistance to CDK4/6 inhibitors and other therapies. Strategic partnership discussions are ongoing to maximize the potential of BLU-222 as a backbone combination therapy in HR+/HER2- breast cancer and other CDK2-vulnerable cancers. Our additional programs in this area include BLU-956, a next generation CDK2 inhibitor development candidate nominated in 2023, a CDK2 targeted protein degradation research program, and an additional undisclosed research program.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Our ongoing Phase 1/2 trial of BLU-222 in cancers vulnerable to CDK2 inhibition, which we refer to as our VELA trial. BLU-222 is being developed as monotherapy and in combination with other agents, including CDK4/6 inhibitors and estrogen receptors, antagonists, in HR+/HER2- breast cancer, and as a single agent and in combination in CCNE1-amplified tumor types. In June 2023, we presented initial clinical data from the VELA trial at the ASCO Annual Meeting, showing that BLU-222 was generally well-tolerated with evidence of cell cycle pathway modulation and a confirmed partial response in a monotherapy-treated patient with HR+/HER2- metastatic breast cancer who previously received five lines of therapy, including the CDK4/6 inhibitors palbociclib and abemaciclib. Treatment-related hematologic AEs commonly seen with CDK4/6 inhibitors were generally mild and primarily reported in patients with a history of low blood cell counts. No cardiac AEs or QTc prolongation were observed. In 2023, we initiated dose escalation of BLU-222 in combination with the CDK4/6 inhibitor, ribociclib, and the estrogen receptor antagonist, fulvestrant, in patients with HR+/HER2- metastatic breast cancer and plan to present safety data for BLU-222 in combination with ribociclib and fulvestrant in patients with HR+/HER2- breast cancer at the ASCO 2024 Annual Meeting.</w:t>
      </w:r>
    </w:p>
    <w:p>
      <w:pPr>
        <w:pStyle w:val="TextBody"/>
        <w:pBdr/>
        <w:shd w:fill="FFFFFF" w:val="clear"/>
        <w:bidi w:val="0"/>
        <w:spacing w:lineRule="auto" w:line="285" w:before="0" w:after="0"/>
        <w:ind w:left="0" w:right="0" w:hanging="200"/>
        <w:jc w:val="left"/>
        <w:rPr>
          <w:rFonts w:ascii="Times New Roman;Times;serif" w:hAnsi="Times New Roman;Times;serif"/>
          <w:sz w:val="20"/>
        </w:rPr>
      </w:pPr>
      <w:r>
        <w:rPr>
          <w:rFonts w:ascii="Times New Roman;Times;serif" w:hAnsi="Times New Roman;Times;serif"/>
          <w:b/>
          <w:i/>
          <w:sz w:val="20"/>
        </w:rPr>
        <w:t>Solid Tumors:</w:t>
      </w:r>
      <w:r>
        <w:rPr>
          <w:rFonts w:ascii="Times New Roman;Times;serif" w:hAnsi="Times New Roman;Times;serif"/>
          <w:sz w:val="20"/>
        </w:rPr>
        <w:t xml:space="preserve"> </w:t>
      </w:r>
      <w:r>
        <w:rPr>
          <w:rFonts w:ascii="Times New Roman;Times;serif" w:hAnsi="Times New Roman;Times;serif"/>
          <w:b/>
          <w:i/>
          <w:sz w:val="20"/>
        </w:rPr>
        <w:t>RET-Altered Cancers — GAVRETO® (pralsetinib</w:t>
      </w:r>
      <w:r>
        <w:rPr>
          <w:rFonts w:ascii="Times New Roman;Times;serif" w:hAnsi="Times New Roman;Times;serif"/>
          <w:i/>
          <w:sz w:val="20"/>
        </w:rPr>
        <w: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RET is a receptor tyrosine kinase that activates multiple downstream pathways involved in cell proliferation and survival. RET can be activated by mutation or when a portion of the RET gene that encodes the kinase domain is joined to part of another gene creating a fusion gene that encodes an aberrantly activated RET fusion protein. RET activating mutations are implicated in advanced metastatic RET-mutant medullary thyroid cancer (MTC) (approximately 90 percent of patients), and RET fusions are implicated in several cancers, including papillary thyroid carcinoma (approximately 10- 20 percent of patients) and non-small cell lung cancer (NSCLC) (1-2 percent of patients). In addition, oncogenic RET alterations are observed at low frequencies in colorectal, breast, pancreatic and other cancers, providing a therapeutic rationale for the use of RET inhibitors in multiple patient subpopulations. </w:t>
      </w:r>
    </w:p>
    <w:p>
      <w:pPr>
        <w:pStyle w:val="TextBody"/>
        <w:bidi w:val="0"/>
        <w:spacing w:lineRule="auto" w:line="285" w:before="0" w:after="0"/>
        <w:ind w:left="0" w:right="0" w:firstLine="720"/>
        <w:jc w:val="left"/>
        <w:rPr/>
      </w:pPr>
      <w:r>
        <w:rPr/>
        <w:t>​</w:t>
      </w:r>
    </w:p>
    <w:p>
      <w:pPr>
        <w:pStyle w:val="TextBody"/>
        <w:bidi w:val="0"/>
        <w:spacing w:lineRule="auto" w:line="285" w:before="120" w:after="240"/>
        <w:ind w:left="0" w:right="0" w:firstLine="720"/>
        <w:jc w:val="left"/>
        <w:rPr>
          <w:rFonts w:ascii="Times New Roman;Times;serif" w:hAnsi="Times New Roman;Times;serif"/>
          <w:sz w:val="20"/>
        </w:rPr>
      </w:pPr>
      <w:r>
        <w:rPr>
          <w:rFonts w:ascii="Times New Roman;Times;serif" w:hAnsi="Times New Roman;Times;serif"/>
          <w:sz w:val="20"/>
        </w:rPr>
        <w:t xml:space="preserve">We developed and commercialized pralsetinib for the treatment of RET fusion-positive NSCLC, and for the treatment of RET-altered thyroid carcinoma. We also developed pralsetinib for the treatment of other RET-altered solid tumors. We granted exclusive licenses to Roche and CStone to develop and commercialize pralsetinib in their respective territories. In February 2023, we received written notice from Roche of their election to terminate for convenience the Roche pralsetinib collaboration agreement. In January 2024, we decided to discontinue global development and marketing of GAVRETO in territories excluding the U.S. and the CStone Territory, due to a lack of an alternate partner in these regions. The termination became effective on February 22, 2024, at which time we entered into a transition agreement with Roche for this collaboration, which we refer to as the Roche transition agreement.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Discovery Platform </w:t>
      </w:r>
    </w:p>
    <w:p>
      <w:pPr>
        <w:pStyle w:val="TextBody"/>
        <w:bidi w:val="0"/>
        <w:spacing w:lineRule="auto" w:line="285" w:before="120" w:after="240"/>
        <w:ind w:left="0" w:right="0" w:firstLine="720"/>
        <w:jc w:val="left"/>
        <w:rPr>
          <w:rFonts w:ascii="Times New Roman;Times;serif" w:hAnsi="Times New Roman;Times;serif"/>
          <w:sz w:val="20"/>
        </w:rPr>
      </w:pPr>
      <w:r>
        <w:rPr>
          <w:rFonts w:ascii="Times New Roman;Times;serif" w:hAnsi="Times New Roman;Times;serif"/>
          <w:sz w:val="20"/>
        </w:rPr>
        <w:t xml:space="preserve">We continue to leverage our discovery platform to systematically and reproducibly identify kinases that are drivers of diseases in genomically defined patient populations, and craft drug candidates that potently and selectively target these kinases. In addition, we are expanding our discovery platform by building capabilities, supported by external collaborations, for targeted protein degradation of both kinase and non-kinase targets in precision oncology, with the goal of advancing transformative therapies to patients and further broadening the significant productivity of our research engine. Beyond the discovery programs described above, we have multiple pre-development candidate programs for undisclosed kinase targets. </w:t>
      </w:r>
    </w:p>
    <w:p>
      <w:pPr>
        <w:pStyle w:val="TextBody"/>
        <w:bidi w:val="0"/>
        <w:spacing w:lineRule="auto" w:line="285" w:before="120" w:after="240"/>
        <w:ind w:left="0" w:right="0" w:firstLine="720"/>
        <w:jc w:val="left"/>
        <w:rPr>
          <w:rFonts w:ascii="Times New Roman;Times;serif" w:hAnsi="Times New Roman;Times;serif"/>
          <w:sz w:val="20"/>
        </w:rPr>
      </w:pPr>
      <w:r>
        <w:rPr>
          <w:rFonts w:ascii="Times New Roman;Times;serif" w:hAnsi="Times New Roman;Times;serif"/>
          <w:sz w:val="20"/>
        </w:rPr>
        <w:t>We are currently pursuing two early degrader research programs under our targeted protein degradation collaboration with Proteovant, which was replaced in its entirety by the A&amp;R Agreement (as defined below) entered into with VantAI, Inc. (VantAI) and Proteovant in December 2023. Through the collaboration with VantAI, we plan to research and advance three novel protein degrader programs, with the option, at our discretion, to expand the collaboration to include a fourth novel protein degrader target program. See “—</w:t>
      </w:r>
      <w:r>
        <w:rPr>
          <w:rFonts w:ascii="Times New Roman;Times;serif" w:hAnsi="Times New Roman;Times;serif"/>
          <w:i/>
          <w:sz w:val="20"/>
        </w:rPr>
        <w:t>Collaborations and Licenses Summary</w:t>
      </w:r>
      <w:r>
        <w:rPr>
          <w:rFonts w:ascii="Times New Roman;Times;serif" w:hAnsi="Times New Roman;Times;serif"/>
          <w:sz w:val="20"/>
        </w:rPr>
        <w:t>” below.</w:t>
      </w:r>
    </w:p>
    <w:p>
      <w:pPr>
        <w:pStyle w:val="TextBody"/>
        <w:bidi w:val="0"/>
        <w:spacing w:lineRule="auto" w:line="285" w:before="240" w:after="240"/>
        <w:ind w:left="0" w:right="0" w:hanging="0"/>
        <w:jc w:val="left"/>
        <w:rPr>
          <w:rFonts w:ascii="Times New Roman;Times;serif" w:hAnsi="Times New Roman;Times;serif"/>
          <w:b/>
          <w:i/>
          <w:sz w:val="20"/>
        </w:rPr>
      </w:pPr>
      <w:r>
        <w:rPr>
          <w:rFonts w:ascii="Times New Roman;Times;serif" w:hAnsi="Times New Roman;Times;serif"/>
          <w:b/>
          <w:i/>
          <w:sz w:val="20"/>
        </w:rPr>
        <w:t>Collaborations, Licenses and Other Agreements Summary</w:t>
      </w:r>
    </w:p>
    <w:p>
      <w:pPr>
        <w:pStyle w:val="TextBody"/>
        <w:bidi w:val="0"/>
        <w:spacing w:lineRule="auto" w:line="285" w:before="120" w:after="240"/>
        <w:ind w:left="0" w:right="0" w:firstLine="720"/>
        <w:jc w:val="left"/>
        <w:rPr>
          <w:rFonts w:ascii="Times New Roman;Times;serif" w:hAnsi="Times New Roman;Times;serif"/>
          <w:sz w:val="20"/>
        </w:rPr>
      </w:pPr>
      <w:r>
        <w:rPr>
          <w:rFonts w:ascii="Times New Roman;Times;serif" w:hAnsi="Times New Roman;Times;serif"/>
          <w:i/>
          <w:sz w:val="20"/>
        </w:rPr>
        <w:t xml:space="preserve">Roche—Immunotherapy Collaboration. </w:t>
      </w:r>
      <w:r>
        <w:rPr>
          <w:rFonts w:ascii="Times New Roman;Times;serif" w:hAnsi="Times New Roman;Times;serif"/>
          <w:sz w:val="20"/>
        </w:rPr>
        <w:t>In March 2016, we entered into a collaboration with Roche, which we refer to as the Roche immunotherapy agreement, to discover, develop and commercialize small molecule therapeutics targeting specified kinases, including the kinase target MAP4K1. On April 30, 2023, we entered into a mutual termination agreement with Roche, which we refer to as the Termination Agreement, pursuant to which the parties mutually agreed to terminate the Roche immunotherapy agreement and we retained the rights to any and all compounds developed under the collaboration. We are in the process of exploring opportunities to re-partner the asset for future development.</w:t>
      </w:r>
    </w:p>
    <w:p>
      <w:pPr>
        <w:pStyle w:val="TextBody"/>
        <w:bidi w:val="0"/>
        <w:spacing w:lineRule="auto" w:line="285" w:before="120" w:after="240"/>
        <w:ind w:left="0" w:right="0" w:firstLine="720"/>
        <w:jc w:val="left"/>
        <w:rPr>
          <w:rFonts w:ascii="Times New Roman;Times;serif" w:hAnsi="Times New Roman;Times;serif"/>
          <w:sz w:val="20"/>
        </w:rPr>
      </w:pPr>
      <w:r>
        <w:rPr>
          <w:rFonts w:ascii="Times New Roman;Times;serif" w:hAnsi="Times New Roman;Times;serif"/>
          <w:i/>
          <w:sz w:val="20"/>
        </w:rPr>
        <w:t xml:space="preserve">Roche—Pralsetinib Collaboration. </w:t>
      </w:r>
      <w:r>
        <w:rPr>
          <w:rFonts w:ascii="Times New Roman;Times;serif" w:hAnsi="Times New Roman;Times;serif"/>
          <w:sz w:val="20"/>
        </w:rPr>
        <w:t>In July 2020, we entered into a collaboration agreement with Roche, which we refer to as the Roche pralsetinib collaboration, to develop and commercialize pralsetinib for the treatment of RET-altered cancers. Under the Roche pralsetinib collaboration, we and Genentech co-commercialized GAVRETO in the U.S., and Roche was granted exclusive commercialization rights for pralsetinib outside of the U.S., excluding Mainland China, Hong Kong, Macau and Taiwan (each a CStone region and, collectively, the CStone Territory). In February 2023, we received written notice from Roche of their election to terminate for convenience the Roche pralsetinib collaboration agreement. The termination became effective on February 22, 2024, at which time we entered into the Roche transition agreement. In January 2024, we decided to discontinue global development and marketing of GAVRETO in territories excluding the U.S. and CStone Territory, due to a lack of an alternate partner in these regions. We continue to work with Roche on the transition and wind-down activities contemplated in the Roche transition agreement.</w:t>
      </w:r>
      <w:r>
        <w:rPr>
          <w:rFonts w:ascii="Times New Roman;Times;serif" w:hAnsi="Times New Roman;Times;serif"/>
          <w:sz w:val="20"/>
          <w:shd w:fill="FFFFFF" w:val="clear"/>
        </w:rPr>
        <w:t>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CStone. </w:t>
      </w:r>
      <w:r>
        <w:rPr>
          <w:rFonts w:ascii="Times New Roman;Times;serif" w:hAnsi="Times New Roman;Times;serif"/>
          <w:sz w:val="20"/>
        </w:rPr>
        <w:t xml:space="preserve">In June 2018, we entered into a collaboration with CStone to develop and commercialize avapritinib, pralsetinib and fisogatinib, as well as any back-up and other forms thereof, in the CStone Territory either as a monotherapy or as part of a combination therapy.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Clementia. </w:t>
      </w:r>
      <w:r>
        <w:rPr>
          <w:rFonts w:ascii="Times New Roman;Times;serif" w:hAnsi="Times New Roman;Times;serif"/>
          <w:sz w:val="20"/>
        </w:rPr>
        <w:t xml:space="preserve">In October 2019, we entered into a license agreement with Clementia, which we refer to as the Clementia license agreement. Pursuant to the Clementia license agreement, we granted Clementia an exclusive, worldwide, royalty-bearing license to develop and commercialize BLU-782, as well as specified other compounds related to the BLU-782 program. BLU-782 is an investigational, orally available, potent and highly selective inhibitor that targets mutant activin-like kinase 2 (ALK2) in development for the treatment of fibrodysplasia ossificans progressiva (FOP). The FDA has granted a rare pediatric disease designation, orphan drug designation and fast track designation to BLU-782, each for the treatment of FOP. Clementia has an ongoing Phase 2 clinical trial of BLU-782, now referred to as fidrisertib.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Zai Lab.</w:t>
      </w:r>
      <w:r>
        <w:rPr>
          <w:rFonts w:ascii="Times New Roman;Times;serif" w:hAnsi="Times New Roman;Times;serif"/>
          <w:sz w:val="20"/>
        </w:rPr>
        <w:t xml:space="preserve"> In November 2021, we entered into a collaboration and license agreement with Zai Lab, which we refer to as the Zai collaboration agreement, to develop and commercialize certain licensed products for the treatment of EGFR-driven NSCLC in Greater China, including Mainland China, Hong Kong, Macau and Taiwan. The collaboration with Zai Lab aims to accelerate and expand global development of the licensed products, which includes BLU-945 and BLU-525. In January 2024 at the J.P. Morgan Healthcare Conference, we announced that we are discontinuing further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investment in early clinical-stage therapies for EGFR-mutant NSCLC globally, including BLU-945 and BLU-525</w:t>
      </w:r>
      <w:r>
        <w:rPr>
          <w:rFonts w:ascii="Times New Roman;Times;serif" w:hAnsi="Times New Roman;Times;serif"/>
          <w:sz w:val="20"/>
          <w:shd w:fill="FFFFFF" w:val="clear"/>
        </w:rPr>
        <w:t>; however, Zai Lab retains its rights to BLU-945 and BLU-525 under the Zai collaboration agreement.</w:t>
      </w:r>
    </w:p>
    <w:p>
      <w:pPr>
        <w:pStyle w:val="TextBody"/>
        <w:bidi w:val="0"/>
        <w:spacing w:lineRule="auto" w:line="285" w:before="0" w:after="0"/>
        <w:ind w:left="0" w:right="0" w:firstLine="720"/>
        <w:jc w:val="left"/>
        <w:rPr/>
      </w:pPr>
      <w:r>
        <w:rPr/>
        <w:t>​</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VantAI. </w:t>
      </w:r>
      <w:r>
        <w:rPr>
          <w:rFonts w:ascii="Times New Roman;Times;serif" w:hAnsi="Times New Roman;Times;serif"/>
          <w:sz w:val="20"/>
        </w:rPr>
        <w:t xml:space="preserve">In February 2022, we entered into an exclusive collaboration agreement with Proteovant (the 2022 Agreement) to jointly research and advance certain protein degrader therapies into development candidates, with VantAI performing certain services on behalf of Proteovant under the agreement. </w:t>
      </w:r>
      <w:r>
        <w:rPr>
          <w:rFonts w:ascii="Times New Roman;Times;serif" w:hAnsi="Times New Roman;Times;serif"/>
          <w:color w:val="212529"/>
          <w:sz w:val="20"/>
        </w:rPr>
        <w:t>In December 2023, we entered into an Amended and Restated Collaboration and License Agreement (the A&amp;R Agreement) with VantAI and Proteovant, which replaced the 2022 Agreement</w:t>
      </w:r>
      <w:r>
        <w:rPr>
          <w:rFonts w:ascii="Times New Roman;Times;serif" w:hAnsi="Times New Roman;Times;serif"/>
          <w:sz w:val="20"/>
        </w:rPr>
        <w:t xml:space="preserve">. Under the A&amp;R Agreement, VantAI will directly provide us with expanded computational support, including computational biology and expanded computational chemistry, to jointly research and advance three novel protein degrader programs, with the option, at our discretion, to expand the collaboration to include a fourth novel protein degrader target program. Additionally, under the A&amp;R Agreement, Proteovant ceased its role in the collaboration and transitioned its activities and any know-how and patent applications that it developed under the 2022 Agreement to us.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IDRx. </w:t>
      </w:r>
      <w:r>
        <w:rPr>
          <w:rFonts w:ascii="Times New Roman;Times;serif" w:hAnsi="Times New Roman;Times;serif"/>
          <w:sz w:val="20"/>
        </w:rPr>
        <w:t>In August 2022, we entered into a license agreement with IDRx, Inc. (IDRx), which we refer to as the IDRx License Agreement. Pursuant to the IDRx License Agreement, we granted IDRx an exclusive, worldwide, royalty-bearing license to exploit our internally discovered development candidate-stage KIT exon 13 inhibitor, IDRX-73.</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IDRx License Agreement, we also entered into a stock purchase agreement with IDRx, which we refer to as the IDRx Stock Purchase Agreement, pursuant to which we received 4,509,105 shares of IDRx’s Series A preferred stock and the right to receive additional shares of IDRx’s Series A preferred stock through an anti-dilution provision subject to a defined financing cap and the eligibility to receive up to $217.5 million in contingent cash payments, including specified development, regulatory and sales-based milestone payments and tiered royalty payments. In July 2023, we received an additional 192,282 shares of Series A preferred stock pursuant to the anti-dilution provision in the IDRx Stock Purchase Agreement.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Rigel Pharmaceuticals. </w:t>
      </w:r>
      <w:r>
        <w:rPr>
          <w:rFonts w:ascii="Times New Roman;Times;serif" w:hAnsi="Times New Roman;Times;serif"/>
          <w:sz w:val="20"/>
        </w:rPr>
        <w:t xml:space="preserve">In February 2024, the Company entered into an Asset Purchase Agreement with Rigel for Rigel to purchase certain assets from the Company comprising the U.S. rights to research, develop, manufacture and commercialize GAVRETO (pralsetinib). Simultaneously and in connection with entering into the Asset Purchase Agreement, the parties also entered into certain supporting agreements, including a customary transition agreement, with such agreements collectively referred to as the Rigel agreement. Pursuant to the Rigel agreement, the Company will transition certain inventory, regulatory and distribution responsibilities for GAVRETO to Rigel. The transition of GAVRETO to Rigel is currently anticipated to be completed in the third quarter of 2024. </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Financing Arrangements Summary</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i/>
          <w:sz w:val="20"/>
        </w:rPr>
        <w:t xml:space="preserve">Royalty Purchase Agreement. </w:t>
      </w:r>
      <w:r>
        <w:rPr>
          <w:rFonts w:ascii="Times New Roman;Times;serif" w:hAnsi="Times New Roman;Times;serif"/>
          <w:sz w:val="20"/>
        </w:rPr>
        <w:t>In June 2022, we entered into a purchase and sale agreement, which we refer to as the Royalty Purchase Agreement, with Royalty Pharma. Pursuant to this Royalty Purchase Agreement, we received an upfront cash payment of $175.0 million</w:t>
      </w:r>
      <w:r>
        <w:rPr>
          <w:rFonts w:ascii="Times New Roman;Times;serif" w:hAnsi="Times New Roman;Times;serif"/>
          <w:sz w:val="20"/>
          <w:shd w:fill="FFFFFF" w:val="clear"/>
        </w:rPr>
        <w:t xml:space="preserve"> in exchange for </w:t>
      </w:r>
      <w:r>
        <w:rPr>
          <w:rFonts w:ascii="Times New Roman;Times;serif" w:hAnsi="Times New Roman;Times;serif"/>
          <w:sz w:val="20"/>
        </w:rPr>
        <w:t>all of our existing rights to receive royalty payments on the net sales of GAVRETO worldwide excluding the CStone Territory and U.S. territory under the terms of the Roche pralsetinib collaboration agreement. However, in February 2023, we received written notice from Roche of their election to terminate for convenience the Roche pralsetinib collaboration agreement. The termination became effective in February 2024 and we regained commercialization and development rights to GAVRETO from Roche worldwide excluding the CStone Territory. In January 2024, the Company decided to discontinue global development and marketing of GAVRETO in territories excluding the U.S. and the CStone Territory following the termination of the Roche pralsetinib collaboration. In connection with and effective upon the termination of the Roche pralsetinib collaboration agreement, on February 22, 2024, we and Royalty Pharma agreed to terminate the Royalty Purchase Agreement, which we refer to as the Royalty Pharma Termination Agreement. Following the termination of the Royalty Purchase Agreement, we have no outstanding obligations under the Royalty Purchase Agreement, other than the remaining royalty payment obligation related to GAVRETO net sales through the termination effective date</w:t>
      </w:r>
      <w:r>
        <w:rPr>
          <w:rFonts w:ascii="Times New Roman;Times;serif" w:hAnsi="Times New Roman;Times;serif"/>
          <w:sz w:val="20"/>
          <w:shd w:fill="FFFFFF" w:val="clear"/>
        </w:rPr>
        <w:t>.</w:t>
      </w:r>
      <w:r>
        <w:rPr>
          <w:rFonts w:ascii="Times New Roman;Times;serif" w:hAnsi="Times New Roman;Times;serif"/>
          <w:sz w:val="20"/>
        </w:rPr>
        <w:t xml:space="preserve"> As of March 31, 2024, we have no plans to enter into a new arrangement to commercialize GAVRETO outside of the U.S. and the CStone territory. </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i/>
          <w:sz w:val="20"/>
        </w:rPr>
        <w:t>Synthetic Royalty Facility.</w:t>
      </w:r>
      <w:r>
        <w:rPr>
          <w:rFonts w:ascii="Times New Roman;Times;serif" w:hAnsi="Times New Roman;Times;serif"/>
          <w:sz w:val="20"/>
        </w:rPr>
        <w:t xml:space="preserve"> In June 2022, we entered into a purchase and sale agreement with Sixth Street Partners, which we refer to as the Future Revenue Purchase Agreement. In July 2022, upon the closing of the transaction pursuant to the Future Revenue Purchase Agreement, we received gross proceeds of $250.0 million in exchange for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future royalty payments at a rate of 9.75% on up to $900 million each year of (i) aggregate worldwide annual net product sales of AYVAKIT/AYVAKYT and (ii) if it is approved, aggregate worldwide annual net product sales of elenestinib,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i/>
          <w:sz w:val="20"/>
        </w:rPr>
        <w:t xml:space="preserve">Debt Facility. </w:t>
      </w:r>
      <w:r>
        <w:rPr>
          <w:rFonts w:ascii="Times New Roman;Times;serif" w:hAnsi="Times New Roman;Times;serif"/>
          <w:sz w:val="20"/>
        </w:rPr>
        <w:t xml:space="preserve">In June 2022, we entered into a financing agreement for up to $660.0 million with Sixth Street Partners, which we refer to as the Financing Agreement. The Financing Agreement, as amended, provides for (i) a senior secured term loan facility of up to $150.0 million and (ii) a senior secured delayed draw term loan facility of up to $250.0 million to be funded in two tranches at our choice, subject to certain terms and conditions. The loans will mature 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July 2022. In August 2023, we received the first tranche of the senior secured delayed draw term loan facility in the amount of $100.0 million in gross proceeds. In addition, we may at any time request an incremental term loan in an amount not to exceed $260.0 million on terms to be agreed and subject to the consent of the lenders providing such incremental term loan. </w:t>
      </w:r>
    </w:p>
    <w:p>
      <w:pPr>
        <w:pStyle w:val="TextBody"/>
        <w:bidi w:val="0"/>
        <w:spacing w:lineRule="auto" w:line="285" w:before="280" w:after="0"/>
        <w:ind w:left="0" w:right="0" w:hanging="0"/>
        <w:jc w:val="left"/>
        <w:rPr>
          <w:rFonts w:ascii="Times New Roman;Times;serif" w:hAnsi="Times New Roman;Times;serif"/>
          <w:b/>
          <w:sz w:val="20"/>
        </w:rPr>
      </w:pPr>
      <w:r>
        <w:rPr>
          <w:rFonts w:ascii="Times New Roman;Times;serif" w:hAnsi="Times New Roman;Times;serif"/>
          <w:b/>
          <w:sz w:val="20"/>
        </w:rPr>
        <w:t>Financial Operations Overview</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To date, we have financed our operations primarily through public offerings of our common stock, private placements of our convertible preferred and common stock, collaboration and license agreements, future royalty and revenue monetization, and a term loan. Through March 31, 2024, we have received an aggregate of $3.7 billion from such transactions, including $1.9 billion in aggregate gross proceeds from the sale of common stock in our initial public offering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and milestone payments under our collaborations with Roche, CStone and Zai Lab, our license agreement with Clementia and our former collaboration with Alexion Pharma Holding (Alexion), and $250.0 million in gross proceeds from a term loan from Sixth Street Partners. In addition, since January 2020, we have also generated revenue through the sales of our approved drug products.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Since inception, we have incurred significant operating losses. Our net income was $89.1 million for the three months ended March 31, 2024 primarily due to the $173.7 million debt extinguishment gain recognized in connection with the Royalty Pharma Termination Agreement. Our net losses were $507.0 million and $557.5 million for the years ended December 31, 2023 and 2022, respectively. As of March 31, 2024, we had an accumulated deficit of $2,250.8 million. We expect to continue to incur significant expenses and operating losses over the next few years. We anticipate variability in our expenses in future periods in connection with our ongoing activities, particularly as we: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expand our sales, marketing and distribution infrastructure to continue to commercialize our drug and any current or future drug candidates for which we may obtain marketing approval;</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marketing approval for avapritinib in additional geographies;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or advance clinical development activities for other current or future drug candidates as monotherapies or in combination with other agents;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discover, validate and develop additional drug candidates or development candidates, including elenestinib (BLU-263), BLU-222, BLU-808 and BLU-956;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continue to manufacture increasing quantities of drug substance and drug product material for use in preclinical studies, clinical trials and commercialization; and to purchase quantities of other agents for use in our clinical trial as we develop our drugs and drug candidates either as potential combination therapies or for use as comparator agents; </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research and development activities under certain collaborations;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expand and protect our intellectual property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or in-license additional businesses, technologies, drugs or drug candidates, form strategic alliances or create joint ventures with third parties;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additional research, clinical, quality, manufacturing, regulatory, commercial and general and administrative personnel.</w:t>
            </w:r>
          </w:p>
        </w:tc>
      </w:tr>
    </w:tbl>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January 2020, the FDA granted approval of avapritinib under the brand name AYVAKIT for the treatment of adults with unresectable or metastatic GIST harboring a PDGFRA exon 18 mutation, including PDGFRA D842V mutations. In September 2020, the European Commission granted conditional marketing authorization for avapritinib under the brand name AYVAKYT as a monotherapy for the treatment of adult patients with unresectable or metastatic GIST harboring the PDGFRA D842V mutation. In June 2021, the FDA granted a subsequent approval for AYVAKIT, expanding the labeled indications to include adult patients with advanced SM. In March 2022, the European Commission expanded the marketing authorization for AYVAKYT to include the treatment of adult patients with ASM, SM-AHN, or MCL, after at least one systemic therapy. In May 2023, the FDA approved AYVAKIT for the treatment of adult patients with indolent SM and in December 2023, the European Commission approved AYVAKYT for the treatment of adult patients with indolent SM with moderate to severe symptoms inadequately controlled on symptomatic treatment.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March 31, 2024, our revenue primarily consisted of product sales of AYVAKIT/AYVAKYT as well as some collaboration and license revenue under our agreements with our collaboration partners. Our collaboration and license revenue primarily included amounts due to us for supply of inventory and from profit sharing generated on Roche sales of GAVRETO in the U.S.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 the future, we expect to generate revenue from a combination of sources, including sales of our current drug product and any current or future drug candidates for which we receive marketing approval, royalties on drug sales, upfront, milestone, profit sharing and other payments, if any, under any current or future collaboration and other agreements, including revenues related to the supply of our drug candidates or approved drugs to our various collaboration partners. We anticipate variability in revenue in the future as a result of the timing and amount of product sales, license fees, manufacturing services, and achievement of milestones or other payments under our collaboration and other agreements, if any.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During 2024, we expect net product revenues to increase, as compared to 2023, as we continue to add new patients onto AYVAKIT/AYVAKYT, including advanced SM and indolent SM with the recent label expansion.</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Cost of Sales</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 xml:space="preserve">Our cost of sales includes the cost of producing and distributing inventories that are related to product revenue as well as the sales of drug substance and drug product to our collaboration partners during the respective period, including salary related expenses and stock-based compensation expense for employees involved with production and distribution, freight, and indirect overhead costs. In addition, shipping and handling costs for product shipments are recorded in cost of sales as incurred.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Prior to receiving the initial FDA approval for AYVAKIT in January 2020, and subsequent approval in June 2021, we manufactured inventory to be sold upon commercialization and recorded approximately $31.0 million related to this inventory as research and development expense. As a result, the manufacturing costs related to the inventory build-up incurred before FDA approval were expensed in prior periods and are therefore excluded from the cost of goods sold for the three months ended March 31, 2023. This pre-launch inventory was fully sold through during 2023 and as a result, it did not have an impact on the cost of goods sold for the three months ended March 31, 2024. We estimate our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costs of goods sold related to product sales to be within the mid-single digit percentage range. Cost of goods sold related to sales of drug products to our collaboration partners are at lower margins. </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Expenses</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Collaboration Loss Sharing</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Roche was the principal for recording GAVRETO product sales to customers in the U.S. under our Roche pralsetinib collaboration, and the Company recognized a portion of the profit as revenue and losses as collaboration loss sharing in its consolidated statements of operations and comprehensive income (loss). In February 2023, the Company received written notice from Roche of their election to terminate for convenience the Roche pralsetinib collaboration agreement and the termination became effective on February 22, 2024. We continued to share any profit or loss from GAVRETO sales in the U.S. until February 22, 2024. For additional information, see Note 10</w:t>
      </w:r>
      <w:r>
        <w:rPr>
          <w:rFonts w:ascii="Times New Roman;Times;serif" w:hAnsi="Times New Roman;Times;serif"/>
          <w:i/>
          <w:sz w:val="20"/>
        </w:rPr>
        <w:t>, Collaboration and Other Agreements</w:t>
      </w:r>
      <w:r>
        <w:rPr>
          <w:rFonts w:ascii="Times New Roman;Times;serif" w:hAnsi="Times New Roman;Times;serif"/>
          <w:sz w:val="20"/>
        </w:rPr>
        <w:t xml:space="preserve">, to our unaudited condensed consolidated financial statements. </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costs incurred for our research and development activities, including our drug discovery efforts, and the development of our drug candidates, which include:</w:t>
      </w:r>
    </w:p>
    <w:tbl>
      <w:tblPr>
        <w:tblW w:w="8781" w:type="dxa"/>
        <w:jc w:val="left"/>
        <w:tblInd w:w="0" w:type="dxa"/>
        <w:tblLayout w:type="fixed"/>
        <w:tblCellMar>
          <w:top w:w="28" w:type="dxa"/>
          <w:left w:w="28" w:type="dxa"/>
          <w:bottom w:w="28" w:type="dxa"/>
          <w:right w:w="28" w:type="dxa"/>
        </w:tblCellMar>
      </w:tblPr>
      <w:tblGrid>
        <w:gridCol w:w="124"/>
        <w:gridCol w:w="256"/>
        <w:gridCol w:w="8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to acquire in-process research and development asset with no alternative future use;</w:t>
            </w:r>
          </w:p>
        </w:tc>
      </w:tr>
    </w:tbl>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and stock-based compensation expense;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third parties that conduct research and development, preclinical activities, clinical activities and manufacturing on our behalf;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in connection with development activities under our collaboration for pralsetinib with Roche and research and development activities under our collaboration with VantAI;</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the cost of consultants in connection with our research and development activities</w:t>
            </w:r>
            <w:r>
              <w:rPr>
                <w:rFonts w:ascii="Times New Roman;Times;serif" w:hAnsi="Times New Roman;Times;serif"/>
                <w:b w:val="false"/>
                <w:i w:val="false"/>
                <w:caps w:val="false"/>
                <w:smallCaps w:val="false"/>
                <w:sz w:val="20"/>
              </w:rPr>
              <w:t>;</w:t>
            </w:r>
          </w:p>
        </w:tc>
      </w:tr>
    </w:tbl>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associated with regulatory quality assurance and quality control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lab supplies and acquiring, developing and manufacturing preclinical study materials, clinical trial materials and pre-validated commercial supply materials;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depreciation, and other expenses, which include direct and allocated lease expenses and maintenance of facilities, insurance, and other operating costs in support of research and development activities.</w:t>
            </w:r>
          </w:p>
        </w:tc>
      </w:tr>
    </w:tbl>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material net cash inflows will commence from the sale of our current or future drug candidates for which we received marketing approval. This is due to the numerous risks and uncertainties associated with developing drugs, including the uncertainty of:</w:t>
      </w:r>
    </w:p>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 appropriate safety profile with IND-enabling toxicology studies;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initiation, enrollment in, and completion of clinical trials;</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marketing approvals from applicable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manufacturing capabilities or making arrangements with third-party manufacturers to ensure adequate clinical and commercial supply;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and trade secret protection and regulatory exclusivity for AYVAKIT/AYVAKYT and our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commercializing AYVAKIT/AYVAKYT and our drug candidates, if and when approved, whether alone or in collaboration with others; </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AYVAKIT/AYVAKYT and any future drug we may commercialize; and</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acceptable safety profile of the drugs following approval.</w:t>
            </w:r>
          </w:p>
        </w:tc>
      </w:tr>
    </w:tbl>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any of our drug candidates would significantly change the costs and timing associated with the development of that drug candidate.</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track our internal research and development expenses on a program-by-program basis as they are deployed across multiple projects under development.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research and development expenses by program for the three months ended March 31, 2024 and 2023. Other development and pre-development candidate expenses, unallocated expenses and internal research and development expenses have been classified separately.</w:t>
      </w:r>
    </w:p>
    <w:tbl>
      <w:tblPr>
        <w:tblW w:w="10205" w:type="dxa"/>
        <w:jc w:val="left"/>
        <w:tblInd w:w="0" w:type="dxa"/>
        <w:tblLayout w:type="fixed"/>
        <w:tblCellMar>
          <w:top w:w="0" w:type="dxa"/>
          <w:left w:w="0" w:type="dxa"/>
          <w:bottom w:w="0" w:type="dxa"/>
          <w:right w:w="0" w:type="dxa"/>
        </w:tblCellMar>
      </w:tblPr>
      <w:tblGrid>
        <w:gridCol w:w="4718"/>
        <w:gridCol w:w="386"/>
        <w:gridCol w:w="220"/>
        <w:gridCol w:w="706"/>
        <w:gridCol w:w="402"/>
        <w:gridCol w:w="220"/>
        <w:gridCol w:w="815"/>
        <w:gridCol w:w="386"/>
        <w:gridCol w:w="224"/>
        <w:gridCol w:w="822"/>
        <w:gridCol w:w="386"/>
        <w:gridCol w:w="483"/>
        <w:gridCol w:w="437"/>
      </w:tblGrid>
      <w:tr>
        <w:trPr/>
        <w:tc>
          <w:tcPr>
            <w:tcW w:w="4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995930" cy="175260"/>
                      <wp:effectExtent l="0" t="0" r="0" b="0"/>
                      <wp:wrapNone/>
                      <wp:docPr id="300" name="Frame300"/>
                      <a:graphic xmlns:a="http://schemas.openxmlformats.org/drawingml/2006/main">
                        <a:graphicData uri="http://schemas.microsoft.com/office/word/2010/wordprocessingShape">
                          <wps:wsp>
                            <wps:cNvSpPr txBox="1"/>
                            <wps:spPr>
                              <a:xfrm>
                                <a:off x="0" y="0"/>
                                <a:ext cx="29959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45110" cy="175260"/>
                      <wp:effectExtent l="0" t="0" r="0" b="0"/>
                      <wp:wrapNone/>
                      <wp:docPr id="301" name="Frame30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9700" cy="175260"/>
                      <wp:effectExtent l="0" t="0" r="0" b="0"/>
                      <wp:wrapNone/>
                      <wp:docPr id="302" name="Frame302"/>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48310" cy="175260"/>
                      <wp:effectExtent l="0" t="0" r="0" b="0"/>
                      <wp:wrapNone/>
                      <wp:docPr id="303" name="Frame30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55270" cy="175260"/>
                      <wp:effectExtent l="0" t="0" r="0" b="0"/>
                      <wp:wrapNone/>
                      <wp:docPr id="304" name="Frame304"/>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9700" cy="175260"/>
                      <wp:effectExtent l="0" t="0" r="0" b="0"/>
                      <wp:wrapNone/>
                      <wp:docPr id="305" name="Frame305"/>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17525" cy="175260"/>
                      <wp:effectExtent l="0" t="0" r="0" b="0"/>
                      <wp:wrapNone/>
                      <wp:docPr id="306" name="Frame306"/>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45110" cy="175260"/>
                      <wp:effectExtent l="0" t="0" r="0" b="0"/>
                      <wp:wrapNone/>
                      <wp:docPr id="307" name="Frame30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42240" cy="175260"/>
                      <wp:effectExtent l="0" t="0" r="0" b="0"/>
                      <wp:wrapNone/>
                      <wp:docPr id="308" name="Frame308"/>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21970" cy="175260"/>
                      <wp:effectExtent l="0" t="0" r="0" b="0"/>
                      <wp:wrapNone/>
                      <wp:docPr id="309" name="Frame309"/>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45110" cy="175260"/>
                      <wp:effectExtent l="0" t="0" r="0" b="0"/>
                      <wp:wrapNone/>
                      <wp:docPr id="310" name="Frame31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306705" cy="175260"/>
                      <wp:effectExtent l="0" t="0" r="0" b="0"/>
                      <wp:wrapNone/>
                      <wp:docPr id="311" name="Frame311"/>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77495" cy="175260"/>
                      <wp:effectExtent l="0" t="0" r="0" b="0"/>
                      <wp:wrapNone/>
                      <wp:docPr id="312" name="Frame312"/>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718"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2363"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86" w:type="dxa"/>
            <w:tcBorders/>
            <w:vAlign w:val="center"/>
          </w:tcPr>
          <w:p>
            <w:pPr>
              <w:pStyle w:val="TableContents"/>
              <w:bidi w:val="0"/>
              <w:spacing w:lineRule="auto" w:line="285" w:before="0" w:after="0"/>
              <w:ind w:left="0" w:right="0" w:hanging="0"/>
              <w:jc w:val="center"/>
              <w:rPr/>
            </w:pPr>
            <w:r>
              <w:rPr/>
              <w:t>​</w:t>
            </w:r>
          </w:p>
        </w:tc>
        <w:tc>
          <w:tcPr>
            <w:tcW w:w="1915" w:type="dxa"/>
            <w:gridSpan w:val="4"/>
            <w:tcBorders/>
            <w:vAlign w:val="center"/>
          </w:tcPr>
          <w:p>
            <w:pPr>
              <w:pStyle w:val="TableContents"/>
              <w:bidi w:val="0"/>
              <w:spacing w:lineRule="auto" w:line="285" w:before="0" w:after="0"/>
              <w:ind w:left="0" w:right="0" w:hanging="0"/>
              <w:jc w:val="center"/>
              <w:rPr/>
            </w:pPr>
            <w:r>
              <w:rPr/>
              <w:t>​</w:t>
            </w:r>
          </w:p>
        </w:tc>
        <w:tc>
          <w:tcPr>
            <w:tcW w:w="437" w:type="dxa"/>
            <w:tcBorders/>
            <w:vAlign w:val="center"/>
          </w:tcPr>
          <w:p>
            <w:pPr>
              <w:pStyle w:val="TableContents"/>
              <w:bidi w:val="0"/>
              <w:spacing w:lineRule="auto" w:line="285" w:before="0" w:after="0"/>
              <w:ind w:left="0" w:right="0" w:hanging="0"/>
              <w:jc w:val="center"/>
              <w:rPr/>
            </w:pPr>
            <w:r>
              <w:rPr/>
              <w:t>​</w:t>
            </w:r>
          </w:p>
        </w:tc>
      </w:tr>
      <w:tr>
        <w:trPr/>
        <w:tc>
          <w:tcPr>
            <w:tcW w:w="4718"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1"/>
              <w:ind w:left="0" w:right="0" w:hanging="0"/>
              <w:jc w:val="left"/>
              <w:rPr/>
            </w:pPr>
            <w:r>
              <w:rPr/>
              <w:t>     </w:t>
            </w:r>
          </w:p>
        </w:tc>
        <w:tc>
          <w:tcPr>
            <w:tcW w:w="92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2" w:type="dxa"/>
            <w:tcBorders/>
            <w:vAlign w:val="center"/>
          </w:tcPr>
          <w:p>
            <w:pPr>
              <w:pStyle w:val="TableContents"/>
              <w:bidi w:val="0"/>
              <w:spacing w:lineRule="auto" w:line="285" w:before="0" w:after="1"/>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lineRule="auto" w:line="285" w:before="0" w:after="1"/>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86" w:type="dxa"/>
            <w:tcBorders/>
            <w:vAlign w:val="center"/>
          </w:tcPr>
          <w:p>
            <w:pPr>
              <w:pStyle w:val="TableContents"/>
              <w:bidi w:val="0"/>
              <w:spacing w:lineRule="auto" w:line="285" w:before="0" w:after="1"/>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471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Avapritinib external expenses</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4,487</w:t>
            </w:r>
          </w:p>
        </w:tc>
        <w:tc>
          <w:tcPr>
            <w:tcW w:w="402" w:type="dxa"/>
            <w:tcBorders/>
            <w:shd w:fill="CCEEFF" w:val="clear"/>
            <w:vAlign w:val="center"/>
          </w:tcPr>
          <w:p>
            <w:pPr>
              <w:pStyle w:val="TableContents"/>
              <w:bidi w:val="0"/>
              <w:spacing w:lineRule="auto" w:line="285" w:before="0" w:after="1"/>
              <w:ind w:left="0" w:right="0" w:hanging="0"/>
              <w:jc w:val="left"/>
              <w:rPr/>
            </w:pPr>
            <w:r>
              <w:rPr/>
              <w:t>     </w:t>
            </w:r>
          </w:p>
        </w:tc>
        <w:tc>
          <w:tcPr>
            <w:tcW w:w="2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11,332</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(6,845)</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43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4718"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Pralsetinib external expenses</w:t>
            </w:r>
          </w:p>
        </w:tc>
        <w:tc>
          <w:tcPr>
            <w:tcW w:w="386" w:type="dxa"/>
            <w:tcBorders/>
            <w:vAlign w:val="center"/>
          </w:tcPr>
          <w:p>
            <w:pPr>
              <w:pStyle w:val="TableContents"/>
              <w:bidi w:val="0"/>
              <w:spacing w:lineRule="auto" w:line="285" w:before="0" w:after="1"/>
              <w:ind w:left="0" w:right="0" w:hanging="0"/>
              <w:jc w:val="left"/>
              <w:rPr/>
            </w:pPr>
            <w:r>
              <w:rPr/>
              <w:t>     </w:t>
            </w:r>
          </w:p>
        </w:tc>
        <w:tc>
          <w:tcPr>
            <w:tcW w:w="220" w:type="dxa"/>
            <w:tcBorders/>
            <w:vAlign w:val="center"/>
          </w:tcPr>
          <w:p>
            <w:pPr>
              <w:pStyle w:val="TableContents"/>
              <w:bidi w:val="0"/>
              <w:spacing w:lineRule="auto" w:line="285" w:before="0" w:after="0"/>
              <w:ind w:left="0" w:right="0" w:hanging="0"/>
              <w:jc w:val="right"/>
              <w:rPr/>
            </w:pPr>
            <w:r>
              <w:rPr/>
              <w:t>​</w:t>
            </w:r>
          </w:p>
        </w:tc>
        <w:tc>
          <w:tcPr>
            <w:tcW w:w="70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1,125</w:t>
            </w:r>
          </w:p>
        </w:tc>
        <w:tc>
          <w:tcPr>
            <w:tcW w:w="402" w:type="dxa"/>
            <w:tcBorders/>
            <w:vAlign w:val="center"/>
          </w:tcPr>
          <w:p>
            <w:pPr>
              <w:pStyle w:val="TableContents"/>
              <w:bidi w:val="0"/>
              <w:spacing w:lineRule="auto" w:line="285" w:before="0" w:after="1"/>
              <w:ind w:left="0" w:right="0" w:hanging="0"/>
              <w:jc w:val="left"/>
              <w:rPr/>
            </w:pPr>
            <w:r>
              <w:rPr/>
              <w:t>     </w:t>
            </w:r>
          </w:p>
        </w:tc>
        <w:tc>
          <w:tcPr>
            <w:tcW w:w="220" w:type="dxa"/>
            <w:tcBorders/>
            <w:vAlign w:val="center"/>
          </w:tcPr>
          <w:p>
            <w:pPr>
              <w:pStyle w:val="TableContents"/>
              <w:bidi w:val="0"/>
              <w:spacing w:lineRule="auto" w:line="285" w:before="0" w:after="0"/>
              <w:ind w:left="0" w:right="0" w:hanging="0"/>
              <w:jc w:val="right"/>
              <w:rPr/>
            </w:pPr>
            <w:r>
              <w:rPr/>
              <w:t>​</w:t>
            </w:r>
          </w:p>
        </w:tc>
        <w:tc>
          <w:tcPr>
            <w:tcW w:w="815"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4,299</w:t>
            </w:r>
          </w:p>
        </w:tc>
        <w:tc>
          <w:tcPr>
            <w:tcW w:w="386" w:type="dxa"/>
            <w:tcBorders/>
            <w:vAlign w:val="center"/>
          </w:tcPr>
          <w:p>
            <w:pPr>
              <w:pStyle w:val="TableContents"/>
              <w:bidi w:val="0"/>
              <w:spacing w:lineRule="auto" w:line="285" w:before="0" w:after="1"/>
              <w:ind w:left="0" w:right="0" w:hanging="0"/>
              <w:jc w:val="left"/>
              <w:rPr/>
            </w:pPr>
            <w:r>
              <w:rPr/>
              <w:t>     </w:t>
            </w:r>
          </w:p>
        </w:tc>
        <w:tc>
          <w:tcPr>
            <w:tcW w:w="224" w:type="dxa"/>
            <w:tcBorders/>
            <w:vAlign w:val="center"/>
          </w:tcPr>
          <w:p>
            <w:pPr>
              <w:pStyle w:val="TableContents"/>
              <w:bidi w:val="0"/>
              <w:spacing w:lineRule="auto" w:line="285" w:before="0" w:after="0"/>
              <w:ind w:left="0" w:right="0" w:hanging="0"/>
              <w:jc w:val="right"/>
              <w:rPr/>
            </w:pPr>
            <w:r>
              <w:rPr/>
              <w:t>​</w:t>
            </w:r>
          </w:p>
        </w:tc>
        <w:tc>
          <w:tcPr>
            <w:tcW w:w="82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(3,174)</w:t>
            </w:r>
          </w:p>
        </w:tc>
        <w:tc>
          <w:tcPr>
            <w:tcW w:w="386" w:type="dxa"/>
            <w:tcBorders/>
            <w:vAlign w:val="center"/>
          </w:tcPr>
          <w:p>
            <w:pPr>
              <w:pStyle w:val="TableContents"/>
              <w:bidi w:val="0"/>
              <w:spacing w:lineRule="auto" w:line="285" w:before="0" w:after="1"/>
              <w:ind w:left="0" w:right="0" w:hanging="0"/>
              <w:jc w:val="left"/>
              <w:rPr/>
            </w:pPr>
            <w:r>
              <w:rPr/>
              <w:t>     </w:t>
            </w:r>
          </w:p>
        </w:tc>
        <w:tc>
          <w:tcPr>
            <w:tcW w:w="483"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437" w:type="dxa"/>
            <w:tcBorders/>
            <w:vAlign w:val="center"/>
          </w:tcPr>
          <w:p>
            <w:pPr>
              <w:pStyle w:val="TableContents"/>
              <w:bidi w:val="0"/>
              <w:spacing w:lineRule="auto" w:line="285" w:before="0" w:after="0"/>
              <w:ind w:left="0" w:right="0" w:hanging="0"/>
              <w:jc w:val="left"/>
              <w:rPr/>
            </w:pPr>
            <w:r>
              <w:rPr/>
              <w:t>​</w:t>
            </w:r>
          </w:p>
        </w:tc>
      </w:tr>
      <w:tr>
        <w:trPr/>
        <w:tc>
          <w:tcPr>
            <w:tcW w:w="471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Elenestinib external expenses</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0" w:type="dxa"/>
            <w:tcBorders/>
            <w:shd w:fill="CCEEFF" w:val="clear"/>
            <w:vAlign w:val="center"/>
          </w:tcPr>
          <w:p>
            <w:pPr>
              <w:pStyle w:val="TableContents"/>
              <w:bidi w:val="0"/>
              <w:spacing w:lineRule="auto" w:line="285" w:before="0" w:after="0"/>
              <w:ind w:left="0" w:right="0" w:hanging="0"/>
              <w:jc w:val="right"/>
              <w:rPr/>
            </w:pPr>
            <w:r>
              <w:rPr/>
              <w:t>​</w:t>
            </w:r>
          </w:p>
        </w:tc>
        <w:tc>
          <w:tcPr>
            <w:tcW w:w="70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3,544</w:t>
            </w:r>
          </w:p>
        </w:tc>
        <w:tc>
          <w:tcPr>
            <w:tcW w:w="402" w:type="dxa"/>
            <w:tcBorders/>
            <w:shd w:fill="CCEEFF" w:val="clear"/>
            <w:vAlign w:val="center"/>
          </w:tcPr>
          <w:p>
            <w:pPr>
              <w:pStyle w:val="TableContents"/>
              <w:bidi w:val="0"/>
              <w:spacing w:lineRule="auto" w:line="285" w:before="0" w:after="1"/>
              <w:ind w:left="0" w:right="0" w:hanging="0"/>
              <w:jc w:val="left"/>
              <w:rPr/>
            </w:pPr>
            <w:r>
              <w:rPr/>
              <w:t>     </w:t>
            </w:r>
          </w:p>
        </w:tc>
        <w:tc>
          <w:tcPr>
            <w:tcW w:w="220" w:type="dxa"/>
            <w:tcBorders/>
            <w:shd w:fill="CCEEFF" w:val="clear"/>
            <w:vAlign w:val="center"/>
          </w:tcPr>
          <w:p>
            <w:pPr>
              <w:pStyle w:val="TableContents"/>
              <w:bidi w:val="0"/>
              <w:spacing w:lineRule="auto" w:line="285" w:before="0" w:after="0"/>
              <w:ind w:left="0" w:right="0" w:hanging="0"/>
              <w:jc w:val="right"/>
              <w:rPr/>
            </w:pPr>
            <w:r>
              <w:rPr/>
              <w:t>​</w:t>
            </w:r>
          </w:p>
        </w:tc>
        <w:tc>
          <w:tcPr>
            <w:tcW w:w="81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7,397</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4" w:type="dxa"/>
            <w:tcBorders/>
            <w:shd w:fill="CCEEFF" w:val="clear"/>
            <w:vAlign w:val="center"/>
          </w:tcPr>
          <w:p>
            <w:pPr>
              <w:pStyle w:val="TableContents"/>
              <w:bidi w:val="0"/>
              <w:spacing w:lineRule="auto" w:line="285" w:before="0" w:after="0"/>
              <w:ind w:left="0" w:right="0" w:hanging="0"/>
              <w:jc w:val="right"/>
              <w:rPr/>
            </w:pPr>
            <w:r>
              <w:rPr/>
              <w:t>​</w:t>
            </w:r>
          </w:p>
        </w:tc>
        <w:tc>
          <w:tcPr>
            <w:tcW w:w="8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(3,853)</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437" w:type="dxa"/>
            <w:tcBorders/>
            <w:shd w:fill="CCEEFF" w:val="clear"/>
            <w:vAlign w:val="center"/>
          </w:tcPr>
          <w:p>
            <w:pPr>
              <w:pStyle w:val="TableContents"/>
              <w:bidi w:val="0"/>
              <w:spacing w:lineRule="auto" w:line="285" w:before="0" w:after="0"/>
              <w:ind w:left="0" w:right="0" w:hanging="0"/>
              <w:jc w:val="left"/>
              <w:rPr/>
            </w:pPr>
            <w:r>
              <w:rPr/>
              <w:t>​</w:t>
            </w:r>
          </w:p>
        </w:tc>
      </w:tr>
      <w:tr>
        <w:trPr/>
        <w:tc>
          <w:tcPr>
            <w:tcW w:w="4718"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EFGR franchise (BLU-451/525/701/945) expenses</w:t>
            </w:r>
          </w:p>
        </w:tc>
        <w:tc>
          <w:tcPr>
            <w:tcW w:w="386" w:type="dxa"/>
            <w:tcBorders/>
            <w:vAlign w:val="center"/>
          </w:tcPr>
          <w:p>
            <w:pPr>
              <w:pStyle w:val="TableContents"/>
              <w:bidi w:val="0"/>
              <w:spacing w:lineRule="auto" w:line="285" w:before="0" w:after="1"/>
              <w:ind w:left="0" w:right="0" w:hanging="0"/>
              <w:jc w:val="left"/>
              <w:rPr/>
            </w:pPr>
            <w:r>
              <w:rPr/>
              <w:t>     </w:t>
            </w:r>
          </w:p>
        </w:tc>
        <w:tc>
          <w:tcPr>
            <w:tcW w:w="220" w:type="dxa"/>
            <w:tcBorders/>
            <w:vAlign w:val="center"/>
          </w:tcPr>
          <w:p>
            <w:pPr>
              <w:pStyle w:val="TableContents"/>
              <w:bidi w:val="0"/>
              <w:spacing w:lineRule="auto" w:line="285" w:before="0" w:after="0"/>
              <w:ind w:left="0" w:right="0" w:hanging="0"/>
              <w:jc w:val="right"/>
              <w:rPr/>
            </w:pPr>
            <w:r>
              <w:rPr/>
              <w:t>​</w:t>
            </w:r>
          </w:p>
        </w:tc>
        <w:tc>
          <w:tcPr>
            <w:tcW w:w="70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4,560</w:t>
            </w:r>
          </w:p>
        </w:tc>
        <w:tc>
          <w:tcPr>
            <w:tcW w:w="402" w:type="dxa"/>
            <w:tcBorders/>
            <w:vAlign w:val="center"/>
          </w:tcPr>
          <w:p>
            <w:pPr>
              <w:pStyle w:val="TableContents"/>
              <w:bidi w:val="0"/>
              <w:spacing w:lineRule="auto" w:line="285" w:before="0" w:after="1"/>
              <w:ind w:left="0" w:right="0" w:hanging="0"/>
              <w:jc w:val="left"/>
              <w:rPr/>
            </w:pPr>
            <w:r>
              <w:rPr/>
              <w:t>     </w:t>
            </w:r>
          </w:p>
        </w:tc>
        <w:tc>
          <w:tcPr>
            <w:tcW w:w="220" w:type="dxa"/>
            <w:tcBorders/>
            <w:vAlign w:val="center"/>
          </w:tcPr>
          <w:p>
            <w:pPr>
              <w:pStyle w:val="TableContents"/>
              <w:bidi w:val="0"/>
              <w:spacing w:lineRule="auto" w:line="285" w:before="0" w:after="0"/>
              <w:ind w:left="0" w:right="0" w:hanging="0"/>
              <w:jc w:val="right"/>
              <w:rPr/>
            </w:pPr>
            <w:r>
              <w:rPr/>
              <w:t>​</w:t>
            </w:r>
          </w:p>
        </w:tc>
        <w:tc>
          <w:tcPr>
            <w:tcW w:w="815"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21,493</w:t>
            </w:r>
          </w:p>
        </w:tc>
        <w:tc>
          <w:tcPr>
            <w:tcW w:w="386" w:type="dxa"/>
            <w:tcBorders/>
            <w:vAlign w:val="center"/>
          </w:tcPr>
          <w:p>
            <w:pPr>
              <w:pStyle w:val="TableContents"/>
              <w:bidi w:val="0"/>
              <w:spacing w:lineRule="auto" w:line="285" w:before="0" w:after="1"/>
              <w:ind w:left="0" w:right="0" w:hanging="0"/>
              <w:jc w:val="left"/>
              <w:rPr/>
            </w:pPr>
            <w:r>
              <w:rPr/>
              <w:t>     </w:t>
            </w:r>
          </w:p>
        </w:tc>
        <w:tc>
          <w:tcPr>
            <w:tcW w:w="224" w:type="dxa"/>
            <w:tcBorders/>
            <w:vAlign w:val="center"/>
          </w:tcPr>
          <w:p>
            <w:pPr>
              <w:pStyle w:val="TableContents"/>
              <w:bidi w:val="0"/>
              <w:spacing w:lineRule="auto" w:line="285" w:before="0" w:after="0"/>
              <w:ind w:left="0" w:right="0" w:hanging="0"/>
              <w:jc w:val="right"/>
              <w:rPr/>
            </w:pPr>
            <w:r>
              <w:rPr/>
              <w:t>​</w:t>
            </w:r>
          </w:p>
        </w:tc>
        <w:tc>
          <w:tcPr>
            <w:tcW w:w="82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(16,933)</w:t>
            </w:r>
          </w:p>
        </w:tc>
        <w:tc>
          <w:tcPr>
            <w:tcW w:w="386" w:type="dxa"/>
            <w:tcBorders/>
            <w:vAlign w:val="center"/>
          </w:tcPr>
          <w:p>
            <w:pPr>
              <w:pStyle w:val="TableContents"/>
              <w:bidi w:val="0"/>
              <w:spacing w:lineRule="auto" w:line="285" w:before="0" w:after="1"/>
              <w:ind w:left="0" w:right="0" w:hanging="0"/>
              <w:jc w:val="left"/>
              <w:rPr/>
            </w:pPr>
            <w:r>
              <w:rPr/>
              <w:t>     </w:t>
            </w:r>
          </w:p>
        </w:tc>
        <w:tc>
          <w:tcPr>
            <w:tcW w:w="483"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437" w:type="dxa"/>
            <w:tcBorders/>
            <w:vAlign w:val="center"/>
          </w:tcPr>
          <w:p>
            <w:pPr>
              <w:pStyle w:val="TableContents"/>
              <w:bidi w:val="0"/>
              <w:spacing w:lineRule="auto" w:line="285" w:before="0" w:after="0"/>
              <w:ind w:left="0" w:right="0" w:hanging="0"/>
              <w:jc w:val="left"/>
              <w:rPr/>
            </w:pPr>
            <w:r>
              <w:rPr/>
              <w:t>​</w:t>
            </w:r>
          </w:p>
        </w:tc>
      </w:tr>
      <w:tr>
        <w:trPr/>
        <w:tc>
          <w:tcPr>
            <w:tcW w:w="471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 xml:space="preserve">BLU-222 external expenses </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0" w:type="dxa"/>
            <w:tcBorders/>
            <w:shd w:fill="CCEEFF" w:val="clear"/>
            <w:vAlign w:val="center"/>
          </w:tcPr>
          <w:p>
            <w:pPr>
              <w:pStyle w:val="TableContents"/>
              <w:bidi w:val="0"/>
              <w:spacing w:lineRule="auto" w:line="285" w:before="0" w:after="0"/>
              <w:ind w:left="0" w:right="0" w:hanging="0"/>
              <w:jc w:val="right"/>
              <w:rPr/>
            </w:pPr>
            <w:r>
              <w:rPr/>
              <w:t>​</w:t>
            </w:r>
          </w:p>
        </w:tc>
        <w:tc>
          <w:tcPr>
            <w:tcW w:w="70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6,479</w:t>
            </w:r>
          </w:p>
        </w:tc>
        <w:tc>
          <w:tcPr>
            <w:tcW w:w="402" w:type="dxa"/>
            <w:tcBorders/>
            <w:shd w:fill="CCEEFF" w:val="clear"/>
            <w:vAlign w:val="center"/>
          </w:tcPr>
          <w:p>
            <w:pPr>
              <w:pStyle w:val="TableContents"/>
              <w:bidi w:val="0"/>
              <w:spacing w:lineRule="auto" w:line="285" w:before="0" w:after="1"/>
              <w:ind w:left="0" w:right="0" w:hanging="0"/>
              <w:jc w:val="left"/>
              <w:rPr/>
            </w:pPr>
            <w:r>
              <w:rPr/>
              <w:t>     </w:t>
            </w:r>
          </w:p>
        </w:tc>
        <w:tc>
          <w:tcPr>
            <w:tcW w:w="220" w:type="dxa"/>
            <w:tcBorders/>
            <w:shd w:fill="CCEEFF" w:val="clear"/>
            <w:vAlign w:val="center"/>
          </w:tcPr>
          <w:p>
            <w:pPr>
              <w:pStyle w:val="TableContents"/>
              <w:bidi w:val="0"/>
              <w:spacing w:lineRule="auto" w:line="285" w:before="0" w:after="0"/>
              <w:ind w:left="0" w:right="0" w:hanging="0"/>
              <w:jc w:val="right"/>
              <w:rPr/>
            </w:pPr>
            <w:r>
              <w:rPr/>
              <w:t>​</w:t>
            </w:r>
          </w:p>
        </w:tc>
        <w:tc>
          <w:tcPr>
            <w:tcW w:w="81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9,367</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4" w:type="dxa"/>
            <w:tcBorders/>
            <w:shd w:fill="CCEEFF" w:val="clear"/>
            <w:vAlign w:val="center"/>
          </w:tcPr>
          <w:p>
            <w:pPr>
              <w:pStyle w:val="TableContents"/>
              <w:bidi w:val="0"/>
              <w:spacing w:lineRule="auto" w:line="285" w:before="0" w:after="0"/>
              <w:ind w:left="0" w:right="0" w:hanging="0"/>
              <w:jc w:val="right"/>
              <w:rPr/>
            </w:pPr>
            <w:r>
              <w:rPr/>
              <w:t>​</w:t>
            </w:r>
          </w:p>
        </w:tc>
        <w:tc>
          <w:tcPr>
            <w:tcW w:w="8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(2,888)</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437" w:type="dxa"/>
            <w:tcBorders/>
            <w:shd w:fill="CCEEFF" w:val="clear"/>
            <w:vAlign w:val="center"/>
          </w:tcPr>
          <w:p>
            <w:pPr>
              <w:pStyle w:val="TableContents"/>
              <w:bidi w:val="0"/>
              <w:spacing w:lineRule="auto" w:line="285" w:before="0" w:after="0"/>
              <w:ind w:left="0" w:right="0" w:hanging="0"/>
              <w:jc w:val="left"/>
              <w:rPr/>
            </w:pPr>
            <w:r>
              <w:rPr/>
              <w:t>​</w:t>
            </w:r>
          </w:p>
        </w:tc>
      </w:tr>
      <w:tr>
        <w:trPr/>
        <w:tc>
          <w:tcPr>
            <w:tcW w:w="4718"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BLU-808 external expenses</w:t>
            </w:r>
          </w:p>
        </w:tc>
        <w:tc>
          <w:tcPr>
            <w:tcW w:w="386" w:type="dxa"/>
            <w:tcBorders/>
            <w:vAlign w:val="center"/>
          </w:tcPr>
          <w:p>
            <w:pPr>
              <w:pStyle w:val="TableContents"/>
              <w:bidi w:val="0"/>
              <w:spacing w:lineRule="auto" w:line="285" w:before="0" w:after="1"/>
              <w:ind w:left="0" w:right="0" w:hanging="0"/>
              <w:jc w:val="left"/>
              <w:rPr/>
            </w:pPr>
            <w:r>
              <w:rPr/>
              <w:t>     </w:t>
            </w:r>
          </w:p>
        </w:tc>
        <w:tc>
          <w:tcPr>
            <w:tcW w:w="220" w:type="dxa"/>
            <w:tcBorders/>
            <w:vAlign w:val="center"/>
          </w:tcPr>
          <w:p>
            <w:pPr>
              <w:pStyle w:val="TableContents"/>
              <w:bidi w:val="0"/>
              <w:spacing w:lineRule="auto" w:line="285" w:before="0" w:after="0"/>
              <w:ind w:left="0" w:right="0" w:hanging="0"/>
              <w:jc w:val="right"/>
              <w:rPr/>
            </w:pPr>
            <w:r>
              <w:rPr/>
              <w:t>​</w:t>
            </w:r>
          </w:p>
        </w:tc>
        <w:tc>
          <w:tcPr>
            <w:tcW w:w="70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3,179</w:t>
            </w:r>
          </w:p>
        </w:tc>
        <w:tc>
          <w:tcPr>
            <w:tcW w:w="402" w:type="dxa"/>
            <w:tcBorders/>
            <w:vAlign w:val="center"/>
          </w:tcPr>
          <w:p>
            <w:pPr>
              <w:pStyle w:val="TableContents"/>
              <w:bidi w:val="0"/>
              <w:spacing w:lineRule="auto" w:line="285" w:before="0" w:after="1"/>
              <w:ind w:left="0" w:right="0" w:hanging="0"/>
              <w:jc w:val="left"/>
              <w:rPr/>
            </w:pPr>
            <w:r>
              <w:rPr/>
              <w:t>     </w:t>
            </w:r>
          </w:p>
        </w:tc>
        <w:tc>
          <w:tcPr>
            <w:tcW w:w="220" w:type="dxa"/>
            <w:tcBorders/>
            <w:vAlign w:val="center"/>
          </w:tcPr>
          <w:p>
            <w:pPr>
              <w:pStyle w:val="TableContents"/>
              <w:bidi w:val="0"/>
              <w:spacing w:lineRule="auto" w:line="285" w:before="0" w:after="0"/>
              <w:ind w:left="0" w:right="0" w:hanging="0"/>
              <w:jc w:val="right"/>
              <w:rPr/>
            </w:pPr>
            <w:r>
              <w:rPr/>
              <w:t>​</w:t>
            </w:r>
          </w:p>
        </w:tc>
        <w:tc>
          <w:tcPr>
            <w:tcW w:w="815"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1,180</w:t>
            </w:r>
          </w:p>
        </w:tc>
        <w:tc>
          <w:tcPr>
            <w:tcW w:w="386" w:type="dxa"/>
            <w:tcBorders/>
            <w:vAlign w:val="center"/>
          </w:tcPr>
          <w:p>
            <w:pPr>
              <w:pStyle w:val="TableContents"/>
              <w:bidi w:val="0"/>
              <w:spacing w:lineRule="auto" w:line="285" w:before="0" w:after="1"/>
              <w:ind w:left="0" w:right="0" w:hanging="0"/>
              <w:jc w:val="left"/>
              <w:rPr/>
            </w:pPr>
            <w:r>
              <w:rPr/>
              <w:t>     </w:t>
            </w:r>
          </w:p>
        </w:tc>
        <w:tc>
          <w:tcPr>
            <w:tcW w:w="224" w:type="dxa"/>
            <w:tcBorders/>
            <w:vAlign w:val="center"/>
          </w:tcPr>
          <w:p>
            <w:pPr>
              <w:pStyle w:val="TableContents"/>
              <w:bidi w:val="0"/>
              <w:spacing w:lineRule="auto" w:line="285" w:before="0" w:after="0"/>
              <w:ind w:left="0" w:right="0" w:hanging="0"/>
              <w:jc w:val="right"/>
              <w:rPr/>
            </w:pPr>
            <w:r>
              <w:rPr/>
              <w:t>​</w:t>
            </w:r>
          </w:p>
        </w:tc>
        <w:tc>
          <w:tcPr>
            <w:tcW w:w="822"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1,999</w:t>
            </w:r>
          </w:p>
        </w:tc>
        <w:tc>
          <w:tcPr>
            <w:tcW w:w="386" w:type="dxa"/>
            <w:tcBorders/>
            <w:vAlign w:val="center"/>
          </w:tcPr>
          <w:p>
            <w:pPr>
              <w:pStyle w:val="TableContents"/>
              <w:bidi w:val="0"/>
              <w:spacing w:lineRule="auto" w:line="285" w:before="0" w:after="1"/>
              <w:ind w:left="0" w:right="0" w:hanging="0"/>
              <w:jc w:val="left"/>
              <w:rPr/>
            </w:pPr>
            <w:r>
              <w:rPr/>
              <w:t>     </w:t>
            </w:r>
          </w:p>
        </w:tc>
        <w:tc>
          <w:tcPr>
            <w:tcW w:w="483"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437" w:type="dxa"/>
            <w:tcBorders/>
            <w:vAlign w:val="center"/>
          </w:tcPr>
          <w:p>
            <w:pPr>
              <w:pStyle w:val="TableContents"/>
              <w:bidi w:val="0"/>
              <w:spacing w:lineRule="auto" w:line="285" w:before="0" w:after="0"/>
              <w:ind w:left="0" w:right="0" w:hanging="0"/>
              <w:jc w:val="left"/>
              <w:rPr/>
            </w:pPr>
            <w:r>
              <w:rPr/>
              <w:t>​</w:t>
            </w:r>
          </w:p>
        </w:tc>
      </w:tr>
      <w:tr>
        <w:trPr/>
        <w:tc>
          <w:tcPr>
            <w:tcW w:w="471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Other development and pre-development candidate expenses and unallocated expenses</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0" w:type="dxa"/>
            <w:tcBorders/>
            <w:shd w:fill="CCEEFF" w:val="clear"/>
            <w:vAlign w:val="center"/>
          </w:tcPr>
          <w:p>
            <w:pPr>
              <w:pStyle w:val="TableContents"/>
              <w:bidi w:val="0"/>
              <w:spacing w:lineRule="auto" w:line="285" w:before="0" w:after="0"/>
              <w:ind w:left="0" w:right="0" w:hanging="0"/>
              <w:jc w:val="right"/>
              <w:rPr/>
            </w:pPr>
            <w:r>
              <w:rPr/>
              <w:t>​</w:t>
            </w:r>
          </w:p>
        </w:tc>
        <w:tc>
          <w:tcPr>
            <w:tcW w:w="70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25,153</w:t>
            </w:r>
          </w:p>
        </w:tc>
        <w:tc>
          <w:tcPr>
            <w:tcW w:w="402" w:type="dxa"/>
            <w:tcBorders/>
            <w:shd w:fill="CCEEFF" w:val="clear"/>
            <w:vAlign w:val="center"/>
          </w:tcPr>
          <w:p>
            <w:pPr>
              <w:pStyle w:val="TableContents"/>
              <w:bidi w:val="0"/>
              <w:spacing w:lineRule="auto" w:line="285" w:before="0" w:after="1"/>
              <w:ind w:left="0" w:right="0" w:hanging="0"/>
              <w:jc w:val="left"/>
              <w:rPr/>
            </w:pPr>
            <w:r>
              <w:rPr/>
              <w:t>     </w:t>
            </w:r>
          </w:p>
        </w:tc>
        <w:tc>
          <w:tcPr>
            <w:tcW w:w="220" w:type="dxa"/>
            <w:tcBorders/>
            <w:shd w:fill="CCEEFF" w:val="clear"/>
            <w:vAlign w:val="center"/>
          </w:tcPr>
          <w:p>
            <w:pPr>
              <w:pStyle w:val="TableContents"/>
              <w:bidi w:val="0"/>
              <w:spacing w:lineRule="auto" w:line="285" w:before="0" w:after="0"/>
              <w:ind w:left="0" w:right="0" w:hanging="0"/>
              <w:jc w:val="right"/>
              <w:rPr/>
            </w:pPr>
            <w:r>
              <w:rPr/>
              <w:t>​</w:t>
            </w:r>
          </w:p>
        </w:tc>
        <w:tc>
          <w:tcPr>
            <w:tcW w:w="81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19,145</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4" w:type="dxa"/>
            <w:tcBorders/>
            <w:shd w:fill="CCEEFF" w:val="clear"/>
            <w:vAlign w:val="center"/>
          </w:tcPr>
          <w:p>
            <w:pPr>
              <w:pStyle w:val="TableContents"/>
              <w:bidi w:val="0"/>
              <w:spacing w:lineRule="auto" w:line="285" w:before="0" w:after="0"/>
              <w:ind w:left="0" w:right="0" w:hanging="0"/>
              <w:jc w:val="right"/>
              <w:rPr/>
            </w:pPr>
            <w:r>
              <w:rPr/>
              <w:t>​</w:t>
            </w:r>
          </w:p>
        </w:tc>
        <w:tc>
          <w:tcPr>
            <w:tcW w:w="8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6,008</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437" w:type="dxa"/>
            <w:tcBorders/>
            <w:shd w:fill="CCEEFF" w:val="clear"/>
            <w:vAlign w:val="center"/>
          </w:tcPr>
          <w:p>
            <w:pPr>
              <w:pStyle w:val="TableContents"/>
              <w:bidi w:val="0"/>
              <w:spacing w:lineRule="auto" w:line="285" w:before="0" w:after="0"/>
              <w:ind w:left="0" w:right="0" w:hanging="0"/>
              <w:jc w:val="left"/>
              <w:rPr/>
            </w:pPr>
            <w:r>
              <w:rPr/>
              <w:t>​</w:t>
            </w:r>
          </w:p>
        </w:tc>
      </w:tr>
      <w:tr>
        <w:trPr/>
        <w:tc>
          <w:tcPr>
            <w:tcW w:w="4718"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Internal research and development expenses</w:t>
            </w:r>
          </w:p>
        </w:tc>
        <w:tc>
          <w:tcPr>
            <w:tcW w:w="386" w:type="dxa"/>
            <w:tcBorders/>
            <w:vAlign w:val="center"/>
          </w:tcPr>
          <w:p>
            <w:pPr>
              <w:pStyle w:val="TableContents"/>
              <w:bidi w:val="0"/>
              <w:spacing w:lineRule="auto" w:line="285" w:before="0" w:after="1"/>
              <w:ind w:left="0" w:right="0" w:hanging="0"/>
              <w:jc w:val="left"/>
              <w:rPr/>
            </w:pPr>
            <w:r>
              <w:rPr/>
              <w:t>     </w:t>
            </w:r>
          </w:p>
        </w:tc>
        <w:tc>
          <w:tcPr>
            <w:tcW w:w="220"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 </w:t>
            </w:r>
          </w:p>
        </w:tc>
        <w:tc>
          <w:tcPr>
            <w:tcW w:w="70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39,664</w:t>
            </w:r>
          </w:p>
        </w:tc>
        <w:tc>
          <w:tcPr>
            <w:tcW w:w="402" w:type="dxa"/>
            <w:tcBorders/>
            <w:vAlign w:val="center"/>
          </w:tcPr>
          <w:p>
            <w:pPr>
              <w:pStyle w:val="TableContents"/>
              <w:bidi w:val="0"/>
              <w:spacing w:lineRule="auto" w:line="285" w:before="0" w:after="1"/>
              <w:ind w:left="0" w:right="0" w:hanging="0"/>
              <w:jc w:val="left"/>
              <w:rPr/>
            </w:pPr>
            <w:r>
              <w:rPr/>
              <w:t>     </w:t>
            </w:r>
          </w:p>
        </w:tc>
        <w:tc>
          <w:tcPr>
            <w:tcW w:w="220"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 </w:t>
            </w:r>
          </w:p>
        </w:tc>
        <w:tc>
          <w:tcPr>
            <w:tcW w:w="815"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37,860</w:t>
            </w:r>
          </w:p>
        </w:tc>
        <w:tc>
          <w:tcPr>
            <w:tcW w:w="386" w:type="dxa"/>
            <w:tcBorders/>
            <w:vAlign w:val="center"/>
          </w:tcPr>
          <w:p>
            <w:pPr>
              <w:pStyle w:val="TableContents"/>
              <w:bidi w:val="0"/>
              <w:spacing w:lineRule="auto" w:line="285" w:before="0" w:after="1"/>
              <w:ind w:left="0" w:right="0" w:hanging="0"/>
              <w:jc w:val="left"/>
              <w:rPr/>
            </w:pPr>
            <w:r>
              <w:rPr/>
              <w:t>     </w:t>
            </w:r>
          </w:p>
        </w:tc>
        <w:tc>
          <w:tcPr>
            <w:tcW w:w="22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 </w:t>
            </w:r>
          </w:p>
        </w:tc>
        <w:tc>
          <w:tcPr>
            <w:tcW w:w="82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1,804</w:t>
            </w:r>
          </w:p>
        </w:tc>
        <w:tc>
          <w:tcPr>
            <w:tcW w:w="386" w:type="dxa"/>
            <w:tcBorders/>
            <w:vAlign w:val="center"/>
          </w:tcPr>
          <w:p>
            <w:pPr>
              <w:pStyle w:val="TableContents"/>
              <w:bidi w:val="0"/>
              <w:spacing w:lineRule="auto" w:line="285" w:before="0" w:after="1"/>
              <w:ind w:left="0" w:right="0" w:hanging="0"/>
              <w:jc w:val="left"/>
              <w:rPr/>
            </w:pPr>
            <w:r>
              <w:rPr/>
              <w:t>     </w:t>
            </w:r>
          </w:p>
        </w:tc>
        <w:tc>
          <w:tcPr>
            <w:tcW w:w="48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4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471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88,191</w:t>
            </w:r>
          </w:p>
        </w:tc>
        <w:tc>
          <w:tcPr>
            <w:tcW w:w="402" w:type="dxa"/>
            <w:tcBorders/>
            <w:shd w:fill="CCEEFF" w:val="clear"/>
            <w:vAlign w:val="center"/>
          </w:tcPr>
          <w:p>
            <w:pPr>
              <w:pStyle w:val="TableContents"/>
              <w:bidi w:val="0"/>
              <w:spacing w:lineRule="auto" w:line="285" w:before="0" w:after="1"/>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112,073</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(23,882)</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48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437" w:type="dxa"/>
            <w:tcBorders>
              <w:bottom w:val="double" w:sz="6" w:space="0" w:color="000000"/>
            </w:tcBorders>
            <w:shd w:fill="CCEEFF" w:val="clear"/>
            <w:tcMar>
              <w:bottom w:w="28" w:type="dxa"/>
            </w:tcMar>
            <w:vAlign w:val="center"/>
          </w:tcPr>
          <w:p>
            <w:pPr>
              <w:pStyle w:val="TableContents"/>
              <w:bidi w:val="0"/>
              <w:spacing w:lineRule="auto" w:line="285" w:before="0" w:after="1"/>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pBdr/>
        <w:bidi w:val="0"/>
        <w:spacing w:lineRule="auto" w:line="285" w:before="0" w:after="240"/>
        <w:ind w:left="720" w:right="0" w:hanging="360"/>
        <w:jc w:val="left"/>
        <w:rPr/>
      </w:pPr>
      <w:r>
        <w:rPr/>
        <w:t>​</w:t>
      </w:r>
    </w:p>
    <w:p>
      <w:pPr>
        <w:pStyle w:val="TextBody"/>
        <w:bidi w:val="0"/>
        <w:spacing w:lineRule="auto" w:line="285"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 xml:space="preserve">* </w:t>
            </w:r>
          </w:p>
        </w:tc>
        <w:tc>
          <w:tcPr>
            <w:tcW w:w="985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Pralsetinib external expenses include expenses reimbursable to Roche under our collaboration for pralsetinib with Roche, and other development and pre-development candidate expenses include expenses reimbursable to us under our other collaboration agreements.</w:t>
            </w:r>
          </w:p>
        </w:tc>
      </w:tr>
    </w:tbl>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We expect variability in our research and development expenses in future periods as our drug candidate development programs progress. The costs related to the implementation and expansion of clinical trial sites and related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patient enrollment, monitoring, program management and manufacturing expenses for active pharmaceutical ingredient, (API), drug product and drug substance for current and future clinical trials will vary depending on clinical data results and our resource allocation priorities. In addition, our research and development expenses may increase with potential new collaborations and future acquisitions. We do not believe that it is possible at this time to accurately project total program-specific expenses through commercialization. There are numerous factors associated with the successful commercialization of any of our approved drugs or drug candidates for which we may receive marketing approval,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During 2024, we expect our research and development expenses will decline, as compared to 2023, due to our focused approach towards optimizing operational efficiency across our portfolio while executing across our top priority programs.</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Selling, general and administrative expenses consist primarily of compensation and benefits, including stock-based compensation expense, for commercial operations and for personnel in executive, finance, accounting, commercial, business development, information technology, legal and human resources functions. Other significant costs include facility costs not otherwise included in research and development expenses, commercial development activities, insurance fees, legal fees related to intellectual property and corporate matters and fees for accounting and consulting services.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globally. These increases will likely include increased costs related to the hiring of additional personnel, legal, auditing and filing fees and general compliance and consulting expenses, among other expenses. We have incurred and will continue to incur additional expenses associated with operating as a public company and expanding the scope of our operations.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During 2024, we expect that selling, general and administrative expenses will increase modestly, as compared to 2023, as we continue to expand our global commercial and compliance infrastructure to support the commercialization of AYVAKIT/AYVAKYT.</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Interest Income (Expense), net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Interest income (expense), net consists primarily of interest expense related to our financing arrangements with Sixth Street Partners. Interest expense on liabilities related to the sale of future revenues consists of the periodic interest calculated using the effective interest rate method over the future estimated royalty payments due to Sixth Street Partners over the life of the agreement. Interest expense on the term loan with Sixth Street Partners results from the amortization of the debt liability using the effective interest method over the maturity of the term loan. We anticipate variability in interest expense from period to period as a result of the timing and amount of the sales of the underlying products and the changes in interest rates. For additional information, see Note 3, </w:t>
      </w:r>
      <w:r>
        <w:rPr>
          <w:rFonts w:ascii="Times New Roman;Times;serif" w:hAnsi="Times New Roman;Times;serif"/>
          <w:i/>
          <w:sz w:val="20"/>
        </w:rPr>
        <w:t>Financing Arrangements</w:t>
      </w:r>
      <w:r>
        <w:rPr>
          <w:rFonts w:ascii="Times New Roman;Times;serif" w:hAnsi="Times New Roman;Times;serif"/>
          <w:sz w:val="20"/>
        </w:rPr>
        <w:t xml:space="preserve">, to our unaudited condensed consolidated financial statements.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Interest income (expense), net also includes income earned on cash equivalents and marketable securities. Our interest income may fluctuate depending on the movement of interest rates and our total amount of cash equivalents and marketable securities. </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Other Income (Expense), net</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Other income (expense), net consists of miscellaneous income and expenses unrelated to our core operations, including the impacts of foreign currency exchange differences.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Debt extinguishment gain</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Debt extinguishment gain consists of the gain recognized as a result of the Royalty Pharma Termination Agreement entered into on February 22, 2024. For additional information, see Note 3, </w:t>
      </w:r>
      <w:r>
        <w:rPr>
          <w:rFonts w:ascii="Times New Roman;Times;serif" w:hAnsi="Times New Roman;Times;serif"/>
          <w:i/>
          <w:sz w:val="20"/>
        </w:rPr>
        <w:t>Financing Arrangements</w:t>
      </w:r>
      <w:r>
        <w:rPr>
          <w:rFonts w:ascii="Times New Roman;Times;serif" w:hAnsi="Times New Roman;Times;serif"/>
          <w:sz w:val="20"/>
        </w:rPr>
        <w:t>, to our unaudited condensed consolidated financial statements.</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 xml:space="preserve">Income tax expense consists of U.S. state and foreign income taxes incurred. </w:t>
      </w:r>
    </w:p>
    <w:p>
      <w:pPr>
        <w:pStyle w:val="TextBody"/>
        <w:bidi w:val="0"/>
        <w:spacing w:lineRule="auto" w:line="285" w:before="280" w:after="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For a description of our critical accounting policies and estimates, please see “Management’s Discussion and Analysis of Financial Condition and Results of Operations—Financial Operations Overview—Critical Accounting Policies and Estimates” in our Annual Report on Form 10-K for the year ended December 31, 2023. There have been no significant changes to our critical accounting policies and estimates since December 31, 2023, with the exception of the below new policy. </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Modification of debt instruments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When a debt instrument in which we are the debtor is modified or exchanged, we analyze whether the modification should be accounted for as a modification or an extinguishment. Modified terms are considered substantially different if, after an exchange or modification of debt instruments with the same creditor, the present value of cash flows under the terms of the new debt instrument differs by at least 10% from the present value of the remaining cash flows under the terms of the original debt instrument. If the modified instrument is considered substantially different from the original debt instrument, the modification or exchange is accounted for as an extinguishment. The new instrument is recorded at its fair value and that fair value is used to determine the extinguishment gain or loss.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28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Three Months Ended March 31, 2024 and 2023</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our results of operations for the three months ended March 31, 2024 and 2023, together with the changes in those items in dollars and as a percentage (in thousands): </w:t>
      </w:r>
    </w:p>
    <w:tbl>
      <w:tblPr>
        <w:tblW w:w="8390" w:type="dxa"/>
        <w:jc w:val="left"/>
        <w:tblInd w:w="0" w:type="dxa"/>
        <w:tblLayout w:type="fixed"/>
        <w:tblCellMar>
          <w:top w:w="0" w:type="dxa"/>
          <w:left w:w="0" w:type="dxa"/>
          <w:bottom w:w="0" w:type="dxa"/>
          <w:right w:w="0" w:type="dxa"/>
        </w:tblCellMar>
      </w:tblPr>
      <w:tblGrid>
        <w:gridCol w:w="2881"/>
        <w:gridCol w:w="326"/>
        <w:gridCol w:w="212"/>
        <w:gridCol w:w="786"/>
        <w:gridCol w:w="328"/>
        <w:gridCol w:w="212"/>
        <w:gridCol w:w="906"/>
        <w:gridCol w:w="326"/>
        <w:gridCol w:w="249"/>
        <w:gridCol w:w="922"/>
        <w:gridCol w:w="326"/>
        <w:gridCol w:w="523"/>
        <w:gridCol w:w="393"/>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829435" cy="175260"/>
                      <wp:effectExtent l="0" t="0" r="0" b="0"/>
                      <wp:wrapNone/>
                      <wp:docPr id="313" name="Frame313"/>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4620" cy="175260"/>
                      <wp:effectExtent l="0" t="0" r="0" b="0"/>
                      <wp:wrapNone/>
                      <wp:docPr id="315" name="Frame315"/>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99110" cy="175260"/>
                      <wp:effectExtent l="0" t="0" r="0" b="0"/>
                      <wp:wrapNone/>
                      <wp:docPr id="316" name="Frame316"/>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8280" cy="175260"/>
                      <wp:effectExtent l="0" t="0" r="0" b="0"/>
                      <wp:wrapNone/>
                      <wp:docPr id="317" name="Frame317"/>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4620" cy="175260"/>
                      <wp:effectExtent l="0" t="0" r="0" b="0"/>
                      <wp:wrapNone/>
                      <wp:docPr id="318" name="Frame31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75310" cy="175260"/>
                      <wp:effectExtent l="0" t="0" r="0" b="0"/>
                      <wp:wrapNone/>
                      <wp:docPr id="319" name="Frame319"/>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58115" cy="175260"/>
                      <wp:effectExtent l="0" t="0" r="0" b="0"/>
                      <wp:wrapNone/>
                      <wp:docPr id="321" name="Frame32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85470" cy="175260"/>
                      <wp:effectExtent l="0" t="0" r="0" b="0"/>
                      <wp:wrapNone/>
                      <wp:docPr id="322" name="Frame322"/>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32105" cy="175260"/>
                      <wp:effectExtent l="0" t="0" r="0" b="0"/>
                      <wp:wrapNone/>
                      <wp:docPr id="324" name="Frame324"/>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49555" cy="175260"/>
                      <wp:effectExtent l="0" t="0" r="0" b="0"/>
                      <wp:wrapNone/>
                      <wp:docPr id="325" name="Frame325"/>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9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8" w:type="dxa"/>
            <w:tcBorders/>
            <w:vAlign w:val="center"/>
          </w:tcPr>
          <w:p>
            <w:pPr>
              <w:pStyle w:val="TableContents"/>
              <w:bidi w:val="0"/>
              <w:spacing w:lineRule="auto" w:line="285" w:before="0" w:after="0"/>
              <w:ind w:left="0" w:right="0" w:hanging="0"/>
              <w:jc w:val="center"/>
              <w:rPr/>
            </w:pPr>
            <w:r>
              <w:rPr/>
              <w:t>    </w:t>
            </w:r>
          </w:p>
        </w:tc>
        <w:tc>
          <w:tcPr>
            <w:tcW w:w="111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96,116</w:t>
            </w:r>
          </w:p>
        </w:tc>
        <w:tc>
          <w:tcPr>
            <w:tcW w:w="328" w:type="dxa"/>
            <w:tcBorders/>
            <w:shd w:fill="CCEEFF" w:val="clear"/>
            <w:vAlign w:val="center"/>
          </w:tcPr>
          <w:p>
            <w:pPr>
              <w:pStyle w:val="TableContents"/>
              <w:bidi w:val="0"/>
              <w:spacing w:lineRule="auto" w:line="285" w:before="0" w:after="0"/>
              <w:ind w:left="0" w:right="0" w:hanging="0"/>
              <w:jc w:val="left"/>
              <w:rPr/>
            </w:pPr>
            <w:r>
              <w:rPr/>
              <w:t>    </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63,287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32,829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and operating expenses</w:t>
            </w:r>
          </w:p>
        </w:tc>
        <w:tc>
          <w:tcPr>
            <w:tcW w:w="326" w:type="dxa"/>
            <w:tcBorders/>
            <w:vAlign w:val="center"/>
          </w:tcPr>
          <w:p>
            <w:pPr>
              <w:pStyle w:val="TableContents"/>
              <w:bidi w:val="0"/>
              <w:spacing w:lineRule="auto" w:line="285" w:before="0" w:after="0"/>
              <w:ind w:left="0" w:right="0" w:hanging="0"/>
              <w:jc w:val="left"/>
              <w:rPr/>
            </w:pPr>
            <w:r>
              <w:rPr/>
              <w:t>    </w:t>
            </w:r>
          </w:p>
        </w:tc>
        <w:tc>
          <w:tcPr>
            <w:tcW w:w="212" w:type="dxa"/>
            <w:tcBorders/>
            <w:vAlign w:val="center"/>
          </w:tcPr>
          <w:p>
            <w:pPr>
              <w:pStyle w:val="TableContents"/>
              <w:bidi w:val="0"/>
              <w:spacing w:lineRule="auto" w:line="285" w:before="0" w:after="0"/>
              <w:ind w:left="0" w:right="0" w:hanging="0"/>
              <w:jc w:val="left"/>
              <w:rPr/>
            </w:pPr>
            <w:r>
              <w:rPr/>
              <w:t> </w:t>
            </w:r>
          </w:p>
        </w:tc>
        <w:tc>
          <w:tcPr>
            <w:tcW w:w="7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174,939</w:t>
            </w:r>
          </w:p>
        </w:tc>
        <w:tc>
          <w:tcPr>
            <w:tcW w:w="328" w:type="dxa"/>
            <w:tcBorders/>
            <w:vAlign w:val="center"/>
          </w:tcPr>
          <w:p>
            <w:pPr>
              <w:pStyle w:val="TableContents"/>
              <w:bidi w:val="0"/>
              <w:spacing w:lineRule="auto" w:line="285" w:before="0" w:after="0"/>
              <w:ind w:left="0" w:right="0" w:hanging="0"/>
              <w:jc w:val="left"/>
              <w:rPr/>
            </w:pPr>
            <w:r>
              <w:rPr/>
              <w:t>    </w:t>
            </w:r>
          </w:p>
        </w:tc>
        <w:tc>
          <w:tcPr>
            <w:tcW w:w="212" w:type="dxa"/>
            <w:tcBorders/>
            <w:vAlign w:val="center"/>
          </w:tcPr>
          <w:p>
            <w:pPr>
              <w:pStyle w:val="TableContents"/>
              <w:bidi w:val="0"/>
              <w:spacing w:lineRule="auto" w:line="285" w:before="0" w:after="0"/>
              <w:ind w:left="0" w:right="0" w:hanging="0"/>
              <w:jc w:val="left"/>
              <w:rPr/>
            </w:pPr>
            <w:r>
              <w:rPr/>
              <w:t> </w:t>
            </w:r>
          </w:p>
        </w:tc>
        <w:tc>
          <w:tcPr>
            <w:tcW w:w="90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187,494</w:t>
            </w:r>
          </w:p>
        </w:tc>
        <w:tc>
          <w:tcPr>
            <w:tcW w:w="326" w:type="dxa"/>
            <w:tcBorders/>
            <w:vAlign w:val="center"/>
          </w:tcPr>
          <w:p>
            <w:pPr>
              <w:pStyle w:val="TableContents"/>
              <w:bidi w:val="0"/>
              <w:spacing w:lineRule="auto" w:line="285" w:before="0" w:after="0"/>
              <w:ind w:left="0" w:right="0" w:hanging="0"/>
              <w:jc w:val="left"/>
              <w:rPr/>
            </w:pPr>
            <w:r>
              <w:rPr/>
              <w:t>    </w:t>
            </w:r>
          </w:p>
        </w:tc>
        <w:tc>
          <w:tcPr>
            <w:tcW w:w="249" w:type="dxa"/>
            <w:tcBorders/>
            <w:vAlign w:val="center"/>
          </w:tcPr>
          <w:p>
            <w:pPr>
              <w:pStyle w:val="TableContents"/>
              <w:bidi w:val="0"/>
              <w:spacing w:lineRule="auto" w:line="285" w:before="0" w:after="0"/>
              <w:ind w:left="0" w:right="0" w:hanging="0"/>
              <w:jc w:val="left"/>
              <w:rPr/>
            </w:pPr>
            <w:r>
              <w:rPr/>
              <w:t> </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(12,555)</w:t>
            </w:r>
          </w:p>
        </w:tc>
        <w:tc>
          <w:tcPr>
            <w:tcW w:w="326" w:type="dxa"/>
            <w:tcBorders/>
            <w:vAlign w:val="center"/>
          </w:tcPr>
          <w:p>
            <w:pPr>
              <w:pStyle w:val="TableContents"/>
              <w:bidi w:val="0"/>
              <w:spacing w:lineRule="auto" w:line="285" w:before="0" w:after="0"/>
              <w:ind w:left="0" w:right="0" w:hanging="0"/>
              <w:jc w:val="left"/>
              <w:rPr/>
            </w:pPr>
            <w:r>
              <w:rPr/>
              <w:t>    </w:t>
            </w:r>
          </w:p>
        </w:tc>
        <w:tc>
          <w:tcPr>
            <w:tcW w:w="5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93" w:type="dxa"/>
            <w:tcBorders/>
            <w:vAlign w:val="center"/>
          </w:tcPr>
          <w:p>
            <w:pPr>
              <w:pStyle w:val="TableContents"/>
              <w:bidi w:val="0"/>
              <w:spacing w:lineRule="auto" w:line="285" w:before="0" w:after="0"/>
              <w:ind w:left="0" w:right="0" w:hanging="0"/>
              <w:jc w:val="center"/>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168,139</w:t>
            </w:r>
          </w:p>
        </w:tc>
        <w:tc>
          <w:tcPr>
            <w:tcW w:w="328" w:type="dxa"/>
            <w:tcBorders/>
            <w:shd w:fill="CCEEFF" w:val="clear"/>
            <w:vAlign w:val="center"/>
          </w:tcPr>
          <w:p>
            <w:pPr>
              <w:pStyle w:val="TableContents"/>
              <w:bidi w:val="0"/>
              <w:spacing w:lineRule="auto" w:line="285" w:before="0" w:after="0"/>
              <w:ind w:left="0" w:right="0" w:hanging="0"/>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(4,833)</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172,972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vAlign w:val="center"/>
          </w:tcPr>
          <w:p>
            <w:pPr>
              <w:pStyle w:val="TableContents"/>
              <w:bidi w:val="0"/>
              <w:spacing w:lineRule="auto" w:line="285" w:before="0" w:after="0"/>
              <w:ind w:left="0" w:right="0" w:hanging="0"/>
              <w:jc w:val="left"/>
              <w:rPr/>
            </w:pPr>
            <w:r>
              <w:rPr/>
              <w:t>    </w:t>
            </w:r>
          </w:p>
        </w:tc>
        <w:tc>
          <w:tcPr>
            <w:tcW w:w="212" w:type="dxa"/>
            <w:tcBorders/>
            <w:vAlign w:val="center"/>
          </w:tcPr>
          <w:p>
            <w:pPr>
              <w:pStyle w:val="TableContents"/>
              <w:bidi w:val="0"/>
              <w:spacing w:lineRule="auto" w:line="285" w:before="0" w:after="0"/>
              <w:ind w:left="0" w:right="0" w:hanging="0"/>
              <w:jc w:val="left"/>
              <w:rPr/>
            </w:pPr>
            <w:r>
              <w:rPr/>
              <w:t> </w:t>
            </w:r>
          </w:p>
        </w:tc>
        <w:tc>
          <w:tcPr>
            <w:tcW w:w="7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89,316</w:t>
            </w:r>
          </w:p>
        </w:tc>
        <w:tc>
          <w:tcPr>
            <w:tcW w:w="328" w:type="dxa"/>
            <w:tcBorders/>
            <w:vAlign w:val="center"/>
          </w:tcPr>
          <w:p>
            <w:pPr>
              <w:pStyle w:val="TableContents"/>
              <w:bidi w:val="0"/>
              <w:spacing w:lineRule="auto" w:line="285" w:before="0" w:after="0"/>
              <w:ind w:left="0" w:right="0" w:hanging="0"/>
              <w:jc w:val="left"/>
              <w:rPr/>
            </w:pPr>
            <w:r>
              <w:rPr/>
              <w:t>    </w:t>
            </w:r>
          </w:p>
        </w:tc>
        <w:tc>
          <w:tcPr>
            <w:tcW w:w="212" w:type="dxa"/>
            <w:tcBorders/>
            <w:vAlign w:val="center"/>
          </w:tcPr>
          <w:p>
            <w:pPr>
              <w:pStyle w:val="TableContents"/>
              <w:bidi w:val="0"/>
              <w:spacing w:lineRule="auto" w:line="285" w:before="0" w:after="0"/>
              <w:ind w:left="0" w:right="0" w:hanging="0"/>
              <w:jc w:val="left"/>
              <w:rPr/>
            </w:pPr>
            <w:r>
              <w:rPr/>
              <w:t> </w:t>
            </w:r>
          </w:p>
        </w:tc>
        <w:tc>
          <w:tcPr>
            <w:tcW w:w="90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(129,040)</w:t>
            </w:r>
          </w:p>
        </w:tc>
        <w:tc>
          <w:tcPr>
            <w:tcW w:w="326" w:type="dxa"/>
            <w:tcBorders/>
            <w:vAlign w:val="center"/>
          </w:tcPr>
          <w:p>
            <w:pPr>
              <w:pStyle w:val="TableContents"/>
              <w:bidi w:val="0"/>
              <w:spacing w:lineRule="auto" w:line="285" w:before="0" w:after="0"/>
              <w:ind w:left="0" w:right="0" w:hanging="0"/>
              <w:jc w:val="left"/>
              <w:rPr/>
            </w:pPr>
            <w:r>
              <w:rPr/>
              <w:t>    </w:t>
            </w:r>
          </w:p>
        </w:tc>
        <w:tc>
          <w:tcPr>
            <w:tcW w:w="249" w:type="dxa"/>
            <w:tcBorders/>
            <w:vAlign w:val="center"/>
          </w:tcPr>
          <w:p>
            <w:pPr>
              <w:pStyle w:val="TableContents"/>
              <w:bidi w:val="0"/>
              <w:spacing w:lineRule="auto" w:line="285" w:before="0" w:after="0"/>
              <w:ind w:left="0" w:right="0" w:hanging="0"/>
              <w:jc w:val="left"/>
              <w:rPr/>
            </w:pPr>
            <w:r>
              <w:rPr/>
              <w:t> </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218,356</w:t>
            </w:r>
          </w:p>
        </w:tc>
        <w:tc>
          <w:tcPr>
            <w:tcW w:w="326" w:type="dxa"/>
            <w:tcBorders/>
            <w:vAlign w:val="center"/>
          </w:tcPr>
          <w:p>
            <w:pPr>
              <w:pStyle w:val="TableContents"/>
              <w:bidi w:val="0"/>
              <w:spacing w:lineRule="auto" w:line="285" w:before="0" w:after="0"/>
              <w:ind w:left="0" w:right="0" w:hanging="0"/>
              <w:jc w:val="left"/>
              <w:rPr/>
            </w:pPr>
            <w:r>
              <w:rPr/>
              <w:t>    </w:t>
            </w:r>
          </w:p>
        </w:tc>
        <w:tc>
          <w:tcPr>
            <w:tcW w:w="523"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93" w:type="dxa"/>
            <w:tcBorders/>
            <w:vAlign w:val="center"/>
          </w:tcPr>
          <w:p>
            <w:pPr>
              <w:pStyle w:val="TableContents"/>
              <w:bidi w:val="0"/>
              <w:spacing w:lineRule="auto" w:line="285" w:before="0" w:after="0"/>
              <w:ind w:left="0" w:right="0" w:hanging="0"/>
              <w:jc w:val="center"/>
              <w:rPr/>
            </w:pPr>
            <w:r>
              <w:rPr/>
              <w: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28" w:type="dxa"/>
            <w:tcBorders/>
            <w:shd w:fill="CCEEFF" w:val="clear"/>
            <w:vAlign w:val="center"/>
          </w:tcPr>
          <w:p>
            <w:pPr>
              <w:pStyle w:val="TableContents"/>
              <w:bidi w:val="0"/>
              <w:spacing w:lineRule="auto" w:line="285" w:before="0" w:after="0"/>
              <w:ind w:left="0" w:right="0" w:hanging="0"/>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lineRule="auto" w:line="285" w:before="0" w:after="0"/>
              <w:ind w:left="0" w:right="0" w:hanging="0"/>
              <w:jc w:val="left"/>
              <w:rPr/>
            </w:pPr>
            <w:r>
              <w:rPr/>
              <w:t>    </w:t>
            </w:r>
          </w:p>
        </w:tc>
        <w:tc>
          <w:tcPr>
            <w:tcW w:w="2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89,136</w:t>
            </w:r>
          </w:p>
        </w:tc>
        <w:tc>
          <w:tcPr>
            <w:tcW w:w="328" w:type="dxa"/>
            <w:tcBorders/>
            <w:vAlign w:val="center"/>
          </w:tcPr>
          <w:p>
            <w:pPr>
              <w:pStyle w:val="TableContents"/>
              <w:bidi w:val="0"/>
              <w:spacing w:lineRule="auto" w:line="285" w:before="0" w:after="0"/>
              <w:ind w:left="0" w:right="0" w:hanging="0"/>
              <w:jc w:val="left"/>
              <w:rPr/>
            </w:pPr>
            <w:r>
              <w:rPr/>
              <w:t>    </w:t>
            </w:r>
          </w:p>
        </w:tc>
        <w:tc>
          <w:tcPr>
            <w:tcW w:w="2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(129,560)</w:t>
            </w:r>
          </w:p>
        </w:tc>
        <w:tc>
          <w:tcPr>
            <w:tcW w:w="326" w:type="dxa"/>
            <w:tcBorders/>
            <w:vAlign w:val="center"/>
          </w:tcPr>
          <w:p>
            <w:pPr>
              <w:pStyle w:val="TableContents"/>
              <w:bidi w:val="0"/>
              <w:spacing w:lineRule="auto" w:line="285" w:before="0" w:after="0"/>
              <w:ind w:left="0" w:right="0" w:hanging="0"/>
              <w:jc w:val="left"/>
              <w:rPr/>
            </w:pPr>
            <w:r>
              <w:rPr/>
              <w:t>    </w:t>
            </w:r>
          </w:p>
        </w:tc>
        <w:tc>
          <w:tcPr>
            <w:tcW w:w="24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218,696</w:t>
            </w:r>
          </w:p>
        </w:tc>
        <w:tc>
          <w:tcPr>
            <w:tcW w:w="326" w:type="dxa"/>
            <w:tcBorders/>
            <w:vAlign w:val="center"/>
          </w:tcPr>
          <w:p>
            <w:pPr>
              <w:pStyle w:val="TableContents"/>
              <w:bidi w:val="0"/>
              <w:spacing w:lineRule="auto" w:line="285" w:before="0" w:after="0"/>
              <w:ind w:left="0" w:right="0" w:hanging="0"/>
              <w:jc w:val="left"/>
              <w:rPr/>
            </w:pPr>
            <w:r>
              <w:rPr/>
              <w:t>    </w:t>
            </w:r>
          </w:p>
        </w:tc>
        <w:tc>
          <w:tcPr>
            <w:tcW w:w="52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93"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Total Revenues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Total revenues consist of the following (in thousands):</w:t>
      </w:r>
    </w:p>
    <w:tbl>
      <w:tblPr>
        <w:tblW w:w="8599" w:type="dxa"/>
        <w:jc w:val="left"/>
        <w:tblInd w:w="0" w:type="dxa"/>
        <w:tblLayout w:type="fixed"/>
        <w:tblCellMar>
          <w:top w:w="0" w:type="dxa"/>
          <w:left w:w="0" w:type="dxa"/>
          <w:bottom w:w="0" w:type="dxa"/>
          <w:right w:w="0" w:type="dxa"/>
        </w:tblCellMar>
      </w:tblPr>
      <w:tblGrid>
        <w:gridCol w:w="2911"/>
        <w:gridCol w:w="386"/>
        <w:gridCol w:w="238"/>
        <w:gridCol w:w="765"/>
        <w:gridCol w:w="437"/>
        <w:gridCol w:w="238"/>
        <w:gridCol w:w="765"/>
        <w:gridCol w:w="386"/>
        <w:gridCol w:w="260"/>
        <w:gridCol w:w="911"/>
        <w:gridCol w:w="386"/>
        <w:gridCol w:w="523"/>
        <w:gridCol w:w="393"/>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848485" cy="175260"/>
                      <wp:effectExtent l="0" t="0" r="0" b="0"/>
                      <wp:wrapNone/>
                      <wp:docPr id="326" name="Frame326"/>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45110" cy="175260"/>
                      <wp:effectExtent l="0" t="0" r="0" b="0"/>
                      <wp:wrapNone/>
                      <wp:docPr id="327" name="Frame32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51130" cy="175260"/>
                      <wp:effectExtent l="0" t="0" r="0" b="0"/>
                      <wp:wrapNone/>
                      <wp:docPr id="328" name="Frame328"/>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85775" cy="175260"/>
                      <wp:effectExtent l="0" t="0" r="0" b="0"/>
                      <wp:wrapNone/>
                      <wp:docPr id="329" name="Frame329"/>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77495" cy="175260"/>
                      <wp:effectExtent l="0" t="0" r="0" b="0"/>
                      <wp:wrapNone/>
                      <wp:docPr id="330" name="Frame330"/>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51130" cy="175260"/>
                      <wp:effectExtent l="0" t="0" r="0" b="0"/>
                      <wp:wrapNone/>
                      <wp:docPr id="331" name="Frame331"/>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85775" cy="175260"/>
                      <wp:effectExtent l="0" t="0" r="0" b="0"/>
                      <wp:wrapNone/>
                      <wp:docPr id="332" name="Frame332"/>
                      <a:graphic xmlns:a="http://schemas.openxmlformats.org/drawingml/2006/main">
                        <a:graphicData uri="http://schemas.microsoft.com/office/word/2010/wordprocessingShape">
                          <wps:wsp>
                            <wps:cNvSpPr txBox="1"/>
                            <wps:spPr>
                              <a:xfrm>
                                <a:off x="0" y="0"/>
                                <a:ext cx="4857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45110" cy="175260"/>
                      <wp:effectExtent l="0" t="0" r="0" b="0"/>
                      <wp:wrapNone/>
                      <wp:docPr id="333" name="Frame33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65100" cy="175260"/>
                      <wp:effectExtent l="0" t="0" r="0" b="0"/>
                      <wp:wrapNone/>
                      <wp:docPr id="334" name="Frame334"/>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78485" cy="175260"/>
                      <wp:effectExtent l="0" t="0" r="0" b="0"/>
                      <wp:wrapNone/>
                      <wp:docPr id="335" name="Frame335"/>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45110" cy="175260"/>
                      <wp:effectExtent l="0" t="0" r="0" b="0"/>
                      <wp:wrapNone/>
                      <wp:docPr id="336" name="Frame336"/>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32105" cy="175260"/>
                      <wp:effectExtent l="0" t="0" r="0" b="0"/>
                      <wp:wrapNone/>
                      <wp:docPr id="337" name="Frame337"/>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49555" cy="175260"/>
                      <wp:effectExtent l="0" t="0" r="0" b="0"/>
                      <wp:wrapNone/>
                      <wp:docPr id="338" name="Frame338"/>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     </w:t>
            </w:r>
          </w:p>
        </w:tc>
        <w:tc>
          <w:tcPr>
            <w:tcW w:w="244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86" w:type="dxa"/>
            <w:tcBorders/>
            <w:vAlign w:val="center"/>
          </w:tcPr>
          <w:p>
            <w:pPr>
              <w:pStyle w:val="TableContents"/>
              <w:bidi w:val="0"/>
              <w:spacing w:lineRule="auto" w:line="285" w:before="0" w:after="0"/>
              <w:ind w:left="0" w:right="0" w:hanging="0"/>
              <w:jc w:val="left"/>
              <w:rPr/>
            </w:pPr>
            <w:r>
              <w:rPr/>
              <w:t>     </w:t>
            </w:r>
          </w:p>
        </w:tc>
        <w:tc>
          <w:tcPr>
            <w:tcW w:w="260" w:type="dxa"/>
            <w:tcBorders/>
            <w:vAlign w:val="center"/>
          </w:tcPr>
          <w:p>
            <w:pPr>
              <w:pStyle w:val="TableContents"/>
              <w:bidi w:val="0"/>
              <w:spacing w:lineRule="auto" w:line="285" w:before="0" w:after="0"/>
              <w:ind w:left="0" w:right="0" w:hanging="0"/>
              <w:jc w:val="left"/>
              <w:rPr/>
            </w:pPr>
            <w:r>
              <w:rPr/>
              <w:t>​</w:t>
            </w:r>
          </w:p>
        </w:tc>
        <w:tc>
          <w:tcPr>
            <w:tcW w:w="911"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     </w:t>
            </w:r>
          </w:p>
        </w:tc>
        <w:tc>
          <w:tcPr>
            <w:tcW w:w="523" w:type="dxa"/>
            <w:tcBorders/>
            <w:vAlign w:val="center"/>
          </w:tcPr>
          <w:p>
            <w:pPr>
              <w:pStyle w:val="TableContents"/>
              <w:bidi w:val="0"/>
              <w:spacing w:lineRule="auto" w:line="285" w:before="0" w:after="0"/>
              <w:ind w:left="0" w:right="0" w:hanging="0"/>
              <w:jc w:val="left"/>
              <w:rPr/>
            </w:pPr>
            <w:r>
              <w:rPr/>
              <w:t>​</w:t>
            </w:r>
          </w:p>
        </w:tc>
        <w:tc>
          <w:tcPr>
            <w:tcW w:w="393" w:type="dxa"/>
            <w:tcBorders/>
            <w:vAlign w:val="center"/>
          </w:tcPr>
          <w:p>
            <w:pPr>
              <w:pStyle w:val="TableContents"/>
              <w:bidi w:val="0"/>
              <w:spacing w:lineRule="auto" w:line="285" w:before="0" w:after="0"/>
              <w:ind w:left="0" w:right="0" w:hanging="0"/>
              <w:jc w:val="center"/>
              <w:rPr/>
            </w:pPr>
            <w:r>
              <w:rPr/>
              <w:t>​</w: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     </w:t>
            </w:r>
          </w:p>
        </w:tc>
        <w:tc>
          <w:tcPr>
            <w:tcW w:w="100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37" w:type="dxa"/>
            <w:tcBorders/>
            <w:vAlign w:val="center"/>
          </w:tcPr>
          <w:p>
            <w:pPr>
              <w:pStyle w:val="TableContents"/>
              <w:bidi w:val="0"/>
              <w:spacing w:lineRule="auto" w:line="285" w:before="0" w:after="0"/>
              <w:ind w:left="0" w:right="0" w:hanging="0"/>
              <w:jc w:val="center"/>
              <w:rPr/>
            </w:pPr>
            <w:r>
              <w:rPr/>
              <w:t>   </w:t>
            </w:r>
          </w:p>
        </w:tc>
        <w:tc>
          <w:tcPr>
            <w:tcW w:w="100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8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9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92,525</w:t>
            </w:r>
          </w:p>
        </w:tc>
        <w:tc>
          <w:tcPr>
            <w:tcW w:w="437" w:type="dxa"/>
            <w:tcBorders/>
            <w:shd w:fill="CCEEFF" w:val="clear"/>
            <w:vAlign w:val="center"/>
          </w:tcPr>
          <w:p>
            <w:pPr>
              <w:pStyle w:val="TableContents"/>
              <w:bidi w:val="0"/>
              <w:spacing w:lineRule="auto" w:line="285" w:before="0" w:after="0"/>
              <w:ind w:left="0" w:right="0" w:hanging="0"/>
              <w:jc w:val="left"/>
              <w:rPr/>
            </w:pPr>
            <w:r>
              <w:rPr/>
              <w:t>     </w:t>
            </w:r>
          </w:p>
        </w:tc>
        <w:tc>
          <w:tcPr>
            <w:tcW w:w="23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39,069</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53,456</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9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Collaboration and license revenue</w:t>
            </w:r>
          </w:p>
        </w:tc>
        <w:tc>
          <w:tcPr>
            <w:tcW w:w="386" w:type="dxa"/>
            <w:tcBorders/>
            <w:vAlign w:val="center"/>
          </w:tcPr>
          <w:p>
            <w:pPr>
              <w:pStyle w:val="TableContents"/>
              <w:bidi w:val="0"/>
              <w:spacing w:lineRule="auto" w:line="285" w:before="0" w:after="0"/>
              <w:ind w:left="0" w:right="0" w:hanging="0"/>
              <w:jc w:val="left"/>
              <w:rPr/>
            </w:pPr>
            <w:r>
              <w:rPr/>
              <w:t>     </w:t>
            </w:r>
          </w:p>
        </w:tc>
        <w:tc>
          <w:tcPr>
            <w:tcW w:w="23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3,591</w:t>
            </w:r>
          </w:p>
        </w:tc>
        <w:tc>
          <w:tcPr>
            <w:tcW w:w="437" w:type="dxa"/>
            <w:tcBorders/>
            <w:vAlign w:val="center"/>
          </w:tcPr>
          <w:p>
            <w:pPr>
              <w:pStyle w:val="TableContents"/>
              <w:bidi w:val="0"/>
              <w:spacing w:lineRule="auto" w:line="285" w:before="0" w:after="0"/>
              <w:ind w:left="0" w:right="0" w:hanging="0"/>
              <w:jc w:val="left"/>
              <w:rPr/>
            </w:pPr>
            <w:r>
              <w:rPr/>
              <w:t>     </w:t>
            </w:r>
          </w:p>
        </w:tc>
        <w:tc>
          <w:tcPr>
            <w:tcW w:w="23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24,218</w:t>
            </w:r>
          </w:p>
        </w:tc>
        <w:tc>
          <w:tcPr>
            <w:tcW w:w="386" w:type="dxa"/>
            <w:tcBorders/>
            <w:vAlign w:val="center"/>
          </w:tcPr>
          <w:p>
            <w:pPr>
              <w:pStyle w:val="TableContents"/>
              <w:bidi w:val="0"/>
              <w:spacing w:lineRule="auto" w:line="285" w:before="0" w:after="0"/>
              <w:ind w:left="0" w:right="0" w:hanging="0"/>
              <w:jc w:val="left"/>
              <w:rPr/>
            </w:pPr>
            <w:r>
              <w:rPr/>
              <w:t>     </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(20,627)</w:t>
            </w:r>
          </w:p>
        </w:tc>
        <w:tc>
          <w:tcPr>
            <w:tcW w:w="386" w:type="dxa"/>
            <w:tcBorders/>
            <w:vAlign w:val="center"/>
          </w:tcPr>
          <w:p>
            <w:pPr>
              <w:pStyle w:val="TableContents"/>
              <w:bidi w:val="0"/>
              <w:spacing w:lineRule="auto" w:line="285" w:before="0" w:after="0"/>
              <w:ind w:left="0" w:right="0" w:hanging="0"/>
              <w:jc w:val="left"/>
              <w:rPr/>
            </w:pPr>
            <w:r>
              <w:rPr/>
              <w:t>     </w:t>
            </w:r>
          </w:p>
        </w:tc>
        <w:tc>
          <w:tcPr>
            <w:tcW w:w="5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9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29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96,116</w:t>
            </w:r>
          </w:p>
        </w:tc>
        <w:tc>
          <w:tcPr>
            <w:tcW w:w="437" w:type="dxa"/>
            <w:tcBorders/>
            <w:shd w:fill="CCEEFF" w:val="clear"/>
            <w:vAlign w:val="center"/>
          </w:tcPr>
          <w:p>
            <w:pPr>
              <w:pStyle w:val="TableContents"/>
              <w:bidi w:val="0"/>
              <w:spacing w:lineRule="auto" w:line="285" w:before="0" w:after="0"/>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63,287</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32,829</w:t>
            </w:r>
          </w:p>
        </w:tc>
        <w:tc>
          <w:tcPr>
            <w:tcW w:w="386" w:type="dxa"/>
            <w:tcBorders/>
            <w:shd w:fill="CCEEFF" w:val="clear"/>
            <w:vAlign w:val="center"/>
          </w:tcPr>
          <w:p>
            <w:pPr>
              <w:pStyle w:val="TableContents"/>
              <w:bidi w:val="0"/>
              <w:spacing w:lineRule="auto" w:line="285" w:before="0" w:after="0"/>
              <w:ind w:left="0" w:right="0" w:hanging="0"/>
              <w:jc w:val="left"/>
              <w:rPr/>
            </w:pPr>
            <w:r>
              <w:rPr/>
              <w:t>     </w:t>
            </w:r>
          </w:p>
        </w:tc>
        <w:tc>
          <w:tcPr>
            <w:tcW w:w="5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Product Revenue, Net </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following table summarizes revenue recognized from sales of AYVAKIT/AYVAKYT during the three months ended March 31, 2024 and 2023 (in thousands): </w:t>
      </w:r>
    </w:p>
    <w:tbl>
      <w:tblPr>
        <w:tblW w:w="6754" w:type="dxa"/>
        <w:jc w:val="left"/>
        <w:tblInd w:w="0" w:type="dxa"/>
        <w:tblLayout w:type="fixed"/>
        <w:tblCellMar>
          <w:top w:w="0" w:type="dxa"/>
          <w:left w:w="0" w:type="dxa"/>
          <w:bottom w:w="0" w:type="dxa"/>
          <w:right w:w="0" w:type="dxa"/>
        </w:tblCellMar>
      </w:tblPr>
      <w:tblGrid>
        <w:gridCol w:w="1246"/>
        <w:gridCol w:w="326"/>
        <w:gridCol w:w="245"/>
        <w:gridCol w:w="787"/>
        <w:gridCol w:w="379"/>
        <w:gridCol w:w="245"/>
        <w:gridCol w:w="787"/>
        <w:gridCol w:w="326"/>
        <w:gridCol w:w="278"/>
        <w:gridCol w:w="893"/>
        <w:gridCol w:w="326"/>
        <w:gridCol w:w="523"/>
        <w:gridCol w:w="393"/>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791210" cy="175260"/>
                      <wp:effectExtent l="0" t="0" r="0" b="0"/>
                      <wp:wrapNone/>
                      <wp:docPr id="339" name="Frame339"/>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55575" cy="175260"/>
                      <wp:effectExtent l="0" t="0" r="0" b="0"/>
                      <wp:wrapNone/>
                      <wp:docPr id="341" name="Frame341"/>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99745" cy="175260"/>
                      <wp:effectExtent l="0" t="0" r="0" b="0"/>
                      <wp:wrapNone/>
                      <wp:docPr id="342" name="Frame342"/>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40665" cy="175260"/>
                      <wp:effectExtent l="0" t="0" r="0" b="0"/>
                      <wp:wrapNone/>
                      <wp:docPr id="343" name="Frame343"/>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55575" cy="175260"/>
                      <wp:effectExtent l="0" t="0" r="0" b="0"/>
                      <wp:wrapNone/>
                      <wp:docPr id="344" name="Frame344"/>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99745" cy="175260"/>
                      <wp:effectExtent l="0" t="0" r="0" b="0"/>
                      <wp:wrapNone/>
                      <wp:docPr id="345" name="Frame345"/>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76530" cy="175260"/>
                      <wp:effectExtent l="0" t="0" r="0" b="0"/>
                      <wp:wrapNone/>
                      <wp:docPr id="347" name="Frame347"/>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67055" cy="175260"/>
                      <wp:effectExtent l="0" t="0" r="0" b="0"/>
                      <wp:wrapNone/>
                      <wp:docPr id="348" name="Frame348"/>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32105" cy="175260"/>
                      <wp:effectExtent l="0" t="0" r="0" b="0"/>
                      <wp:wrapNone/>
                      <wp:docPr id="350" name="Frame350"/>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49555" cy="175260"/>
                      <wp:effectExtent l="0" t="0" r="0" b="0"/>
                      <wp:wrapNone/>
                      <wp:docPr id="351" name="Frame351"/>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44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lineRule="auto" w:line="285" w:before="0" w:after="0"/>
              <w:ind w:left="0" w:right="0" w:hanging="0"/>
              <w:jc w:val="center"/>
              <w:rPr/>
            </w:pPr>
            <w:r>
              <w:rPr/>
              <w:t>​</w:t>
            </w:r>
          </w:p>
        </w:tc>
        <w:tc>
          <w:tcPr>
            <w:tcW w:w="278" w:type="dxa"/>
            <w:tcBorders/>
            <w:vAlign w:val="center"/>
          </w:tcPr>
          <w:p>
            <w:pPr>
              <w:pStyle w:val="TableContents"/>
              <w:bidi w:val="0"/>
              <w:spacing w:lineRule="auto" w:line="285" w:before="0" w:after="0"/>
              <w:ind w:left="0" w:right="0" w:hanging="0"/>
              <w:jc w:val="center"/>
              <w:rPr/>
            </w:pPr>
            <w:r>
              <w:rPr/>
              <w:t>​</w:t>
            </w:r>
          </w:p>
        </w:tc>
        <w:tc>
          <w:tcPr>
            <w:tcW w:w="893" w:type="dxa"/>
            <w:tcBorders/>
            <w:vAlign w:val="center"/>
          </w:tcPr>
          <w:p>
            <w:pPr>
              <w:pStyle w:val="TableContents"/>
              <w:bidi w:val="0"/>
              <w:spacing w:lineRule="auto" w:line="285" w:before="0" w:after="0"/>
              <w:ind w:left="0" w:right="0" w:hanging="0"/>
              <w:jc w:val="center"/>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523" w:type="dxa"/>
            <w:tcBorders/>
            <w:vAlign w:val="center"/>
          </w:tcPr>
          <w:p>
            <w:pPr>
              <w:pStyle w:val="TableContents"/>
              <w:bidi w:val="0"/>
              <w:spacing w:lineRule="auto" w:line="285" w:before="0" w:after="0"/>
              <w:ind w:left="0" w:right="0" w:hanging="0"/>
              <w:jc w:val="center"/>
              <w:rPr/>
            </w:pPr>
            <w:r>
              <w:rPr/>
              <w:t>​</w:t>
            </w:r>
          </w:p>
        </w:tc>
        <w:tc>
          <w:tcPr>
            <w:tcW w:w="393" w:type="dxa"/>
            <w:tcBorders/>
            <w:vAlign w:val="center"/>
          </w:tcPr>
          <w:p>
            <w:pPr>
              <w:pStyle w:val="TableContents"/>
              <w:bidi w:val="0"/>
              <w:spacing w:lineRule="auto" w:line="285" w:before="0" w:after="0"/>
              <w:ind w:left="0" w:right="0" w:hanging="0"/>
              <w:jc w:val="center"/>
              <w:rPr/>
            </w:pPr>
            <w:r>
              <w:rPr/>
              <w:t> </w:t>
            </w:r>
          </w:p>
        </w:tc>
      </w:tr>
      <w:tr>
        <w:trPr/>
        <w:tc>
          <w:tcPr>
            <w:tcW w:w="124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0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9" w:type="dxa"/>
            <w:tcBorders/>
            <w:vAlign w:val="center"/>
          </w:tcPr>
          <w:p>
            <w:pPr>
              <w:pStyle w:val="TableContents"/>
              <w:bidi w:val="0"/>
              <w:spacing w:lineRule="auto" w:line="285" w:before="0" w:after="0"/>
              <w:ind w:left="0" w:right="0" w:hanging="0"/>
              <w:jc w:val="left"/>
              <w:rPr/>
            </w:pPr>
            <w:r>
              <w:rPr/>
              <w:t>    </w:t>
            </w:r>
          </w:p>
        </w:tc>
        <w:tc>
          <w:tcPr>
            <w:tcW w:w="10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83,136</w:t>
            </w:r>
          </w:p>
        </w:tc>
        <w:tc>
          <w:tcPr>
            <w:tcW w:w="379" w:type="dxa"/>
            <w:tcBorders/>
            <w:shd w:fill="CCEEFF" w:val="clear"/>
            <w:vAlign w:val="center"/>
          </w:tcPr>
          <w:p>
            <w:pPr>
              <w:pStyle w:val="TableContents"/>
              <w:bidi w:val="0"/>
              <w:spacing w:lineRule="auto" w:line="285" w:before="0" w:after="0"/>
              <w:ind w:left="0" w:right="0" w:hanging="0"/>
              <w:jc w:val="center"/>
              <w:rPr/>
            </w:pPr>
            <w:r>
              <w:rPr/>
              <w:t>​</w:t>
            </w:r>
          </w:p>
        </w:tc>
        <w:tc>
          <w:tcPr>
            <w:tcW w:w="2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34,927</w:t>
            </w:r>
          </w:p>
        </w:tc>
        <w:tc>
          <w:tcPr>
            <w:tcW w:w="326" w:type="dxa"/>
            <w:tcBorders/>
            <w:shd w:fill="CCEEFF" w:val="clear"/>
            <w:vAlign w:val="center"/>
          </w:tcPr>
          <w:p>
            <w:pPr>
              <w:pStyle w:val="TableContents"/>
              <w:bidi w:val="0"/>
              <w:spacing w:lineRule="auto" w:line="285" w:before="0" w:after="0"/>
              <w:ind w:left="0" w:right="0" w:hanging="0"/>
              <w:jc w:val="center"/>
              <w:rPr/>
            </w:pPr>
            <w:r>
              <w:rPr/>
              <w:t>​</w:t>
            </w:r>
          </w:p>
        </w:tc>
        <w:tc>
          <w:tcPr>
            <w:tcW w:w="27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48,209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93"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2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Rest of World</w:t>
            </w:r>
          </w:p>
        </w:tc>
        <w:tc>
          <w:tcPr>
            <w:tcW w:w="326" w:type="dxa"/>
            <w:tcBorders/>
            <w:vAlign w:val="center"/>
          </w:tcPr>
          <w:p>
            <w:pPr>
              <w:pStyle w:val="TableContents"/>
              <w:bidi w:val="0"/>
              <w:spacing w:lineRule="auto" w:line="285"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9,389</w:t>
            </w:r>
          </w:p>
        </w:tc>
        <w:tc>
          <w:tcPr>
            <w:tcW w:w="379" w:type="dxa"/>
            <w:tcBorders/>
            <w:vAlign w:val="center"/>
          </w:tcPr>
          <w:p>
            <w:pPr>
              <w:pStyle w:val="TableContents"/>
              <w:bidi w:val="0"/>
              <w:spacing w:lineRule="auto" w:line="285"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4,142</w:t>
            </w:r>
          </w:p>
        </w:tc>
        <w:tc>
          <w:tcPr>
            <w:tcW w:w="326" w:type="dxa"/>
            <w:tcBorders/>
            <w:vAlign w:val="center"/>
          </w:tcPr>
          <w:p>
            <w:pPr>
              <w:pStyle w:val="TableContents"/>
              <w:bidi w:val="0"/>
              <w:spacing w:lineRule="auto" w:line="285"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5,247</w:t>
            </w:r>
          </w:p>
        </w:tc>
        <w:tc>
          <w:tcPr>
            <w:tcW w:w="326" w:type="dxa"/>
            <w:tcBorders/>
            <w:vAlign w:val="center"/>
          </w:tcPr>
          <w:p>
            <w:pPr>
              <w:pStyle w:val="TableContents"/>
              <w:bidi w:val="0"/>
              <w:spacing w:lineRule="auto" w:line="285" w:before="0" w:after="0"/>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93"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1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92,525</w:t>
            </w:r>
          </w:p>
        </w:tc>
        <w:tc>
          <w:tcPr>
            <w:tcW w:w="379" w:type="dxa"/>
            <w:tcBorders/>
            <w:shd w:fill="CCEEFF" w:val="clear"/>
            <w:vAlign w:val="center"/>
          </w:tcPr>
          <w:p>
            <w:pPr>
              <w:pStyle w:val="TableContents"/>
              <w:bidi w:val="0"/>
              <w:spacing w:lineRule="auto" w:line="285"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39,069</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53,456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52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Product revenue, net increased during the three months ended March 31, 2024 as compared to the three months ended March 31, 2023 primarily driven by growth in the number of SM patients on therapy, including advanced SM and indolent SM with the recent label expansion.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160"/>
        <w:ind w:left="0" w:right="0" w:hanging="0"/>
        <w:jc w:val="left"/>
        <w:rPr>
          <w:rFonts w:ascii="Times New Roman;Times;serif" w:hAnsi="Times New Roman;Times;serif"/>
          <w:i/>
          <w:sz w:val="20"/>
        </w:rPr>
      </w:pPr>
      <w:r>
        <w:rPr>
          <w:rFonts w:ascii="Times New Roman;Times;serif" w:hAnsi="Times New Roman;Times;serif"/>
          <w:i/>
          <w:sz w:val="20"/>
        </w:rPr>
        <w:t>Collaboration and License Revenue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revenue recognized from our collaboration and license agreements during the three months ended March 31, 2024 and 2023 (in thousands):</w:t>
      </w:r>
    </w:p>
    <w:tbl>
      <w:tblPr>
        <w:tblW w:w="8808" w:type="dxa"/>
        <w:jc w:val="left"/>
        <w:tblInd w:w="0" w:type="dxa"/>
        <w:tblLayout w:type="fixed"/>
        <w:tblCellMar>
          <w:top w:w="0" w:type="dxa"/>
          <w:left w:w="0" w:type="dxa"/>
          <w:bottom w:w="0" w:type="dxa"/>
          <w:right w:w="0" w:type="dxa"/>
        </w:tblCellMar>
      </w:tblPr>
      <w:tblGrid>
        <w:gridCol w:w="3346"/>
        <w:gridCol w:w="326"/>
        <w:gridCol w:w="258"/>
        <w:gridCol w:w="700"/>
        <w:gridCol w:w="399"/>
        <w:gridCol w:w="258"/>
        <w:gridCol w:w="828"/>
        <w:gridCol w:w="326"/>
        <w:gridCol w:w="235"/>
        <w:gridCol w:w="890"/>
        <w:gridCol w:w="326"/>
        <w:gridCol w:w="552"/>
        <w:gridCol w:w="364"/>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24710" cy="175260"/>
                      <wp:effectExtent l="0" t="0" r="0" b="0"/>
                      <wp:wrapNone/>
                      <wp:docPr id="352" name="Frame352"/>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63830" cy="175260"/>
                      <wp:effectExtent l="0" t="0" r="0" b="0"/>
                      <wp:wrapNone/>
                      <wp:docPr id="354" name="Frame354"/>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44500" cy="175260"/>
                      <wp:effectExtent l="0" t="0" r="0" b="0"/>
                      <wp:wrapNone/>
                      <wp:docPr id="355" name="Frame355"/>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53365" cy="175260"/>
                      <wp:effectExtent l="0" t="0" r="0" b="0"/>
                      <wp:wrapNone/>
                      <wp:docPr id="356" name="Frame356"/>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63830" cy="175260"/>
                      <wp:effectExtent l="0" t="0" r="0" b="0"/>
                      <wp:wrapNone/>
                      <wp:docPr id="357" name="Frame357"/>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25780" cy="175260"/>
                      <wp:effectExtent l="0" t="0" r="0" b="0"/>
                      <wp:wrapNone/>
                      <wp:docPr id="358" name="Frame358"/>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49225" cy="175260"/>
                      <wp:effectExtent l="0" t="0" r="0" b="0"/>
                      <wp:wrapNone/>
                      <wp:docPr id="360" name="Frame360"/>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65150" cy="175260"/>
                      <wp:effectExtent l="0" t="0" r="0" b="0"/>
                      <wp:wrapNone/>
                      <wp:docPr id="361" name="Frame361"/>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2" name="Frame3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50520" cy="175260"/>
                      <wp:effectExtent l="0" t="0" r="0" b="0"/>
                      <wp:wrapNone/>
                      <wp:docPr id="363" name="Frame363"/>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31140" cy="175260"/>
                      <wp:effectExtent l="0" t="0" r="0" b="0"/>
                      <wp:wrapNone/>
                      <wp:docPr id="364" name="Frame364"/>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44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lineRule="auto" w:line="285" w:before="0" w:after="0"/>
              <w:ind w:left="0" w:right="0" w:hanging="0"/>
              <w:jc w:val="left"/>
              <w:rPr/>
            </w:pPr>
            <w:r>
              <w:rPr/>
              <w:t>​</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552" w:type="dxa"/>
            <w:tcBorders/>
            <w:vAlign w:val="center"/>
          </w:tcPr>
          <w:p>
            <w:pPr>
              <w:pStyle w:val="TableContents"/>
              <w:bidi w:val="0"/>
              <w:spacing w:lineRule="auto" w:line="285" w:before="0" w:after="0"/>
              <w:ind w:left="0" w:right="0" w:hanging="0"/>
              <w:jc w:val="left"/>
              <w:rPr/>
            </w:pPr>
            <w:r>
              <w:rPr/>
              <w:t>​</w:t>
            </w:r>
          </w:p>
        </w:tc>
        <w:tc>
          <w:tcPr>
            <w:tcW w:w="364" w:type="dxa"/>
            <w:tcBorders/>
            <w:vAlign w:val="center"/>
          </w:tcPr>
          <w:p>
            <w:pPr>
              <w:pStyle w:val="TableContents"/>
              <w:bidi w:val="0"/>
              <w:spacing w:lineRule="auto" w:line="285" w:before="0" w:after="0"/>
              <w:ind w:left="0" w:right="0" w:hanging="0"/>
              <w:jc w:val="left"/>
              <w:rPr/>
            </w:pPr>
            <w:r>
              <w:rPr/>
              <w:t>​</w:t>
            </w:r>
          </w:p>
        </w:tc>
      </w:tr>
      <w:tr>
        <w:trPr/>
        <w:tc>
          <w:tcPr>
            <w:tcW w:w="334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5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9" w:type="dxa"/>
            <w:tcBorders/>
            <w:vAlign w:val="center"/>
          </w:tcPr>
          <w:p>
            <w:pPr>
              <w:pStyle w:val="TableContents"/>
              <w:bidi w:val="0"/>
              <w:spacing w:lineRule="auto" w:line="285" w:before="0" w:after="0"/>
              <w:ind w:left="0" w:right="0" w:hanging="0"/>
              <w:jc w:val="left"/>
              <w:rPr/>
            </w:pPr>
            <w:r>
              <w:rPr/>
              <w:t>    </w:t>
            </w:r>
          </w:p>
        </w:tc>
        <w:tc>
          <w:tcPr>
            <w:tcW w:w="10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CStone collaboration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1,653</w:t>
            </w:r>
          </w:p>
        </w:tc>
        <w:tc>
          <w:tcPr>
            <w:tcW w:w="399" w:type="dxa"/>
            <w:tcBorders/>
            <w:shd w:fill="CCEEFF" w:val="clear"/>
            <w:vAlign w:val="center"/>
          </w:tcPr>
          <w:p>
            <w:pPr>
              <w:pStyle w:val="TableContents"/>
              <w:bidi w:val="0"/>
              <w:spacing w:lineRule="auto" w:line="285" w:before="0" w:after="0"/>
              <w:ind w:left="0" w:right="0" w:hanging="0"/>
              <w:jc w:val="center"/>
              <w:rPr/>
            </w:pPr>
            <w:r>
              <w:rPr/>
              <w:t>​</w:t>
            </w:r>
          </w:p>
        </w:tc>
        <w:tc>
          <w:tcPr>
            <w:tcW w:w="25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1,652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4"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Roche pralsetinib collaboration</w:t>
            </w:r>
          </w:p>
        </w:tc>
        <w:tc>
          <w:tcPr>
            <w:tcW w:w="326"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0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1,938</w:t>
            </w:r>
          </w:p>
        </w:tc>
        <w:tc>
          <w:tcPr>
            <w:tcW w:w="399" w:type="dxa"/>
            <w:tcBorders/>
            <w:vAlign w:val="center"/>
          </w:tcPr>
          <w:p>
            <w:pPr>
              <w:pStyle w:val="TableContents"/>
              <w:bidi w:val="0"/>
              <w:spacing w:lineRule="auto" w:line="285" w:before="0" w:after="0"/>
              <w:ind w:left="0" w:right="0" w:hanging="0"/>
              <w:jc w:val="center"/>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82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326" w:type="dxa"/>
            <w:tcBorders/>
            <w:vAlign w:val="center"/>
          </w:tcPr>
          <w:p>
            <w:pPr>
              <w:pStyle w:val="TableContents"/>
              <w:bidi w:val="0"/>
              <w:spacing w:lineRule="auto" w:line="285" w:before="0" w:after="0"/>
              <w:ind w:left="0" w:right="0" w:hanging="0"/>
              <w:jc w:val="left"/>
              <w:rPr/>
            </w:pPr>
            <w:r>
              <w:rPr/>
              <w:t>​</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1,374</w:t>
            </w:r>
          </w:p>
        </w:tc>
        <w:tc>
          <w:tcPr>
            <w:tcW w:w="326" w:type="dxa"/>
            <w:tcBorders/>
            <w:vAlign w:val="center"/>
          </w:tcPr>
          <w:p>
            <w:pPr>
              <w:pStyle w:val="TableContents"/>
              <w:bidi w:val="0"/>
              <w:spacing w:lineRule="auto" w:line="285" w:before="0" w:after="0"/>
              <w:ind w:left="0" w:right="0" w:hanging="0"/>
              <w:jc w:val="left"/>
              <w:rPr/>
            </w:pPr>
            <w:r>
              <w:rPr/>
              <w:t>​</w:t>
            </w:r>
          </w:p>
        </w:tc>
        <w:tc>
          <w:tcPr>
            <w:tcW w:w="55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64" w:type="dxa"/>
            <w:tcBorders/>
            <w:vAlign w:val="center"/>
          </w:tcPr>
          <w:p>
            <w:pPr>
              <w:pStyle w:val="TableContents"/>
              <w:bidi w:val="0"/>
              <w:spacing w:lineRule="auto" w:line="285" w:before="0" w:after="0"/>
              <w:ind w:left="0" w:right="0" w:hanging="0"/>
              <w:jc w:val="center"/>
              <w:rPr/>
            </w:pPr>
            <w:r>
              <w:rPr/>
              <w:t>​</w:t>
            </w:r>
          </w:p>
        </w:tc>
      </w:tr>
      <w:tr>
        <w:trPr/>
        <w:tc>
          <w:tcPr>
            <w:tcW w:w="3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Roche immunotherapy collaboration</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00" w:type="dxa"/>
            <w:tcBorders/>
            <w:shd w:fill="CCEEFF" w:val="clear"/>
            <w:vAlign w:val="center"/>
          </w:tcPr>
          <w:p>
            <w:pPr>
              <w:pStyle w:val="TableContents"/>
              <w:bidi w:val="0"/>
              <w:spacing w:lineRule="auto" w:line="285" w:before="0" w:after="0"/>
              <w:ind w:left="0" w:right="0" w:hanging="0"/>
              <w:jc w:val="right"/>
              <w:rPr/>
            </w:pPr>
            <w:r>
              <w:rPr/>
              <w:t>—</w:t>
            </w:r>
          </w:p>
        </w:tc>
        <w:tc>
          <w:tcPr>
            <w:tcW w:w="399"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right"/>
              <w:rPr/>
            </w:pPr>
            <w:r>
              <w:rPr/>
              <w:t>​</w:t>
            </w:r>
          </w:p>
        </w:tc>
        <w:tc>
          <w:tcPr>
            <w:tcW w:w="82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21,996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pPr>
            <w:r>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(21,996)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4" w:type="dxa"/>
            <w:tcBorders/>
            <w:shd w:fill="CCEEFF" w:val="clear"/>
            <w:vAlign w:val="center"/>
          </w:tcPr>
          <w:p>
            <w:pPr>
              <w:pStyle w:val="TableContents"/>
              <w:bidi w:val="0"/>
              <w:spacing w:lineRule="auto" w:line="285" w:before="0" w:after="0"/>
              <w:ind w:left="0" w:right="0" w:hanging="0"/>
              <w:jc w:val="center"/>
              <w:rPr/>
            </w:pPr>
            <w:r>
              <w:rPr/>
              <w:t>​</w:t>
            </w:r>
          </w:p>
        </w:tc>
      </w:tr>
      <w:tr>
        <w:trPr/>
        <w:tc>
          <w:tcPr>
            <w:tcW w:w="3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0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99"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82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lineRule="auto" w:line="285" w:before="0" w:after="0"/>
              <w:ind w:left="0" w:right="0" w:hanging="0"/>
              <w:jc w:val="left"/>
              <w:rPr/>
            </w:pPr>
            <w:r>
              <w:rPr/>
              <w:t>    </w:t>
            </w:r>
          </w:p>
        </w:tc>
        <w:tc>
          <w:tcPr>
            <w:tcW w:w="55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3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collaboration and license revenue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3,591</w:t>
            </w:r>
          </w:p>
        </w:tc>
        <w:tc>
          <w:tcPr>
            <w:tcW w:w="399" w:type="dxa"/>
            <w:tcBorders/>
            <w:shd w:fill="CCEEFF" w:val="clear"/>
            <w:vAlign w:val="center"/>
          </w:tcPr>
          <w:p>
            <w:pPr>
              <w:pStyle w:val="TableContents"/>
              <w:bidi w:val="0"/>
              <w:spacing w:lineRule="auto" w:line="285" w:before="0" w:after="0"/>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24,218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(20,627)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5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Revenue recognized from our collaboration and other agreements decreased during the three months ended March 31, 2024 as compared to the three months ended March 31, 2023 primarily due to the termination of the Roche immunotherapy collaboration effective in April 2023. As a result of the termination, the percentage of completion to fulfill the performance obligations under the Roche immunotherapy collaboration was increased, and therefore, a significant portion of the remaining transaction price associated with the agreement was recognized as collaboration and license revenue during the three months ended March 31, 2023. </w:t>
      </w:r>
    </w:p>
    <w:p>
      <w:pPr>
        <w:pStyle w:val="TextBody"/>
        <w:bidi w:val="0"/>
        <w:spacing w:lineRule="auto" w:line="285" w:before="0" w:after="0"/>
        <w:ind w:left="72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Cost of Sales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summarizes the cost of sales during the three months ended March 31, 2024 and 2023 (in thousands): </w:t>
      </w:r>
    </w:p>
    <w:tbl>
      <w:tblPr>
        <w:tblW w:w="7743" w:type="dxa"/>
        <w:jc w:val="left"/>
        <w:tblInd w:w="0" w:type="dxa"/>
        <w:tblLayout w:type="fixed"/>
        <w:tblCellMar>
          <w:top w:w="0" w:type="dxa"/>
          <w:left w:w="0" w:type="dxa"/>
          <w:bottom w:w="0" w:type="dxa"/>
          <w:right w:w="0" w:type="dxa"/>
        </w:tblCellMar>
      </w:tblPr>
      <w:tblGrid>
        <w:gridCol w:w="2281"/>
        <w:gridCol w:w="326"/>
        <w:gridCol w:w="273"/>
        <w:gridCol w:w="738"/>
        <w:gridCol w:w="421"/>
        <w:gridCol w:w="273"/>
        <w:gridCol w:w="738"/>
        <w:gridCol w:w="326"/>
        <w:gridCol w:w="315"/>
        <w:gridCol w:w="810"/>
        <w:gridCol w:w="326"/>
        <w:gridCol w:w="458"/>
        <w:gridCol w:w="458"/>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448435" cy="175260"/>
                      <wp:effectExtent l="0" t="0" r="0" b="0"/>
                      <wp:wrapNone/>
                      <wp:docPr id="365" name="Frame365"/>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6"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73355" cy="175260"/>
                      <wp:effectExtent l="0" t="0" r="0" b="0"/>
                      <wp:wrapNone/>
                      <wp:docPr id="367" name="Frame367"/>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68630" cy="175260"/>
                      <wp:effectExtent l="0" t="0" r="0" b="0"/>
                      <wp:wrapNone/>
                      <wp:docPr id="368" name="Frame368"/>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67335" cy="175260"/>
                      <wp:effectExtent l="0" t="0" r="0" b="0"/>
                      <wp:wrapNone/>
                      <wp:docPr id="369" name="Frame36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73355" cy="175260"/>
                      <wp:effectExtent l="0" t="0" r="0" b="0"/>
                      <wp:wrapNone/>
                      <wp:docPr id="370" name="Frame370"/>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68630" cy="175260"/>
                      <wp:effectExtent l="0" t="0" r="0" b="0"/>
                      <wp:wrapNone/>
                      <wp:docPr id="371" name="Frame371"/>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2" name="Frame3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0025" cy="175260"/>
                      <wp:effectExtent l="0" t="0" r="0" b="0"/>
                      <wp:wrapNone/>
                      <wp:docPr id="373" name="Frame373"/>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14350" cy="175260"/>
                      <wp:effectExtent l="0" t="0" r="0" b="0"/>
                      <wp:wrapNone/>
                      <wp:docPr id="374" name="Frame374"/>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90830" cy="175260"/>
                      <wp:effectExtent l="0" t="0" r="0" b="0"/>
                      <wp:wrapNone/>
                      <wp:docPr id="376" name="Frame376"/>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90830" cy="175260"/>
                      <wp:effectExtent l="0" t="0" r="0" b="0"/>
                      <wp:wrapNone/>
                      <wp:docPr id="377" name="Frame377"/>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lineRule="auto" w:line="285" w:before="0" w:after="0"/>
              <w:ind w:left="0" w:right="0" w:hanging="0"/>
              <w:jc w:val="left"/>
              <w:rPr/>
            </w:pPr>
            <w:r>
              <w:rPr/>
              <w:t>​</w:t>
            </w:r>
          </w:p>
        </w:tc>
        <w:tc>
          <w:tcPr>
            <w:tcW w:w="315" w:type="dxa"/>
            <w:tcBorders/>
            <w:vAlign w:val="center"/>
          </w:tcPr>
          <w:p>
            <w:pPr>
              <w:pStyle w:val="TableContents"/>
              <w:bidi w:val="0"/>
              <w:spacing w:lineRule="auto" w:line="285" w:before="0" w:after="0"/>
              <w:ind w:left="0" w:right="0" w:hanging="0"/>
              <w:jc w:val="left"/>
              <w:rPr/>
            </w:pPr>
            <w:r>
              <w:rPr/>
              <w:t>​</w:t>
            </w:r>
          </w:p>
        </w:tc>
        <w:tc>
          <w:tcPr>
            <w:tcW w:w="810"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58" w:type="dxa"/>
            <w:tcBorders/>
            <w:vAlign w:val="center"/>
          </w:tcPr>
          <w:p>
            <w:pPr>
              <w:pStyle w:val="TableContents"/>
              <w:bidi w:val="0"/>
              <w:spacing w:lineRule="auto" w:line="285" w:before="0" w:after="0"/>
              <w:ind w:left="0" w:right="0" w:hanging="0"/>
              <w:jc w:val="left"/>
              <w:rPr/>
            </w:pPr>
            <w:r>
              <w:rPr/>
              <w:t>​</w:t>
            </w:r>
          </w:p>
        </w:tc>
        <w:tc>
          <w:tcPr>
            <w:tcW w:w="458" w:type="dxa"/>
            <w:tcBorders/>
            <w:vAlign w:val="center"/>
          </w:tcPr>
          <w:p>
            <w:pPr>
              <w:pStyle w:val="TableContents"/>
              <w:bidi w:val="0"/>
              <w:spacing w:lineRule="auto" w:line="285" w:before="0" w:after="0"/>
              <w:ind w:left="0" w:right="0" w:hanging="0"/>
              <w:jc w:val="left"/>
              <w:rPr/>
            </w:pPr>
            <w:r>
              <w:rPr/>
              <w:t>​</w:t>
            </w:r>
          </w:p>
        </w:tc>
      </w:tr>
      <w:tr>
        <w:trPr/>
        <w:tc>
          <w:tcPr>
            <w:tcW w:w="228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0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21" w:type="dxa"/>
            <w:tcBorders/>
            <w:vAlign w:val="center"/>
          </w:tcPr>
          <w:p>
            <w:pPr>
              <w:pStyle w:val="TableContents"/>
              <w:bidi w:val="0"/>
              <w:spacing w:lineRule="auto" w:line="285" w:before="0" w:after="0"/>
              <w:ind w:left="0" w:right="0" w:hanging="0"/>
              <w:jc w:val="center"/>
              <w:rPr/>
            </w:pPr>
            <w:r>
              <w:rPr/>
              <w:t>    </w:t>
            </w:r>
          </w:p>
        </w:tc>
        <w:tc>
          <w:tcPr>
            <w:tcW w:w="10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2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7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1,312</w:t>
            </w:r>
          </w:p>
        </w:tc>
        <w:tc>
          <w:tcPr>
            <w:tcW w:w="421" w:type="dxa"/>
            <w:tcBorders/>
            <w:shd w:fill="CCEEFF" w:val="clear"/>
            <w:vAlign w:val="center"/>
          </w:tcPr>
          <w:p>
            <w:pPr>
              <w:pStyle w:val="TableContents"/>
              <w:bidi w:val="0"/>
              <w:spacing w:lineRule="auto" w:line="285" w:before="0" w:after="0"/>
              <w:ind w:left="0" w:right="0" w:hanging="0"/>
              <w:jc w:val="left"/>
              <w:rPr/>
            </w:pPr>
            <w:r>
              <w:rPr/>
              <w:t> </w:t>
            </w:r>
          </w:p>
        </w:tc>
        <w:tc>
          <w:tcPr>
            <w:tcW w:w="27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1,182</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5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2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collaboration sales</w:t>
            </w:r>
          </w:p>
        </w:tc>
        <w:tc>
          <w:tcPr>
            <w:tcW w:w="326" w:type="dxa"/>
            <w:tcBorders/>
            <w:vAlign w:val="center"/>
          </w:tcPr>
          <w:p>
            <w:pPr>
              <w:pStyle w:val="TableContents"/>
              <w:bidi w:val="0"/>
              <w:spacing w:lineRule="auto" w:line="285"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3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1,879</w:t>
            </w:r>
          </w:p>
        </w:tc>
        <w:tc>
          <w:tcPr>
            <w:tcW w:w="421" w:type="dxa"/>
            <w:tcBorders/>
            <w:vAlign w:val="center"/>
          </w:tcPr>
          <w:p>
            <w:pPr>
              <w:pStyle w:val="TableContents"/>
              <w:bidi w:val="0"/>
              <w:spacing w:lineRule="auto" w:line="285"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3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1,993</w:t>
            </w:r>
          </w:p>
        </w:tc>
        <w:tc>
          <w:tcPr>
            <w:tcW w:w="326" w:type="dxa"/>
            <w:tcBorders/>
            <w:vAlign w:val="center"/>
          </w:tcPr>
          <w:p>
            <w:pPr>
              <w:pStyle w:val="TableContents"/>
              <w:bidi w:val="0"/>
              <w:spacing w:lineRule="auto" w:line="285"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vAlign w:val="center"/>
          </w:tcPr>
          <w:p>
            <w:pPr>
              <w:pStyle w:val="TableContents"/>
              <w:bidi w:val="0"/>
              <w:spacing w:lineRule="auto" w:line="285" w:before="0" w:after="0"/>
              <w:ind w:left="0" w:right="0" w:hanging="0"/>
              <w:jc w:val="left"/>
              <w:rPr/>
            </w:pPr>
            <w:r>
              <w:rPr/>
              <w:t>​</w:t>
            </w:r>
          </w:p>
        </w:tc>
        <w:tc>
          <w:tcPr>
            <w:tcW w:w="45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5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22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3,191</w:t>
            </w:r>
          </w:p>
        </w:tc>
        <w:tc>
          <w:tcPr>
            <w:tcW w:w="421" w:type="dxa"/>
            <w:tcBorders/>
            <w:shd w:fill="CCEEFF" w:val="clear"/>
            <w:vAlign w:val="center"/>
          </w:tcPr>
          <w:p>
            <w:pPr>
              <w:pStyle w:val="TableContents"/>
              <w:bidi w:val="0"/>
              <w:spacing w:lineRule="auto" w:line="285" w:before="0" w:after="0"/>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3,175</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4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Cost of sales increased during the three months ended March 31, 2024 as compared to the three months ended March 31, 2023 primarily driven by higher costs associated with product sales, which was attributed to an overall increase in product sales volume, specifically the lower-cost dosages of AYVAKIT/AYVAKYT. </w:t>
      </w:r>
    </w:p>
    <w:p>
      <w:pPr>
        <w:pStyle w:val="TextBody"/>
        <w:bidi w:val="0"/>
        <w:spacing w:lineRule="auto" w:line="285" w:before="240" w:after="240"/>
        <w:ind w:left="0" w:right="0" w:hanging="0"/>
        <w:jc w:val="left"/>
        <w:rPr>
          <w:rFonts w:ascii="Times New Roman;Times;serif" w:hAnsi="Times New Roman;Times;serif"/>
          <w:i/>
          <w:sz w:val="20"/>
        </w:rPr>
      </w:pPr>
      <w:r>
        <w:rPr>
          <w:rFonts w:ascii="Times New Roman;Times;serif" w:hAnsi="Times New Roman;Times;serif"/>
          <w:i/>
          <w:sz w:val="20"/>
        </w:rPr>
        <w:t>Collaboration Loss Sharing</w:t>
      </w:r>
    </w:p>
    <w:p>
      <w:pPr>
        <w:pStyle w:val="TextBody"/>
        <w:bidi w:val="0"/>
        <w:spacing w:lineRule="auto" w:line="285" w:before="24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March 31, 2024, no collaboration loss sharing was recognized for the sales of GAVRETO to the customers in the U.S. because the commercialization activities of GAVRETO were profitable in the U.S. through its termination effective date of February 22, 2024 and generated profit sharing revenue of $1.4 million which was recorded as Roche pralsetinib collaboration revenue. During the three months ended March 31, 2023, we recorded collaboration loss sharing of $1.3 million.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research and development expenses during the three months ended March 31, 2024 and 2023 (in thousands):</w:t>
      </w:r>
    </w:p>
    <w:tbl>
      <w:tblPr>
        <w:tblW w:w="9214" w:type="dxa"/>
        <w:jc w:val="left"/>
        <w:tblInd w:w="0" w:type="dxa"/>
        <w:tblLayout w:type="fixed"/>
        <w:tblCellMar>
          <w:top w:w="0" w:type="dxa"/>
          <w:left w:w="0" w:type="dxa"/>
          <w:bottom w:w="0" w:type="dxa"/>
          <w:right w:w="0" w:type="dxa"/>
        </w:tblCellMar>
      </w:tblPr>
      <w:tblGrid>
        <w:gridCol w:w="3751"/>
        <w:gridCol w:w="326"/>
        <w:gridCol w:w="234"/>
        <w:gridCol w:w="749"/>
        <w:gridCol w:w="361"/>
        <w:gridCol w:w="234"/>
        <w:gridCol w:w="866"/>
        <w:gridCol w:w="326"/>
        <w:gridCol w:w="235"/>
        <w:gridCol w:w="890"/>
        <w:gridCol w:w="326"/>
        <w:gridCol w:w="497"/>
        <w:gridCol w:w="419"/>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381885" cy="175260"/>
                      <wp:effectExtent l="0" t="0" r="0" b="0"/>
                      <wp:wrapNone/>
                      <wp:docPr id="378" name="Frame378"/>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9"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48590" cy="175260"/>
                      <wp:effectExtent l="0" t="0" r="0" b="0"/>
                      <wp:wrapNone/>
                      <wp:docPr id="380" name="Frame380"/>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75615" cy="175260"/>
                      <wp:effectExtent l="0" t="0" r="0" b="0"/>
                      <wp:wrapNone/>
                      <wp:docPr id="381" name="Frame381"/>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29235" cy="175260"/>
                      <wp:effectExtent l="0" t="0" r="0" b="0"/>
                      <wp:wrapNone/>
                      <wp:docPr id="382" name="Frame38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48590" cy="175260"/>
                      <wp:effectExtent l="0" t="0" r="0" b="0"/>
                      <wp:wrapNone/>
                      <wp:docPr id="383" name="Frame383"/>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49910" cy="175260"/>
                      <wp:effectExtent l="0" t="0" r="0" b="0"/>
                      <wp:wrapNone/>
                      <wp:docPr id="384" name="Frame384"/>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49225" cy="175260"/>
                      <wp:effectExtent l="0" t="0" r="0" b="0"/>
                      <wp:wrapNone/>
                      <wp:docPr id="386" name="Frame386"/>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565150" cy="175260"/>
                      <wp:effectExtent l="0" t="0" r="0" b="0"/>
                      <wp:wrapNone/>
                      <wp:docPr id="387" name="Frame387"/>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8" name="Frame3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15595" cy="175260"/>
                      <wp:effectExtent l="0" t="0" r="0" b="0"/>
                      <wp:wrapNone/>
                      <wp:docPr id="389" name="Frame389"/>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66065" cy="175260"/>
                      <wp:effectExtent l="0" t="0" r="0" b="0"/>
                      <wp:wrapNone/>
                      <wp:docPr id="390" name="Frame390"/>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44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lineRule="auto" w:line="285" w:before="0" w:after="0"/>
              <w:ind w:left="0" w:right="0" w:hanging="0"/>
              <w:jc w:val="left"/>
              <w:rPr/>
            </w:pPr>
            <w:r>
              <w:rPr/>
              <w:t>​</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375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8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lineRule="auto" w:line="285" w:before="0" w:after="0"/>
              <w:ind w:left="0" w:right="0" w:hanging="0"/>
              <w:jc w:val="center"/>
              <w:rPr/>
            </w:pPr>
            <w:r>
              <w:rPr/>
              <w:t>    </w:t>
            </w:r>
          </w:p>
        </w:tc>
        <w:tc>
          <w:tcPr>
            <w:tcW w:w="11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Clinical and manufacturing related activities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17,124</w:t>
            </w:r>
          </w:p>
        </w:tc>
        <w:tc>
          <w:tcPr>
            <w:tcW w:w="361" w:type="dxa"/>
            <w:tcBorders/>
            <w:shd w:fill="CCEEFF" w:val="clear"/>
            <w:vAlign w:val="center"/>
          </w:tcPr>
          <w:p>
            <w:pPr>
              <w:pStyle w:val="TableContents"/>
              <w:bidi w:val="0"/>
              <w:spacing w:lineRule="auto" w:line="285" w:before="0" w:after="0"/>
              <w:ind w:left="0" w:right="0" w:hanging="0"/>
              <w:jc w:val="left"/>
              <w:rPr/>
            </w:pPr>
            <w:r>
              <w:rPr/>
              <w:t> </w:t>
            </w:r>
          </w:p>
        </w:tc>
        <w:tc>
          <w:tcPr>
            <w:tcW w:w="2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37,496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(20,372)</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326" w:type="dxa"/>
            <w:tcBorders/>
            <w:vAlign w:val="center"/>
          </w:tcPr>
          <w:p>
            <w:pPr>
              <w:pStyle w:val="TableContents"/>
              <w:bidi w:val="0"/>
              <w:spacing w:lineRule="auto" w:line="285" w:before="0" w:after="0"/>
              <w:ind w:left="0" w:right="0" w:hanging="0"/>
              <w:jc w:val="left"/>
              <w:rPr/>
            </w:pPr>
            <w:r>
              <w:rPr/>
              <w:t> </w:t>
            </w:r>
          </w:p>
        </w:tc>
        <w:tc>
          <w:tcPr>
            <w:tcW w:w="234" w:type="dxa"/>
            <w:tcBorders/>
            <w:vAlign w:val="center"/>
          </w:tcPr>
          <w:p>
            <w:pPr>
              <w:pStyle w:val="TableContents"/>
              <w:bidi w:val="0"/>
              <w:spacing w:lineRule="auto" w:line="285" w:before="0" w:after="0"/>
              <w:ind w:left="0" w:right="0" w:hanging="0"/>
              <w:jc w:val="left"/>
              <w:rPr/>
            </w:pPr>
            <w:r>
              <w:rPr/>
              <w:t> </w:t>
            </w:r>
          </w:p>
        </w:tc>
        <w:tc>
          <w:tcPr>
            <w:tcW w:w="74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29,592</w:t>
            </w:r>
          </w:p>
        </w:tc>
        <w:tc>
          <w:tcPr>
            <w:tcW w:w="361" w:type="dxa"/>
            <w:tcBorders/>
            <w:vAlign w:val="center"/>
          </w:tcPr>
          <w:p>
            <w:pPr>
              <w:pStyle w:val="TableContents"/>
              <w:bidi w:val="0"/>
              <w:spacing w:lineRule="auto" w:line="285" w:before="0" w:after="0"/>
              <w:ind w:left="0" w:right="0" w:hanging="0"/>
              <w:jc w:val="left"/>
              <w:rPr/>
            </w:pPr>
            <w:r>
              <w:rPr/>
              <w:t> </w:t>
            </w:r>
          </w:p>
        </w:tc>
        <w:tc>
          <w:tcPr>
            <w:tcW w:w="234" w:type="dxa"/>
            <w:tcBorders/>
            <w:vAlign w:val="center"/>
          </w:tcPr>
          <w:p>
            <w:pPr>
              <w:pStyle w:val="TableContents"/>
              <w:bidi w:val="0"/>
              <w:spacing w:lineRule="auto" w:line="285" w:before="0" w:after="0"/>
              <w:ind w:left="0" w:right="0" w:hanging="0"/>
              <w:jc w:val="right"/>
              <w:rPr/>
            </w:pPr>
            <w:r>
              <w:rPr/>
              <w:t>​</w:t>
            </w:r>
          </w:p>
        </w:tc>
        <w:tc>
          <w:tcPr>
            <w:tcW w:w="8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28,647</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945</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Early drug discovery and platform</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74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16,888</w:t>
            </w:r>
          </w:p>
        </w:tc>
        <w:tc>
          <w:tcPr>
            <w:tcW w:w="361" w:type="dxa"/>
            <w:tcBorders/>
            <w:shd w:fill="CCEEFF" w:val="clear"/>
            <w:vAlign w:val="center"/>
          </w:tcPr>
          <w:p>
            <w:pPr>
              <w:pStyle w:val="TableContents"/>
              <w:bidi w:val="0"/>
              <w:spacing w:lineRule="auto" w:line="285" w:before="0" w:after="0"/>
              <w:ind w:left="0" w:right="0" w:hanging="0"/>
              <w:jc w:val="left"/>
              <w:rPr/>
            </w:pPr>
            <w:r>
              <w:rPr/>
              <w:t> </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8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18,547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pPr>
            <w:r>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(1,659)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lineRule="auto" w:line="285" w:before="0" w:after="0"/>
              <w:ind w:left="0" w:right="0" w:hanging="0"/>
              <w:jc w:val="left"/>
              <w:rPr/>
            </w:pPr>
            <w:r>
              <w:rPr/>
              <w:t> </w:t>
            </w:r>
          </w:p>
        </w:tc>
        <w:tc>
          <w:tcPr>
            <w:tcW w:w="234" w:type="dxa"/>
            <w:tcBorders/>
            <w:vAlign w:val="center"/>
          </w:tcPr>
          <w:p>
            <w:pPr>
              <w:pStyle w:val="TableContents"/>
              <w:bidi w:val="0"/>
              <w:spacing w:lineRule="auto" w:line="285" w:before="0" w:after="0"/>
              <w:ind w:left="0" w:right="0" w:hanging="0"/>
              <w:jc w:val="left"/>
              <w:rPr/>
            </w:pPr>
            <w:r>
              <w:rPr/>
              <w:t> </w:t>
            </w:r>
          </w:p>
        </w:tc>
        <w:tc>
          <w:tcPr>
            <w:tcW w:w="74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10,875</w:t>
            </w:r>
          </w:p>
        </w:tc>
        <w:tc>
          <w:tcPr>
            <w:tcW w:w="361" w:type="dxa"/>
            <w:tcBorders/>
            <w:vAlign w:val="center"/>
          </w:tcPr>
          <w:p>
            <w:pPr>
              <w:pStyle w:val="TableContents"/>
              <w:bidi w:val="0"/>
              <w:spacing w:lineRule="auto" w:line="285" w:before="0" w:after="0"/>
              <w:ind w:left="0" w:right="0" w:hanging="0"/>
              <w:jc w:val="left"/>
              <w:rPr/>
            </w:pPr>
            <w:r>
              <w:rPr/>
              <w:t> </w:t>
            </w:r>
          </w:p>
        </w:tc>
        <w:tc>
          <w:tcPr>
            <w:tcW w:w="234" w:type="dxa"/>
            <w:tcBorders/>
            <w:vAlign w:val="center"/>
          </w:tcPr>
          <w:p>
            <w:pPr>
              <w:pStyle w:val="TableContents"/>
              <w:bidi w:val="0"/>
              <w:spacing w:lineRule="auto" w:line="285" w:before="0" w:after="0"/>
              <w:ind w:left="0" w:right="0" w:hanging="0"/>
              <w:jc w:val="right"/>
              <w:rPr/>
            </w:pPr>
            <w:r>
              <w:rPr/>
              <w:t>​</w:t>
            </w:r>
          </w:p>
        </w:tc>
        <w:tc>
          <w:tcPr>
            <w:tcW w:w="8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10,117</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and professional services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74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4,294</w:t>
            </w:r>
          </w:p>
        </w:tc>
        <w:tc>
          <w:tcPr>
            <w:tcW w:w="361" w:type="dxa"/>
            <w:tcBorders/>
            <w:shd w:fill="CCEEFF" w:val="clear"/>
            <w:vAlign w:val="center"/>
          </w:tcPr>
          <w:p>
            <w:pPr>
              <w:pStyle w:val="TableContents"/>
              <w:bidi w:val="0"/>
              <w:spacing w:lineRule="auto" w:line="285" w:before="0" w:after="0"/>
              <w:ind w:left="0" w:right="0" w:hanging="0"/>
              <w:jc w:val="left"/>
              <w:rPr/>
            </w:pPr>
            <w:r>
              <w:rPr/>
              <w:t> </w:t>
            </w:r>
          </w:p>
        </w:tc>
        <w:tc>
          <w:tcPr>
            <w:tcW w:w="234" w:type="dxa"/>
            <w:tcBorders/>
            <w:shd w:fill="CCEEFF" w:val="clear"/>
            <w:vAlign w:val="center"/>
          </w:tcPr>
          <w:p>
            <w:pPr>
              <w:pStyle w:val="TableContents"/>
              <w:bidi w:val="0"/>
              <w:spacing w:lineRule="auto" w:line="285" w:before="0" w:after="0"/>
              <w:ind w:left="0" w:right="0" w:hanging="0"/>
              <w:jc w:val="right"/>
              <w:rPr/>
            </w:pPr>
            <w:r>
              <w:rPr/>
              <w:t>​</w:t>
            </w:r>
          </w:p>
        </w:tc>
        <w:tc>
          <w:tcPr>
            <w:tcW w:w="8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7,935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shd w:fill="CCEEFF" w:val="clear"/>
            <w:vAlign w:val="center"/>
          </w:tcPr>
          <w:p>
            <w:pPr>
              <w:pStyle w:val="TableContents"/>
              <w:bidi w:val="0"/>
              <w:spacing w:lineRule="auto" w:line="285" w:before="0" w:after="0"/>
              <w:ind w:left="0" w:right="0" w:hanging="0"/>
              <w:jc w:val="left"/>
              <w:rPr/>
            </w:pPr>
            <w:r>
              <w:rPr/>
              <w:t>​</w:t>
            </w:r>
          </w:p>
        </w:tc>
        <w:tc>
          <w:tcPr>
            <w:tcW w:w="89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(3,641)</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IT</w:t>
            </w:r>
          </w:p>
        </w:tc>
        <w:tc>
          <w:tcPr>
            <w:tcW w:w="326" w:type="dxa"/>
            <w:tcBorders/>
            <w:vAlign w:val="center"/>
          </w:tcPr>
          <w:p>
            <w:pPr>
              <w:pStyle w:val="TableContents"/>
              <w:bidi w:val="0"/>
              <w:spacing w:lineRule="auto" w:line="285" w:before="0" w:after="0"/>
              <w:ind w:left="0" w:right="0" w:hanging="0"/>
              <w:jc w:val="left"/>
              <w:rPr/>
            </w:pPr>
            <w:r>
              <w:rPr/>
              <w:t> </w:t>
            </w:r>
          </w:p>
        </w:tc>
        <w:tc>
          <w:tcPr>
            <w:tcW w:w="234" w:type="dxa"/>
            <w:tcBorders/>
            <w:vAlign w:val="center"/>
          </w:tcPr>
          <w:p>
            <w:pPr>
              <w:pStyle w:val="TableContents"/>
              <w:bidi w:val="0"/>
              <w:spacing w:lineRule="auto" w:line="285" w:before="0" w:after="0"/>
              <w:ind w:left="0" w:right="0" w:hanging="0"/>
              <w:jc w:val="left"/>
              <w:rPr/>
            </w:pPr>
            <w:r>
              <w:rPr/>
              <w:t>​</w:t>
            </w:r>
          </w:p>
        </w:tc>
        <w:tc>
          <w:tcPr>
            <w:tcW w:w="74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8,990</w:t>
            </w:r>
          </w:p>
        </w:tc>
        <w:tc>
          <w:tcPr>
            <w:tcW w:w="361" w:type="dxa"/>
            <w:tcBorders/>
            <w:vAlign w:val="center"/>
          </w:tcPr>
          <w:p>
            <w:pPr>
              <w:pStyle w:val="TableContents"/>
              <w:bidi w:val="0"/>
              <w:spacing w:lineRule="auto" w:line="285" w:before="0" w:after="0"/>
              <w:ind w:left="0" w:right="0" w:hanging="0"/>
              <w:jc w:val="left"/>
              <w:rPr/>
            </w:pPr>
            <w:r>
              <w:rPr/>
              <w:t> </w:t>
            </w:r>
          </w:p>
        </w:tc>
        <w:tc>
          <w:tcPr>
            <w:tcW w:w="234" w:type="dxa"/>
            <w:tcBorders/>
            <w:vAlign w:val="center"/>
          </w:tcPr>
          <w:p>
            <w:pPr>
              <w:pStyle w:val="TableContents"/>
              <w:bidi w:val="0"/>
              <w:spacing w:lineRule="auto" w:line="285" w:before="0" w:after="0"/>
              <w:ind w:left="0" w:right="0" w:hanging="0"/>
              <w:jc w:val="right"/>
              <w:rPr/>
            </w:pPr>
            <w:r>
              <w:rPr/>
              <w:t>​</w:t>
            </w:r>
          </w:p>
        </w:tc>
        <w:tc>
          <w:tcPr>
            <w:tcW w:w="8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8,503</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vAlign w:val="center"/>
          </w:tcPr>
          <w:p>
            <w:pPr>
              <w:pStyle w:val="TableContents"/>
              <w:bidi w:val="0"/>
              <w:spacing w:lineRule="auto" w:line="285" w:before="0" w:after="0"/>
              <w:ind w:left="0" w:right="0" w:hanging="0"/>
              <w:jc w:val="left"/>
              <w:rPr/>
            </w:pPr>
            <w:r>
              <w:rPr/>
              <w:t>​</w:t>
            </w:r>
          </w:p>
        </w:tc>
        <w:tc>
          <w:tcPr>
            <w:tcW w:w="89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37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61" w:type="dxa"/>
            <w:tcBorders/>
            <w:shd w:fill="CCEEFF" w:val="clear"/>
            <w:vAlign w:val="center"/>
          </w:tcPr>
          <w:p>
            <w:pPr>
              <w:pStyle w:val="TableContents"/>
              <w:bidi w:val="0"/>
              <w:spacing w:lineRule="auto" w:line="285"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8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r>
      <w:tr>
        <w:trPr/>
        <w:tc>
          <w:tcPr>
            <w:tcW w:w="37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26" w:type="dxa"/>
            <w:tcBorders/>
            <w:vAlign w:val="center"/>
          </w:tcPr>
          <w:p>
            <w:pPr>
              <w:pStyle w:val="TableContents"/>
              <w:bidi w:val="0"/>
              <w:spacing w:lineRule="auto" w:line="285" w:before="0" w:after="0"/>
              <w:ind w:left="0" w:right="0" w:hanging="0"/>
              <w:jc w:val="left"/>
              <w:rPr/>
            </w:pPr>
            <w:r>
              <w:rPr/>
              <w:t> </w:t>
            </w:r>
          </w:p>
        </w:tc>
        <w:tc>
          <w:tcPr>
            <w:tcW w:w="23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88,191</w:t>
            </w:r>
          </w:p>
        </w:tc>
        <w:tc>
          <w:tcPr>
            <w:tcW w:w="361" w:type="dxa"/>
            <w:tcBorders/>
            <w:vAlign w:val="center"/>
          </w:tcPr>
          <w:p>
            <w:pPr>
              <w:pStyle w:val="TableContents"/>
              <w:bidi w:val="0"/>
              <w:spacing w:lineRule="auto" w:line="285" w:before="0" w:after="0"/>
              <w:ind w:left="0" w:right="0" w:hanging="0"/>
              <w:jc w:val="left"/>
              <w:rPr/>
            </w:pPr>
            <w:r>
              <w:rPr/>
              <w:t> </w:t>
            </w:r>
          </w:p>
        </w:tc>
        <w:tc>
          <w:tcPr>
            <w:tcW w:w="23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112,073</w:t>
            </w:r>
          </w:p>
        </w:tc>
        <w:tc>
          <w:tcPr>
            <w:tcW w:w="326" w:type="dxa"/>
            <w:tcBorders/>
            <w:vAlign w:val="center"/>
          </w:tcPr>
          <w:p>
            <w:pPr>
              <w:pStyle w:val="TableContents"/>
              <w:bidi w:val="0"/>
              <w:spacing w:lineRule="auto" w:line="285" w:before="0" w:after="0"/>
              <w:ind w:left="0" w:right="0" w:hanging="0"/>
              <w:jc w:val="left"/>
              <w:rPr/>
            </w:pPr>
            <w:r>
              <w:rPr/>
              <w:t> </w:t>
            </w:r>
          </w:p>
        </w:tc>
        <w:tc>
          <w:tcPr>
            <w:tcW w:w="23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(23,882)</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19"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 decreased for the three months ended March 31, 2024 as compared to the three months ended March 31, 2023 primarily due to a decrease of $20.4 million in clinical and manufacturing related activities due to our focused approach towards optimizing operational efficiency across our portfolio while executing across our top priority programs as well as the timing of manufacturing of clinical trial materials.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sales, general and administrative expenses during the three months ended March 31, 2024 and 2023 (in thousands):</w:t>
      </w:r>
    </w:p>
    <w:tbl>
      <w:tblPr>
        <w:tblW w:w="9483" w:type="dxa"/>
        <w:jc w:val="left"/>
        <w:tblInd w:w="0" w:type="dxa"/>
        <w:tblLayout w:type="fixed"/>
        <w:tblCellMar>
          <w:top w:w="0" w:type="dxa"/>
          <w:left w:w="0" w:type="dxa"/>
          <w:bottom w:w="0" w:type="dxa"/>
          <w:right w:w="0" w:type="dxa"/>
        </w:tblCellMar>
      </w:tblPr>
      <w:tblGrid>
        <w:gridCol w:w="4021"/>
        <w:gridCol w:w="326"/>
        <w:gridCol w:w="245"/>
        <w:gridCol w:w="787"/>
        <w:gridCol w:w="379"/>
        <w:gridCol w:w="245"/>
        <w:gridCol w:w="787"/>
        <w:gridCol w:w="326"/>
        <w:gridCol w:w="263"/>
        <w:gridCol w:w="862"/>
        <w:gridCol w:w="326"/>
        <w:gridCol w:w="497"/>
        <w:gridCol w:w="419"/>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553335" cy="175260"/>
                      <wp:effectExtent l="0" t="0" r="0" b="0"/>
                      <wp:wrapNone/>
                      <wp:docPr id="391" name="Frame391"/>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92"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55575" cy="175260"/>
                      <wp:effectExtent l="0" t="0" r="0" b="0"/>
                      <wp:wrapNone/>
                      <wp:docPr id="393" name="Frame393"/>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99745" cy="175260"/>
                      <wp:effectExtent l="0" t="0" r="0" b="0"/>
                      <wp:wrapNone/>
                      <wp:docPr id="394" name="Frame394"/>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40665" cy="175260"/>
                      <wp:effectExtent l="0" t="0" r="0" b="0"/>
                      <wp:wrapNone/>
                      <wp:docPr id="395" name="Frame395"/>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55575" cy="175260"/>
                      <wp:effectExtent l="0" t="0" r="0" b="0"/>
                      <wp:wrapNone/>
                      <wp:docPr id="396" name="Frame396"/>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99745" cy="175260"/>
                      <wp:effectExtent l="0" t="0" r="0" b="0"/>
                      <wp:wrapNone/>
                      <wp:docPr id="397" name="Frame397"/>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8" name="Frame3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67005" cy="175260"/>
                      <wp:effectExtent l="0" t="0" r="0" b="0"/>
                      <wp:wrapNone/>
                      <wp:docPr id="399" name="Frame399"/>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547370" cy="175260"/>
                      <wp:effectExtent l="0" t="0" r="0" b="0"/>
                      <wp:wrapNone/>
                      <wp:docPr id="400" name="Frame400"/>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1" name="Frame4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315595" cy="175260"/>
                      <wp:effectExtent l="0" t="0" r="0" b="0"/>
                      <wp:wrapNone/>
                      <wp:docPr id="402" name="Frame402"/>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66065" cy="175260"/>
                      <wp:effectExtent l="0" t="0" r="0" b="0"/>
                      <wp:wrapNone/>
                      <wp:docPr id="403" name="Frame403"/>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244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lineRule="auto" w:line="285" w:before="0" w:after="0"/>
              <w:ind w:left="0" w:right="0" w:hanging="0"/>
              <w:jc w:val="lef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402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0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9" w:type="dxa"/>
            <w:tcBorders/>
            <w:vAlign w:val="center"/>
          </w:tcPr>
          <w:p>
            <w:pPr>
              <w:pStyle w:val="TableContents"/>
              <w:bidi w:val="0"/>
              <w:spacing w:lineRule="auto" w:line="285" w:before="0" w:after="0"/>
              <w:ind w:left="0" w:right="0" w:hanging="0"/>
              <w:jc w:val="center"/>
              <w:rPr/>
            </w:pPr>
            <w:r>
              <w:rPr/>
              <w:t>    </w:t>
            </w:r>
          </w:p>
        </w:tc>
        <w:tc>
          <w:tcPr>
            <w:tcW w:w="10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33,116</w:t>
            </w:r>
          </w:p>
        </w:tc>
        <w:tc>
          <w:tcPr>
            <w:tcW w:w="379"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30,498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2,618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lineRule="auto" w:line="285" w:before="0" w:after="0"/>
              <w:ind w:left="0" w:right="0" w:hanging="0"/>
              <w:jc w:val="left"/>
              <w:rPr/>
            </w:pPr>
            <w:r>
              <w:rPr/>
              <w:t> </w:t>
            </w:r>
          </w:p>
        </w:tc>
        <w:tc>
          <w:tcPr>
            <w:tcW w:w="245" w:type="dxa"/>
            <w:tcBorders/>
            <w:vAlign w:val="center"/>
          </w:tcPr>
          <w:p>
            <w:pPr>
              <w:pStyle w:val="TableContents"/>
              <w:bidi w:val="0"/>
              <w:spacing w:lineRule="auto" w:line="285" w:before="0" w:after="0"/>
              <w:ind w:left="0" w:right="0" w:hanging="0"/>
              <w:jc w:val="left"/>
              <w:rPr/>
            </w:pPr>
            <w:r>
              <w:rPr/>
              <w:t> </w:t>
            </w:r>
          </w:p>
        </w:tc>
        <w:tc>
          <w:tcPr>
            <w:tcW w:w="78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13,350</w:t>
            </w:r>
          </w:p>
        </w:tc>
        <w:tc>
          <w:tcPr>
            <w:tcW w:w="379" w:type="dxa"/>
            <w:tcBorders/>
            <w:vAlign w:val="center"/>
          </w:tcPr>
          <w:p>
            <w:pPr>
              <w:pStyle w:val="TableContents"/>
              <w:bidi w:val="0"/>
              <w:spacing w:lineRule="auto" w:line="285" w:before="0" w:after="0"/>
              <w:ind w:left="0" w:right="0" w:hanging="0"/>
              <w:jc w:val="left"/>
              <w:rPr/>
            </w:pPr>
            <w:r>
              <w:rPr/>
              <w:t> </w:t>
            </w:r>
          </w:p>
        </w:tc>
        <w:tc>
          <w:tcPr>
            <w:tcW w:w="245" w:type="dxa"/>
            <w:tcBorders/>
            <w:vAlign w:val="center"/>
          </w:tcPr>
          <w:p>
            <w:pPr>
              <w:pStyle w:val="TableContents"/>
              <w:bidi w:val="0"/>
              <w:spacing w:lineRule="auto" w:line="285" w:before="0" w:after="0"/>
              <w:ind w:left="0" w:right="0" w:hanging="0"/>
              <w:jc w:val="right"/>
              <w:rPr/>
            </w:pPr>
            <w:r>
              <w:rPr/>
              <w:t>​</w:t>
            </w:r>
          </w:p>
        </w:tc>
        <w:tc>
          <w:tcPr>
            <w:tcW w:w="78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13,079</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Commercial and related</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shd w:fill="CCEEFF" w:val="clear"/>
            <w:vAlign w:val="center"/>
          </w:tcPr>
          <w:p>
            <w:pPr>
              <w:pStyle w:val="TableContents"/>
              <w:bidi w:val="0"/>
              <w:spacing w:lineRule="auto" w:line="285" w:before="0" w:after="0"/>
              <w:ind w:left="0" w:right="0" w:hanging="0"/>
              <w:jc w:val="left"/>
              <w:rPr/>
            </w:pPr>
            <w:r>
              <w:rPr/>
              <w:t>​</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16,930</w:t>
            </w:r>
          </w:p>
        </w:tc>
        <w:tc>
          <w:tcPr>
            <w:tcW w:w="379"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shd w:fill="CCEEFF" w:val="clear"/>
            <w:vAlign w:val="center"/>
          </w:tcPr>
          <w:p>
            <w:pPr>
              <w:pStyle w:val="TableContents"/>
              <w:bidi w:val="0"/>
              <w:spacing w:lineRule="auto" w:line="285" w:before="0" w:after="0"/>
              <w:ind w:left="0" w:right="0" w:hanging="0"/>
              <w:jc w:val="right"/>
              <w:rPr/>
            </w:pPr>
            <w:r>
              <w:rPr/>
              <w:t>​</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10,050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pPr>
            <w:r>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6,880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and professional services</w:t>
            </w:r>
          </w:p>
        </w:tc>
        <w:tc>
          <w:tcPr>
            <w:tcW w:w="326" w:type="dxa"/>
            <w:tcBorders/>
            <w:vAlign w:val="center"/>
          </w:tcPr>
          <w:p>
            <w:pPr>
              <w:pStyle w:val="TableContents"/>
              <w:bidi w:val="0"/>
              <w:spacing w:lineRule="auto" w:line="285" w:before="0" w:after="0"/>
              <w:ind w:left="0" w:right="0" w:hanging="0"/>
              <w:jc w:val="left"/>
              <w:rPr/>
            </w:pPr>
            <w:r>
              <w:rPr/>
              <w:t> </w:t>
            </w:r>
          </w:p>
        </w:tc>
        <w:tc>
          <w:tcPr>
            <w:tcW w:w="245" w:type="dxa"/>
            <w:tcBorders/>
            <w:vAlign w:val="center"/>
          </w:tcPr>
          <w:p>
            <w:pPr>
              <w:pStyle w:val="TableContents"/>
              <w:bidi w:val="0"/>
              <w:spacing w:lineRule="auto" w:line="285" w:before="0" w:after="0"/>
              <w:ind w:left="0" w:right="0" w:hanging="0"/>
              <w:jc w:val="left"/>
              <w:rPr/>
            </w:pPr>
            <w:r>
              <w:rPr/>
              <w:t> </w:t>
            </w:r>
          </w:p>
        </w:tc>
        <w:tc>
          <w:tcPr>
            <w:tcW w:w="78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14,500</w:t>
            </w:r>
          </w:p>
        </w:tc>
        <w:tc>
          <w:tcPr>
            <w:tcW w:w="379" w:type="dxa"/>
            <w:tcBorders/>
            <w:vAlign w:val="center"/>
          </w:tcPr>
          <w:p>
            <w:pPr>
              <w:pStyle w:val="TableContents"/>
              <w:bidi w:val="0"/>
              <w:spacing w:lineRule="auto" w:line="285" w:before="0" w:after="0"/>
              <w:ind w:left="0" w:right="0" w:hanging="0"/>
              <w:jc w:val="left"/>
              <w:rPr/>
            </w:pPr>
            <w:r>
              <w:rPr/>
              <w:t> </w:t>
            </w:r>
          </w:p>
        </w:tc>
        <w:tc>
          <w:tcPr>
            <w:tcW w:w="245" w:type="dxa"/>
            <w:tcBorders/>
            <w:vAlign w:val="center"/>
          </w:tcPr>
          <w:p>
            <w:pPr>
              <w:pStyle w:val="TableContents"/>
              <w:bidi w:val="0"/>
              <w:spacing w:lineRule="auto" w:line="285" w:before="0" w:after="0"/>
              <w:ind w:left="0" w:right="0" w:hanging="0"/>
              <w:jc w:val="right"/>
              <w:rPr/>
            </w:pPr>
            <w:r>
              <w:rPr/>
              <w:t>​</w:t>
            </w:r>
          </w:p>
        </w:tc>
        <w:tc>
          <w:tcPr>
            <w:tcW w:w="78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9,537</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vAlign w:val="center"/>
          </w:tcPr>
          <w:p>
            <w:pPr>
              <w:pStyle w:val="TableContents"/>
              <w:bidi w:val="0"/>
              <w:spacing w:lineRule="auto" w:line="285" w:before="0" w:after="0"/>
              <w:ind w:left="0" w:right="0" w:hanging="0"/>
              <w:jc w:val="left"/>
              <w:rPr/>
            </w:pPr>
            <w:r>
              <w:rPr/>
              <w:t>​</w:t>
            </w:r>
          </w:p>
        </w:tc>
        <w:tc>
          <w:tcPr>
            <w:tcW w:w="8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4,963</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419" w:type="dxa"/>
            <w:tcBorders/>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shd w:fill="CCEEFF" w:val="clear"/>
            <w:vAlign w:val="center"/>
          </w:tcPr>
          <w:p>
            <w:pPr>
              <w:pStyle w:val="TableContents"/>
              <w:bidi w:val="0"/>
              <w:spacing w:lineRule="auto" w:line="285" w:before="0" w:after="0"/>
              <w:ind w:left="0" w:right="0" w:hanging="0"/>
              <w:jc w:val="left"/>
              <w:rPr/>
            </w:pPr>
            <w:r>
              <w:rPr/>
              <w:t>​</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2,779</w:t>
            </w:r>
          </w:p>
        </w:tc>
        <w:tc>
          <w:tcPr>
            <w:tcW w:w="379"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shd w:fill="CCEEFF" w:val="clear"/>
            <w:vAlign w:val="center"/>
          </w:tcPr>
          <w:p>
            <w:pPr>
              <w:pStyle w:val="TableContents"/>
              <w:bidi w:val="0"/>
              <w:spacing w:lineRule="auto" w:line="285" w:before="0" w:after="0"/>
              <w:ind w:left="0" w:right="0" w:hanging="0"/>
              <w:jc w:val="left"/>
              <w:rPr/>
            </w:pPr>
            <w:r>
              <w:rPr/>
              <w:t>​</w:t>
            </w:r>
          </w:p>
        </w:tc>
        <w:tc>
          <w:tcPr>
            <w:tcW w:w="78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3,555</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shd w:fill="CCEEFF" w:val="clear"/>
            <w:vAlign w:val="center"/>
          </w:tcPr>
          <w:p>
            <w:pPr>
              <w:pStyle w:val="TableContents"/>
              <w:bidi w:val="0"/>
              <w:spacing w:lineRule="auto" w:line="285" w:before="0" w:after="0"/>
              <w:ind w:left="0" w:right="0" w:hanging="0"/>
              <w:jc w:val="left"/>
              <w:rPr/>
            </w:pPr>
            <w:r>
              <w:rPr/>
              <w:t>​</w:t>
            </w:r>
          </w:p>
        </w:tc>
        <w:tc>
          <w:tcPr>
            <w:tcW w:w="8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19" w:type="dxa"/>
            <w:tcBorders/>
            <w:shd w:fill="CCEEFF" w:val="clear"/>
            <w:vAlign w:val="center"/>
          </w:tcPr>
          <w:p>
            <w:pPr>
              <w:pStyle w:val="TableContents"/>
              <w:bidi w:val="0"/>
              <w:spacing w:lineRule="auto" w:line="285" w:before="0" w:after="0"/>
              <w:ind w:left="0" w:right="0" w:hanging="0"/>
              <w:jc w:val="center"/>
              <w:rPr/>
            </w:pPr>
            <w:r>
              <w:rPr/>
              <w:t>​</w:t>
            </w:r>
          </w:p>
        </w:tc>
      </w:tr>
      <w:tr>
        <w:trPr/>
        <w:tc>
          <w:tcPr>
            <w:tcW w:w="40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lineRule="auto" w:line="285" w:before="0" w:after="0"/>
              <w:ind w:left="0" w:right="0" w:hanging="0"/>
              <w:jc w:val="left"/>
              <w:rPr/>
            </w:pPr>
            <w:r>
              <w:rPr/>
              <w:t> </w:t>
            </w:r>
          </w:p>
        </w:tc>
        <w:tc>
          <w:tcPr>
            <w:tcW w:w="24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2,882</w:t>
            </w:r>
          </w:p>
        </w:tc>
        <w:tc>
          <w:tcPr>
            <w:tcW w:w="379" w:type="dxa"/>
            <w:tcBorders/>
            <w:vAlign w:val="center"/>
          </w:tcPr>
          <w:p>
            <w:pPr>
              <w:pStyle w:val="TableContents"/>
              <w:bidi w:val="0"/>
              <w:spacing w:lineRule="auto" w:line="285" w:before="0" w:after="0"/>
              <w:ind w:left="0" w:right="0" w:hanging="0"/>
              <w:jc w:val="left"/>
              <w:rPr/>
            </w:pPr>
            <w:r>
              <w:rPr/>
              <w:t> </w:t>
            </w:r>
          </w:p>
        </w:tc>
        <w:tc>
          <w:tcPr>
            <w:tcW w:w="24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8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4,231</w:t>
            </w:r>
          </w:p>
        </w:tc>
        <w:tc>
          <w:tcPr>
            <w:tcW w:w="326" w:type="dxa"/>
            <w:tcBorders/>
            <w:vAlign w:val="center"/>
          </w:tcPr>
          <w:p>
            <w:pPr>
              <w:pStyle w:val="TableContents"/>
              <w:bidi w:val="0"/>
              <w:spacing w:lineRule="auto" w:line="285" w:before="0" w:after="0"/>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(1,349)</w:t>
            </w:r>
          </w:p>
        </w:tc>
        <w:tc>
          <w:tcPr>
            <w:tcW w:w="326" w:type="dxa"/>
            <w:tcBorders/>
            <w:vAlign w:val="center"/>
          </w:tcPr>
          <w:p>
            <w:pPr>
              <w:pStyle w:val="TableContents"/>
              <w:bidi w:val="0"/>
              <w:spacing w:lineRule="auto" w:line="285" w:before="0" w:after="0"/>
              <w:ind w:left="0" w:right="0" w:hanging="0"/>
              <w:jc w:val="left"/>
              <w:rPr/>
            </w:pPr>
            <w:r>
              <w:rPr/>
              <w:t> </w:t>
            </w:r>
          </w:p>
        </w:tc>
        <w:tc>
          <w:tcPr>
            <w:tcW w:w="49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41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40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sales, general and administrative expenses</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83,557</w:t>
            </w:r>
          </w:p>
        </w:tc>
        <w:tc>
          <w:tcPr>
            <w:tcW w:w="379" w:type="dxa"/>
            <w:tcBorders/>
            <w:shd w:fill="CCEEFF" w:val="clear"/>
            <w:vAlign w:val="center"/>
          </w:tcPr>
          <w:p>
            <w:pPr>
              <w:pStyle w:val="TableContents"/>
              <w:bidi w:val="0"/>
              <w:spacing w:lineRule="auto" w:line="285" w:before="0" w:after="0"/>
              <w:ind w:left="0" w:right="0" w:hanging="0"/>
              <w:jc w:val="left"/>
              <w:rPr/>
            </w:pPr>
            <w:r>
              <w:rPr/>
              <w:t> </w:t>
            </w:r>
          </w:p>
        </w:tc>
        <w:tc>
          <w:tcPr>
            <w:tcW w:w="24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70,950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12,607</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1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firstLine="720"/>
        <w:jc w:val="left"/>
        <w:rPr/>
      </w:pPr>
      <w:r>
        <w:rPr/>
        <w: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Selling, general and administrative expense increased for the three months ended March 31, 2024 as compared to the three months ended March 31, 2023 primarily due to: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$6.9 million in commercial and related activities primarily related to the expansion of our commercial infrastructure for commercialization of AYVAKIT/AYVAKYT, including the US launch for ISM;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$5.0 million in consulting and professional services expenses to support strategic initiatives and business development activities.</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Interest Expense, Net</w:t>
      </w:r>
    </w:p>
    <w:p>
      <w:pPr>
        <w:pStyle w:val="TextBody"/>
        <w:bidi w:val="0"/>
        <w:spacing w:lineRule="auto" w:line="285" w:before="240" w:after="16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interest expense, net, during the three months ended March 31, 2024 and 2023 (in thousands):</w:t>
      </w:r>
    </w:p>
    <w:tbl>
      <w:tblPr>
        <w:tblW w:w="7280" w:type="dxa"/>
        <w:jc w:val="left"/>
        <w:tblInd w:w="0" w:type="dxa"/>
        <w:tblLayout w:type="fixed"/>
        <w:tblCellMar>
          <w:top w:w="0" w:type="dxa"/>
          <w:left w:w="0" w:type="dxa"/>
          <w:bottom w:w="0" w:type="dxa"/>
          <w:right w:w="0" w:type="dxa"/>
        </w:tblCellMar>
      </w:tblPr>
      <w:tblGrid>
        <w:gridCol w:w="1771"/>
        <w:gridCol w:w="326"/>
        <w:gridCol w:w="220"/>
        <w:gridCol w:w="832"/>
        <w:gridCol w:w="340"/>
        <w:gridCol w:w="220"/>
        <w:gridCol w:w="832"/>
        <w:gridCol w:w="326"/>
        <w:gridCol w:w="293"/>
        <w:gridCol w:w="878"/>
        <w:gridCol w:w="326"/>
        <w:gridCol w:w="458"/>
        <w:gridCol w:w="458"/>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124585" cy="175260"/>
                      <wp:effectExtent l="0" t="0" r="0" b="0"/>
                      <wp:wrapNone/>
                      <wp:docPr id="404" name="Frame404"/>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9700" cy="175260"/>
                      <wp:effectExtent l="0" t="0" r="0" b="0"/>
                      <wp:wrapNone/>
                      <wp:docPr id="406" name="Frame406"/>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28320" cy="175260"/>
                      <wp:effectExtent l="0" t="0" r="0" b="0"/>
                      <wp:wrapNone/>
                      <wp:docPr id="407" name="Frame407"/>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15900" cy="175260"/>
                      <wp:effectExtent l="0" t="0" r="0" b="0"/>
                      <wp:wrapNone/>
                      <wp:docPr id="408" name="Frame408"/>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9700" cy="175260"/>
                      <wp:effectExtent l="0" t="0" r="0" b="0"/>
                      <wp:wrapNone/>
                      <wp:docPr id="409" name="Frame409"/>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528320" cy="175260"/>
                      <wp:effectExtent l="0" t="0" r="0" b="0"/>
                      <wp:wrapNone/>
                      <wp:docPr id="410" name="Frame410"/>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411" name="Frame4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86055" cy="175260"/>
                      <wp:effectExtent l="0" t="0" r="0" b="0"/>
                      <wp:wrapNone/>
                      <wp:docPr id="412" name="Frame412"/>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57530" cy="175260"/>
                      <wp:effectExtent l="0" t="0" r="0" b="0"/>
                      <wp:wrapNone/>
                      <wp:docPr id="413" name="Frame413"/>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7010" cy="175260"/>
                      <wp:effectExtent l="0" t="0" r="0" b="0"/>
                      <wp:wrapNone/>
                      <wp:docPr id="414"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90830" cy="175260"/>
                      <wp:effectExtent l="0" t="0" r="0" b="0"/>
                      <wp:wrapNone/>
                      <wp:docPr id="415" name="Frame415"/>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90830" cy="175260"/>
                      <wp:effectExtent l="0" t="0" r="0" b="0"/>
                      <wp:wrapNone/>
                      <wp:docPr id="416" name="Frame416"/>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lineRule="auto" w:line="285" w:before="0" w:after="0"/>
              <w:ind w:left="0" w:right="0" w:hanging="0"/>
              <w:jc w:val="left"/>
              <w:rPr/>
            </w:pPr>
            <w:r>
              <w:rPr/>
              <w:t>​</w:t>
            </w:r>
          </w:p>
        </w:tc>
        <w:tc>
          <w:tcPr>
            <w:tcW w:w="293" w:type="dxa"/>
            <w:tcBorders/>
            <w:vAlign w:val="center"/>
          </w:tcPr>
          <w:p>
            <w:pPr>
              <w:pStyle w:val="TableContents"/>
              <w:bidi w:val="0"/>
              <w:spacing w:lineRule="auto" w:line="285" w:before="0" w:after="0"/>
              <w:ind w:left="0" w:right="0" w:hanging="0"/>
              <w:jc w:val="left"/>
              <w:rPr/>
            </w:pPr>
            <w:r>
              <w:rPr/>
              <w:t>​</w:t>
            </w:r>
          </w:p>
        </w:tc>
        <w:tc>
          <w:tcPr>
            <w:tcW w:w="878"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58" w:type="dxa"/>
            <w:tcBorders/>
            <w:vAlign w:val="center"/>
          </w:tcPr>
          <w:p>
            <w:pPr>
              <w:pStyle w:val="TableContents"/>
              <w:bidi w:val="0"/>
              <w:spacing w:lineRule="auto" w:line="285" w:before="0" w:after="0"/>
              <w:ind w:left="0" w:right="0" w:hanging="0"/>
              <w:jc w:val="left"/>
              <w:rPr/>
            </w:pPr>
            <w:r>
              <w:rPr/>
              <w:t>​</w:t>
            </w:r>
          </w:p>
        </w:tc>
        <w:tc>
          <w:tcPr>
            <w:tcW w:w="458" w:type="dxa"/>
            <w:tcBorders/>
            <w:vAlign w:val="center"/>
          </w:tcPr>
          <w:p>
            <w:pPr>
              <w:pStyle w:val="TableContents"/>
              <w:bidi w:val="0"/>
              <w:spacing w:lineRule="auto" w:line="285" w:before="0" w:after="0"/>
              <w:ind w:left="0" w:right="0" w:hanging="0"/>
              <w:jc w:val="left"/>
              <w:rPr/>
            </w:pPr>
            <w:r>
              <w:rPr/>
              <w:t>​</w:t>
            </w:r>
          </w:p>
        </w:tc>
      </w:tr>
      <w:tr>
        <w:trPr/>
        <w:tc>
          <w:tcPr>
            <w:tcW w:w="177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0" w:type="dxa"/>
            <w:tcBorders/>
            <w:vAlign w:val="center"/>
          </w:tcPr>
          <w:p>
            <w:pPr>
              <w:pStyle w:val="TableContents"/>
              <w:bidi w:val="0"/>
              <w:spacing w:lineRule="auto" w:line="285" w:before="0" w:after="0"/>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7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2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9,178</w:t>
            </w:r>
          </w:p>
        </w:tc>
        <w:tc>
          <w:tcPr>
            <w:tcW w:w="340" w:type="dxa"/>
            <w:tcBorders/>
            <w:shd w:fill="CCEEFF" w:val="clear"/>
            <w:vAlign w:val="center"/>
          </w:tcPr>
          <w:p>
            <w:pPr>
              <w:pStyle w:val="TableContents"/>
              <w:bidi w:val="0"/>
              <w:spacing w:lineRule="auto" w:line="285" w:before="0" w:after="0"/>
              <w:ind w:left="0" w:right="0" w:hanging="0"/>
              <w:jc w:val="left"/>
              <w:rPr/>
            </w:pPr>
            <w:r>
              <w:rPr/>
              <w:t> </w:t>
            </w:r>
          </w:p>
        </w:tc>
        <w:tc>
          <w:tcPr>
            <w:tcW w:w="22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5,900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45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17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lineRule="auto" w:line="285" w:before="0" w:after="0"/>
              <w:ind w:left="0" w:right="0" w:hanging="0"/>
              <w:jc w:val="left"/>
              <w:rPr/>
            </w:pPr>
            <w:r>
              <w:rPr/>
              <w:t> </w:t>
            </w:r>
          </w:p>
        </w:tc>
        <w:tc>
          <w:tcPr>
            <w:tcW w:w="22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(15,073)</w:t>
            </w:r>
          </w:p>
        </w:tc>
        <w:tc>
          <w:tcPr>
            <w:tcW w:w="340" w:type="dxa"/>
            <w:tcBorders/>
            <w:vAlign w:val="center"/>
          </w:tcPr>
          <w:p>
            <w:pPr>
              <w:pStyle w:val="TableContents"/>
              <w:bidi w:val="0"/>
              <w:spacing w:lineRule="auto" w:line="285" w:before="0" w:after="0"/>
              <w:ind w:left="0" w:right="0" w:hanging="0"/>
              <w:jc w:val="left"/>
              <w:rPr/>
            </w:pPr>
            <w:r>
              <w:rPr/>
              <w:t> </w:t>
            </w:r>
          </w:p>
        </w:tc>
        <w:tc>
          <w:tcPr>
            <w:tcW w:w="22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(11,719)</w:t>
            </w:r>
          </w:p>
        </w:tc>
        <w:tc>
          <w:tcPr>
            <w:tcW w:w="326" w:type="dxa"/>
            <w:tcBorders/>
            <w:vAlign w:val="center"/>
          </w:tcPr>
          <w:p>
            <w:pPr>
              <w:pStyle w:val="TableContents"/>
              <w:bidi w:val="0"/>
              <w:spacing w:lineRule="auto" w:line="285" w:before="0" w:after="0"/>
              <w:ind w:left="0" w:right="0" w:hanging="0"/>
              <w:jc w:val="left"/>
              <w:rPr/>
            </w:pPr>
            <w:r>
              <w:rPr/>
              <w:t> </w:t>
            </w:r>
          </w:p>
        </w:tc>
        <w:tc>
          <w:tcPr>
            <w:tcW w:w="29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(3,354)</w:t>
            </w:r>
          </w:p>
        </w:tc>
        <w:tc>
          <w:tcPr>
            <w:tcW w:w="326" w:type="dxa"/>
            <w:tcBorders/>
            <w:vAlign w:val="center"/>
          </w:tcPr>
          <w:p>
            <w:pPr>
              <w:pStyle w:val="TableContents"/>
              <w:bidi w:val="0"/>
              <w:spacing w:lineRule="auto" w:line="285" w:before="0" w:after="0"/>
              <w:ind w:left="0" w:right="0" w:hanging="0"/>
              <w:jc w:val="left"/>
              <w:rPr/>
            </w:pPr>
            <w:r>
              <w:rPr/>
              <w:t> </w:t>
            </w:r>
          </w:p>
        </w:tc>
        <w:tc>
          <w:tcPr>
            <w:tcW w:w="45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5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r>
      <w:tr>
        <w:trPr/>
        <w:tc>
          <w:tcPr>
            <w:tcW w:w="17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(5,895)</w:t>
            </w:r>
          </w:p>
        </w:tc>
        <w:tc>
          <w:tcPr>
            <w:tcW w:w="340" w:type="dxa"/>
            <w:tcBorders/>
            <w:shd w:fill="CCEEFF" w:val="clear"/>
            <w:vAlign w:val="center"/>
          </w:tcPr>
          <w:p>
            <w:pPr>
              <w:pStyle w:val="TableContents"/>
              <w:bidi w:val="0"/>
              <w:spacing w:lineRule="auto" w:line="285" w:before="0" w:after="0"/>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(5,819)</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Interest expense, net, increased for the three months ended March 31, 2024 as compared to the three months ended March 31, 2023 primarily due to higher interest charges on the liability related to the sale of future revenues and the term loan with Sixth Street Partners, partially offset by higher interest income earned on our investments during the three months ended March 31, 2024 as compared to the three months ended March 31, 2023.</w:t>
      </w:r>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Other Income, Net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other income, net, during the three months ended March 31, 2024 and 2023 (in thousands):</w:t>
      </w:r>
    </w:p>
    <w:tbl>
      <w:tblPr>
        <w:tblW w:w="7069" w:type="dxa"/>
        <w:jc w:val="left"/>
        <w:tblInd w:w="0" w:type="dxa"/>
        <w:tblLayout w:type="fixed"/>
        <w:tblCellMar>
          <w:top w:w="0" w:type="dxa"/>
          <w:left w:w="0" w:type="dxa"/>
          <w:bottom w:w="0" w:type="dxa"/>
          <w:right w:w="0" w:type="dxa"/>
        </w:tblCellMar>
      </w:tblPr>
      <w:tblGrid>
        <w:gridCol w:w="1561"/>
        <w:gridCol w:w="326"/>
        <w:gridCol w:w="324"/>
        <w:gridCol w:w="647"/>
        <w:gridCol w:w="501"/>
        <w:gridCol w:w="324"/>
        <w:gridCol w:w="647"/>
        <w:gridCol w:w="326"/>
        <w:gridCol w:w="357"/>
        <w:gridCol w:w="814"/>
        <w:gridCol w:w="326"/>
        <w:gridCol w:w="497"/>
        <w:gridCol w:w="419"/>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991235" cy="175260"/>
                      <wp:effectExtent l="0" t="0" r="0" b="0"/>
                      <wp:wrapNone/>
                      <wp:docPr id="417" name="Frame417"/>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8"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05740" cy="175260"/>
                      <wp:effectExtent l="0" t="0" r="0" b="0"/>
                      <wp:wrapNone/>
                      <wp:docPr id="419" name="Frame419"/>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410845" cy="175260"/>
                      <wp:effectExtent l="0" t="0" r="0" b="0"/>
                      <wp:wrapNone/>
                      <wp:docPr id="420" name="Frame420"/>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318135" cy="175260"/>
                      <wp:effectExtent l="0" t="0" r="0" b="0"/>
                      <wp:wrapNone/>
                      <wp:docPr id="421" name="Frame421"/>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5740" cy="175260"/>
                      <wp:effectExtent l="0" t="0" r="0" b="0"/>
                      <wp:wrapNone/>
                      <wp:docPr id="422" name="Frame422"/>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10845" cy="175260"/>
                      <wp:effectExtent l="0" t="0" r="0" b="0"/>
                      <wp:wrapNone/>
                      <wp:docPr id="423" name="Frame423"/>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26695" cy="175260"/>
                      <wp:effectExtent l="0" t="0" r="0" b="0"/>
                      <wp:wrapNone/>
                      <wp:docPr id="425" name="Frame425"/>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516890" cy="175260"/>
                      <wp:effectExtent l="0" t="0" r="0" b="0"/>
                      <wp:wrapNone/>
                      <wp:docPr id="426" name="Frame426"/>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315595" cy="175260"/>
                      <wp:effectExtent l="0" t="0" r="0" b="0"/>
                      <wp:wrapNone/>
                      <wp:docPr id="428" name="Frame428"/>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66065" cy="175260"/>
                      <wp:effectExtent l="0" t="0" r="0" b="0"/>
                      <wp:wrapNone/>
                      <wp:docPr id="429" name="Frame429"/>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lineRule="auto" w:line="285" w:before="0" w:after="0"/>
              <w:ind w:left="0" w:right="0" w:hanging="0"/>
              <w:jc w:val="left"/>
              <w:rPr/>
            </w:pPr>
            <w:r>
              <w:rPr/>
              <w:t>​</w:t>
            </w:r>
          </w:p>
        </w:tc>
        <w:tc>
          <w:tcPr>
            <w:tcW w:w="357" w:type="dxa"/>
            <w:tcBorders/>
            <w:vAlign w:val="center"/>
          </w:tcPr>
          <w:p>
            <w:pPr>
              <w:pStyle w:val="TableContents"/>
              <w:bidi w:val="0"/>
              <w:spacing w:lineRule="auto" w:line="285" w:before="0" w:after="0"/>
              <w:ind w:left="0" w:right="0" w:hanging="0"/>
              <w:jc w:val="left"/>
              <w:rPr/>
            </w:pPr>
            <w:r>
              <w:rPr/>
              <w:t>​</w:t>
            </w:r>
          </w:p>
        </w:tc>
        <w:tc>
          <w:tcPr>
            <w:tcW w:w="81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156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01" w:type="dxa"/>
            <w:tcBorders/>
            <w:vAlign w:val="center"/>
          </w:tcPr>
          <w:p>
            <w:pPr>
              <w:pStyle w:val="TableContents"/>
              <w:bidi w:val="0"/>
              <w:spacing w:lineRule="auto" w:line="285" w:before="0" w:after="0"/>
              <w:ind w:left="0" w:right="0" w:hanging="0"/>
              <w:jc w:val="center"/>
              <w:rPr/>
            </w:pPr>
            <w:r>
              <w:rPr/>
              <w:t>    </w:t>
            </w:r>
          </w:p>
        </w:tc>
        <w:tc>
          <w:tcPr>
            <w:tcW w:w="9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5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2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501" w:type="dxa"/>
            <w:tcBorders/>
            <w:shd w:fill="CCEEFF" w:val="clear"/>
            <w:vAlign w:val="center"/>
          </w:tcPr>
          <w:p>
            <w:pPr>
              <w:pStyle w:val="TableContents"/>
              <w:bidi w:val="0"/>
              <w:spacing w:lineRule="auto" w:line="285" w:before="0" w:after="0"/>
              <w:ind w:left="0" w:right="0" w:hanging="0"/>
              <w:jc w:val="left"/>
              <w:rPr/>
            </w:pPr>
            <w:r>
              <w:rPr/>
              <w:t> </w:t>
            </w:r>
          </w:p>
        </w:tc>
        <w:tc>
          <w:tcPr>
            <w:tcW w:w="32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986</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5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Other income, net, decreased for the three months ended March 31, 2024 as compared to the three months ended March 31, 2023 primarily due to the transfer of our pre-launch inventory to a third party during the three months ended March 31, 2023.</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Debt extinguishment gain</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March 31, 2024, a debt extinguishment gain of $173.7 million was recognized as a result of the Royalty Pharma Termination Agreement entered into on February 22, 2024. For additional information, see Note 3</w:t>
      </w:r>
      <w:r>
        <w:rPr>
          <w:rFonts w:ascii="Times New Roman;Times;serif" w:hAnsi="Times New Roman;Times;serif"/>
          <w:i/>
          <w:sz w:val="20"/>
        </w:rPr>
        <w:t>, Financing Arrangements</w:t>
      </w:r>
      <w:r>
        <w:rPr>
          <w:rFonts w:ascii="Times New Roman;Times;serif" w:hAnsi="Times New Roman;Times;serif"/>
          <w:sz w:val="20"/>
        </w:rPr>
        <w:t>, to our unaudited condensed consolidated financial statements.</w:t>
      </w:r>
    </w:p>
    <w:p>
      <w:pPr>
        <w:pStyle w:val="TextBody"/>
        <w:bidi w:val="0"/>
        <w:spacing w:lineRule="auto" w:line="285" w:before="240" w:after="160"/>
        <w:ind w:left="0" w:right="0" w:hanging="0"/>
        <w:jc w:val="left"/>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income tax expense during the three months ended March 31, 2024 and 2023 (in thousands):</w:t>
      </w:r>
    </w:p>
    <w:tbl>
      <w:tblPr>
        <w:tblW w:w="7234" w:type="dxa"/>
        <w:jc w:val="left"/>
        <w:tblInd w:w="0" w:type="dxa"/>
        <w:tblLayout w:type="fixed"/>
        <w:tblCellMar>
          <w:top w:w="0" w:type="dxa"/>
          <w:left w:w="0" w:type="dxa"/>
          <w:bottom w:w="0" w:type="dxa"/>
          <w:right w:w="0" w:type="dxa"/>
        </w:tblCellMar>
      </w:tblPr>
      <w:tblGrid>
        <w:gridCol w:w="1726"/>
        <w:gridCol w:w="326"/>
        <w:gridCol w:w="324"/>
        <w:gridCol w:w="647"/>
        <w:gridCol w:w="501"/>
        <w:gridCol w:w="324"/>
        <w:gridCol w:w="647"/>
        <w:gridCol w:w="326"/>
        <w:gridCol w:w="357"/>
        <w:gridCol w:w="814"/>
        <w:gridCol w:w="326"/>
        <w:gridCol w:w="497"/>
        <w:gridCol w:w="419"/>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096010" cy="175260"/>
                      <wp:effectExtent l="0" t="0" r="0" b="0"/>
                      <wp:wrapNone/>
                      <wp:docPr id="430" name="Frame430"/>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05740" cy="175260"/>
                      <wp:effectExtent l="0" t="0" r="0" b="0"/>
                      <wp:wrapNone/>
                      <wp:docPr id="432" name="Frame432"/>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410845" cy="175260"/>
                      <wp:effectExtent l="0" t="0" r="0" b="0"/>
                      <wp:wrapNone/>
                      <wp:docPr id="433" name="Frame433"/>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318135" cy="175260"/>
                      <wp:effectExtent l="0" t="0" r="0" b="0"/>
                      <wp:wrapNone/>
                      <wp:docPr id="434" name="Frame434"/>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05740" cy="175260"/>
                      <wp:effectExtent l="0" t="0" r="0" b="0"/>
                      <wp:wrapNone/>
                      <wp:docPr id="435" name="Frame435"/>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410845" cy="175260"/>
                      <wp:effectExtent l="0" t="0" r="0" b="0"/>
                      <wp:wrapNone/>
                      <wp:docPr id="436" name="Frame436"/>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7" name="Frame4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26695" cy="175260"/>
                      <wp:effectExtent l="0" t="0" r="0" b="0"/>
                      <wp:wrapNone/>
                      <wp:docPr id="438" name="Frame438"/>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516890" cy="175260"/>
                      <wp:effectExtent l="0" t="0" r="0" b="0"/>
                      <wp:wrapNone/>
                      <wp:docPr id="439" name="Frame439"/>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40"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315595" cy="175260"/>
                      <wp:effectExtent l="0" t="0" r="0" b="0"/>
                      <wp:wrapNone/>
                      <wp:docPr id="441" name="Frame441"/>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66065" cy="175260"/>
                      <wp:effectExtent l="0" t="0" r="0" b="0"/>
                      <wp:wrapNone/>
                      <wp:docPr id="442" name="Frame442"/>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lineRule="auto" w:line="285" w:before="0" w:after="0"/>
              <w:ind w:left="0" w:right="0" w:hanging="0"/>
              <w:jc w:val="left"/>
              <w:rPr/>
            </w:pPr>
            <w:r>
              <w:rPr/>
              <w:t>​</w:t>
            </w:r>
          </w:p>
        </w:tc>
        <w:tc>
          <w:tcPr>
            <w:tcW w:w="357" w:type="dxa"/>
            <w:tcBorders/>
            <w:vAlign w:val="center"/>
          </w:tcPr>
          <w:p>
            <w:pPr>
              <w:pStyle w:val="TableContents"/>
              <w:bidi w:val="0"/>
              <w:spacing w:lineRule="auto" w:line="285" w:before="0" w:after="0"/>
              <w:ind w:left="0" w:right="0" w:hanging="0"/>
              <w:jc w:val="left"/>
              <w:rPr/>
            </w:pPr>
            <w:r>
              <w:rPr/>
              <w:t>​</w:t>
            </w:r>
          </w:p>
        </w:tc>
        <w:tc>
          <w:tcPr>
            <w:tcW w:w="814"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497" w:type="dxa"/>
            <w:tcBorders/>
            <w:vAlign w:val="center"/>
          </w:tcPr>
          <w:p>
            <w:pPr>
              <w:pStyle w:val="TableContents"/>
              <w:bidi w:val="0"/>
              <w:spacing w:lineRule="auto" w:line="285" w:before="0" w:after="0"/>
              <w:ind w:left="0" w:right="0" w:hanging="0"/>
              <w:jc w:val="left"/>
              <w:rPr/>
            </w:pPr>
            <w:r>
              <w:rPr/>
              <w:t>​</w:t>
            </w:r>
          </w:p>
        </w:tc>
        <w:tc>
          <w:tcPr>
            <w:tcW w:w="419" w:type="dxa"/>
            <w:tcBorders/>
            <w:vAlign w:val="center"/>
          </w:tcPr>
          <w:p>
            <w:pPr>
              <w:pStyle w:val="TableContents"/>
              <w:bidi w:val="0"/>
              <w:spacing w:lineRule="auto" w:line="285" w:before="0" w:after="0"/>
              <w:ind w:left="0" w:right="0" w:hanging="0"/>
              <w:jc w:val="left"/>
              <w:rPr/>
            </w:pPr>
            <w:r>
              <w:rPr/>
              <w:t>​</w:t>
            </w:r>
          </w:p>
        </w:tc>
      </w:tr>
      <w:tr>
        <w:trPr/>
        <w:tc>
          <w:tcPr>
            <w:tcW w:w="1726"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    </w:t>
            </w:r>
          </w:p>
        </w:tc>
        <w:tc>
          <w:tcPr>
            <w:tcW w:w="9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01" w:type="dxa"/>
            <w:tcBorders/>
            <w:vAlign w:val="center"/>
          </w:tcPr>
          <w:p>
            <w:pPr>
              <w:pStyle w:val="TableContents"/>
              <w:bidi w:val="0"/>
              <w:spacing w:lineRule="auto" w:line="285" w:before="0" w:after="0"/>
              <w:ind w:left="0" w:right="0" w:hanging="0"/>
              <w:jc w:val="center"/>
              <w:rPr/>
            </w:pPr>
            <w:r>
              <w:rPr/>
              <w:t>    </w:t>
            </w:r>
          </w:p>
        </w:tc>
        <w:tc>
          <w:tcPr>
            <w:tcW w:w="9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lineRule="auto" w:line="285"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Dollar Change</w:t>
            </w:r>
          </w:p>
        </w:tc>
        <w:tc>
          <w:tcPr>
            <w:tcW w:w="326" w:type="dxa"/>
            <w:tcBorders/>
            <w:vAlign w:val="center"/>
          </w:tcPr>
          <w:p>
            <w:pPr>
              <w:pStyle w:val="TableContents"/>
              <w:bidi w:val="0"/>
              <w:spacing w:lineRule="auto" w:line="285"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r>
      <w:tr>
        <w:trPr/>
        <w:tc>
          <w:tcPr>
            <w:tcW w:w="17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2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501" w:type="dxa"/>
            <w:tcBorders/>
            <w:shd w:fill="CCEEFF" w:val="clear"/>
            <w:vAlign w:val="center"/>
          </w:tcPr>
          <w:p>
            <w:pPr>
              <w:pStyle w:val="TableContents"/>
              <w:bidi w:val="0"/>
              <w:spacing w:lineRule="auto" w:line="285" w:before="0" w:after="0"/>
              <w:ind w:left="0" w:right="0" w:hanging="0"/>
              <w:jc w:val="left"/>
              <w:rPr/>
            </w:pPr>
            <w:r>
              <w:rPr/>
              <w:t> </w:t>
            </w:r>
          </w:p>
        </w:tc>
        <w:tc>
          <w:tcPr>
            <w:tcW w:w="32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35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26" w:type="dxa"/>
            <w:tcBorders/>
            <w:shd w:fill="CCEEFF" w:val="clear"/>
            <w:vAlign w:val="center"/>
          </w:tcPr>
          <w:p>
            <w:pPr>
              <w:pStyle w:val="TableContents"/>
              <w:bidi w:val="0"/>
              <w:spacing w:lineRule="auto" w:line="285" w:before="0" w:after="0"/>
              <w:ind w:left="0" w:right="0" w:hanging="0"/>
              <w:jc w:val="left"/>
              <w:rPr/>
            </w:pPr>
            <w:r>
              <w:rPr/>
              <w:t> </w:t>
            </w:r>
          </w:p>
        </w:tc>
        <w:tc>
          <w:tcPr>
            <w:tcW w:w="4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41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Income tax expense decreased for the three months ended March 31, 2024 as compared to the three months ended March 31, 2023 primarily due to the prior period unfavorable discrete items not recurring during the three months ended March 31, 2024.</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2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 date, we have financed our operations primarily through public offerings of our common stock, private placements of our convertible preferred and common stock, collaborations and license agreements, future royalty and revenue monetization, and a term loan. Through March 31, 2024, we have received an aggregate of $3.7 billion from such transactions, including $1.9 billion in aggregate gross proceeds from the sale of common stock in our IPO, follow-on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payments and milestone payments under our collaborations with Roche, CStone and Zai Lab, our license agreement with Clementia and our former collaboration with Alexion, and $250.0 million in gross proceeds from a term loan from Sixth Street Partners. In addition, since January 2020, we have also generated revenue through the sales of our approved drug products.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2024, we had cash, cash equivalents and marketable securities of $735.6 million.</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Cash Flows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information regarding our cash flows for the three months ended March 31, 2024 and 2023:</w:t>
      </w:r>
    </w:p>
    <w:tbl>
      <w:tblPr>
        <w:tblW w:w="8532" w:type="dxa"/>
        <w:jc w:val="left"/>
        <w:tblInd w:w="0" w:type="dxa"/>
        <w:tblLayout w:type="fixed"/>
        <w:tblCellMar>
          <w:top w:w="0" w:type="dxa"/>
          <w:left w:w="0" w:type="dxa"/>
          <w:bottom w:w="0" w:type="dxa"/>
          <w:right w:w="0" w:type="dxa"/>
        </w:tblCellMar>
      </w:tblPr>
      <w:tblGrid>
        <w:gridCol w:w="5611"/>
        <w:gridCol w:w="326"/>
        <w:gridCol w:w="211"/>
        <w:gridCol w:w="901"/>
        <w:gridCol w:w="326"/>
        <w:gridCol w:w="211"/>
        <w:gridCol w:w="946"/>
      </w:tblGrid>
      <w:tr>
        <w:trPr/>
        <w:tc>
          <w:tcPr>
            <w:tcW w:w="5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3562985" cy="175260"/>
                      <wp:effectExtent l="0" t="0" r="0" b="0"/>
                      <wp:wrapNone/>
                      <wp:docPr id="443" name="Frame443"/>
                      <a:graphic xmlns:a="http://schemas.openxmlformats.org/drawingml/2006/main">
                        <a:graphicData uri="http://schemas.microsoft.com/office/word/2010/wordprocessingShape">
                          <wps:wsp>
                            <wps:cNvSpPr txBox="1"/>
                            <wps:spPr>
                              <a:xfrm>
                                <a:off x="0" y="0"/>
                                <a:ext cx="3562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07010" cy="175260"/>
                      <wp:effectExtent l="0" t="0" r="0" b="0"/>
                      <wp:wrapNone/>
                      <wp:docPr id="444" name="Frame4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3985" cy="175260"/>
                      <wp:effectExtent l="0" t="0" r="0" b="0"/>
                      <wp:wrapNone/>
                      <wp:docPr id="445" name="Frame4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572135" cy="175260"/>
                      <wp:effectExtent l="0" t="0" r="0" b="0"/>
                      <wp:wrapNone/>
                      <wp:docPr id="446" name="Frame44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47" name="Frame4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33985" cy="175260"/>
                      <wp:effectExtent l="0" t="0" r="0" b="0"/>
                      <wp:wrapNone/>
                      <wp:docPr id="448" name="Frame4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00710" cy="175260"/>
                      <wp:effectExtent l="0" t="0" r="0" b="0"/>
                      <wp:wrapNone/>
                      <wp:docPr id="449" name="Frame44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59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61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center"/>
              <w:rPr/>
            </w:pPr>
            <w:r>
              <w:rPr/>
              <w:t>​</w:t>
            </w:r>
          </w:p>
        </w:tc>
        <w:tc>
          <w:tcPr>
            <w:tcW w:w="259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61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lineRule="auto" w:line="285"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lineRule="auto" w:line="285"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6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(101,513)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(122,961)</w:t>
            </w:r>
          </w:p>
        </w:tc>
      </w:tr>
      <w:tr>
        <w:trPr/>
        <w:tc>
          <w:tcPr>
            <w:tcW w:w="56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77,131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right"/>
              <w:rPr/>
            </w:pPr>
            <w:r>
              <w:rPr/>
              <w:t> </w:t>
            </w:r>
          </w:p>
        </w:tc>
        <w:tc>
          <w:tcPr>
            <w:tcW w:w="9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172,791</w:t>
            </w:r>
          </w:p>
        </w:tc>
      </w:tr>
      <w:tr>
        <w:trPr/>
        <w:tc>
          <w:tcPr>
            <w:tcW w:w="56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66,963</w:t>
            </w:r>
          </w:p>
        </w:tc>
        <w:tc>
          <w:tcPr>
            <w:tcW w:w="32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 </w:t>
            </w:r>
          </w:p>
        </w:tc>
        <w:tc>
          <w:tcPr>
            <w:tcW w:w="9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56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42,581</w:t>
            </w:r>
          </w:p>
        </w:tc>
        <w:tc>
          <w:tcPr>
            <w:tcW w:w="32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49,830</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Net Cash Used in Operating Activities. </w:t>
      </w:r>
      <w:r>
        <w:rPr>
          <w:rFonts w:ascii="Times New Roman;Times;serif" w:hAnsi="Times New Roman;Times;serif"/>
          <w:sz w:val="20"/>
        </w:rPr>
        <w:t xml:space="preserve">For the three months ended March 31, 2024, compared to the same period in 2023, the $21.4 million decrease in net cash used in operating activities was primarily due to the decrease in net loss of $218.7 million which was partially offset by non-cash adjustment for the debt extinguishment gain of $173.7 million and changes in our operating assets and liabilities of $16.8 million. The changes in net cash flows related to changes in our operating assets and liabilities were generally due to the timing of vendor invoicing and payments.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Net Cash Provided by Investing Activities. </w:t>
      </w:r>
      <w:r>
        <w:rPr>
          <w:rFonts w:ascii="Times New Roman;Times;serif" w:hAnsi="Times New Roman;Times;serif"/>
          <w:sz w:val="20"/>
        </w:rPr>
        <w:t xml:space="preserve">For the three months ended March 31, 2024, compared to the same period in 2023, the $95.7 million decrease in net cash provided by investing activities was primarily due to the $97.1 million decrease in net proceeds received from maturities of available for sale investments.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i/>
          <w:sz w:val="20"/>
        </w:rPr>
        <w:t>Net Cash Provided by Financing Activities.</w:t>
      </w:r>
      <w:r>
        <w:rPr>
          <w:rFonts w:ascii="Times New Roman;Times;serif" w:hAnsi="Times New Roman;Times;serif"/>
          <w:sz w:val="20"/>
        </w:rPr>
        <w:t xml:space="preserve"> For the three months ended March 31, 2024, compared to the same period in 2023, the $67.0 million increase in net cash provided by financing activities was primarily due to the $48.9 million increase in net proceeds from the at-the-market offerings and the $18.4 million increase in net proceeds from stock option exercises and employee stock purchase plan.</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Debt Financing</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 xml:space="preserve">In June 2022, we entered into a Royalty Purchase Agreement with Royalty Pharma. Pursuant to the Royalty Purchase Agreement, we received an upfront payment of $175.0 million in consideration for our rights to receive royalty payments on the net sales of GAVRETO worldwide excluding the CStone Territory and U.S. territory under the terms of the Roche pralsetinib collaboration agreement. In connection with and effective upon the termination of the Roche pralsetinib collaboration agreement, on February 22, 2024, we and Royalty Pharma agreed to terminate the Royalty Purchase Agreement. As of March 31, 2024, the net carrying value of liability related to this arrangement was $0.9 million as of March 31, 2024.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 July 2022, we closed a Future Revenue Purchase Agreement with Sixth Street Partners and received gross proceeds of $250.0 million in exchange for future royalty payments at a rate of 9.75% on up to $900 million each year of (i) aggregate worldwide annual net product sales of AYVAKIT/AYVAKYT (avapritinib) and (ii) if it is approved, aggregate worldwide annual net product sales of elenestinib (BLU-263), but excluding sales in Greater China, subject to a cumulative cap of 1.45 times the upfront invested capital or a total of $362.5 million. In the event that certain revenue targets are not achieved by specified dates, the royalty rate and cumulative cap shall be increased to 15% and 1.85 times the invested capital (or $462.5 million), respectively. Net proceeds from the transaction were recorded as liabilities related to sale of future royalties and revenues on the consolidated balance sheet and as of March 31, 2024, the net carrying value of the liability related to this arrangement was $266.9 million.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 July 2022, we closed a Financing Agreement for up to $660.0 million with Sixth Street Partners. The Financing Agreement, entered into by the parties in connection with the transaction provides for (i) a senior secured term loan facility of up to $150.0 million and (ii) a senior secured delayed draw term loan facility of up to $250.0 million to be funded in two tranches at our choice subject to certain terms and conditions. The loans will mature on June 30, 2028 and bear interest at a variable rate equal to either the Secured Overnight Financing Rate (SOFR) plus 6.50% or the base rate plus 5.50%, subject to a floor of 1% and 2% with respect to the SOFR and base rate, respectively. The initial gross proceeds of $150.0 million was funded in July 2022. In August 2023, we received the first tranche of the senior secured delayed draw term loan facility in the amount of $100.0 million in gross proceeds. In addition, we may at any time request an incremental term loan in an amount not to exceed $260.0 million on terms to be agreed and subject to the consent of the lenders providing such incremental term loan. As of March 31, 2024, the net carrying value of the term loan was $239.4 million.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obligations under the Financing Agreement are secured, subject to certain exceptions, by security interests in substantially all of our assets and certain of our subsidiaries’ assets. The Financing Agreement contains customary negative covenants that, among other things and subject to certain exceptions, could restrict our ability to incur additional liens, incur additional indebtedness, make investments, including acquisitions, engage in fundamental changes, sell or dispose of assets that constitute collateral, including certain intellectual property, pay dividends or make any distribution or payment on or redeem, retire or purchase any equity interests, amend, modify or waive certain material agreements or organizational documents and make payments of certain subordinated indebtedness. The Financing Agreement also requires us to have consolidated liquidity of at least (i) $50.0 million during the period commencing from the date on which the term loans are funded to the date which is the day before the next term loans are funded and (ii) $80.0 million for each day thereafter.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For additional information, see Note 3</w:t>
      </w:r>
      <w:r>
        <w:rPr>
          <w:rFonts w:ascii="Times New Roman;Times;serif" w:hAnsi="Times New Roman;Times;serif"/>
          <w:i/>
          <w:sz w:val="20"/>
        </w:rPr>
        <w:t>, Financing Arrangements</w:t>
      </w:r>
      <w:r>
        <w:rPr>
          <w:rFonts w:ascii="Times New Roman;Times;serif" w:hAnsi="Times New Roman;Times;serif"/>
          <w:sz w:val="20"/>
        </w:rPr>
        <w:t>, to our unaudited condensed consolidated financial statements.</w:t>
      </w:r>
    </w:p>
    <w:p>
      <w:pPr>
        <w:pStyle w:val="TextBody"/>
        <w:bidi w:val="0"/>
        <w:spacing w:lineRule="auto" w:line="285" w:before="280" w:after="0"/>
        <w:ind w:left="0" w:right="0" w:hanging="0"/>
        <w:jc w:val="left"/>
        <w:rPr>
          <w:rFonts w:ascii="Times New Roman;Times;serif" w:hAnsi="Times New Roman;Times;serif"/>
          <w:i/>
          <w:sz w:val="20"/>
        </w:rPr>
      </w:pPr>
      <w:r>
        <w:rPr>
          <w:rFonts w:ascii="Times New Roman;Times;serif" w:hAnsi="Times New Roman;Times;serif"/>
          <w:i/>
          <w:sz w:val="20"/>
        </w:rPr>
        <w:t>Funding Requirements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We expect variability in our expenses in connection with our ongoing activities, particularly as we continue the research and development of, initiate or continue clinical trials of, and seek marketing approval for our drug candidates. In addition, we expect to incur additional significant commercialization expenses for AYVAKIT/AYVAKYT and other drug candidates, if approved, related to drug sales, marketing, manufacturing and distribution to the extent that such sales, marketing, manufacturing and distribution are not the responsibility of potential collaborators or licensors. We may incur additional significant costs if we choose to pursue additional indications or geographies for any of our approved drugs or drug candidates or otherwise expand more rapidly than we presently anticipate. Accordingly, we may seek to obtain additional funding from time to time in connection with our continuing operations or business objectives. If we are unable to raise capital when needed or on attractive terms, we may be forced to delay, reduce or eliminate certain of our research and development programs or future commercialization efforts.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As of March 31, 2024, we had cash, cash equivalents and marketable securities of $735.6 million. Based on our current operating plans, we anticipate our existing cash, cash equivalents and marketable securities, together with anticipated future product revenues, will provide sufficient capital to enable us to achieve a self-sustainable financial profile.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Our future capital requirements will depend on and may increase as a result of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commercialization efforts and market acceptance for AYVAKIT/AYVAKYT or any of our current or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maintaining, expanding or contracting for sales, marketing and distribution capabilities in connection with commercialization of AYVAKIT/AYVAKYT and any of our current or future drug candidates for which we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securing manufacturing, packaging and labeling arrangements to ensure adequate supply for development activities and commercial production, including API, drug substance and drug product material for use in preclinical studies, clinical trials, our compassionate use program and for use as commercial supply, as applicable;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purchasing quantities of agents for use in our clinical trials in connection with our efforts to develop our drugs and drug candidates, including for development as combination therapies;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drug discovery, preclinical development, laboratory testing and clinical trials for our approved drugs and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marketing applications for our drug candidates, to the extent these expenses are not the responsibility of our collaboration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collaborations with CStone and VantAI, our license agreements with Clementia and IDRx, our agreement with Rigel, as well as our ability to establish and maintain additional collaborations, partnerships or licenses on favorable terms,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achievement of milestones or occurrence of other developments that trigger payments under our existing collaboration and other agreements, our financing arrangements, or any collaboration, partnership, financing or license agreements that we may enter into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are obligated to reimburse, or entitled to reimbursement of, research and development, clinical or other costs under future collaboration agreements,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in-license other approved drugs, drug candidates or technologies and the terms of any such arrangements;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enforcing our intellectual property rights and defending intellectual property-related claims; and</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continuing to expand our operations.</w:t>
            </w:r>
          </w:p>
        </w:tc>
      </w:tr>
    </w:tbl>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and achieve substantial revenues for any of our drugs or drug candidates that receive marketing approval. In addition, our drugs and any current or future drug candidates that receive marketing approvals may not achieve commercial success. Accordingly, we may need to rely on additional financing to achieve our business objectives. Adequate additional financing may not be available to us on acceptable terms, or at all.</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Until we can generate material net cash inflows from our operations, we may choose to finance our cash needs primarily through a combination of public and private equity offerings, debt financings, future revenue monetizations, collaborations, strategic alliances and licensing arrangements. We do not have any committed external sources of funds, other than our collaboration with CStone, the license agreements with Clementia and IDRx, the agreement with Rigel and the Financing Agreement with Sixth Street Partners, which are limited in scope and duration and subject to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Additional debt financing, if available, would increase our fixed payment obligations and may involve agreements that include additional covenants limiting or restricting our ability to take specific actions, such as incurring additional debt, making capital expenditures or declaring dividends.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If we raise funds through additional collaborations, strategic alliances, licensing arrangements or future revenue monetizations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 </w:t>
      </w:r>
    </w:p>
    <w:p>
      <w:pPr>
        <w:pStyle w:val="TextBody"/>
        <w:bidi w:val="0"/>
        <w:spacing w:lineRule="auto" w:line="285" w:before="28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 xml:space="preserve">Our contractual obligations primarily consist of our obligations under unconditional purchase obligations related to certain clinical and commercial manufacturing agreements, non-cancellable operating leases, term loan and defined benefit obligation. </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As of March 31, 2024, there have been no material changes to our contractual obligations</w:t>
      </w:r>
      <w:r>
        <w:rPr>
          <w:rFonts w:ascii="Times New Roman;Times;serif" w:hAnsi="Times New Roman;Times;serif"/>
          <w:sz w:val="20"/>
          <w:shd w:fill="FFFFFF" w:val="clear"/>
        </w:rPr>
        <w:t> outside the ordinary course of business from those d</w:t>
      </w:r>
      <w:r>
        <w:rPr>
          <w:rFonts w:ascii="Times New Roman;Times;serif" w:hAnsi="Times New Roman;Times;serif"/>
          <w:sz w:val="20"/>
        </w:rPr>
        <w:t xml:space="preserve">escribed under “Management’s Discussion and Analysis of Financial Condition and Results of Operations” included in the Annual Report on Form 10-K for the year ended December 31, 2023. </w:t>
      </w:r>
    </w:p>
    <w:p>
      <w:pPr>
        <w:pStyle w:val="TextBody"/>
        <w:bidi w:val="0"/>
        <w:spacing w:lineRule="auto" w:line="285" w:before="0" w:after="240"/>
        <w:ind w:left="0" w:right="0" w:hanging="0"/>
        <w:jc w:val="left"/>
        <w:rPr>
          <w:rFonts w:ascii="Times New Roman;Times;serif" w:hAnsi="Times New Roman;Times;serif"/>
          <w:b/>
          <w:sz w:val="20"/>
        </w:rPr>
      </w:pPr>
      <w:bookmarkStart w:id="993" w:name="Quantitative_675574"/>
      <w:bookmarkStart w:id="994" w:name="_1cba4399_93bd_4228_b1f2_c297cc72f401"/>
      <w:bookmarkEnd w:id="993"/>
      <w:bookmarkEnd w:id="994"/>
      <w:r>
        <w:rPr>
          <w:rFonts w:ascii="Times New Roman;Times;serif" w:hAnsi="Times New Roman;Times;serif"/>
          <w:b/>
          <w:sz w:val="20"/>
        </w:rPr>
        <w:t>Item 3. Quantitative and Qualitative Disclosures About Market Risk</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As of March 31, 2024 and December 31, 2023, we had cash, cash equivalents and marketable securities of $735.6 million and $767.2 million, respectively, consisting primarily of money market funds and investments in U.S. government agency and treasury obligations.</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Our primary exposure to market risk is interest rate sensitivity in our fixed income portfolio, which is primarily affected by changes in the general level of U.S. interest rates resulting from the Federal Reserve’s raising of interest rates.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are also exposed to market risk related to changes in foreign currency exchange rates, including recent changes resulting from monetary policy from the U.S. and international central banks, inflationary pressures, and geopolitical developments, or instability or volatility in the global markets</w:t>
      </w:r>
      <w:r>
        <w:rPr>
          <w:rFonts w:ascii="Times New Roman;Times;serif" w:hAnsi="Times New Roman;Times;serif"/>
          <w:sz w:val="24"/>
        </w:rPr>
        <w:t xml:space="preserve">. </w:t>
      </w:r>
      <w:r>
        <w:rPr>
          <w:rFonts w:ascii="Times New Roman;Times;serif" w:hAnsi="Times New Roman;Times;serif"/>
          <w:sz w:val="20"/>
        </w:rPr>
        <w:t>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March 31, 2024 and December 31, 2023, we held limited funds and future obligations denominated in foreign currencies.</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Inflation generally affects us by increasing our cost of labor, clinical trial and manufacturing costs and indirectly increasing interest rates. Inflation rates, particularly in the U.S., have increased significantly in recent years and, although inflation rates have decelerated over the past year, they remain elevated. We have not seen a significant impact from inflation on our business, financial condition or results of operations during the three months ended March 31, 2024. However, a significant or prolonged period of high inflation could adversely impact our results if costs were to increase at a rate greater than the increase in the revenues we generate.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995" w:name="ControlsandProcedures_819554"/>
      <w:bookmarkStart w:id="996" w:name="_3ea7e387_8185_4d26_b6b7_fe8db2d8c864"/>
      <w:bookmarkEnd w:id="995"/>
      <w:bookmarkEnd w:id="996"/>
      <w:r>
        <w:rPr>
          <w:rFonts w:ascii="Times New Roman;Times;serif" w:hAnsi="Times New Roman;Times;serif"/>
          <w:b/>
          <w:sz w:val="20"/>
        </w:rPr>
        <w:t>Item 4. Controls and Procedures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Management’s Evaluation of our Disclosure Controls and Procedures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maintain “disclosure controls and procedures,” as defined in Rules 13a-15(e) and 15d-15(e) under the Securities Exchange Act of 1934, as amended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(our principal executive officer and principal financial officer, respectively), evaluated the effectiveness of our disclosure controls and procedures as of March 31, 2024. Based upon such evaluation, our Chief Executive Officer and Chief Financial Officer have concluded that, as of March 31, 2024, our disclosure controls and procedures were effective at the reasonable assurance level.</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that occurred during the fiscal quarter covered by this report that materially affected, or are reasonably likely to materially affect, our internal control over financial reporting.</w:t>
      </w:r>
    </w:p>
    <w:p>
      <w:pPr>
        <w:pStyle w:val="TextBody"/>
        <w:bidi w:val="0"/>
        <w:spacing w:lineRule="auto" w:line="285" w:before="120" w:after="0"/>
        <w:ind w:left="0" w:right="0" w:hanging="0"/>
        <w:jc w:val="center"/>
        <w:rPr>
          <w:rFonts w:ascii="Times New Roman;Times;serif" w:hAnsi="Times New Roman;Times;serif"/>
          <w:b/>
          <w:caps/>
          <w:sz w:val="20"/>
        </w:rPr>
      </w:pPr>
      <w:bookmarkStart w:id="997" w:name="PARTII_568397"/>
      <w:bookmarkStart w:id="998" w:name="_07058cb0_09f7_4497_92f8_fd48be27812f"/>
      <w:bookmarkEnd w:id="997"/>
      <w:bookmarkEnd w:id="998"/>
      <w:r>
        <w:rPr>
          <w:rFonts w:ascii="Times New Roman;Times;serif" w:hAnsi="Times New Roman;Times;serif"/>
          <w:b/>
          <w:caps/>
          <w:sz w:val="20"/>
        </w:rPr>
        <w:t>Part II – OTHER INFORMATION</w:t>
      </w:r>
    </w:p>
    <w:p>
      <w:pPr>
        <w:pStyle w:val="TextBody"/>
        <w:bidi w:val="0"/>
        <w:spacing w:lineRule="auto" w:line="285" w:before="12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999" w:name="LegalProceedings_161281"/>
      <w:bookmarkStart w:id="1000" w:name="_0537f994_a0f8_4a3a_89d3_2684e8161899"/>
      <w:bookmarkEnd w:id="999"/>
      <w:bookmarkEnd w:id="1000"/>
      <w:r>
        <w:rPr>
          <w:rFonts w:ascii="Times New Roman;Times;serif" w:hAnsi="Times New Roman;Times;serif"/>
          <w:b/>
          <w:sz w:val="20"/>
        </w:rPr>
        <w:t>Item 1. Legal Proceedings</w:t>
      </w:r>
    </w:p>
    <w:p>
      <w:pPr>
        <w:pStyle w:val="TextBody"/>
        <w:pBd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not currently a party to any material legal proceedings, nor are we aware of any governmental proceedings involving potential monetary sanctions of $300,000 or more. </w:t>
      </w:r>
    </w:p>
    <w:p>
      <w:pPr>
        <w:pStyle w:val="TextBody"/>
        <w:pBdr/>
        <w:shd w:fill="FFFFFF" w:val="clear"/>
        <w:bidi w:val="0"/>
        <w:spacing w:lineRule="auto" w:line="285" w:before="0" w:after="0"/>
        <w:ind w:left="0" w:right="0" w:hanging="0"/>
        <w:jc w:val="left"/>
        <w:rPr>
          <w:rFonts w:ascii="Times New Roman;Times;serif" w:hAnsi="Times New Roman;Times;serif"/>
          <w:sz w:val="20"/>
        </w:rPr>
      </w:pPr>
      <w:bookmarkStart w:id="1001" w:name="Item1ARiskFactors"/>
      <w:bookmarkStart w:id="1002" w:name="_676db9f3_6bee_4c61_9908_f456303d956f"/>
      <w:bookmarkEnd w:id="1001"/>
      <w:bookmarkEnd w:id="1002"/>
      <w:r>
        <w:rPr>
          <w:rFonts w:ascii="Times New Roman;Times;serif" w:hAnsi="Times New Roman;Times;serif"/>
          <w:b/>
          <w:sz w:val="20"/>
        </w:rPr>
        <w:t>Item 1A. Risk Factors</w:t>
      </w:r>
      <w:r>
        <w:rPr>
          <w:rFonts w:ascii="Times New Roman;Times;serif" w:hAnsi="Times New Roman;Times;serif"/>
          <w:sz w:val="20"/>
        </w:rPr>
        <w:t xml:space="preserve"> </w:t>
      </w:r>
    </w:p>
    <w:p>
      <w:pPr>
        <w:pStyle w:val="TextBody"/>
        <w:shd w:fill="FFFFFF" w:val="clear"/>
        <w:bidi w:val="0"/>
        <w:spacing w:lineRule="auto" w:line="285" w:before="0" w:after="0"/>
        <w:ind w:left="0" w:right="0" w:firstLine="720"/>
        <w:jc w:val="left"/>
        <w:rPr>
          <w:rFonts w:ascii="Times New Roman;Times;serif" w:hAnsi="Times New Roman;Times;serif"/>
          <w:i/>
          <w:sz w:val="20"/>
        </w:rPr>
      </w:pPr>
      <w:r>
        <w:rPr>
          <w:rFonts w:ascii="Times New Roman;Times;serif" w:hAnsi="Times New Roman;Times;serif"/>
          <w:i/>
          <w:sz w:val="20"/>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the Section titled “Forward-Looking Statements”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Risk Factor Summary</w:t>
      </w:r>
    </w:p>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Below is a summary of the material risks to our business, operations and the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and should be carefully considered, together with other information in this Quarterly Report on Form 10-Q in its entirety before making investment decisions regarding our common stock.</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process of growing as a commercial company and the marketing and sale of AYVAKIT/ AYVAKYT or any future approved drugs may be unsuccessful or less successful than anticipated.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our current and future drugs will depend upon the degree of market acceptance by physicians, patients, third-party payors and others in the medical community.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market opportunities for our approved drugs or drug candidates are smaller than we estimate or if any approval that we obtain is based on a narrower definition of the patient population, our revenue and ability to achieve profitability may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substantial competition, which may result in our commercial opportunity being reduced or limited by others commercializing, developing or discovering drugs before or more successfully than we do.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liability lawsuits against us could cause us to incur substantial liabilities and could limit commercialization of any of our approved drugs or drug candidates that we may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unable to obtain regulatory approval for our drug candidates (including for avapritinib in additional geographies) and ultimately commercialize them, or experience significant delays in doing so, our business may be materially harmed.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delays or difficulties in the enrollment of patients in clinical trials, our receipt of necessary regulatory approvals could be delayed or prevented.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drugs and drug candidates may cause undesirable side effects that could delay or prevent their regulatory approval, limit the commercial profile of an approved label, result in restrictive distribution or result in other negative consequences following marketing approval,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Positive preclinical data, individual case report presentations, and interim or early or clinical results for our drug candidates may not be indicative of future results and may not evolve into final clinical data that supports continued clinical development or into registration-enabling data.</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successful in our efforts to expand our pipeline of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since our inception and anticipate that we will incur continued losses for the foreseeable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364" w:type="dxa"/>
        <w:jc w:val="left"/>
        <w:tblInd w:w="0" w:type="dxa"/>
        <w:tblLayout w:type="fixed"/>
        <w:tblCellMar>
          <w:top w:w="28" w:type="dxa"/>
          <w:left w:w="28" w:type="dxa"/>
          <w:bottom w:w="28" w:type="dxa"/>
          <w:right w:w="28" w:type="dxa"/>
        </w:tblCellMar>
      </w:tblPr>
      <w:tblGrid>
        <w:gridCol w:w="124"/>
        <w:gridCol w:w="109"/>
        <w:gridCol w:w="21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substantially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initiate legal proceedings alleging that we are infringing their intellectual property rights, the outcome of which would be uncertain and could have a material adverse effect on the success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common stock has been and may in the future be volatile and fluctuate substantially.</w:t>
            </w:r>
          </w:p>
        </w:tc>
      </w:tr>
    </w:tbl>
    <w:p>
      <w:pPr>
        <w:pStyle w:val="TextBody"/>
        <w:pBd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Risks Related to Commercialization</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We continue to grow as a commercial company and the marketing and sale of AYVAKIT/AYVAKYT or any future approved drugs may be unsuccessful or less successful than anticipated.</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had two approved precision therapies, AYVAKIT/AYVAKYT and GAVRETO. While we have been commercializing AYVAKIT in the U.S. and AYVAKYT in Europe and, prior to the sale of the related assets to Rigel, co-commercializing GAVRETO with Roche in the U.S., we only became a commercial company in 2020, and our track record of demonstrating our ability to successfully overcome the many risks and uncertainties encountered by companies commercializing drugs in the biopharmaceutical industry is somewhat limited. To execute our business plan, in addition to successfully marketing and selling our approved drugs, we will need to successfully:</w:t>
      </w:r>
    </w:p>
    <w:p>
      <w:pPr>
        <w:pStyle w:val="TextBody"/>
        <w:bidi w:val="0"/>
        <w:spacing w:lineRule="auto" w:line="285" w:before="0" w:after="240"/>
        <w:ind w:left="1080" w:right="0" w:hanging="0"/>
        <w:jc w:val="left"/>
        <w:rPr/>
      </w:pPr>
      <w:r>
        <w:rPr/>
        <w:t>●</w:t>
      </w:r>
      <w:r>
        <w:rPr>
          <w:rFonts w:ascii="Times New Roman;Times;serif" w:hAnsi="Times New Roman;Times;serif"/>
          <w:sz w:val="20"/>
        </w:rPr>
        <w:t>establish and maintain our relationships with healthcare providers who will be treating patients who may receive our drugs and any future drugs;</w:t>
      </w:r>
    </w:p>
    <w:p>
      <w:pPr>
        <w:pStyle w:val="TextBody"/>
        <w:bidi w:val="0"/>
        <w:spacing w:lineRule="auto" w:line="285" w:before="0" w:after="240"/>
        <w:ind w:left="1080" w:right="0" w:hanging="0"/>
        <w:jc w:val="left"/>
        <w:rPr/>
      </w:pPr>
      <w:r>
        <w:rPr/>
        <w:t>●</w:t>
      </w:r>
      <w:r>
        <w:rPr>
          <w:rFonts w:ascii="Times New Roman;Times;serif" w:hAnsi="Times New Roman;Times;serif"/>
          <w:sz w:val="20"/>
        </w:rPr>
        <w:t>obtain and maintain adequate pricing and reimbursement for AYVAKIT/AYVAKYT and any future drugs;</w:t>
      </w:r>
    </w:p>
    <w:p>
      <w:pPr>
        <w:pStyle w:val="TextBody"/>
        <w:bidi w:val="0"/>
        <w:spacing w:lineRule="auto" w:line="285" w:before="0" w:after="240"/>
        <w:ind w:left="1080" w:right="0" w:hanging="0"/>
        <w:jc w:val="left"/>
        <w:rPr/>
      </w:pPr>
      <w:r>
        <w:rPr/>
        <w:t>●</w:t>
      </w:r>
      <w:r>
        <w:rPr>
          <w:rFonts w:ascii="Times New Roman;Times;serif" w:hAnsi="Times New Roman;Times;serif"/>
          <w:sz w:val="20"/>
        </w:rPr>
        <w:t>gain regulatory acceptance for the development and commercialization of current or future drug candidates in our pipeline, including for additional indications or in additional geographies for marketed drugs in our portfolio;</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maintain key collaborations; </w:t>
      </w:r>
    </w:p>
    <w:p>
      <w:pPr>
        <w:pStyle w:val="TextBody"/>
        <w:bidi w:val="0"/>
        <w:spacing w:lineRule="auto" w:line="285" w:before="0" w:after="240"/>
        <w:ind w:left="1080" w:right="0" w:hanging="0"/>
        <w:jc w:val="left"/>
        <w:rPr/>
      </w:pPr>
      <w:r>
        <w:rPr/>
        <w:t>●</w:t>
      </w:r>
      <w:r>
        <w:rPr>
          <w:rFonts w:ascii="Times New Roman;Times;serif" w:hAnsi="Times New Roman;Times;serif"/>
          <w:sz w:val="20"/>
        </w:rPr>
        <w:t>expand our global operations or enter into collaboration, partnerships or distribution arrangements in geographies where we may not have current operations or expertise; and</w:t>
      </w:r>
    </w:p>
    <w:p>
      <w:pPr>
        <w:pStyle w:val="TextBody"/>
        <w:bidi w:val="0"/>
        <w:spacing w:lineRule="auto" w:line="285"/>
        <w:ind w:left="1080" w:right="0" w:hanging="0"/>
        <w:jc w:val="left"/>
        <w:rPr/>
      </w:pPr>
      <w:r>
        <w:rPr/>
        <w:t>●</w:t>
      </w:r>
      <w:r>
        <w:rPr>
          <w:rFonts w:ascii="Times New Roman;Times;serif" w:hAnsi="Times New Roman;Times;serif"/>
          <w:sz w:val="20"/>
        </w:rPr>
        <w:t>manage our spending as costs and expenses increase due to clinical trials, marketing approvals, and commercialization.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If we are unsuccessful in accomplishing these objectives, we may not be able to successfully commercialize our current or future approved drugs, develop current or future drug candidates, expand our business or continue our operations.</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The commercial success of AYVAKIT/AYVAKYT, as well as any other drugs that we may bring to the market, will depend upon the degree of market acceptance by physicians, patients, third-party payors and others in the medical community.</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AYVAKIT/AYVAKYT, as well any other drugs that we may bring to the market, may not gain market acceptance by physicians, patients, third-party payors and others in the medical community. If these drugs do not achieve an adequate level of acceptance, we may not generate significant product revenues and may not become profitable. The degree of market acceptance for AYVAKIT/AYVAKYT, as well as any current or future drug candidates for which we receive marketing approval, will depend on a number of factors, including:</w:t>
      </w:r>
    </w:p>
    <w:tbl>
      <w:tblPr>
        <w:tblW w:w="6606" w:type="dxa"/>
        <w:jc w:val="left"/>
        <w:tblInd w:w="0" w:type="dxa"/>
        <w:shd w:fill="FFFFFF" w:val="clear"/>
        <w:tblLayout w:type="fixed"/>
        <w:tblCellMar>
          <w:top w:w="28" w:type="dxa"/>
          <w:left w:w="28" w:type="dxa"/>
          <w:bottom w:w="28" w:type="dxa"/>
          <w:right w:w="28" w:type="dxa"/>
        </w:tblCellMar>
      </w:tblPr>
      <w:tblGrid>
        <w:gridCol w:w="124"/>
        <w:gridCol w:w="256"/>
        <w:gridCol w:w="622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efficacy and potential advantages over alternative treatments;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side effects, including any limitations or warnings contained in the drug’s approved labeling;</w:t>
            </w:r>
          </w:p>
        </w:tc>
      </w:tr>
    </w:tbl>
    <w:p>
      <w:pPr>
        <w:pStyle w:val="TextBody"/>
        <w:bidi w:val="0"/>
        <w:spacing w:lineRule="auto" w:line="285" w:before="0" w:after="240"/>
        <w:ind w:left="1080" w:right="0" w:hanging="0"/>
        <w:jc w:val="left"/>
        <w:rPr/>
      </w:pPr>
      <w:r>
        <w:rPr/>
        <w:t>●</w:t>
      </w:r>
      <w:r>
        <w:rPr>
          <w:rFonts w:ascii="Times New Roman;Times;serif" w:hAnsi="Times New Roman;Times;serif"/>
          <w:sz w:val="20"/>
        </w:rPr>
        <w:t>the relative convenience and ease of administration;</w:t>
      </w:r>
    </w:p>
    <w:p>
      <w:pPr>
        <w:pStyle w:val="TextBody"/>
        <w:bidi w:val="0"/>
        <w:spacing w:lineRule="auto" w:line="285" w:before="0" w:after="240"/>
        <w:ind w:left="1080" w:right="0" w:hanging="0"/>
        <w:jc w:val="left"/>
        <w:rPr/>
      </w:pPr>
      <w:r>
        <w:rPr/>
        <w:t>●</w:t>
      </w:r>
      <w:r>
        <w:rPr>
          <w:rFonts w:ascii="Times New Roman;Times;serif" w:hAnsi="Times New Roman;Times;serif"/>
          <w:sz w:val="20"/>
        </w:rPr>
        <w:t>the willingness of eligible patients to try new therapies and of physicians to prescribe these therapies;</w:t>
      </w:r>
    </w:p>
    <w:p>
      <w:pPr>
        <w:pStyle w:val="TextBody"/>
        <w:bidi w:val="0"/>
        <w:spacing w:lineRule="auto" w:line="285" w:before="0" w:after="240"/>
        <w:ind w:left="1080" w:right="0" w:hanging="0"/>
        <w:jc w:val="left"/>
        <w:rPr/>
      </w:pPr>
      <w:r>
        <w:rPr/>
        <w:t>●</w:t>
      </w:r>
      <w:r>
        <w:rPr>
          <w:rFonts w:ascii="Times New Roman;Times;serif" w:hAnsi="Times New Roman;Times;serif"/>
          <w:sz w:val="20"/>
        </w:rPr>
        <w:t>the length of time that patients who are prescribed our drugs remain on treatment;</w:t>
      </w:r>
    </w:p>
    <w:p>
      <w:pPr>
        <w:pStyle w:val="TextBody"/>
        <w:bidi w:val="0"/>
        <w:spacing w:lineRule="auto" w:line="285" w:before="0" w:after="240"/>
        <w:ind w:left="1080" w:right="0" w:hanging="0"/>
        <w:jc w:val="left"/>
        <w:rPr/>
      </w:pPr>
      <w:r>
        <w:rPr/>
        <w:t>●</w:t>
      </w:r>
      <w:r>
        <w:rPr>
          <w:rFonts w:ascii="Times New Roman;Times;serif" w:hAnsi="Times New Roman;Times;serif"/>
          <w:sz w:val="20"/>
        </w:rPr>
        <w:t>the pricing of our drugs and any current or future drug candidates for which we receive marketing approval;</w:t>
      </w:r>
    </w:p>
    <w:p>
      <w:pPr>
        <w:pStyle w:val="TextBody"/>
        <w:bidi w:val="0"/>
        <w:spacing w:lineRule="auto" w:line="285" w:before="0" w:after="240"/>
        <w:ind w:left="1080" w:right="0" w:hanging="0"/>
        <w:jc w:val="left"/>
        <w:rPr/>
      </w:pPr>
      <w:r>
        <w:rPr/>
        <w:t>●</w:t>
      </w:r>
      <w:r>
        <w:rPr>
          <w:rFonts w:ascii="Times New Roman;Times;serif" w:hAnsi="Times New Roman;Times;serif"/>
          <w:sz w:val="20"/>
        </w:rPr>
        <w:t>publicity concerning our current and future drugs, or competing products and treatments; and</w:t>
      </w:r>
    </w:p>
    <w:p>
      <w:pPr>
        <w:pStyle w:val="TextBody"/>
        <w:bidi w:val="0"/>
        <w:spacing w:lineRule="auto" w:line="285"/>
        <w:ind w:left="1080" w:right="0" w:hanging="0"/>
        <w:jc w:val="left"/>
        <w:rPr/>
      </w:pPr>
      <w:r>
        <w:rPr/>
        <w:t>●</w:t>
      </w:r>
      <w:r>
        <w:rPr>
          <w:rFonts w:ascii="Times New Roman;Times;serif" w:hAnsi="Times New Roman;Times;serif"/>
          <w:sz w:val="20"/>
        </w:rPr>
        <w:t>sufficient third-party insurance coverage or reimbursement.</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Even if a drug candidate displays a favorable efficacy and safety profile in preclinical and clinical studies and the drug candidate receives marketing approval, market acceptance of the drug will not be known until after it is launched. Our efforts to educate the medical community and third-party payors on the benefits of our drugs may require significant resources, including more resources than those required for treatments marketed by competitors, and may never be successful. Any of these factors may cause our approved drugs, as well as any current or future drug candidates for which we receive marketing approval, to be unsuccessful or less successful than anticipated.</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If we are unable to establish additional commercial capabilities and infrastructure, we may be unable to generate sufficient revenue to sustain our business.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continue to build out our commercial capabilities and infrastructures and have been growing our sales and distribution experience and capabilities for marketing and market access. To successfully commercialize our approved drugs or any current or future drug candidates for which we receive marketing approval, we will need to continue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cannot be sure that we will be able to or can successfully compete with other companies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Factors that may inhibit our efforts to commercialize our drugs include:</w:t>
      </w:r>
    </w:p>
    <w:p>
      <w:pPr>
        <w:pStyle w:val="TextBody"/>
        <w:bidi w:val="0"/>
        <w:spacing w:lineRule="auto" w:line="285" w:before="0" w:after="240"/>
        <w:ind w:left="1080" w:right="0" w:hanging="0"/>
        <w:jc w:val="left"/>
        <w:rPr/>
      </w:pPr>
      <w:r>
        <w:rPr/>
        <w:t>●</w:t>
      </w:r>
      <w:r>
        <w:rPr>
          <w:rFonts w:ascii="Times New Roman;Times;serif" w:hAnsi="Times New Roman;Times;serif"/>
          <w:sz w:val="20"/>
        </w:rPr>
        <w:t>our inability to recruit, train and retain adequate numbers of sales and marketing personnel;</w:t>
      </w:r>
    </w:p>
    <w:p>
      <w:pPr>
        <w:pStyle w:val="TextBody"/>
        <w:bidi w:val="0"/>
        <w:spacing w:lineRule="auto" w:line="285" w:before="0" w:after="240"/>
        <w:ind w:left="1080" w:right="0" w:hanging="0"/>
        <w:jc w:val="left"/>
        <w:rPr/>
      </w:pPr>
      <w:r>
        <w:rPr/>
        <w:t>●</w:t>
      </w:r>
      <w:r>
        <w:rPr>
          <w:rFonts w:ascii="Times New Roman;Times;serif" w:hAnsi="Times New Roman;Times;serif"/>
          <w:sz w:val="20"/>
        </w:rPr>
        <w:t>the inability of sales personnel to obtain access to or to persuade adequate numbers of physicians to prescribe our drugs;</w:t>
      </w:r>
    </w:p>
    <w:p>
      <w:pPr>
        <w:pStyle w:val="TextBody"/>
        <w:bidi w:val="0"/>
        <w:spacing w:lineRule="auto" w:line="285" w:before="0" w:after="240"/>
        <w:ind w:left="1080" w:right="0" w:hanging="0"/>
        <w:jc w:val="left"/>
        <w:rPr/>
      </w:pPr>
      <w:r>
        <w:rPr/>
        <w:t>●</w:t>
      </w:r>
      <w:r>
        <w:rPr>
          <w:rFonts w:ascii="Times New Roman;Times;serif" w:hAnsi="Times New Roman;Times;serif"/>
          <w:sz w:val="20"/>
        </w:rPr>
        <w:t>unforeseen costs and expenses associated with maintaining an independent sales and marketing organization; and</w:t>
      </w:r>
    </w:p>
    <w:p>
      <w:pPr>
        <w:pStyle w:val="TextBody"/>
        <w:bidi w:val="0"/>
        <w:spacing w:lineRule="auto" w:line="285"/>
        <w:ind w:left="1080" w:right="0" w:hanging="0"/>
        <w:jc w:val="left"/>
        <w:rPr/>
      </w:pPr>
      <w:r>
        <w:rPr/>
        <w:t>●</w:t>
      </w:r>
      <w:r>
        <w:rPr>
          <w:rFonts w:ascii="Times New Roman;Times;serif" w:hAnsi="Times New Roman;Times;serif"/>
          <w:sz w:val="20"/>
        </w:rPr>
        <w:t>delays or disruptions to sales and marketing activities.</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event that we are unable to effectively deploy our sales organization or distribution strategy on a timely and efficient basis, if at all, the commercialization of our drugs could be delayed which would negatively impact our ability to generate product revenues.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precise incidence and/or prevalence for SM, chronic urticaria and other mast cell disorders, CDK2-vulnerable cancers and GIST are unknown. Our projections of the number of people who have these diseases, the frequency of the genetic alterations targeted by our drugs and drug candidates and the subset of patients who have the potential to benefit from our treatment options are based on estimates. These estimates have been derived from a variety 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approved drugs and drug candidates may be limited or may not be amenable to treatment with our precision therapies.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Accordingly, the incidence and/or prevalence of the diseases we aim to address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face substantial competition, which may result in others commercializing, developing or discovering drugs before or more successfully than we do.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our areas of focus, including allergy/inflammation and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cancer, including many major pharmaceutical and biotechnology companies.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AYVAKIT/AYVAKYT and elenestinib (BLU-263) face competition for advanced SM from Novartis AG’s midostaurin and imatinib, and may face competition from drug candidates in development, including that being developed by Alys Pharmaceuticals Inc., Cogent Biosciences, Inc. and Hoth Therapeutics, Inc. Avapritinib and elenestinib may face non-advanced SM competition from drug candidates in development, including those being developed by AB Science S.A., Allakos Inc., Celldex Therapeutics, Inc., Cogent Biosciences, Inc., Hoth Therapeutics, Inc., and Invea Therapeutics Inc..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AYVAKIT/AYVAKYT may face competition from drug candidates in development for PDGFRA-driven GIST, including those being developed by AB Science S.A., ARIAD Pharmaceuticals, Inc., a wholly-owned subsidiary of Takeda Pharmaceutical Company Limited, AROG Pharmaceuticals, Inc., AstraZeneca plc, Cogent Biosciences, Inc., Deciphera Pharmaceuticals, LLC, Exelixis, Inc., Ningbo Tai Kang Medical Technology Co. Ltd. and Xencor, Inc.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developing BLU-222 for cancers vulnerable to CDK2 inhibition, including CCNE1-aberrant cancers, which, if approved, will face competition from indication-specific therapies such as AstraZeneca’s capivasertib, AstraZeneca and Merck’s olaparib, AstraZeneca and Daiichi Sankyo’s trastuzumab deruxtecan, Clovis Oncology’s rucaparib, Eisai’s lenvatinib, Genentech’s bevacizumab, GSK’s niraparib, GSK’s dostarlimab, Menarini Group &amp; Stemline Therapeutics’ elacestrant, Merck’s pembrolizumab, and Novartis' alpelisib. In addition, BLU-222 may face competition from drug candidates in development, including those being developed by Acrivon Therapeutics, Allorion Therapeutics, Inc., Anrui Biomedical Technology, Arvinas, AstraZeneca plc, Aucentra Therapeutics, Avenzo Therapeutics, Bayer, BeiGene, BioTheryX, Inc., Cedilla Therapeutics, Inc., Cyclacel Pharmaceuticals Inc., Eli Lilly and Company, Ensem Therapeutics, Exelixis, Gilead Sciences, Inc., IMPACT Therapeutics, Inc., Incyclix Bio, LLC, Incyte Corporation, Monte Rosa Therapeutics, Inc., Nikang Therapeutics, Inc., Pfizer Inc., Plexium, Inc., Regor Therapeutics Inc., Relay Therapeutics, Inc., Repare Therapeutics, Inc., Satya Pharma Innovations Pvt. Ltd., and Zentalis Pharmaceuticals, Inc.</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developing BLU-808 for chronic urticaria and other allergy/inflammation disorders, which, if approved, will face competition from omalizumab developed by Genentech, Inc. and Novartis AG. In addition, BLU-808 may face competition from drug candidates in development for chronic urticaria, including those developed by Alivexis Inc., Allakos Inc., Alys Pharmaceuticals Inc., Amgen Inc., AstraZeneca plc, Celldex Therapeutics, Inc., Evommune, Inc, Incyte Corporation, InflaRx N.V., Jasper Therapeutics, Inc., Novartis AG, Regeneron Pharmaceuticals, Inc., Jiangsu Qyuns Therapeutics Co., KeifeRx, Sanofi S.A., Third Harmonic Bio, Inc., UnitedBiopharma Inc., Hangshou Highlightll Pharmaceutical Co., Ltd., Leo Pharma A/S, Acelyrin Inc., Taiho Pharmaceutical Co., Ltd., and Enanta Pharmaceuticals, Inc.</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level of generic competition and the availability of reimbursement from government and other third-party payors.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Product liability lawsuits against us could cause us to incur substantial liabilities and could limit commercialization of any of our approved drugs or drug candidates that we may develop.</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any of our approved drugs or drug candidates that we may develop and commercialize;</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injury to our reputation and significant negative media attention;</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costs to defend the related litigation;</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trial participants or patients;</w:t>
            </w:r>
          </w:p>
        </w:tc>
      </w:tr>
    </w:tbl>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 and</w:t>
            </w:r>
          </w:p>
        </w:tc>
      </w:tr>
    </w:tbl>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commercialize any of approved drugs or drug candidates that we may develop.</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 </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Increasing demand for compassionate use of our drug candidates could negatively affect our reputation and harm our business.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developing drug candidates for the treatment of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our current or future drug candidates under an expanded access policy, our reputation may be negatively affected and our business may be harmed.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Media attention to individual patients’ expanded access requests has resulted in the introduction and enactment of legislation at the local and national level referred to as “Right to Try” laws, such as the federal Right to Try Act of 2017, which are intended to allow patients access to unapproved therapies earlier than traditional expanded access programs. A possible consequence of both activism and legislation in this area may be the need for us to initiate an unanticipated expanded access program or to make our drug candidates more widely available sooner than anticipated.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prompt adverse publicity or other disruptions related to current or potential participants in such programs.</w:t>
      </w:r>
    </w:p>
    <w:p>
      <w:pPr>
        <w:pStyle w:val="TextBody"/>
        <w:pBdr/>
        <w:shd w:fill="FFFFFF" w:val="clear"/>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Our reliance on single-source third-party suppliers could harm our ability to commercialize our drugs or any drug candidates that may be approved in the future.</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do not currently own or operate manufacturing facilities for the production of our drugs or any drug candidates that may be approved in the future. We primarily rely on single-source third-party suppliers to manufacture and supply our drugs, which may not be able to produce sufficient inventory to meet commercial demand in a timely manner, or at all. Our third-party suppliers may not be required to provide us with any guaranteed minimum production levels or have dedicated capacity for our drugs. As a result, there can be no assurances that we will be able to obtain sufficient quantities of our drugs or any other drug candidates that may be approved in the future, which could have a material adverse effect on our business as a whole.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establish, maintain and, if necessary, expand sales and marketing capabilities or enter into agreements with third parties to sell and market our drugs and drug candidates, we may not be successful in commercializing our drugs and drug candidates if and when they are approved.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w:t>
      </w:r>
      <w:r>
        <w:rPr>
          <w:rFonts w:ascii="Times New Roman;Times;serif" w:hAnsi="Times New Roman;Times;serif"/>
          <w:sz w:val="20"/>
          <w:shd w:fill="FFFFFF" w:val="clear"/>
        </w:rPr>
        <w:t>or a new indication for a drug product</w:t>
      </w:r>
      <w:r>
        <w:rPr>
          <w:rFonts w:ascii="Times New Roman;Times;serif" w:hAnsi="Times New Roman;Times;serif"/>
          <w:sz w:val="20"/>
        </w:rPr>
        <w:t xml:space="preserve"> for which we establish marketing capabilities is delayed or does not occur for any reason, we would have prematurely or unnecessarily incurred these commercialization expenses, which may be costly.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If we enter into arrangements with third parties to perform sales, marketing and distribution services, our drug revenues or the profitability of these drug revenues to us are likely to be lower than if we were to market and sell any current or future drugs ourselves. We likely will have little control over such third parties, and any of them may fail to devote the necessary resources and attention to sell and market our drugs effectively. In addition, we may not be successful in entering into arrangements with third parties to sell and market our current and future drugs or may be unable to do so on terms that are favorable to us.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do not establish, maintain and, if necessary, expand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Drug Development and Regulatory Approval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If we are unable to advance our drug candidates to clinical development, obtain regulatory approval for our drug candidates, including for avapritinib in additional geographies, and ultimately commercialize them, or experience significant delays in doing so, our business will be materially harmed.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ability to generate material net cash inflows from our operations will depend heavily on the successful development and commercialization of our drugs and drug candidates. Each of our drug candidates will require additional preclinical or clinical development, management of clinical, preclinical and manufacturing activities, regulatory approval in multiple jurisdictions, obtaining manufacturing supply, substantial investment and significant marketing efforts before we generate substantial revenues from sales for those drug candidates, if approved. The success of our approved drugs and drug candidates will depend on several factors, including the following:</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successful enrollment in, and initiation and completion of, clinical trials, including our ongoing and planned clinical trials for our drugs and drug candidates </w:t>
      </w:r>
      <w:r>
        <w:rPr>
          <w:rFonts w:ascii="Times New Roman;Times;serif" w:hAnsi="Times New Roman;Times;serif"/>
          <w:sz w:val="20"/>
          <w:shd w:fill="FFFFFF" w:val="clear"/>
        </w:rPr>
        <w:t>as monotherapies and in combination with other agents</w:t>
      </w:r>
      <w:r>
        <w:rPr>
          <w:rFonts w:ascii="Times New Roman;Times;serif" w:hAnsi="Times New Roman;Times;serif"/>
          <w:sz w:val="20"/>
        </w:rPr>
        <w:t>;</w:t>
      </w:r>
    </w:p>
    <w:p>
      <w:pPr>
        <w:pStyle w:val="TextBody"/>
        <w:bidi w:val="0"/>
        <w:spacing w:lineRule="auto" w:line="285" w:before="0" w:after="240"/>
        <w:ind w:left="1080" w:right="0" w:hanging="0"/>
        <w:jc w:val="left"/>
        <w:rPr/>
      </w:pPr>
      <w:r>
        <w:rPr/>
        <w:t>●</w:t>
      </w:r>
      <w:r>
        <w:rPr>
          <w:rFonts w:ascii="Times New Roman;Times;serif" w:hAnsi="Times New Roman;Times;serif"/>
          <w:sz w:val="20"/>
        </w:rPr>
        <w:t>successful initiation and completion of preclinical studies for our other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receipt of regulatory approvals from applicable regulatory authorities and transitioning any conditional marketing authorizations to full approvals;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1080" w:right="0" w:hanging="0"/>
        <w:jc w:val="left"/>
        <w:rPr/>
      </w:pPr>
      <w:r>
        <w:rPr/>
        <w:t>●</w:t>
      </w:r>
      <w:r>
        <w:rPr>
          <w:rFonts w:ascii="Times New Roman;Times;serif" w:hAnsi="Times New Roman;Times;serif"/>
          <w:sz w:val="20"/>
        </w:rPr>
        <w:t>in-house commercial manufacturing capabilities or arrangements with third-parties for clinical supply and commercial manufacturing, packaging and labeling and the receipt by such third-party manufacturers of requisite approvals to supply commercial inventories of our approved drugs and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obtaining and maintaining patent and trade secret protection or regulatory exclusivity for our drugs and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successful commercialization of our approved drugs and drug candidates, if and when approved, whether alone or in collaboration with others;</w:t>
      </w:r>
    </w:p>
    <w:p>
      <w:pPr>
        <w:pStyle w:val="TextBody"/>
        <w:bidi w:val="0"/>
        <w:spacing w:lineRule="auto" w:line="285" w:before="0" w:after="240"/>
        <w:ind w:left="1080" w:right="0" w:hanging="0"/>
        <w:jc w:val="left"/>
        <w:rPr/>
      </w:pPr>
      <w:r>
        <w:rPr/>
        <w:t>●</w:t>
      </w:r>
      <w:r>
        <w:rPr>
          <w:rFonts w:ascii="Times New Roman;Times;serif" w:hAnsi="Times New Roman;Times;serif"/>
          <w:sz w:val="20"/>
        </w:rPr>
        <w:t>acceptance of our approved drugs and drug candidates, if and when approved, by patients, the medical community and third-party payors;</w:t>
      </w:r>
    </w:p>
    <w:p>
      <w:pPr>
        <w:pStyle w:val="TextBody"/>
        <w:bidi w:val="0"/>
        <w:spacing w:lineRule="auto" w:line="285" w:before="0" w:after="240"/>
        <w:ind w:left="1080" w:right="0" w:hanging="0"/>
        <w:jc w:val="left"/>
        <w:rPr/>
      </w:pPr>
      <w:r>
        <w:rPr/>
        <w:t>●</w:t>
      </w:r>
      <w:r>
        <w:rPr>
          <w:rFonts w:ascii="Times New Roman;Times;serif" w:hAnsi="Times New Roman;Times;serif"/>
          <w:sz w:val="20"/>
        </w:rPr>
        <w:t>effectively competing with other therapies;</w:t>
      </w:r>
    </w:p>
    <w:p>
      <w:pPr>
        <w:pStyle w:val="TextBody"/>
        <w:bidi w:val="0"/>
        <w:spacing w:lineRule="auto" w:line="285" w:before="0" w:after="240"/>
        <w:ind w:left="1080" w:right="0" w:hanging="0"/>
        <w:jc w:val="left"/>
        <w:rPr/>
      </w:pPr>
      <w:r>
        <w:rPr/>
        <w:t>●</w:t>
      </w:r>
      <w:r>
        <w:rPr>
          <w:rFonts w:ascii="Times New Roman;Times;serif" w:hAnsi="Times New Roman;Times;serif"/>
          <w:sz w:val="20"/>
        </w:rPr>
        <w:t>obtaining and maintaining healthcare coverage and adequate reimbursement;</w:t>
      </w:r>
    </w:p>
    <w:p>
      <w:pPr>
        <w:pStyle w:val="TextBody"/>
        <w:bidi w:val="0"/>
        <w:spacing w:lineRule="auto" w:line="285" w:before="0" w:after="240"/>
        <w:ind w:left="1080" w:right="0" w:hanging="0"/>
        <w:jc w:val="left"/>
        <w:rPr/>
      </w:pPr>
      <w:r>
        <w:rPr/>
        <w:t>●</w:t>
      </w:r>
      <w:r>
        <w:rPr>
          <w:rFonts w:ascii="Times New Roman;Times;serif" w:hAnsi="Times New Roman;Times;serif"/>
          <w:sz w:val="20"/>
        </w:rPr>
        <w:t>enforcing and defending intellectual property rights and claims; and</w:t>
      </w:r>
    </w:p>
    <w:p>
      <w:pPr>
        <w:pStyle w:val="TextBody"/>
        <w:bidi w:val="0"/>
        <w:spacing w:lineRule="auto" w:line="285"/>
        <w:ind w:left="1080" w:right="0" w:hanging="0"/>
        <w:jc w:val="left"/>
        <w:rPr/>
      </w:pPr>
      <w:r>
        <w:rPr/>
        <w:t>●</w:t>
      </w:r>
      <w:r>
        <w:rPr>
          <w:rFonts w:ascii="Times New Roman;Times;serif" w:hAnsi="Times New Roman;Times;serif"/>
          <w:sz w:val="20"/>
        </w:rPr>
        <w:t>maintaining a continued acceptable safety profile of our drugs and drug candidates following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do not achieve one or more of these factors in a timely manner or at all, we could experience significant delays or an inability to successfully commercialize our drugs and drug candidates, which would materially harm our business. If we do not receive regulatory approvals for our drug candidates, we may not be able to continue our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If we experience delays or difficulties in the enrollment of patients in clinical trials, our receipt of necessary regulatory approvals could be delayed or prevented.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not be able to initiate or continue clinical trials for our drug candidates, if we are unable to locate and enroll a sufficient number of eligible patients to participate in these trials as required by the FDA or similar regulatory authorities outside the U.S. because the target patient populations for our drug candidates and approved drugs in clinical development for additional indications are relatively small, it may be difficult to successfully identify patients. In addition, current commercially available diagnostic tests to identify appropriate patients for our clinical trials or any approved drug candidates may become unavailable in the future.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Furthermore, some of our competitors have ongoing clinical trials for drug candidates that treat the same indications as our drug candidates and approved drugs in clinical development for additional indications, and patients who would otherwise be eligible for our clinical trials may instead enroll in clinical trials of our competitors’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Patient enrollment may be affected by other factors including:</w:t>
      </w:r>
    </w:p>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severity of the disease under investigation;</w:t>
            </w:r>
          </w:p>
        </w:tc>
      </w:tr>
    </w:tbl>
    <w:tbl>
      <w:tblPr>
        <w:tblW w:w="3786" w:type="dxa"/>
        <w:jc w:val="left"/>
        <w:tblInd w:w="0" w:type="dxa"/>
        <w:tblLayout w:type="fixed"/>
        <w:tblCellMar>
          <w:top w:w="28" w:type="dxa"/>
          <w:left w:w="28" w:type="dxa"/>
          <w:bottom w:w="28" w:type="dxa"/>
          <w:right w:w="28" w:type="dxa"/>
        </w:tblCellMar>
      </w:tblPr>
      <w:tblGrid>
        <w:gridCol w:w="124"/>
        <w:gridCol w:w="256"/>
        <w:gridCol w:w="3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target patient population;</w:t>
            </w:r>
          </w:p>
        </w:tc>
      </w:tr>
    </w:tbl>
    <w:tbl>
      <w:tblPr>
        <w:tblW w:w="3936" w:type="dxa"/>
        <w:jc w:val="left"/>
        <w:tblInd w:w="0" w:type="dxa"/>
        <w:tblLayout w:type="fixed"/>
        <w:tblCellMar>
          <w:top w:w="28" w:type="dxa"/>
          <w:left w:w="28" w:type="dxa"/>
          <w:bottom w:w="28" w:type="dxa"/>
          <w:right w:w="28" w:type="dxa"/>
        </w:tblCellMar>
      </w:tblPr>
      <w:tblGrid>
        <w:gridCol w:w="124"/>
        <w:gridCol w:w="256"/>
        <w:gridCol w:w="3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eligibility criteria for the clinical trial;</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an appropriate genomic screening test;</w:t>
            </w:r>
          </w:p>
        </w:tc>
      </w:tr>
    </w:tbl>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perceived risks and benefits of the drug candidate under study;</w:t>
            </w:r>
          </w:p>
        </w:tc>
      </w:tr>
    </w:tbl>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efforts to facilitate timely enrollment in clinical trials;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referral practices of physicians;</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monitor patients adequately during and after treatment; and</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proximity and availability of clinical trial sites for prospective patients.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drug candidates.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not able to obtain, or if there are delays in obtaining, required regulatory approvals for our drug candidates, we will not be able to commercialize, or may be delayed in commercializing, such drug candidates, and our ability to generate revenue will be materially impaired.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 </w:t>
      </w:r>
    </w:p>
    <w:p>
      <w:pPr>
        <w:pStyle w:val="TextBody"/>
        <w:pBd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expect to rely on third-party CROs and/or regulatory consultants to assist us in filing and supporting the applications necessary to gain regulatory approvals.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Our drug candidates may not be effective, may be only moderately effective or may prove to have undesirable or unintended side effects, toxicities or other characteristics that may preclude our obtaining marketing approval or prevent or limit commercial use.</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new drug application (NDA), for a drug candidate,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multiple marketing applications for our drug candidates under review across the world.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drug candidates could be delayed in receiving, or fail to receive, regulatory approval for many reasons,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the design or implementation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to the satisfaction of the FDA or comparable foreign regulatory authorities that a drug candidate is safe and effective for its proposed indication;</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clinical trials may not meet the level of statistical significance required by the FDA or comparable foreign regulatory authorities for approval;</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demonstrate that a drug candidate’s clinical and other benefits outweigh its safety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our interpretation of data from preclinical studies or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collected from clinical trials of our drug candidates may not be sufficient to support the submission of an NDA or other submission or to obtain regulatory approval in the U.S. or elsewhere;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find deficiencies with or fail to approve the manufacturing processes or facilities of third-party manufacturers with which we contract for clinical and commercial supplies;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policies or regulations of the FDA or comparable foreign regulatory authorities may significantly change in a manner rendering our clinical data insufficient for approval.</w:t>
            </w:r>
          </w:p>
        </w:tc>
      </w:tr>
    </w:tbl>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In addition, even if we were to obtain approval, regulatory authorities may approve any of our drug candidates for fewer or more limited indications than we request, may not approve the price we intend to charge for our drugs, may grant approval contingent on the performance of costly post-marketing clinical trials or other post-marketing requirements, or may approve a drug candidate with a label that does not include the labeling claims necessary or desirable for the successful commercialization of that drug candidate. Additionally, the receipt of regulatory approval for one indication does not ensure the likelihood of success for regulatory approval of expanded indications for a marketed product. Any of the foregoing scenarios could materially harm the commercial prospects for our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experience delays in obtaining approval or if we fail to obtain approval of our drug candidates, the commercial prospects for our approved drugs or drug candidates may be harmed and our ability to generate revenues will be materially impaired.</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5"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5" w:before="0" w:after="0"/>
        <w:ind w:left="0" w:right="0" w:hanging="0"/>
        <w:jc w:val="both"/>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Disruptions at the FDA and other agencies may also slow the time necessary for new drug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drug candidates that commence clinical trials are never approved as products and there can be no assurance that any of our future clinical trials will ultimately be successful or support further clinical development of any of our drug candidates. Drug candidates that appear promising in the early phases of development may fail to reach the market for several reasons,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studies or clinical trials may show the drug candidates to be less effective than expected (e.g., a clinical trial could fail to meet its primary endpoint(s)) or to have unacceptable side effects or toxicities;</w:t>
            </w:r>
          </w:p>
        </w:tc>
      </w:tr>
    </w:tbl>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establish clinical endpoints that applicable regulatory authorities would consider clinically meaningful;</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receive the necessary regulatory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issues, formulation issues, pricing or reimbursement issues or other factors that make a drug candidate uneconomical;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proprietary rights of others and their competing products and technologies that may prevent one of our drug candidates from being commercialized.</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drug candidates performed satisfactorily in clinical trials have nonetheless failed to obtain marketing approval of their products.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Additionally, 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or interim data and final data could significantly harm our business prospects.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for any or all targeted indications. The drug-related side effects could affect patient recruitment or the ability of enrolled patients to complete clinical trials or result in potential product liability claims. Any of these occurrences may harm our business, financial condition and prospects significantly.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 our approved drugs and drug candidates could cause undesirable side effects in preclinical studies or clinical trials related to on-target toxicity. If on-target toxicity is observed, or if our drugs or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have later been found to cause side effects that prevented further development of the compound.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or limit their approval of such drug;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the addition of labeling statements, such as a “boxed” warning or a contraindication;</w:t>
            </w:r>
          </w:p>
        </w:tc>
      </w:tr>
    </w:tbl>
    <w:tbl>
      <w:tblPr>
        <w:tblW w:w="9786" w:type="dxa"/>
        <w:jc w:val="left"/>
        <w:tblInd w:w="0" w:type="dxa"/>
        <w:tblLayout w:type="fixed"/>
        <w:tblCellMar>
          <w:top w:w="28" w:type="dxa"/>
          <w:left w:w="28" w:type="dxa"/>
          <w:bottom w:w="28" w:type="dxa"/>
          <w:right w:w="28" w:type="dxa"/>
        </w:tblCellMar>
      </w:tblPr>
      <w:tblGrid>
        <w:gridCol w:w="124"/>
        <w:gridCol w:w="25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create a medication guide outlining the risks of such side effects for distribution to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change the way such drug is distributed or administered, conduct additional clinical trials or change the labeling of such drug;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 Risk Evaluation and Mitigation Strategy (REMS), plan to mitigate risks, which could include medication guides, physician communication plans, or elements to assure safe use, such as restricted distribution methods, patient registries and other risk minimization tools;</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regulatory investigations and government enforcement actions;</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decide to remove such drug from the marketplace;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injury caused to individuals exposed to or taking our drugs and drug candidates; and</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may seek designation for our discovery platform as a designated platform technology, but we might not receive such designation, and even if we do, such designation may not lead to faster drug development or a faster regulatory review or approval process.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may seek designation for our discovery platform as a designated platform technology. Under the Food and Drug Omnibus Reform Act of 2022 (FDORA), a platform technology incorporated within or utilized by a drug product is eligible for designation as a designated platform technology if (1) the platform technology is incorporated in, or utilized by, a drug approved under an NDA; (2) preliminary evidence submitted by the sponsor of the approved or licensed drug, or a sponsor that has been granted a right of reference to data submitted in the application for such drug,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NDA for a drug that uses or incorporates the platform technology. Even if we believe our discovery platform meets the criteria for such designation, the FDA may disagree and instead determine not to grant such designation. In addition, the receipt of such designation for a platform technology does not ensure that a drug will be developed or reviewed more quickly or receive FDA approval. Moreover, the FDA may revoke a designation if the FDA determines that a designated platform technology no longer meets the criteria for such designation.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fast track or breakthrough therapy designation by the FDA for our drug candidates may not lead to a faster development or regulatory review or approval process, and it does not increase the likelihood that our drug candidates will receive marketing approval.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may seek fast track or breakthrough therapy designation for some of our current or future drug candidates. Fast track designation is designed for drug candidates intended for the treatment of a serious or life-threatening disease or condition, where nonclinical or clinical data demonstrate the potential to address an unmet medical need for this disease or condition.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fast track or breakthrough therapies, interaction and communication between the FDA and the sponsor of the trial can help to identify the most efficient path for clinical development while minimizing the number of patients placed in ineffective control regimens. The FDA granted fast track designation to BLU-782 for the treatment of FOP. In addition, the FDA previously granted breakthrough therapy designation to AYVAKIT for the treatment of certain patients with GIST, advanced SM, and moderate to severe indolent SM and to GAVRETO for RET-altered cancers.</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Designation as a fast track or breakthrough therapy is within the discretion of the FDA. Accordingly, even if we believe one of our drug candidates meets the criteria for designation as a fast track or breakthrough therapy, the FDA may disagree and instead determine not to make such designation. In any event, the receipt of a fast track or breakthrough therapy designation for a drug candidate may not result in a faster development process, review or approval compared to other drugs and does not assure ultimate approval by the FDA. In addition, even if one or more of our drug candidates qualify as fast track or breakthrough therapies, the FDA may later decide that the drugs no longer meet the conditions for qualification.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may seek approval of our drug candidates, where applicable, under the FDA’s accelerated approval pathway. A product may be eligible for accelerated approval if it is designed to treat a serious or life-threatening disease or condition and generally provides a meaningful advantage over available therapies. In addition, it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 These confirmatory trials must be completed with due diligence.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not experience a faster development, regulatory review or approval process for that product. In addition, receiving accelerated approval does not assure that the product’s accelerated approval will eventually be converted to a traditional approval. Additionally, if we are not able to obtain full approval of any accelerated approval product, including through the completion of post-marketing studies, we or our partners may decide to withdraw marketing of such products.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unsuccessful in obtaining or may be unable to maintain the benefits associated with orphan drug designation, including the potential for market exclusivity.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FDA has granted orphan drug designation to avapritinib for the treatment of GIST and the treatment of mastocytosis, to pralsetinib for the treatment of RET-rearranged NSCLC, JAK1/2-positive NSCLC or TRKC-positive NSCLC and to fisogatinib for the treatment of HCC. In addition, the European Commission (EC), has granted orphan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 fee waivers.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Similarly, in the EU, the European Commission grants orphan medicinal product designation after receiving the opinion of the European Medicines Agency’s (EMA), Committee for Orphan Medicinal Products on an orphan medicinal product designation application. Orphan medicinal product designation is intended to promote the development of medicinal products that are intended for the diagnosis, prevention or treatment of life threatening or chronically debilitating conditions affecting not more than five (5) in ten thousand (10,000) persons in the EU or for products intended for the diagnosis, prevention, or treatment of a life threatening, seriously debilitating or serious and chronic condition when, without incentives, it is unlikely that sales of the product in the EU would generate sufficient return to justify the necessary investment in developing the product. In each case, there must be no satisfactory method of diagnosis, prevention, or treatment authorized for marketing in the EU (or, if such a method exists, the product would be of significant benefit to those affected by the condition). In the EU, orphan medicinal product designation entitles a party to financial incentives such as reduction of fees or fee waivers.</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Generally, if a drug with an orphan drug designation subsequently receives the first marketing approval for the indication for which it has such designation, the drug is entitled to a period of marketing exclusivity, which precludes the EC or the FDA from approving another marketing application for the same drug and indication for that time period, except in limited circumstances. The applicable period is seven years in the U.S. and ten years in the EU. The EU exclusivity period can be reduced to six years if a drug no longer meets the criteria for orphan medicinal product designation or if the drug is sufficiently profitable so that market exclusivity is no longer justified.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August 3, 2017, Congress passed the FDA Reauthorization Act of 2017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Depending on what changes the FDA may make to its orphan drug regulations and policies, our business could be adversely impacted.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successful in our efforts to expand our pipeline of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We may also pursue opportunities to acquire or in-license additional businesses, technologies or drugs, form strategic alliances or create joint ventures with third parties to complement or augment our existing business. However, we may not be able to identify any drug candidates for our pipeline through such transactions.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Even if we are successful in continuing to build and expand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we will not be able to obtain drug revenues in future periods, which likely would result in significant harm to our financial position and adversely affect our stock price.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Because we have limited human capital and financial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intend to develop drug candidates in combination with other therapies, which exposes us to additional risks.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intend to develop, launch and commercialize BLU-222 and potentially other drug candidates in combination with one or more approved or unapproved therapies. Even if any drug candidate we develop were to receive marketing approval for use in combination with other approved therapies, the FDA, the EMA or other regulatory authorities could still revoke approval of the therapy used in combination with our drug candidate. If the therapies used in combination with our drug candidates are replaced as the standard of care for the indications we choose for any of our drug candidates, the FDA, EMA or regulatory authorities may require us to conduct additional clinical trials which may experience complications surrounding trial execution, such as complexities surrounding trial design, establishing trial protocols and interpretability of results, clinical site access and initiation, patient recruitment and enrollment, quality and supply of clinical doses, safety issues or a lack of clinically relevant activity. The uncertainty resulting for the use of our drug candidates in combination with other approved or unapproved therapies may make it difficult to accurately predict side effects in the future clinical trials. The occurrence of any of these risks could result in our own drug candidates, if approved, being removed from the market if they are not also approved as monotherapies or being less successful commercially.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Further, we will not be able to market and sell any drug candidate we develop in combination with an unapproved therapy for a combination indication if that unapproved therapy does not ultimately obtain marketing approval either alone or in combination with our drug candidate. In addition, unapproved therapies face the same risks described with respect to our drug candidates currently in development and clinical trials, including the potential for serious adverse effects, delay in their clinical trials and lack of FDA approval.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the FDA, EMA or other regulatory authorities do not approve these other products or revoke their approval of, or if safety, efficacy, quality, manufacturing or supply issues arise with, the agents we choose to evaluate in combination with our drug candidates we may be unable to obtain approval of or market such combination therapy.</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Government Legislations and Regulations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in the past and may in the future seek approval of current or future drug candidates, where applicable, under the FDA’s accelerated approval pathway. Any current or future drug candidate for which we receive accelerated approval from the FDA or similar conditional approval from the EMA, including AYVAKYT, or comparable regulatory authorities in other jurisdictions may be required to undergo one or more confirmatory clinical trials, as a condition of accelerated approval, or be required to perform adequate and well-controlled post-marketing clinical trials to confirm the product’s clinical benefit. These post-market confirmatory trials must be completed according to timelines agreed upon with the FDA, and if they are not completed in accordance with these timelines than it could result in withdrawal of the indication. If such drug candidate fails to meet its safety and efficacy endpoints in such confirmatory clinical trials, the regulatory authority may withdraw its approval. There is no assurance that any such drug candidate will successfully advance through its confirmatory clinical trial(s). Therefore, even if a drug candidate receives accelerated approval from the FDA or similar conditional approval from the EMA or comparable regulatory authorities, such approval may be withdrawn at a later date. In addition, under FDORA the FDA is now permitted to require, as appropriate, that post-marketing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product’s predicted clinical benefit. Under FDORA, the FDA is empowered to take action, such as issuing fines, against companies that fail to conduct with due diligence any post-approval confirmatory study or submit timely reports to the agency on their progress.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If the FDA or a comparable foreign regulatory authority approves any of our drug candidates, the manufacturing processes, labeling, packaging, distribution, adverse event reporting, storage, advertising, promotion and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recordkeeping for the drug will be subject to extensive and ongoing regulatory requirements. These requirements include submissions of safety and other post-marketing information and reports, registration requirements, as well as continued compliance with current Good Manufacturing Practices (cGMPs) and Good Clinical Practices (GCPs) for any clinical trials that we conduct post-approval. In addition, drug manufacturers and other entities involved in the manufacture and distribution of approved drugs are subject to periodic unannounced inspections by the FDA and state agencies for compliance with cGMP requirements.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U.S.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marketing or manufacturing of the drug, withdrawal of the drug from the market, “dear doctor” letters or drug recalls;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warning letters or holds on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by the FDA to approve pending applications or supplements to approved applications filed by us, or suspension or revocation of marketing approvals;</w:t>
            </w:r>
          </w:p>
        </w:tc>
      </w:tr>
    </w:tbl>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seizure or detention, or refusal to permit the import or export of drugs; and</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240" w:after="0"/>
        <w:ind w:left="0" w:right="0" w:firstLine="720"/>
        <w:jc w:val="left"/>
        <w:rPr>
          <w:rFonts w:ascii="Times New Roman;Times;serif" w:hAnsi="Times New Roman;Times;serif"/>
          <w:sz w:val="20"/>
        </w:rPr>
      </w:pPr>
      <w:r>
        <w:rPr>
          <w:rFonts w:ascii="Times New Roman;Times;serif" w:hAnsi="Times New Roman;Times;serif"/>
          <w:sz w:val="20"/>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Regulatory agencies may also impose requirements for costly post-marketing studies or clinical trials and surveillance to monitor the safety or efficacy of a product. The FDA and other agencies, including the Department of Justice (DOJ),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government investigations, or litigation. Violation of the Federal Food, Drug, and Cosmetic Act and other statutes, including the False Claims Act, relating to the promotion and advertising of prescription drugs may lead to investigations or allegations of violations of federal and state healthcare fraud and abuse laws and state consumer protection laws and could expose our company to substantial civil or criminal penalties.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Even though we may have obtained approvals for certain of our products, such drug or drug candidate may become subject to unfavorable pricing regulations or third-party coverage and reimbursement policies, which would harm our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 See section entitled “</w:t>
      </w:r>
      <w:r>
        <w:rPr>
          <w:rFonts w:ascii="Times New Roman;Times;serif" w:hAnsi="Times New Roman;Times;serif"/>
          <w:i/>
          <w:sz w:val="20"/>
        </w:rPr>
        <w:t>Business – Coverage and Reimbursement</w:t>
      </w:r>
      <w:r>
        <w:rPr>
          <w:rFonts w:ascii="Times New Roman;Times;serif" w:hAnsi="Times New Roman;Times;serif"/>
          <w:sz w:val="20"/>
        </w:rPr>
        <w:t>” included in our Annual Report on Form 10-K for the year ended December 31, 2023.</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ability to commercialize any drugs and drug candidates successfully also will depend in part on the extent to which coverage and reimbursement for these drugs and drug candidates and related treatments will be available from government authorities, private health insurers and other organizations. </w:t>
      </w:r>
    </w:p>
    <w:p>
      <w:pPr>
        <w:pStyle w:val="TextBody"/>
        <w:bidi w:val="0"/>
        <w:spacing w:lineRule="auto" w:line="285"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additional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 </w:t>
      </w:r>
    </w:p>
    <w:p>
      <w:pPr>
        <w:pStyle w:val="TextBody"/>
        <w:bidi w:val="0"/>
        <w:spacing w:lineRule="auto" w:line="285"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primary trend in the U.S. healthcare industry and elsewhere is cost containment.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 </w:t>
      </w:r>
    </w:p>
    <w:p>
      <w:pPr>
        <w:pStyle w:val="TextBody"/>
        <w:bidi w:val="0"/>
        <w:spacing w:lineRule="auto" w:line="285"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Healthcare legislative reform measures may have a material adverse effect on our business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U.S. has enacted or proposed legislative and regulatory changes affecting the healthcare system that could prevent or delay marketing approval of our current drug candidates or any future drug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See section entitled “</w:t>
      </w:r>
      <w:r>
        <w:rPr>
          <w:rFonts w:ascii="Times New Roman;Times;serif" w:hAnsi="Times New Roman;Times;serif"/>
          <w:i/>
          <w:sz w:val="20"/>
        </w:rPr>
        <w:t>Business –Healthcare Reform</w:t>
      </w:r>
      <w:r>
        <w:rPr>
          <w:rFonts w:ascii="Times New Roman;Times;serif" w:hAnsi="Times New Roman;Times;serif"/>
          <w:sz w:val="20"/>
        </w:rPr>
        <w:t xml:space="preserve">” included in our Annual Report on Form 10-K for the year ended December 31, 2023.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lineRule="auto" w:line="285"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We may face competition in the U.S. for our development candidates and investigational medicines, if approved, from therapies sourced from foreign countries that have placed price controls on pharmaceutical products. Proponents of drug reimportation may attempt to pass legislation that would directly allow reimportation under certain circumstances. For example, by Executive Order, the FDA works with states and Indian Tribes that propose to develop Section 804 Importation Programs in accordance with the Medicare Prescription Drug, Improvement, and Modernization Act of 2003. The FDA released implementing regulations on September 24, 2020, which went into effect on November 30, 2020, providing guidance for states to build and submit importation plans for drugs from Canada. On January 5, 2024, the FDA issued to Florida the first approval for a state importation plan. Colorado has a pending application. If successfully implemented, importation of drugs from Canada may materially and adversely affect the price we receive for any of our product candidates. Legislation or regulations allowing the reimportation of drugs, if enacted, could decrease the price we receive for any products that we may develop and adversely affect our future revenues and prospects for profitability.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Creating and Restoring Equal Access to Equivalent Samples Act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tbl>
      <w:tblPr>
        <w:tblW w:w="9561" w:type="dxa"/>
        <w:jc w:val="left"/>
        <w:tblInd w:w="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AYVAKIT and any current and future drug candidates for which we receive marketing approval;</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set a price that we believe is fair for our approved products; </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generate revenue and achieve or maintain profitability; </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level of taxes that we are required to pay; and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631" w:type="dxa"/>
        <w:jc w:val="left"/>
        <w:tblInd w:w="0" w:type="dxa"/>
        <w:tblLayout w:type="fixed"/>
        <w:tblCellMar>
          <w:top w:w="28" w:type="dxa"/>
          <w:left w:w="28" w:type="dxa"/>
          <w:bottom w:w="28" w:type="dxa"/>
          <w:right w:w="28" w:type="dxa"/>
        </w:tblCellMar>
      </w:tblPr>
      <w:tblGrid>
        <w:gridCol w:w="124"/>
        <w:gridCol w:w="256"/>
        <w:gridCol w:w="2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capital.</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Other legislative measures have also been enacted that may impose additional pricing and product development pressures on our business, and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Our arrangements with third-party payors and customers expose us to broadly applicable fraud and abuse and other healthcare laws and regulations, including but not limited to, the federal healthcare Anti-Kickback Statute, the False Claims Act, the federal Health Insurance Portability and Accountability Act of 1996 (HIPAA), as amended by the Health Information Technology for Economic and Clinical Health Act of 2009 (HITECH), </w:t>
      </w:r>
      <w:r>
        <w:rPr>
          <w:rFonts w:ascii="Times New Roman;Times;serif" w:hAnsi="Times New Roman;Times;serif"/>
          <w:sz w:val="20"/>
        </w:rPr>
        <w:t>the Physician Payment Sunshine Act,</w:t>
      </w:r>
      <w:r>
        <w:rPr>
          <w:rFonts w:ascii="Times New Roman;Times;serif" w:hAnsi="Times New Roman;Times;serif"/>
          <w:sz w:val="20"/>
          <w:shd w:fill="FFFFFF" w:val="clear"/>
        </w:rPr>
        <w:t xml:space="preserve"> the federal false statements statute, federal consumer protection and unfair competition laws and similar state and foreign laws and regulations that may regulate the business or financial arrangements and relationships through which we market, sell and distribute our drugs. The number and complexity of federal, state, and foreign laws continue to increase, and additional governmental resources are being used to enforce these laws and to prosecute companies and individuals who are believed to be violating them. See section entitled “</w:t>
      </w:r>
      <w:r>
        <w:rPr>
          <w:rFonts w:ascii="Times New Roman;Times;serif" w:hAnsi="Times New Roman;Times;serif"/>
          <w:i/>
          <w:sz w:val="20"/>
          <w:shd w:fill="FFFFFF" w:val="clear"/>
        </w:rPr>
        <w:t>Business – Other Healthcare Laws</w:t>
      </w:r>
      <w:r>
        <w:rPr>
          <w:rFonts w:ascii="Times New Roman;Times;serif" w:hAnsi="Times New Roman;Times;serif"/>
          <w:sz w:val="20"/>
          <w:shd w:fill="FFFFFF" w:val="clear"/>
        </w:rPr>
        <w:t xml:space="preserve">” </w:t>
      </w:r>
      <w:r>
        <w:rPr>
          <w:rFonts w:ascii="Times New Roman;Times;serif" w:hAnsi="Times New Roman;Times;serif"/>
          <w:sz w:val="20"/>
        </w:rPr>
        <w:t>included in our Annual Report on Form 10-K for the year ended December 31, 2023.</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U.S., to help patients who have no or inadequate insurance access our drug, we have a patient assistance program that we administer in conjunction with our patient support program vendor. In addition, we have a co-pay support program for commercially insured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Office of the Inspector General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participate in the Medicaid Drug Rebate program, the 340B drug pricing program, and the Department of Veterans Affairs (VA)’s Federal Supply Schedule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Health Resources and Services Administration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(FCP), to four federal agencies: the VA, U.S. Department of Defense (DOD), Public Health Service, and the U.S. Coast Guard. The FCP is based on the Non-Federal Average Manufacturer Price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future growth may depend, in part, on our ability to penetrate foreign markets, where we would be subject to additional regulatory burdens and other risks and uncertainties.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future profitability may depend, in part, on our ability to commercialize current or future drug candidates in foreign markets for which we may rely on collaboration with third parties. We are not permitted to market or promote any of our drug candidates before we receive regulatory approval from the applicable regulatory authority in that foreign market.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pStyle w:val="TextBody"/>
        <w:bidi w:val="0"/>
        <w:spacing w:lineRule="auto" w:line="285" w:before="0" w:after="240"/>
        <w:ind w:left="1080" w:right="0" w:hanging="0"/>
        <w:jc w:val="left"/>
        <w:rPr/>
      </w:pPr>
      <w:r>
        <w:rPr/>
        <w:t>●</w:t>
      </w:r>
      <w:r>
        <w:rPr>
          <w:rFonts w:ascii="Times New Roman;Times;serif" w:hAnsi="Times New Roman;Times;serif"/>
          <w:sz w:val="20"/>
        </w:rPr>
        <w:t>our customers’ ability to obtain reimbursement for our drug candidates in foreign markets;</w:t>
      </w:r>
    </w:p>
    <w:p>
      <w:pPr>
        <w:pStyle w:val="TextBody"/>
        <w:bidi w:val="0"/>
        <w:spacing w:lineRule="auto" w:line="285" w:before="0" w:after="240"/>
        <w:ind w:left="1080" w:right="0" w:hanging="0"/>
        <w:jc w:val="left"/>
        <w:rPr/>
      </w:pPr>
      <w:r>
        <w:rPr/>
        <w:t>●</w:t>
      </w:r>
      <w:r>
        <w:rPr>
          <w:rFonts w:ascii="Times New Roman;Times;serif" w:hAnsi="Times New Roman;Times;serif"/>
          <w:sz w:val="20"/>
        </w:rPr>
        <w:t>our inability to directly control commercial activities because we are relying on third parties;</w:t>
      </w:r>
    </w:p>
    <w:p>
      <w:pPr>
        <w:pStyle w:val="TextBody"/>
        <w:bidi w:val="0"/>
        <w:spacing w:lineRule="auto" w:line="285" w:before="0" w:after="240"/>
        <w:ind w:left="1080" w:right="0" w:hanging="0"/>
        <w:jc w:val="left"/>
        <w:rPr/>
      </w:pPr>
      <w:r>
        <w:rPr/>
        <w:t>●</w:t>
      </w:r>
      <w:r>
        <w:rPr>
          <w:rFonts w:ascii="Times New Roman;Times;serif" w:hAnsi="Times New Roman;Times;serif"/>
          <w:sz w:val="20"/>
        </w:rPr>
        <w:t>the burden of complying with complex and changing foreign regulatory, tax, accounting and legal requirements, including, for example, the European General Data Protection Regulation 2016/679, commonly referred to as GDPR;</w:t>
      </w:r>
    </w:p>
    <w:p>
      <w:pPr>
        <w:pStyle w:val="TextBody"/>
        <w:bidi w:val="0"/>
        <w:spacing w:lineRule="auto" w:line="285" w:before="0" w:after="240"/>
        <w:ind w:left="1080" w:right="0" w:hanging="0"/>
        <w:jc w:val="left"/>
        <w:rPr/>
      </w:pPr>
      <w:r>
        <w:rPr/>
        <w:t>●</w:t>
      </w:r>
      <w:r>
        <w:rPr>
          <w:rFonts w:ascii="Times New Roman;Times;serif" w:hAnsi="Times New Roman;Times;serif"/>
          <w:sz w:val="20"/>
        </w:rPr>
        <w:t>different medical practices and customs in foreign countries affecting acceptance in the marketplace;</w:t>
      </w:r>
    </w:p>
    <w:p>
      <w:pPr>
        <w:pStyle w:val="TextBody"/>
        <w:bidi w:val="0"/>
        <w:spacing w:lineRule="auto" w:line="285" w:before="0" w:after="240"/>
        <w:ind w:left="1080" w:right="0" w:hanging="0"/>
        <w:jc w:val="left"/>
        <w:rPr/>
      </w:pPr>
      <w:r>
        <w:rPr/>
        <w:t>●</w:t>
      </w:r>
      <w:r>
        <w:rPr>
          <w:rFonts w:ascii="Times New Roman;Times;serif" w:hAnsi="Times New Roman;Times;serif"/>
          <w:sz w:val="20"/>
        </w:rPr>
        <w:t>import or export licensing requirements;</w:t>
      </w:r>
    </w:p>
    <w:p>
      <w:pPr>
        <w:pStyle w:val="TextBody"/>
        <w:bidi w:val="0"/>
        <w:spacing w:lineRule="auto" w:line="285" w:before="0" w:after="240"/>
        <w:ind w:left="1080" w:right="0" w:hanging="0"/>
        <w:jc w:val="left"/>
        <w:rPr/>
      </w:pPr>
      <w:r>
        <w:rPr/>
        <w:t>●</w:t>
      </w:r>
      <w:r>
        <w:rPr>
          <w:rFonts w:ascii="Times New Roman;Times;serif" w:hAnsi="Times New Roman;Times;serif"/>
          <w:sz w:val="20"/>
        </w:rPr>
        <w:t>longer accounts receivable collection times;</w:t>
      </w:r>
    </w:p>
    <w:p>
      <w:pPr>
        <w:pStyle w:val="TextBody"/>
        <w:bidi w:val="0"/>
        <w:spacing w:lineRule="auto" w:line="285" w:before="0" w:after="240"/>
        <w:ind w:left="1080" w:right="0" w:hanging="0"/>
        <w:jc w:val="left"/>
        <w:rPr/>
      </w:pPr>
      <w:r>
        <w:rPr/>
        <w:t>●</w:t>
      </w:r>
      <w:r>
        <w:rPr>
          <w:rFonts w:ascii="Times New Roman;Times;serif" w:hAnsi="Times New Roman;Times;serif"/>
          <w:sz w:val="20"/>
        </w:rPr>
        <w:t>longer lead times for shipping;</w:t>
      </w:r>
    </w:p>
    <w:p>
      <w:pPr>
        <w:pStyle w:val="TextBody"/>
        <w:bidi w:val="0"/>
        <w:spacing w:lineRule="auto" w:line="285" w:before="0" w:after="240"/>
        <w:ind w:left="1080" w:right="0" w:hanging="0"/>
        <w:jc w:val="left"/>
        <w:rPr/>
      </w:pPr>
      <w:r>
        <w:rPr/>
        <w:t>●</w:t>
      </w:r>
      <w:r>
        <w:rPr>
          <w:rFonts w:ascii="Times New Roman;Times;serif" w:hAnsi="Times New Roman;Times;serif"/>
          <w:sz w:val="20"/>
        </w:rPr>
        <w:t>language barriers for technical training;</w:t>
      </w:r>
    </w:p>
    <w:p>
      <w:pPr>
        <w:pStyle w:val="TextBody"/>
        <w:bidi w:val="0"/>
        <w:spacing w:lineRule="auto" w:line="285" w:before="0" w:after="240"/>
        <w:ind w:left="1080" w:right="0" w:hanging="0"/>
        <w:jc w:val="left"/>
        <w:rPr/>
      </w:pPr>
      <w:r>
        <w:rPr/>
        <w:t>●</w:t>
      </w:r>
      <w:r>
        <w:rPr>
          <w:rFonts w:ascii="Times New Roman;Times;serif" w:hAnsi="Times New Roman;Times;serif"/>
          <w:sz w:val="20"/>
        </w:rPr>
        <w:t>reduced protection of intellectual property rights in some foreign countries;</w:t>
      </w:r>
    </w:p>
    <w:p>
      <w:pPr>
        <w:pStyle w:val="TextBody"/>
        <w:bidi w:val="0"/>
        <w:spacing w:lineRule="auto" w:line="285" w:before="0" w:after="240"/>
        <w:ind w:left="1080" w:right="0" w:hanging="0"/>
        <w:jc w:val="left"/>
        <w:rPr/>
      </w:pPr>
      <w:r>
        <w:rPr/>
        <w:t>●</w:t>
      </w:r>
      <w:r>
        <w:rPr>
          <w:rFonts w:ascii="Times New Roman;Times;serif" w:hAnsi="Times New Roman;Times;serif"/>
          <w:sz w:val="20"/>
        </w:rPr>
        <w:t>the existence of additional potentially relevant third-party intellectual property rights;</w:t>
      </w:r>
    </w:p>
    <w:p>
      <w:pPr>
        <w:pStyle w:val="TextBody"/>
        <w:bidi w:val="0"/>
        <w:spacing w:lineRule="auto" w:line="285" w:before="0" w:after="240"/>
        <w:ind w:left="1080" w:right="0" w:hanging="0"/>
        <w:jc w:val="left"/>
        <w:rPr/>
      </w:pPr>
      <w:r>
        <w:rPr/>
        <w:t>●</w:t>
      </w:r>
      <w:r>
        <w:rPr>
          <w:rFonts w:ascii="Times New Roman;Times;serif" w:hAnsi="Times New Roman;Times;serif"/>
          <w:sz w:val="20"/>
        </w:rPr>
        <w:t>foreign currency exchange rate fluctuations; and</w:t>
      </w:r>
    </w:p>
    <w:p>
      <w:pPr>
        <w:pStyle w:val="TextBody"/>
        <w:bidi w:val="0"/>
        <w:spacing w:lineRule="auto" w:line="285"/>
        <w:ind w:left="1080" w:right="0" w:hanging="0"/>
        <w:jc w:val="left"/>
        <w:rPr/>
      </w:pPr>
      <w:r>
        <w:rPr/>
        <w:t>●</w:t>
      </w:r>
      <w:r>
        <w:rPr>
          <w:rFonts w:ascii="Times New Roman;Times;serif" w:hAnsi="Times New Roman;Times;serif"/>
          <w:sz w:val="20"/>
        </w:rPr>
        <w:t>the interpretation of contractual provisions governed by foreign laws in the event of a contract dispute.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Foreign sales of our drug candidates could also be adversely affected by the imposition of governmental controls, political and economic instability, trade restrictions and changes in tariffs.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Governments outside the U.S. tend to impose strict price controls, which may adversely affect our revenues, if any.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some countries, particularly countries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therapies. If reimbursement of our drugs is unavailable or limited in scope or amount, or if pricing is set at unsatisfactory levels, our business could be materially harmed.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Financial Position and Need for Additional Capital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a precision therapy company in the process of growing our operations. We have incurred significant operating losses since our inception and anticipate that we will incur continued losses for the foreseeable future.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conducting preclinical studies and clinical development for our drug candidates, commencing pre-commercial activities and the commercial launches for AYVAKIT/AYVAKYT and GAVRETO, and producing the active pharmaceutical ingredient (API), drug substance and drug product material for use in preclinical studies and clinical trials for our drug candidates and commercial sale of our approved drugs.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 date, we have financed our operations primarily through public offerings of our common stock, private placements of our convertible preferred and common stock, collaboration and license agreements, future royalty and revenue monetization, and a term loan. Through March 31, 2024, we have received an aggregate of $3.7 billion from such transactions, including $1.9 billion in aggregate gross proceeds from the sale of common stock in our initial public offering, follow on public offerings, through our “at the market” stock offering program and the equity investment by Roche, $115.1 million in gross proceeds from the issuance of convertible preferred stock, $175.0 million in gross proceeds from our Royalty Purchase Agreement with Royalty Pharma, $250.0 million in gross proceeds from our Future Revenue Purchase Agreement with Sixth Street Partners, $1.0 billion in upfront payments and milestone payments under our collaborations with Roche, CStone and Zai Lab, our license agreement with Clementia and our former collaboration with Alexion and $250.0 million in gross proceeds from a term loan from Sixth Street Partners. In addition, since January 2020, we also have generated revenue through sales of our drug products.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Since inception, we have incurred significant operating losses. Our net income was $89.1 million for the three months ended March 31, 2024 primarily due to the debt extinguishment gain recognized in connection with the Royalty Pharma Termination Agreement. Our net losses were $507.0 million and $557.5 million for the years ended December 31, 2023 and 2022, respectively. As of March 31, 2024, we had an accumulated deficit of $2,250.8 million.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Substantially all of our operating losses have resulted from costs incurred in connection with our research and development programs and from selling, general and administrative costs associated with our operations. We expect to continue to incur significant expenses and operating losses over the next few years. We anticipate that our expenses may continue to increase in connection with our ongoing activities. Our prior losses, combined with expected future losses, have had and will continue to have an adverse effect on our stockholders’ equity and working capital. We expect our research and development expenses to increase in connection with continuing our existing clinical trials and beginning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additional clinical trials. In addition, we will incur significant sales, marketing and outsourced-manufacturing expenses in connection with the commercialization of any of our drugs or any drug candidates for which we may receive marketing approval.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ability to generate substantial revenue depends on a number of factors, including, but not limited to, our ability to:</w:t>
      </w:r>
    </w:p>
    <w:p>
      <w:pPr>
        <w:pStyle w:val="TextBody"/>
        <w:bidi w:val="0"/>
        <w:spacing w:lineRule="auto" w:line="285" w:before="0" w:after="240"/>
        <w:ind w:left="1080" w:right="0" w:hanging="0"/>
        <w:jc w:val="left"/>
        <w:rPr/>
      </w:pPr>
      <w:r>
        <w:rPr/>
        <w:t>●</w:t>
      </w:r>
      <w:r>
        <w:rPr>
          <w:rFonts w:ascii="Times New Roman;Times;serif" w:hAnsi="Times New Roman;Times;serif"/>
          <w:sz w:val="20"/>
        </w:rPr>
        <w:t>initiate and successfully complete clinical trials that meet their clinical endpoints;</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initiate and successfully complete all safety studies required to obtain U.S. and foreign marketing approval for our drug candidates, including for avapritinib </w:t>
      </w:r>
      <w:r>
        <w:rPr>
          <w:rFonts w:ascii="Times New Roman;Times;serif" w:hAnsi="Times New Roman;Times;serif"/>
          <w:sz w:val="20"/>
          <w:shd w:fill="FFFFFF" w:val="clear"/>
        </w:rPr>
        <w:t>in additional geographies</w:t>
      </w:r>
      <w:r>
        <w:rPr>
          <w:rFonts w:ascii="Times New Roman;Times;serif" w:hAnsi="Times New Roman;Times;serif"/>
          <w:sz w:val="20"/>
        </w:rPr>
        <w:t xml:space="preserve">; </w:t>
      </w:r>
    </w:p>
    <w:p>
      <w:pPr>
        <w:pStyle w:val="TextBody"/>
        <w:bidi w:val="0"/>
        <w:spacing w:lineRule="auto" w:line="285" w:before="0" w:after="240"/>
        <w:ind w:left="1080" w:right="0" w:hanging="0"/>
        <w:jc w:val="left"/>
        <w:rPr/>
      </w:pPr>
      <w:r>
        <w:rPr/>
        <w:t>●</w:t>
      </w:r>
      <w:r>
        <w:rPr>
          <w:rFonts w:ascii="Times New Roman;Times;serif" w:hAnsi="Times New Roman;Times;serif"/>
          <w:sz w:val="20"/>
        </w:rPr>
        <w:t>continue to maintain and expand commercial manufacturing capabilities or make arrangements with third-party manufacturers to ensure clinical supply and commercial manufacturing;</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maintain and, if necessary, expand a sales, marketing and distribution infrastructure to commercialize AYVAKIT/AYVAKYT and any current or future drug candidates for which we obtain marketing approval; </w:t>
      </w:r>
    </w:p>
    <w:p>
      <w:pPr>
        <w:pStyle w:val="TextBody"/>
        <w:bidi w:val="0"/>
        <w:spacing w:lineRule="auto" w:line="285" w:before="0" w:after="240"/>
        <w:ind w:left="1080" w:right="0" w:hanging="0"/>
        <w:jc w:val="left"/>
        <w:rPr/>
      </w:pPr>
      <w:r>
        <w:rPr/>
        <w:t>●</w:t>
      </w:r>
      <w:r>
        <w:rPr>
          <w:rFonts w:ascii="Times New Roman;Times;serif" w:hAnsi="Times New Roman;Times;serif"/>
          <w:sz w:val="20"/>
        </w:rPr>
        <w:t>achieve market acceptance in the medical community and with third-party payors for AYVAKIT/AYVAKYT and any current or future drug candidates for which we receive marketing approval; and</w:t>
      </w:r>
    </w:p>
    <w:p>
      <w:pPr>
        <w:pStyle w:val="TextBody"/>
        <w:bidi w:val="0"/>
        <w:spacing w:lineRule="auto" w:line="285"/>
        <w:ind w:left="1080" w:right="0" w:hanging="0"/>
        <w:jc w:val="left"/>
        <w:rPr/>
      </w:pPr>
      <w:r>
        <w:rPr/>
        <w:t>●</w:t>
      </w:r>
      <w:r>
        <w:rPr>
          <w:rFonts w:ascii="Times New Roman;Times;serif" w:hAnsi="Times New Roman;Times;serif"/>
          <w:sz w:val="20"/>
        </w:rPr>
        <w:t>compete with companies that may have significantly greater financial resources and expertise in research and development, manufacturing, preclinical testing, conducting clinical trials, obtaining regulatory approvals and marketing approved drugs.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expect to incur significant sales and marketing costs as we commercialize AYVAKIT/AYVAKYT and commercialize any current or future drug candidates for which we receive 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material net cash inflows from our operations, we will not become profitable and may be unable to continue operations without continued funding.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seek to raise additional funding from time to time. If we are unable to raise capital when needed, we may be forced to delay, reduce or eliminate some of our drug development programs or commercialization efforts.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development and commercialization of pharmaceuticals is capital intensive. We are currently advancing multiple drug candidates and development programs through clinical and preclinical development. Our expenses may increase in connection with our ongoing activities, particularly as we continue the research and development of, initiate or continue clinical trials of, and seek marketing approval for our drug candidates, including marketing approval for avapritinib in additional geographies. In addition, we expect to incur additional significant commercialization expenses for AYVAKIT/AYVAKYT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future capital requirements will depend on and may increase as a result of many factors, including: </w:t>
      </w:r>
    </w:p>
    <w:p>
      <w:pPr>
        <w:pStyle w:val="TextBody"/>
        <w:bidi w:val="0"/>
        <w:spacing w:lineRule="auto" w:line="285" w:before="0" w:after="240"/>
        <w:ind w:left="1080" w:right="0" w:hanging="0"/>
        <w:jc w:val="left"/>
        <w:rPr/>
      </w:pPr>
      <w:r>
        <w:rPr/>
        <w:t>●</w:t>
      </w:r>
      <w:r>
        <w:rPr>
          <w:rFonts w:ascii="Times New Roman;Times;serif" w:hAnsi="Times New Roman;Times;serif"/>
          <w:sz w:val="20"/>
        </w:rPr>
        <w:t>the success of our commercialization efforts and market acceptance for AYVAKIT/AYVAKYT or any of our current or future drug candidates for which we receive marketing approval;</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1080" w:right="0" w:hanging="0"/>
        <w:jc w:val="left"/>
        <w:rPr/>
      </w:pPr>
      <w:r>
        <w:rPr/>
        <w:t>●</w:t>
      </w:r>
      <w:r>
        <w:rPr>
          <w:rFonts w:ascii="Times New Roman;Times;serif" w:hAnsi="Times New Roman;Times;serif"/>
          <w:sz w:val="20"/>
        </w:rPr>
        <w:t>the costs of maintaining, expanding or contracting for sales, marketing and distribution capabilities in connection with commercialization of AYVAKIT/AYVAKYT and any of our current or future drug candidates for which we receive marketing approval;</w:t>
      </w:r>
    </w:p>
    <w:p>
      <w:pPr>
        <w:pStyle w:val="TextBody"/>
        <w:bidi w:val="0"/>
        <w:spacing w:lineRule="auto" w:line="285" w:before="0" w:after="240"/>
        <w:ind w:left="1080" w:right="0" w:hanging="0"/>
        <w:jc w:val="left"/>
        <w:rPr/>
      </w:pPr>
      <w:r>
        <w:rPr/>
        <w:t>●</w:t>
      </w:r>
      <w:r>
        <w:rPr>
          <w:rFonts w:ascii="Times New Roman;Times;serif" w:hAnsi="Times New Roman;Times;serif"/>
          <w:sz w:val="20"/>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pStyle w:val="TextBody"/>
        <w:bidi w:val="0"/>
        <w:spacing w:lineRule="auto" w:line="285" w:before="0" w:after="240"/>
        <w:ind w:left="1080" w:right="0" w:hanging="0"/>
        <w:jc w:val="left"/>
        <w:rPr/>
      </w:pPr>
      <w:r>
        <w:rPr/>
        <w:t>●</w:t>
      </w:r>
      <w:r>
        <w:rPr>
          <w:rFonts w:ascii="Times New Roman;Times;serif" w:hAnsi="Times New Roman;Times;serif"/>
          <w:sz w:val="20"/>
          <w:shd w:fill="FFFFFF" w:val="clear"/>
        </w:rPr>
        <w:t>the cost of purchasing quantities of agents for use in our clinical trials in connection with our efforts to develop our drugs and drug candidates, including for development as combination therapies;</w:t>
      </w:r>
    </w:p>
    <w:p>
      <w:pPr>
        <w:pStyle w:val="TextBody"/>
        <w:bidi w:val="0"/>
        <w:spacing w:lineRule="auto" w:line="285" w:before="0" w:after="240"/>
        <w:ind w:left="1080" w:right="0" w:hanging="0"/>
        <w:jc w:val="left"/>
        <w:rPr/>
      </w:pPr>
      <w:r>
        <w:rPr/>
        <w:t>●</w:t>
      </w:r>
      <w:r>
        <w:rPr>
          <w:rFonts w:ascii="Times New Roman;Times;serif" w:hAnsi="Times New Roman;Times;serif"/>
          <w:sz w:val="20"/>
        </w:rPr>
        <w:t>the scope, progress, results and costs of drug discovery, preclinical development, laboratory testing and clinical trials for our approved drugs and drug candidates;</w:t>
      </w:r>
    </w:p>
    <w:p>
      <w:pPr>
        <w:pStyle w:val="TextBody"/>
        <w:bidi w:val="0"/>
        <w:spacing w:lineRule="auto" w:line="285" w:before="0" w:after="240"/>
        <w:ind w:left="1080" w:right="0" w:hanging="0"/>
        <w:jc w:val="left"/>
        <w:rPr/>
      </w:pPr>
      <w:r>
        <w:rPr/>
        <w:t>●</w:t>
      </w:r>
      <w:r>
        <w:rPr>
          <w:rFonts w:ascii="Times New Roman;Times;serif" w:hAnsi="Times New Roman;Times;serif"/>
          <w:sz w:val="20"/>
        </w:rPr>
        <w:t>the costs, timing and outcome of regulatory review of marketing applications for our drug candidates, including seeking marketing approval for avapritinib in additional geographies;</w:t>
      </w:r>
    </w:p>
    <w:p>
      <w:pPr>
        <w:pStyle w:val="TextBody"/>
        <w:bidi w:val="0"/>
        <w:spacing w:lineRule="auto" w:line="285" w:before="0" w:after="240"/>
        <w:ind w:left="1080" w:right="0" w:hanging="0"/>
        <w:jc w:val="left"/>
        <w:rPr/>
      </w:pPr>
      <w:r>
        <w:rPr/>
        <w:t>●</w:t>
      </w:r>
      <w:r>
        <w:rPr>
          <w:rFonts w:ascii="Times New Roman;Times;serif" w:hAnsi="Times New Roman;Times;serif"/>
          <w:sz w:val="20"/>
        </w:rPr>
        <w:t>the success of our collaborations with CStone and VantAI and our license agreements with Clementia and IDRx, as well as our ability to establish and maintain additional collaborations, partnerships or licenses on favorable terms, if at all;</w:t>
      </w:r>
    </w:p>
    <w:p>
      <w:pPr>
        <w:pStyle w:val="TextBody"/>
        <w:bidi w:val="0"/>
        <w:spacing w:lineRule="auto" w:line="285" w:before="0" w:after="240"/>
        <w:ind w:left="1080" w:right="0" w:hanging="0"/>
        <w:jc w:val="left"/>
        <w:rPr/>
      </w:pPr>
      <w:r>
        <w:rPr/>
        <w:t>●</w:t>
      </w:r>
      <w:r>
        <w:rPr>
          <w:rFonts w:ascii="Times New Roman;Times;serif" w:hAnsi="Times New Roman;Times;serif"/>
          <w:sz w:val="20"/>
        </w:rPr>
        <w:t>the achievement of milestones or occurrence of other developments that trigger payments under our existing collaboration or license agreements, our financing agreements, or any collaboration, partnership, financing or license agreements that we may enter into in the future;</w:t>
      </w:r>
    </w:p>
    <w:p>
      <w:pPr>
        <w:pStyle w:val="TextBody"/>
        <w:bidi w:val="0"/>
        <w:spacing w:lineRule="auto" w:line="285" w:before="0" w:after="240"/>
        <w:ind w:left="1080" w:right="0" w:hanging="0"/>
        <w:jc w:val="left"/>
        <w:rPr/>
      </w:pPr>
      <w:r>
        <w:rPr/>
        <w:t>●</w:t>
      </w:r>
      <w:r>
        <w:rPr>
          <w:rFonts w:ascii="Times New Roman;Times;serif" w:hAnsi="Times New Roman;Times;serif"/>
          <w:sz w:val="20"/>
        </w:rPr>
        <w:t>the extent to which we are obligated to reimburse, or entitled to reimbursement of, research and development, clinical or other costs under future collaboration agreements, if any;</w:t>
      </w:r>
    </w:p>
    <w:p>
      <w:pPr>
        <w:pStyle w:val="TextBody"/>
        <w:bidi w:val="0"/>
        <w:spacing w:lineRule="auto" w:line="285" w:before="0" w:after="240"/>
        <w:ind w:left="1080" w:right="0" w:hanging="0"/>
        <w:jc w:val="left"/>
        <w:rPr/>
      </w:pPr>
      <w:r>
        <w:rPr/>
        <w:t>●</w:t>
      </w:r>
      <w:r>
        <w:rPr>
          <w:rFonts w:ascii="Times New Roman;Times;serif" w:hAnsi="Times New Roman;Times;serif"/>
          <w:sz w:val="20"/>
        </w:rPr>
        <w:t xml:space="preserve">the extent to which we acquire or in-license other approved drugs, drug candidates or technologies and the terms of any such arrangements; </w:t>
      </w:r>
    </w:p>
    <w:p>
      <w:pPr>
        <w:pStyle w:val="TextBody"/>
        <w:bidi w:val="0"/>
        <w:spacing w:lineRule="auto" w:line="285" w:before="0" w:after="240"/>
        <w:ind w:left="1080" w:right="0" w:hanging="0"/>
        <w:jc w:val="left"/>
        <w:rPr/>
      </w:pPr>
      <w:r>
        <w:rPr/>
        <w:t>●</w:t>
      </w:r>
      <w:r>
        <w:rPr>
          <w:rFonts w:ascii="Times New Roman;Times;serif" w:hAnsi="Times New Roman;Times;serif"/>
          <w:sz w:val="20"/>
        </w:rPr>
        <w:t>the costs of preparing, filing and prosecuting patent applications, maintaining and enforcing our intellectual property rights and defending intellectual property-related claims; and</w:t>
      </w:r>
    </w:p>
    <w:p>
      <w:pPr>
        <w:pStyle w:val="TextBody"/>
        <w:bidi w:val="0"/>
        <w:spacing w:lineRule="auto" w:line="285"/>
        <w:ind w:left="1080" w:right="0" w:hanging="0"/>
        <w:jc w:val="left"/>
        <w:rPr/>
      </w:pPr>
      <w:r>
        <w:rPr/>
        <w:t>●</w:t>
      </w:r>
      <w:r>
        <w:rPr>
          <w:rFonts w:ascii="Times New Roman;Times;serif" w:hAnsi="Times New Roman;Times;serif"/>
          <w:sz w:val="20"/>
        </w:rPr>
        <w:t>the costs of continuing to expand our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Accordingly, we may seek additional funding in connection with our continuing operations or business objectives. Any additional fundraising efforts may divert our management from their day-to-day activities, which may adversely affect our ability to develop and commercialize any of our approved drugs or drug candidates.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collaborations, partnerships, licensing arrangements or otherwise at an earlier stage than would be desirable and we may be required to relinquish rights to some of our technologies, drugs or drug candidates or otherwise agree to terms unfavorable to us, any of which may have a material adverse effect on our business, operating results and prospects.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are unable to obtain funding on a timely basis or on attractive terms,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Raising additional capital may cause dilution to our stockholders, restrict our operations or require us to relinquish rights to our technologies or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Until such time, as we can generate material net cash inflows from our operations, we expect to finance our cash needs primarily through a combination of public and private equity offerings, debt financings, collaborations, strategic alliances, licensing arrangements and future revenue monetizations. We do not have any committed external source of funds, other than our collaborations with CStone and Zai Lab and the license agreements with Clementia and IDRx</w:t>
      </w:r>
      <w:r>
        <w:rPr>
          <w:rFonts w:ascii="Times New Roman;Times;serif" w:hAnsi="Times New Roman;Times;serif"/>
          <w:sz w:val="20"/>
          <w:shd w:fill="FFFFFF" w:val="clear"/>
        </w:rPr>
        <w:t xml:space="preserve">, the Financing Agreement with Sixth Street Partners, and the sale of U.S. GAVRETO assets to Rigel, which are limited in scope and duration and subject to the achievement of milestones or royalties on sales of licensed products, if any. </w:t>
      </w:r>
      <w:r>
        <w:rPr>
          <w:rFonts w:ascii="Times New Roman;Times;serif" w:hAnsi="Times New Roman;Times;serif"/>
          <w:sz w:val="20"/>
        </w:rPr>
        <w:t xml:space="preserve">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Additional debt financing, if available, would increase our fixed payment obligations and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If we raise funds through additional collaborations, strategic alliances, licensing arrangements or future revenue monetizations with third parties, we may have to relinquish valuable rights to our intellectual property, future revenue streams, research programs, drugs or drug candidates or to grant licenses on terms that may not be favorable to us. Further, due to the uncertainty of pharmaceutical development, the high historical failure rates generally associated with drug development and uncertainty of successful commercialization, we may not receive any regulatory, development, sales-based milestones or royalty payments under any such collaborations, strategic alliances, licensing arrangements or future revenue monetizations.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Our level of indebtedness and the terms of the Financing Agreement with Sixth Street Partners could adversely affect our operations and limit our ability to plan for or respond to changes in our business. If we are unable to comply with restrictions in the Financing Agreement, the repayment of our existing indebtedness could be accelerated.</w:t>
      </w:r>
      <w:r>
        <w:rPr>
          <w:rFonts w:ascii="Times New Roman;Times;serif" w:hAnsi="Times New Roman;Times;serif"/>
          <w:sz w:val="20"/>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the Financing Agreement with Sixth Street Partners we have incurred a substantial amount of debt, which could adversely affect our business. In July 2022, we drew down the senior secured term loan of $150.0 million. The facility also includes a senior secured delayed draw term loan of up to $250.0 million to be funded in two tranches: (i) a tranche A delayed draw loan in an aggregate principal amount of $100.0 million and (ii) a tranche B delayed draw term loan in an aggregate principal amount of up to $150.0 million. In August 2023, we received the first tranche of the senior secured delayed draw term loan facility in the amount of $100.0 million in gross proceeds. We may also at any time request an incremental term loan in an amount not to exceed $260.0 million on terms to be agreed and subject to the consent of the lenders providing such incremental term loan. </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level of indebtedness could affect our business in the following ways, among other things: make it more difficult for us to satisfy our contractual and commercial commitments; require us to use a substantial portion of our cash flow from operations to pay interest and principal, which would reduce funds available for working capital, capital expenditures and other general corporate purposes; limit our ability to obtain additional financing for working capital, capital expenditures, acquisitions and other investments or general corporate purposes; heighten our vulnerability to downturns in our business, our industry or in the general economy; place us at a disadvantage compared to those of our competitors that may have proportionately less debt; limit management’s discretion in operating our business; and limit our flexibility in planning for, or reacting to, changes in our business, the industry in which we operate or the general economy.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Financing Agreement requires us to make certain payments of principal and interest over time and contains several other restrictive covenants. Among other requirements of the Financing Agreement, we and our subsidiaries party to the Financing Agreement must maintain a minimum consolidated liquidity of $80.0 million. These and other terms in the Financing Agreement could restrict our ability to grow our business or enter into transactions that we believe would be beneficial to our business.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business may not generate cash flows from operations in the future that are sufficient to service our debt and support our growth strategies. If we are unable to generate such cash flows, we may be required to adopt one or more alternatives, such as obtaining additional equity capital on terms that may be onerous or highly dilutive, selling assets, or restructuring debt.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pStyle w:val="TextBody"/>
        <w:pBd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Risks Related to Our Dependence on Third Parties</w:t>
      </w:r>
    </w:p>
    <w:p>
      <w:pPr>
        <w:pStyle w:val="TextBody"/>
        <w:shd w:fill="FFFFFF" w:val="clear"/>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entered into collaborations and licenses with CStone, Zai Lab, VantAI, Clementia and IDRx for the development and commercialization of several of our drugs and drug candidates, and may enter into additional collaborations and licenses with other third parties in the future. The success of these arrangements will depend heavily on the efforts and activities of our collaborators and licensing partners. Collaborators generally have significant discretion in determining the efforts and resources that they will apply to these collaborations. In some situations, we may not be able to influence our collaboration partners’ decisions regarding the development and collaboration of our partnered drugs and drug candidates, and as a result, our collaboration partners may not pursue or prioritize the development and commercialization of those partnered drugs and drug candidates in a manner that is in our best interest.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or result in litigation or arbitration, which would be time-consuming and expensive. Licensors generally have sole discretion in determining the efforts and resources that they will apply to the licensed products.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Collaborations and licenses with pharmaceutical or biotechnology companies and other third parties often are terminated or allowed to expire by the other party. Any termination or expiration of our collaboration or license agreements with CStone, Zai Lab, VantAI, Clementia or IDRx, or of any future collaboration or license agreement, could adversely affect us financially or harm our business reputation. For example, in February 2023, Roche provided written notice of its election to terminate for convenience our collaboration agreement for the development and commercialization of GAVRETO worldwide, excluding the CStone Territory. The termination was effective on February 22, 2024.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Although we intend to design and sponsor the clinical trials for our approved drugs and drug candidates, CROs will conduct all of our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pStyle w:val="TextBody"/>
        <w:bidi w:val="0"/>
        <w:spacing w:lineRule="auto" w:line="285" w:before="0" w:after="240"/>
        <w:ind w:left="1080" w:right="0" w:hanging="0"/>
        <w:jc w:val="left"/>
        <w:rPr/>
      </w:pPr>
      <w:r>
        <w:rPr/>
        <w:t>●</w:t>
      </w:r>
      <w:r>
        <w:rPr>
          <w:rFonts w:ascii="Times New Roman;Times;serif" w:hAnsi="Times New Roman;Times;serif"/>
          <w:sz w:val="20"/>
        </w:rPr>
        <w:t>have staffing difficulties;</w:t>
      </w:r>
    </w:p>
    <w:p>
      <w:pPr>
        <w:pStyle w:val="TextBody"/>
        <w:bidi w:val="0"/>
        <w:spacing w:lineRule="auto" w:line="285" w:before="0" w:after="240"/>
        <w:ind w:left="1080" w:right="0" w:hanging="0"/>
        <w:jc w:val="left"/>
        <w:rPr/>
      </w:pPr>
      <w:r>
        <w:rPr/>
        <w:t>●</w:t>
      </w:r>
      <w:r>
        <w:rPr>
          <w:rFonts w:ascii="Times New Roman;Times;serif" w:hAnsi="Times New Roman;Times;serif"/>
          <w:sz w:val="20"/>
        </w:rPr>
        <w:t>fail to comply with contractual obligations;</w:t>
      </w:r>
    </w:p>
    <w:p>
      <w:pPr>
        <w:pStyle w:val="TextBody"/>
        <w:bidi w:val="0"/>
        <w:spacing w:lineRule="auto" w:line="285" w:before="0" w:after="240"/>
        <w:ind w:left="1080" w:right="0" w:hanging="0"/>
        <w:jc w:val="left"/>
        <w:rPr/>
      </w:pPr>
      <w:r>
        <w:rPr/>
        <w:t>●</w:t>
      </w:r>
      <w:r>
        <w:rPr>
          <w:rFonts w:ascii="Times New Roman;Times;serif" w:hAnsi="Times New Roman;Times;serif"/>
          <w:sz w:val="20"/>
        </w:rPr>
        <w:t>experience regulatory compliance issues;</w:t>
      </w:r>
    </w:p>
    <w:p>
      <w:pPr>
        <w:pStyle w:val="TextBody"/>
        <w:bidi w:val="0"/>
        <w:spacing w:lineRule="auto" w:line="285" w:before="0" w:after="240"/>
        <w:ind w:left="1080" w:right="0" w:hanging="0"/>
        <w:jc w:val="left"/>
        <w:rPr/>
      </w:pPr>
      <w:r>
        <w:rPr/>
        <w:t>●</w:t>
      </w:r>
      <w:r>
        <w:rPr>
          <w:rFonts w:ascii="Times New Roman;Times;serif" w:hAnsi="Times New Roman;Times;serif"/>
          <w:sz w:val="20"/>
        </w:rPr>
        <w:t>undergo changes in priorities or become financially distressed; or</w:t>
      </w:r>
    </w:p>
    <w:p>
      <w:pPr>
        <w:pStyle w:val="TextBody"/>
        <w:bidi w:val="0"/>
        <w:spacing w:lineRule="auto" w:line="285"/>
        <w:ind w:left="1080" w:right="0" w:hanging="0"/>
        <w:jc w:val="left"/>
        <w:rPr/>
      </w:pPr>
      <w:r>
        <w:rPr/>
        <w:t>●</w:t>
      </w:r>
      <w:r>
        <w:rPr>
          <w:rFonts w:ascii="Times New Roman;Times;serif" w:hAnsi="Times New Roman;Times;serif"/>
          <w:sz w:val="20"/>
        </w:rPr>
        <w:t>form relationships with other entities, some of which may be our competitors.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Some of these factors may be beyond our control.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currently own or operate, nor do we have any plans to establish in the future, any manufacturing facilities or personnel. We rely, and expect to continue to rely, primarily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facilities used by our contract manufacturing organizations (CMOs) to manufacture our drugs and drug candidates must be approved by the FDA pursuant to inspections that will be conducted after we submit our marketing applications to the FDA. We do not control the manufacturing process of, and will be completely dependent on, our CMOs for compliance with cGMPs in connection with the manufacture of our drugs and drug candidates.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our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CMOs to maintain adequate quality control, quality assurance and qualified personnel. If the FDA or a comparable foreign regulatory authority does not approve these facilities for the manufacture of our drugs and drug candidates,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and could require comparability studies for the setup of manufacturing operations at alternative facilities.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supply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drug candidate according to the specifications previously submitted to or approved by the FDA or another regulatory authority. The delays associated with the verification of a new CMO could negatively affect our ability to develop drug candidates or commercialize our products in a timely manner or within budget. Furthermore, a CMO may possess technology related to the manufacture of our drug candidate that such CMO owns independently. This would increase our reliance on such CMO or require us to obtain a license from such CMO in order to have another CMO manufacture our drug products or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 </w:t>
      </w:r>
    </w:p>
    <w:p>
      <w:pPr>
        <w:pStyle w:val="TextBody"/>
        <w:bidi w:val="0"/>
        <w:spacing w:lineRule="auto" w:line="285"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do not have long-term supply agreements with all of our CMOs, and may purchase our required drug supply, including the API, drug product and drug substance used in our drugs and drug candidates, on a purchase order basis with certain CMOs.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pStyle w:val="TextBody"/>
        <w:bidi w:val="0"/>
        <w:spacing w:lineRule="auto" w:line="285" w:before="0" w:after="240"/>
        <w:ind w:left="1080" w:right="0" w:hanging="0"/>
        <w:jc w:val="left"/>
        <w:rPr/>
      </w:pPr>
      <w:r>
        <w:rPr/>
        <w:t>●</w:t>
      </w:r>
      <w:r>
        <w:rPr>
          <w:rFonts w:ascii="Times New Roman;Times;serif" w:hAnsi="Times New Roman;Times;serif"/>
          <w:sz w:val="20"/>
        </w:rPr>
        <w:t>reliance on the third party for regulatory compliance and quality assurance;</w:t>
      </w:r>
    </w:p>
    <w:p>
      <w:pPr>
        <w:pStyle w:val="TextBody"/>
        <w:bidi w:val="0"/>
        <w:spacing w:lineRule="auto" w:line="285" w:before="0" w:after="240"/>
        <w:ind w:left="1080" w:right="0" w:hanging="0"/>
        <w:jc w:val="left"/>
        <w:rPr/>
      </w:pPr>
      <w:r>
        <w:rPr/>
        <w:t>●</w:t>
      </w:r>
      <w:r>
        <w:rPr>
          <w:rFonts w:ascii="Times New Roman;Times;serif" w:hAnsi="Times New Roman;Times;serif"/>
          <w:sz w:val="20"/>
        </w:rPr>
        <w:t>the possible breach of the manufacturing agreement by the third party;</w:t>
      </w:r>
    </w:p>
    <w:p>
      <w:pPr>
        <w:pStyle w:val="TextBody"/>
        <w:bidi w:val="0"/>
        <w:spacing w:lineRule="auto" w:line="285" w:before="0" w:after="240"/>
        <w:ind w:left="1080" w:right="0" w:hanging="0"/>
        <w:jc w:val="left"/>
        <w:rPr/>
      </w:pPr>
      <w:r>
        <w:rPr/>
        <w:t>●</w:t>
      </w:r>
      <w:r>
        <w:rPr>
          <w:rFonts w:ascii="Times New Roman;Times;serif" w:hAnsi="Times New Roman;Times;serif"/>
          <w:sz w:val="20"/>
        </w:rPr>
        <w:t>the possible misappropriation of our proprietary information, including our trade secrets and know-how; and</w:t>
      </w:r>
    </w:p>
    <w:p>
      <w:pPr>
        <w:pStyle w:val="TextBody"/>
        <w:bidi w:val="0"/>
        <w:spacing w:lineRule="auto" w:line="285"/>
        <w:ind w:left="1080" w:right="0" w:hanging="0"/>
        <w:jc w:val="left"/>
        <w:rPr/>
      </w:pPr>
      <w:r>
        <w:rPr/>
        <w:t>●</w:t>
      </w:r>
      <w:r>
        <w:rPr>
          <w:rFonts w:ascii="Times New Roman;Times;serif" w:hAnsi="Times New Roman;Times;serif"/>
          <w:sz w:val="20"/>
        </w:rPr>
        <w:t>the possible termination or nonrenewal of the agreement by the third party at a time that is costly or inconvenient for us.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Any of our drugs and drug candidates that we may develop may compete with other approved drugs and drug candidates for access to manufacturing facilities. There are a limited number of manufacturers that operate under cGMP regulations and that might be capable of manufacturing for us. In March 2020, the U.S. enacted the CARES Act in response to the U.S. COVID-19 pandemic. Throughout the COVID-19 pandemic, there was public concern over the availability and accessibility of critical medical products, and the CARES Act enhanced FDA’s existing authority with 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 </w:t>
      </w:r>
      <w:r>
        <w:rPr>
          <w:rFonts w:ascii="Times New Roman;Times;serif" w:hAnsi="Times New Roman;Times;serif"/>
          <w:sz w:val="20"/>
          <w:shd w:fill="FFFFFF" w:val="clear"/>
        </w:rPr>
        <w:t>If we experience shortages in the supply of our marketed products, our results could be materially impacted.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Any performance failure on the part of our existing or future manufacturers could delay clinical development or marketing approval. We do not currently have arrangements in place for redundant supply for all of our bulk drug substances. If our current CMOs cannot perform as agreed, we may experience shortages that require reporting to the FDA or foreign regulatory authorities and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third parties upon whom we rely for the supply of the API, drug substance and drug product used in avapritinib are our sole source of supply, and the loss of any of these suppliers could significantly harm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API, drug substance and drug product used in our drug and drug candidates are supplied to us primarily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if any of our suppliers ceases its operations for any reason or is unable or unwilling to supply API, drug product or drug substance in sufficient quantities or on the timelines necessary to meet our needs, it could significantly and adversely affect our business, the supply of our drug candidates or approved drugs and our financial condition.</w:t>
      </w:r>
    </w:p>
    <w:p>
      <w:pPr>
        <w:pStyle w:val="TextBody"/>
        <w:bidi w:val="0"/>
        <w:spacing w:lineRule="auto" w:line="285" w:before="0" w:after="240"/>
        <w:ind w:left="0" w:right="0" w:firstLine="720"/>
        <w:jc w:val="left"/>
        <w:rPr>
          <w:rFonts w:ascii="Times New Roman;Times;serif" w:hAnsi="Times New Roman;Times;serif"/>
          <w:sz w:val="20"/>
        </w:rPr>
      </w:pPr>
      <w:bookmarkStart w:id="1003" w:name="_cp_text_1_156"/>
      <w:bookmarkEnd w:id="1003"/>
      <w:r>
        <w:rPr>
          <w:rFonts w:ascii="Times New Roman;Times;serif" w:hAnsi="Times New Roman;Times;serif"/>
          <w:sz w:val="20"/>
        </w:rPr>
        <w:t xml:space="preserve">For all of our drug candidates, we may from time to time explore opportunities to identify and qualify additional manufacturers to provide such API, drug substance and drug product prior to submission of an NDA to the FDA and/or an MAA to the EMA. 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our approved drugs and clinical-stage drug candidates through 2023.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have relied on certain third parties located in China to manufacture and supply certain raw materials used in our drugs and our drug candidates, and we expect to continue to use such third-party manufacturers for such purposes. In addition, certain of our drug candidates are being evaluated at clinical trial sites in China under our collaboration with CStone and through CROs located in China. A natural disaster, epidemic or pandemic disease outbreaks, trade war, political unrest or other events in China could disrupt the business or operations of CROs, collaborators, manufacturers or other third parties with whom we conduct business now or in the future. Any disruption in China or pending legislative proposals in the U.S., if enacted, that significantly impact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 </w:t>
      </w:r>
    </w:p>
    <w:p>
      <w:pPr>
        <w:pStyle w:val="TextBody"/>
        <w:bidi w:val="0"/>
        <w:spacing w:lineRule="auto" w:line="285" w:before="0" w:after="240"/>
        <w:ind w:left="0" w:right="0" w:hanging="0"/>
        <w:jc w:val="center"/>
        <w:rPr>
          <w:rFonts w:ascii="Times New Roman;Times;serif" w:hAnsi="Times New Roman;Times;serif"/>
          <w:sz w:val="20"/>
        </w:rPr>
      </w:pPr>
      <w:bookmarkStart w:id="1004" w:name="_cp_text_1_157"/>
      <w:bookmarkEnd w:id="1004"/>
      <w:r>
        <w:rPr>
          <w:rFonts w:ascii="Times New Roman;Times;serif" w:hAnsi="Times New Roman;Times;serif"/>
          <w:b/>
          <w:sz w:val="20"/>
        </w:rPr>
        <w:t>Risks Related to Intellectual Property</w:t>
      </w:r>
      <w:r>
        <w:rPr>
          <w:rFonts w:ascii="Times New Roman;Times;serif" w:hAnsi="Times New Roman;Times;serif"/>
          <w:sz w:val="20"/>
          <w:shd w:fill="FFFFFF" w:val="clear"/>
        </w:rPr>
        <w:t xml:space="preserve">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Our commercial success depends in part on our ability to obtain and maintain proprietary or intellectual property protection in the U.S. and other countries for our drugs and drug candidates and our core technologies, including our novel target discovery engine, our proprietary compound library, targeted protein degrader platform and other know-how. We seek to protect our proprietary and intellectual property position by, among other methods, filing patent applications in the U.S. and abroad related to our proprietary compounds, as well as the use of these compounds in the treatment of diseases, formulations, solid forms, and manufacturing processes and other technologies, inventions and improvements that are important to the development and implementation of our business. We also rely on copyright, trade secrets, know-how and continuing technological innovation to develop and maintain our proprietary and intellectual property position. </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patent position of biotechnology and pharmaceutical companies generally is highly uncertain, involves complex legal and factual questions and has in recent years been the subject of much litigation.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degree of patent protection we require to successfully commercialize any of our approved drugs and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drugs and drug candidates.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drugs and drug candidates, including generic versions of such drugs or drug candidates. </w:t>
      </w:r>
    </w:p>
    <w:p>
      <w:pPr>
        <w:pStyle w:val="TextBody"/>
        <w:bidi w:val="0"/>
        <w:spacing w:lineRule="auto" w:line="285" w:before="100" w:after="10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a patent owned by third parties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(USPTO), have been significantly narrowed by the time they issue, if at all. It is also possible that we will fail to identify patentable aspects of our research and development output before it is too late to obtain patent protection. Moreover, there may be circumstances, when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 and if our patents are successfully challenged, we may face generic competition prior to the expiration dates of our U.S. Orange Book listed patents.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w:t>
      </w:r>
    </w:p>
    <w:p>
      <w:pPr>
        <w:pStyle w:val="TextBody"/>
        <w:bidi w:val="0"/>
        <w:spacing w:lineRule="auto" w:line="285" w:before="100" w:after="10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An adverse determination in any such submission or proceeding may result in loss of exclusivity or freedom to operate or in patent claims being narrowed, invalidated or held unenforceable, in whole or in part, which could limit our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 </w:t>
      </w:r>
    </w:p>
    <w:p>
      <w:pPr>
        <w:pStyle w:val="TextBody"/>
        <w:bidi w:val="0"/>
        <w:spacing w:lineRule="auto" w:line="285" w:before="100" w:after="10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Even if they are unchallenged, our issued patents and our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Third parties may initiate legal proceedings alleging that we are infringing their intellectual property rights, the outcome of which would be uncertain and could have a material adverse effect on the success of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small molecule therapeutics. Some of these patent applications have already been allowed or issued, and others may issue in the future. For example, we are aware of a patent owned by a third party that has generic method of treatment claims that may cover pralsetinib. If the claims of this third-party patent are asserted against us, we do not believe pralsetinib or our proposed activities related to such compound would be found to infringe any valid claim of this patent.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such third-party patent rights. A finding of infringement could prevent us from commercializing our current and future drugs or force us to cease some of our business operations, which could materially harm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become involved in lawsuits to protect or enforce our patents and other intellectual property rights, which could be expensive, time-consuming and unsuccessful.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Competitors and other third parties may infringe, misappropriate or otherwise violate our patents and other intellectual property rights. To counter infringement or unauthorized use, including against abbreviated new drug application (ANDA), filers, we may be required to resort to litigation, that includes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Intellectual property litigation could cause us to spend substantial resources and distract our personnel from their normal responsibilities.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lineRule="auto" w:line="285" w:before="24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If we are not able to obtain, or in applicable cases maintain, patent term extension or non-patent exclusivity in the U.S. under the Hatch-Waxman Act and in foreign countries under similar legislation, thereby potentially extending the marketing exclusivity term of our products or product candidates, our business may be materially harmed. </w:t>
      </w:r>
    </w:p>
    <w:p>
      <w:pPr>
        <w:pStyle w:val="TextBody"/>
        <w:bidi w:val="0"/>
        <w:spacing w:lineRule="auto" w:line="285" w:before="120" w:after="0"/>
        <w:ind w:left="0" w:right="0" w:firstLine="555"/>
        <w:jc w:val="left"/>
        <w:rPr>
          <w:rFonts w:ascii="Times New Roman;Times;serif" w:hAnsi="Times New Roman;Times;serif"/>
          <w:sz w:val="20"/>
        </w:rPr>
      </w:pPr>
      <w:r>
        <w:rPr>
          <w:rFonts w:ascii="Times New Roman;Times;serif" w:hAnsi="Times New Roman;Times;serif"/>
          <w:sz w:val="20"/>
        </w:rPr>
        <w:t xml:space="preserve">Depending upon the timing, duration and specifics of FDA marketing approval of our products or product candidates, one of the U.S. patents covering each of such products or product candidates or the use thereof may be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eligible for up to five years of patent term extension under the Hatch-Waxman Act. The Hatch-Waxman Act allows a maximum of one patent to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also may be available in certain foreign countries upon regulatory approval of our product candidates. Nevertheless,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 xml:space="preserve">If we are unable to obtain patent term extension, or the term of any such extension is less than we request, the period during which we will have the right to exclusively market our product may be shortened and our competitors may obtain approval of competing products following our patent expiration sooner, and our revenue could be reduced, possibly materially.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 xml:space="preserve">It is possible that we will not obtain patent term extension under the Hatch-Waxman Act for a U.S. patent covering a product candidate even where that patent is eligible for patent term extension, or if we obtain such an extension, it may be for a shorter period than we had sought. Further, for certain of our licensed patents, we do not have the right to control prosecution, including filing with the USPTO, an application for patent term extension under the Hatch-Waxman Act. Thus, if one of our licensed patents is eligible for patent term extension under the Hatch-Waxman Act, we may not be able to control whether an application to obtain a patent term extension is filed, or an extension obtained, from the USPTO.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 xml:space="preserve">Also, there are detailed rules and requirements regarding the patents that may be submitted to the FDA for listing in the Approved Drug Products with Therapeutic Equivalence Evaluations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a patent covering one of our approved products is not listed in the Orange Book, a manufacturer of generic drugs would not have to provide advance notice to us of any ANDA filed with the FDA to obtain permission to sell a generic version of such product. </w:t>
      </w:r>
    </w:p>
    <w:p>
      <w:pPr>
        <w:pStyle w:val="TextBody"/>
        <w:bidi w:val="0"/>
        <w:spacing w:lineRule="auto" w:line="285" w:before="240" w:after="0"/>
        <w:ind w:left="0" w:right="0" w:firstLine="555"/>
        <w:jc w:val="left"/>
        <w:rPr>
          <w:rFonts w:ascii="Times New Roman;Times;serif" w:hAnsi="Times New Roman;Times;serif"/>
          <w:sz w:val="20"/>
        </w:rPr>
      </w:pPr>
      <w:r>
        <w:rPr>
          <w:rFonts w:ascii="Times New Roman;Times;serif" w:hAnsi="Times New Roman;Times;serif"/>
          <w:sz w:val="20"/>
        </w:rPr>
        <w:t>Depending upon the timing and specifics of marketing approval of our products, the FDA and other applicable regulatory authorities may grant certain non-patent exclusivities. However, we may be unable to secure or maintain additional non-patent exclusivity for our products or maintain any non-patent exclusivity. Similarly, although we intend to seek new chemical entity exclusivity, and potentially other exclusivities, for product candidates we are developing, we may not be successful in doing so. Moreover, these non-patent exclusivities, if granted, are limited and other companies may be able to submit marketing applications and receive approval earlier than we anticipate.</w:t>
      </w:r>
    </w:p>
    <w:p>
      <w:pPr>
        <w:pStyle w:val="TextBody"/>
        <w:bidi w:val="0"/>
        <w:spacing w:lineRule="auto" w:line="285" w:before="0" w:after="0"/>
        <w:ind w:left="0" w:right="0" w:firstLine="555"/>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drug candidates or procedures, we may not be able to stop a competitor from marketing drugs that are the same as or similar to our drugs or drug candidates, which would have a material adverse effect on our business.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effectively enforce our intellectual property rights throughout the world.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drugs, drug candidates and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depend on intellectual property licensed from third parties and termination of any of these licenses could result in the loss of significant rights, which would harm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our current license agreements, we may not have the final or sole decision on whether we are able to opt out certain of our in-licensed European patents and patent applications from the recently created Unified Patent Court (UPC) for the European Union, that was ratified on June 1, 2023. Our licensors may decide to not opt out the of the UPC, which would subject our in-licensed European patents and patent applications to the jurisdiction of the UPC. Furthermore, even if our licensors decide to opt out of the UPC, we cannot guarantee that our licensors will comply with the legal formalities and requirements for properly opting out of the UPC.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Issued patents covering our product candidates could be found invalid or unenforceable if challenged in court or the USPTO.</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European patents and patent applications could be challenged in the recently created UPC for the European Union, that was ratified on June 1, 2023. We may decide to opt out our European patents and patent applications from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Changes to the patent law in the U.S. and other jurisdictions could diminish the value of patents in general, thereby impairing our ability to protect our drugs and drug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U.S. and other countries, including the Leahy-Smith America Invents Act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protect the confidentiality of our trade secrets, our business and competitive position may be harmed.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to the protection afforded by patents, we rely upon unpatented trade secret protection, unpatented know-how and continuing technological innovation to develop and maintain our competitive position. With respect to the building of our proprietary compound library and targeted degrader platform,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drugs, and drug candidates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damages resulting from claims that we or our employees have wrongfully used or disclosed alleged trade secrets of our competitors or are in breach of non-competition or non-solicitation agreements with our competitors.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drugs or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Business, including Employee Matters, Managing Growth and Others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future success depends on our ability to retain key executives and to attract, retain and motivate qualified personnel.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highly dependent on the research and development, clinical, commercial, business development, financial and legal expertise of our executive officers,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will need to develop and expand our company, and we may encounter difficulties in managing this development and expansion, which could disrupt our operations.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April 15, 2024, we had 645 full-time and part-time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Unfavorable global economic or political conditions could adversely affect our business, financial condition or results of operations.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results of operations could be adversely affected by general conditions in the global economy and in the global financial markets. For example, the COVID-19 pandemic caused extreme volatility and disruptions in the capital and credit markets. In addition, geopolitical developments, such as the Israeli-Palestinian conflict, Russian invasion of Ukraine or deterioration in the bilateral relationship between the U.S. and China could contribute to disruption, instability and volatility in the global markets, as well as an increased inflation, which in turn could adversely impact our operations and those of third parties upon which we rely. Geopolitical conflicts could also have an adverse impact on third parties located in the involved jurisdictions, which could in turn have an adverse impact on our business. For example, certain of our distributors are located in Israel, and may be adversely impacted by the Israeli-Palestinian conflict. Related sanctions, export controls or other actions that may be initiated by nations including the U.S., the EU, Israel or Russia (e.g., potential cyberattacks, disruption of energy flows) could adversely affect our business, our supply chain, CROs, CMOs, clinical trial sites, collaborative partners, distributors or other third parties with which we conduct business. There can be no assurance that further deterioration in credit and financial markets and confidence in economic conditions will not occur.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Political developments can also lead to uncertainty around regulations and rules that may materially affect our business. For example, as the UK regulatory system is now independent from the EU, a long-term effect of Brexit could be that the UK significantly alters its regulations affecting the clearance or approval of our drug or drug candidates that are developed in the UK. Any new regulations could add time and expense to the conduct of our business, as well as the process by which our drug candidates receive regulatory approval in the UK, as compared to the EU and elsewhere.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Rising inflation rates could negatively impact our revenues and profitability if increases in the prices of our products or a decrease in</w:t>
      </w:r>
      <w:r>
        <w:rPr>
          <w:rFonts w:ascii="Times New Roman;Times;serif" w:hAnsi="Times New Roman;Times;serif"/>
          <w:sz w:val="20"/>
        </w:rPr>
        <w:t xml:space="preserve"> </w:t>
      </w:r>
      <w:r>
        <w:rPr>
          <w:rFonts w:ascii="Times New Roman;Times;serif" w:hAnsi="Times New Roman;Times;serif"/>
          <w:b/>
          <w:i/>
          <w:sz w:val="20"/>
        </w:rPr>
        <w:t>spending on products in the biopharmaceutical industry in general results in lower sales by us or those who we collaborate with. In addition, if our costs increase and we are not able to correspondingly adjust our commercial relationships to account for this increase, our net income would be adversely affected, and the adverse impact may be material.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Inflation rates, particularly in the U.S., have increased recently to levels not seen in years. Increased inflation may result in decreased demand for our products, increased operating costs (including our labor costs), reduced liquidity, and limitations on our ability to access credit or otherwise raise debt and equity capital. In addition, the U.S. Federal Reserve has raised, and may again raise, interest rates in response to concerns about inflation. Increases in interest rates,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especially if coupled with reduced government spending and volatility in financial markets, may have the effect of further increasing economic uncertainty and heightening these risks. In an inflationary environment, we may be unable to raise the sales prices of our products at or above the rate at which our costs increase, which could reduce our profit margins and have a material adverse effect on our financial results and net income. We also may experience lower than expected sales and potential adverse impacts on our competitive position if there is a decrease in spending on products in the biopharmaceutical industry in general or a negative reaction to our pricing or the pricing of those we do, or will collaborate with. A reduction in our revenue would be detrimental to our profitability and financial condition and could also have an adverse impact on our future growth.</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Foreign currency exchange rates fluctuations could have an adverse impact on our operating results.</w:t>
      </w:r>
    </w:p>
    <w:p>
      <w:pPr>
        <w:pStyle w:val="TextBody"/>
        <w:bidi w:val="0"/>
        <w:spacing w:lineRule="auto" w:line="285"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From time to time, we contract with vendors that are located in Asia and Europe, which are denominated in foreign currencies. </w:t>
      </w:r>
      <w:r>
        <w:rPr>
          <w:rFonts w:ascii="Times New Roman;Times;serif" w:hAnsi="Times New Roman;Times;serif"/>
          <w:sz w:val="20"/>
        </w:rPr>
        <w:t>We are subject to fluctuations in foreign currency rates in connection with these agreements.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Continued fluctuations in foreign exchange rates can impact our operating results and financial condition.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or the third parties upon whom we depend may be adversely affected by earthquakes or other natural disasters and our business continuity and disaster recovery plans may not adequately protect us from a serious disaster.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internal computer systems, or those of our third-party collaborators, service providers, contractors or consultants, may fail or suffer security breaches, which could result in a material disruption of our drugs’ and drug candidates’ development programs and have a material adverse effect on our reputation, business, financial condition or results of operations.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 and could include the use of artificial intelligence (AI), and machine learning to launch more automated, targeted and coordinated attacks on targets.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In addition, our liability insurance may not be sufficient in type or amount to cover us against claims related to security breaches, cyberattacks and other related breaches.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Similarly, the increasing use of AI, and machine learning technology in the biopharmaceutical industry presents new risks and challenges. The use of AI based software may lead to the inadvertent release of confidential or proprietary information, which may adversely impact our ability to realize the benefit of our intellectual property, cause us to incur liabilities as the result of any breaches of confidentiality or impact our ability to comply with data security and privacy laws. 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 </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Interruptions in the availability of server systems or communications with Internet or cloud-based services, or failure to maintain the security, confidentiality, accessibility or integrity of data stored on such systems, could harm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 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breached, and unauthorized access is obtained to our data or our information technology systems, we may incur significant legal and financial exposure and liabilities.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do not have control over the operations of the facilities of our cloud service providers and our third-party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 </w:t>
      </w:r>
    </w:p>
    <w:p>
      <w:pPr>
        <w:pStyle w:val="TextBody"/>
        <w:shd w:fill="FFFFFF" w:val="clear"/>
        <w:bidi w:val="0"/>
        <w:spacing w:lineRule="auto" w:line="285" w:before="40" w:after="0"/>
        <w:ind w:left="0" w:right="0" w:firstLine="720"/>
        <w:jc w:val="left"/>
        <w:rPr>
          <w:rFonts w:ascii="Times New Roman;Times;serif" w:hAnsi="Times New Roman;Times;serif"/>
          <w:sz w:val="20"/>
        </w:rPr>
      </w:pPr>
      <w:r>
        <w:rPr>
          <w:rFonts w:ascii="Times New Roman;Times;serif" w:hAnsi="Times New Roman;Times;serif"/>
          <w:sz w:val="20"/>
        </w:rPr>
        <w:t xml:space="preserve">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Notably, for example, in Europe, the European General Data Protection Regulation 2016/679, which is commonly referred to as GDPR applies to any company established in the European Economic Area (EEA), as well as any company outside the EEA that collects or otherwise processes personal data in connection with the offering goods or services to individuals in the EEA or the monitoring of their behavior. The GDPR imposes data protection obligations on processors and controllers of personal data, including, for example,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disclosures about how personal information is to be used, having a valid legal basis to process personal data, maintaining records of our processing activities and documenting data protection impact assessments where there is high risk processing, limitations on retention of information, mandatory data breach notification requirements, ensuring appropriate technical and organizational measures are put in place to safeguard personal data and onerous obligations on services providers. Penalties under the GDPR include fines of up to €20 million or 4% of total worldwide annual turnover, whichever is higher. EEA Member States have adopted national laws to implement the GDPR which may partially deviate from the GDPR. Further, competent authorities in the EEA Member States may interpret GDPR obligations slightly differently from country to country. For these reasons, we do not expect to operate in a uniform legal landscape in the EEA.</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Further to the UK’s exit from the European Union on January 31, 2020, the UK incorporated the GDPR (as it existed on December 31, 2020 but subject to certain UK specific amendments) into UK law (referred to as the UK GDPR). The UK GDPR and the UK Data Protection Act 2018 set out the UK’s data protection regime, which is independent from but currently still aligned to the EU’s data protection regime. Non-compliance with the UK GDPR may result in monetary penalties of up to £17.5 million or 4% of worldwide revenue, whichever is higher. Although the UK is regarded as a third country under the EU’s GDPR, the European Commission has issued a decision recognizing the UK as providing adequate protection under the EU GDPR and, therefore, transfers of personal data originating in the EEA to the UK remain unrestricted. Likewise, the UK government has confirmed that personal data transfers from the UK to the EEA remain free flowing. The UK Government has introduced a Data Protection and Digital Information Bill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European Commission (EC). This may lead to additional compliance costs and could increase our overall risk. The respective provisions and enforcement of the EU GDPR and UK GDPR may further diverge in the future and create additional regulatory challenges and uncertainties.</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UK or EEA.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Further, European data protection laws also regulates the transfer of personal data from the EEA, the UK and Switzerland to third countries that are not considered to provide adequate protections to personal data. On June 4, 2021, the EC issued new Standard Contractual Clauses (SCCs) for data transfers from controllers or processors in the EEA (or otherwise subject to the EU GDPR) to controllers or processors established outside the EEA (and not subject to the EU GDPR). The new SCCs replace the SCCs that were adopted previously under the Data Protection Directive. The UK is not subject to the EC’s new SCCs but has published its own standard clauses, the International Data Transfer Agreement, which enables transfers from the UK. We will be required to implement these new safeguards when conducting restricted data transfers under the EU GDPR and UK GDPR and doing so will require significant effort and cost. Where relying on the SCCs or UK IDTA for data transfers, we may also be required to carry out transfer impact assessments to assess whether the recipient is subject to local laws which allow public authority access to personal data.</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July 10, 2023, the EU adopted an adequacy decision for a new “Data Privacy Framework,” which replaces the Privacy Shield, which the European Court of Justice invalidated in 2020 for personal data transferred from the EU to the U.S. On July 17, 2023 the U.S. Department of Commerce released registration means and requirements for U.S. companies to register. The Framework provides additional certification mechanisms to provide for UK and Swiss data transfers. We have registered and have active membership under the Framework, allowing for transfer of HR and non-HR data from Switzerland and EEA member states. We will be required to maintain these new safeguards when conducting restricted cross-border data transfers and doing so will require significant effort and cost. 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 </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While we have taken steps to mitigate the impact on us with respect to transfers of data, such as registering with the U.S. governing bodies managing the Data Privacy Framework, and implementing the SCCs where necessary in new contracts with our service providers, customers, subsidiaries, the validity of these transfer mechanisms remains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uncertain. The previous data transfer mechanisms providing adequacy to enable cross-border transfers between the US and the EEA have been invalidated, and the Data Privacy Framework has already been challenged in several jurisdictions. Complying with this guidance as it exists today and evolves will be expensive and time consuming and may ultimately prevent us from transferring personal data outside Europe which would cause significant business disruption for ourselves and our customers and potentially require the changes in the way our products are configured, hosted and supported.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addition, we are subject to Swiss data protection laws, including the Federal Act on Data Protection (FADP). While the FADP provides broad protections to personal data, on September 25, 2020, the Swiss federal Parliament enacted a revised version of the FADP, which is anticipated to become effective in September 2023. The new version of the FADP aligns Swiss data protection law with the GDPR. We have updated our agreements to reflect the new requirements per the FADP, but further modifications or changes may require revisiting these agreements.</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Further, in addition to existing European data protection law, the European Union also is considering another draft data protection regulation. The proposed regulation, known as the Regulation on Privacy and Electronic Communications (ePrivacy Regulation), would replace the current ePrivacy Directive. It is unclear whether and/or when the Draft Regulation will enter into force.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Preparing for and complying with the evolving application of the GDPR, national laws in Switzerland and the UK, as well as ePrivacy Regulation (if and when it becomes effective) has required and will continue to require us to incur substantial operational costs and may require us to change our business practices. Despite our efforts to bring practices into compliance with the GDPR, appliable national data protection laws and before the effective date of the ePrivacy Regulation, we may not be successful either due to internal or external factors such as resource allocation limitations. Non-compliance could result in proceedings, fines or penalties against us by governmental entities, customers, data subjects, consumer associations or others.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to European data protection requirements, we are subject to the California Consumer Privacy Act (CCPA), which took effect on January 1, 2020 and imposes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became enforceable as of July 1, 2020, but there continues to be uncertainty about how the law will be interpreted and enforced. The CCPA was amended by the California Privacy Rights Act (CPRA) which became effective on January 1, 2023. The CPRA imposes additional obligations on companies covered by the legislation and significantly modified the CCPA, including by expanding consumers’ rights with respect to certain sensitive personal information. The CPRA also created a new state agency that is vested with authority to implement and enforce the CCPA. The effects of the CCPA are potentially significant and may require us to modify our data collection or processing practices and policies and to incur substantial costs and expenses in an effort to comply and increase our potential exposure to regulatory enforcement and/or litigation.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to the CCPA, new privacy and data security laws have been enacted in numerous other states and have been proposed in even more states as well as in the U.S. Congress, reflecting a trend toward more stringent privacy legislation in the U.S., which may accelerate. Furthermore, a smaller number of states have passed or are considering laws that are specifically focused upon health privacy, such as Washington’s My Health My Data Act. The effects of state and federal privacy laws are potentially significant and may require us to modify our data processing practices and policies and to incur substantial costs and potential liability in an effort to comply with such legislation.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Additionally, the Federal Trade Commission (FTC) has focused enforcement actions in the healthcare space. Multiple enforcement actions around how healthcare companies collect, notice and share personal data have provided important signals on points of emphasis for us to focus our compliance efforts. We have taken necessary steps to comply with guidance to date, however guidance and enforcement actions may require additional investment of resources in compliance programs and/or changes in business practices and policies. </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October 30, 2023, President Biden issued an Executive Order on Safe, Secure, and Trustworthy Artificial Intelligence which provided a framework for and a call for Congress to enact laws establishing the appropriate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development and use of AI. The widespread use of generative AI and natural language processing tools have significant risk when used in the healthcare space. We are exposed to risks associated with employees utilizing generative AI in methods and ways that are contrary to the framework laid out by the Executive Order or the subsequent complementary laws. We will need to invest resources to ensure appropriate development and use of any generative AI, or like-technology, and to develop internal compliance policies and procedures addressing this use. </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Cybersecurity presents an ongoing risk vector for our company. A cybersecurity incident impacting our internal systems or network could compromise sensitive information of patients and employees, requiring additional resources to enable us to ensure remediation and proper notification. Additionally, we rely on vendors to provide many services where they collect, use or process sensitive data on our behalf or jointly. An incident compromising the databases of our internal network or our vendor’s information may materially impact our ability to continue development of our products or have appropriate data to complete FDA submissions. If data related to drug development is compromised, the integrity of that data might be impacted in such a way to render it unusable or potentially modified to a degree it will not be reliable. This type of attack may have material financial impacts resulting from a cybersecurity incident disclosing or making unavailable IP related to our drug development through a ransomware attack or similar method. The continued development and management of our Information Security function may require additional investment of resources to mature our ability to prevent and respond to cybersecurity incidents.</w:t>
      </w:r>
    </w:p>
    <w:p>
      <w:pPr>
        <w:pStyle w:val="TextBody"/>
        <w:bidi w:val="0"/>
        <w:spacing w:before="280" w:after="240"/>
        <w:ind w:left="0" w:right="0" w:firstLine="720"/>
        <w:jc w:val="left"/>
        <w:rPr>
          <w:rFonts w:ascii="Times New Roman;Times;serif" w:hAnsi="Times New Roman;Times;serif"/>
          <w:sz w:val="20"/>
        </w:rPr>
      </w:pPr>
      <w:r>
        <w:rPr>
          <w:rFonts w:ascii="Times New Roman;Times;serif" w:hAnsi="Times New Roman;Times;serif"/>
          <w:sz w:val="20"/>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employees, principal investigators, CROs and consultants may engage in misconduct or other improper activities, including non-compliance with regulatory standards and requirements and insider trading.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may acquire or in-license additional businesses, technologies or platforms, approved drugs, drug candidates or discovery-stage programs, or form strategic alliances, collaborations or partnerships that we believe will complement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or drug candidates resulting from a strategic alliance, collaboration, partnership or acquisition that delay or prevent us from realizing their expected benefits or enhancing our business. In addition, we cannot assure you that, following any such transaction, we will achieve the expected synergies to justify the transaction.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may be subject to adverse legislative or regulatory tax changes that could negatively impact our financial condition.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tax years beginning after December 31, 2021, the Tax Cuts and Jobs Act of 2017 eliminates the once available option to deduct research and development expenditures currently and requires taxpayers to amortize specified research expenditures attributable to domestic research over a period of five years and fifteen years for research activities attributable to foreign research. As of March 31, 2024, the U.S. Congress has not passed legislation that would defer the amortization requirement to future periods and as such the inability to deduct research and development expenditures in their entirety starting in 2022 will have a material impact on the carryover of taxable losses used to offset future taxable income, and in turn will impact our cash flows in future years. </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Risks Related to Our Common Stock</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price of our common stock has been and may in the future be volatile and fluctuate substantially.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stock price has been and may in the future be subject to substantial volatility. For example, our stock traded within a range of a high price of $125.61 and a low price of $13.04 per share for the period beginning on April 30, 2015, our first day of trading on The Nasdaq Global Select Market, through April 30, 2024. As a result of this volatility, our stockholders could incur substantial losses.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stock market in general has recently experienced relatively large price and volume fluctuations.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commercialization of our drugs and drug candidates, if approved;</w:t>
            </w:r>
          </w:p>
        </w:tc>
      </w:tr>
    </w:tbl>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competitive drugs or technologies;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clinical trials of our drug candidates or those of our competitors;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legal developments in the U.S. and other countries;</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patent applications, issued patents or other proprietary rights;</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recruitment or departure of key personnel;</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expenses related to any of our drug candidates or clinical development programs;</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efforts to discover, develop, acquire or in-license additional drug candidates or drugs;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changes in estimates as to financial results, development timelines or recommendations by securities analysts;</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financial results or those of companies that are perceived to be similar to us;</w:t>
            </w:r>
          </w:p>
        </w:tc>
      </w:tr>
    </w:tbl>
    <w:tbl>
      <w:tblPr>
        <w:tblW w:w="5031" w:type="dxa"/>
        <w:jc w:val="left"/>
        <w:tblInd w:w="0" w:type="dxa"/>
        <w:tblLayout w:type="fixed"/>
        <w:tblCellMar>
          <w:top w:w="28" w:type="dxa"/>
          <w:left w:w="28" w:type="dxa"/>
          <w:bottom w:w="28" w:type="dxa"/>
          <w:right w:w="28" w:type="dxa"/>
        </w:tblCellMar>
      </w:tblPr>
      <w:tblGrid>
        <w:gridCol w:w="124"/>
        <w:gridCol w:w="256"/>
        <w:gridCol w:w="4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structure of healthcare payment systems;</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in the pharmaceutical and biotechnology sectors;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epidemic or pandemic disease outbreaks, including the COVID-19 pandemic, trade wars, political unrest or other similar events;</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and</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factors described in this “Risk Factors” section.</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Future sales or issuances of common stock or other equity related securities may also adversely affect the market price of our common stock. In February 2022, we entered into a new sales agreement (Sales Agreement), with Cowen and Company, LLC (Sales Agent), through which we may, from time to time, issue and sell shares of our common stock having an aggregate offering price of up to $300.0 million, subject to the terms and conditions of the Sales Agreement. Through March 31, 2024, we sold 544,719 shares of common stock pursuant to the Sales Agreement, at an average price of $91.88 per share, with aggregate net proceeds of $48.9 million. If we sell additional shares of common stock under the Sales Agreement, enter into new “at the market” stock offering programs, or conduct a public offering or private offering through other means, it could lead to additional dilution for our stockholders and may impact our stock price adversely.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pStyle w:val="TextBody"/>
        <w:bidi w:val="0"/>
        <w:spacing w:lineRule="auto" w:line="285"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have in the past relied in part on sales of our common shares through our at-the-market (ATM) offering program to raise capital. Increased volatility and decreases in market prices of equity securities generally and of our common shares in particular may have an adverse impact on our willingness and/or ability to continue to sell our common shares through our ATM offering. Decreases in these sales could affect the cost or availability of equity capital, which could in turn have an adverse effect on our business, including current operations, future growth, revenues, net income and the market prices of our common shares.</w:t>
      </w:r>
    </w:p>
    <w:p>
      <w:pPr>
        <w:pStyle w:val="TextBody"/>
        <w:bidi w:val="0"/>
        <w:spacing w:lineRule="auto" w:line="285"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February 2022, we commenced a new at-the-market, or ATM, program to raise capital. Under our ATM program, we have entered into a sales agreement to sell common shares, up to a maximum aggregate market value of $300.0 million, through one or more at-the-market offerings. Through March 31, 2024, we sold 544,719 shares of common stock pursuant to the Sales Agreement, at an average price of $91.88 per share, with aggregate net proceeds of $48.9 million. Given volatility in the capital markets, we may not be willing or able to continue to raise equity capital through our ATM program. We may, therefore, need to turn to other sources of funding that may have terms that are not favorable to us, or reduce our business operations given capital constraints.</w:t>
      </w:r>
    </w:p>
    <w:p>
      <w:pPr>
        <w:pStyle w:val="TextBody"/>
        <w:bidi w:val="0"/>
        <w:spacing w:lineRule="auto" w:line="285"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Alternative financing arrangements, if we pursue any, could involve issuances of one or more types of securities, including common stock, preferred stock, convertible debt, warrants to acquire common stock or other securities. These securities could be issued at or below the then prevailing market price for our common shares.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the Company’s equity ownership in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subsidiary, which would adversely affect the rights of holders of both the Company’s equity securities and its debt and debt securities.</w:t>
      </w:r>
    </w:p>
    <w:p>
      <w:pPr>
        <w:pStyle w:val="TextBody"/>
        <w:bidi w:val="0"/>
        <w:spacing w:lineRule="auto" w:line="285"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on any newly-issued debt securities and/or newly-incurred borrowings would increase our operating costs and increase our net loss, and these impacts may be material. If the issuance of new securities results in diminished rights to holders of our common stock, the market price of our common shares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equity research analysts publish negative evaluations of or downgrade our common stock, the price of our common stock could decline.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executive officers, directors, principal stockholders and their affiliates maintain the ability to exercise significant influence over our company and all matters submitted to stockholders for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deferring or preventing a change of control of us;</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impeding a merger, consolidation, takeover or other business combination involving us; or</w:t>
            </w:r>
          </w:p>
        </w:tc>
      </w:tr>
    </w:tbl>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discouraging a potential acquiror from making a tender offer or otherwise attempting to obtain control of us.</w:t>
            </w:r>
          </w:p>
        </w:tc>
      </w:tr>
    </w:tbl>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enhanced procedural mechanics and disclosure requirements in connection with stockholder nominations and submissions of stockholder proposals,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pStyle w:val="TextBody"/>
        <w:bidi w:val="0"/>
        <w:spacing w:lineRule="auto" w:line="285" w:before="0" w:after="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bylaws contain exclusive forum provisions, which may limit a stockholder’s ability to bring a claim in a judicial forum it finds favorable and may discourage lawsuits with respect to such claims.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amended and restated bylaws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Securities Exchange Act of 1934 or the Securities Act of 1933, as amended (Securities Act). Our bylaws further provide that, unless we consent in writing to an alternative forum, the federal district courts of the U.S. will be the exclusive forum for resolving any complaint asserting a cause of action arising under the Securities Act, which we refer to as the federal forum provision. We have chosen the federal district courts of the U.S. as the exclusive forum for such Securities Act causes of action. In addition, our bylaws provide that any person or entity purchasing or otherwise acquiring any interest in shares of our common stock is deemed to have notice of and consented to the Delaware forum provision and the federal forum provision. </w:t>
      </w:r>
    </w:p>
    <w:p>
      <w:pPr>
        <w:pStyle w:val="TextBody"/>
        <w:bidi w:val="0"/>
        <w:spacing w:lineRule="auto" w:line="285" w:before="280" w:after="0"/>
        <w:ind w:left="0" w:right="0" w:firstLine="720"/>
        <w:jc w:val="left"/>
        <w:rPr>
          <w:rFonts w:ascii="Times New Roman;Times;serif" w:hAnsi="Times New Roman;Times;serif"/>
          <w:sz w:val="20"/>
        </w:rPr>
      </w:pPr>
      <w:r>
        <w:rPr>
          <w:rFonts w:ascii="Times New Roman;Times;serif" w:hAnsi="Times New Roman;Times;serif"/>
          <w:sz w:val="20"/>
        </w:rPr>
        <w:t>In addition, our bylaws provide that any person or entity purchasing or otherwise acquiring any interest in shares of our common stock is deemed to have notice of and consented to the Delaware forum provision and the federal forum provision.</w:t>
      </w:r>
    </w:p>
    <w:p>
      <w:pPr>
        <w:pStyle w:val="TextBody"/>
        <w:bidi w:val="0"/>
        <w:spacing w:lineRule="auto" w:line="285" w:before="280" w:after="240"/>
        <w:ind w:left="0" w:right="0" w:firstLine="720"/>
        <w:jc w:val="left"/>
        <w:rPr>
          <w:rFonts w:ascii="Times New Roman;Times;serif" w:hAnsi="Times New Roman;Times;serif"/>
          <w:sz w:val="20"/>
        </w:rPr>
      </w:pPr>
      <w:r>
        <w:rPr>
          <w:rFonts w:ascii="Times New Roman;Times;serif" w:hAnsi="Times New Roman;Times;serif"/>
          <w:sz w:val="20"/>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bringing a claim that is covered by the Delaware forum provision do not reside in or near the State of Delaware.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Future sales of our common stock, including by us or our directors and executive officers or shares issued upon the exercise of currently outstanding options, could cause our stock price to decline.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have incurred and will continue to incur substantial costs as a result of operating as a public company, and our management is required to devote substantial time to new compliance initiatives and corporate governance practices.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a public company, we have incurred and expect to continue to incur significant legal, accounting and other expenses. In addition, the Sarbanes-Oxley Act of 2002 and rules subsequently implemented by the Securities and Exchange Commission (SEC) and Nasdaq have imposed various requirements on public companies, including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Pursuant to Section 404 of the Sarbanes-Oxley Act of 2002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Because we do not anticipate paying any cash dividends on our capital stock in the foreseeable future, capital appreciation, if any, will be the sole source of gain for our stockholders.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Repurchases of our capital stock may be subject to additional tax.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Congress recently enacted a new 1% excise tax on certain stock repurchases (or similar transactions) effected by publicly traded domestic corporations such as ours. This tax could make stock repurchases less desirable (and therefore less likely) as compared with other possible uses of our funds, and could reduce the amount of cash available if we do determine to pursue a stock repurchase.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Our ability to utilize our net operating loss carryforwards and certain other tax attributes may be limited.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Section 382 of the Internal Revenue Code of 1986, as amended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2023, we had federal net operating loss carryforwards of approximately $809.5 million, and our ability to utilize those net operating loss carryforwards could be limited by an “ownership change” as described above, which could result in increased tax liability to us. In addition, pursuant to the TCJA, we may not use net operating loss carry-forwards generated in taxable years beginning after December 31, 2017 to reduce our taxable income in any year beginning after December 31, 2020 by more than 80%, and we may not carry back any net operating losses to prior years. These rules apply regardless of the occurrence of an ownership change.In April 2022, the Company completed an update to the prior Section 382 study dated February 25, 2021. Since the Section 382 owner shifts are tested on a cumulative basis, the current update incorporates the period from February 7, 2017, the day of the last identified ownership change, through December 31, 2021. The analysis concluded that it is more likely than not that an additional ownership change did not occur during the update analysis period. This is assuming that no further significant shifts in stock ownership have occurred by virtue of equity events that have not yet been reported in publicly available SEC filings. The Company engaged its external tax advisor to determine if the Company had equity activity through December 31, 2022 that would give rise to a greater than 50 percentage point ownership change. The previous Section 382 model, through December 31, 2021, was updated for reported transactions among the Company’s 5% owners. The analysis concluded that there was no additional Company equity activity through December 31, 2022 that would rise to the level of a &gt;50 percentage point ownership change. The Company has not performed an analysis through December 31, 2023 at this time.</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005" w:name="Item5OtherInformation_346096"/>
      <w:bookmarkEnd w:id="1005"/>
      <w:r>
        <w:rPr>
          <w:rFonts w:ascii="Times New Roman;Times;serif" w:hAnsi="Times New Roman;Times;serif"/>
          <w:b/>
          <w:sz w:val="20"/>
        </w:rPr>
        <w:t>Item 5. Other Information</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2024, two of the Company’s officers adopted a “Rule 10b5-1 trading arrangement,” as the term is defined in Item 408(a) of Regulation S-K. We describe the material terms of these Rule 10b5-1 trading arrangements below.</w:t>
      </w:r>
    </w:p>
    <w:tbl>
      <w:tblPr>
        <w:tblW w:w="10205" w:type="dxa"/>
        <w:jc w:val="left"/>
        <w:tblInd w:w="0" w:type="dxa"/>
        <w:tblLayout w:type="fixed"/>
        <w:tblCellMar>
          <w:top w:w="0" w:type="dxa"/>
          <w:left w:w="0" w:type="dxa"/>
          <w:bottom w:w="0" w:type="dxa"/>
          <w:right w:w="0" w:type="dxa"/>
        </w:tblCellMar>
      </w:tblPr>
      <w:tblGrid>
        <w:gridCol w:w="1459"/>
        <w:gridCol w:w="1001"/>
        <w:gridCol w:w="2639"/>
        <w:gridCol w:w="2179"/>
        <w:gridCol w:w="1563"/>
        <w:gridCol w:w="1364"/>
      </w:tblGrid>
      <w:tr>
        <w:trPr/>
        <w:tc>
          <w:tcPr>
            <w:tcW w:w="1459" w:type="dxa"/>
            <w:tcBorders/>
            <w:vAlign w:val="center"/>
          </w:tcPr>
          <w:p>
            <w:pPr>
              <w:pStyle w:val="TableContents"/>
              <w:bidi w:val="0"/>
              <w:spacing w:lineRule="auto" w:line="285" w:before="0" w:after="0"/>
              <w:ind w:left="0" w:right="0" w:hanging="0"/>
              <w:jc w:val="left"/>
              <w:rPr/>
            </w:pPr>
            <w:r>
              <w:rPr/>
              <w:t>​</w:t>
            </w:r>
          </w:p>
        </w:tc>
        <w:tc>
          <w:tcPr>
            <w:tcW w:w="1001" w:type="dxa"/>
            <w:tcBorders/>
            <w:vAlign w:val="center"/>
          </w:tcPr>
          <w:p>
            <w:pPr>
              <w:pStyle w:val="TableContents"/>
              <w:bidi w:val="0"/>
              <w:spacing w:lineRule="auto" w:line="285" w:before="0" w:after="0"/>
              <w:ind w:left="0" w:right="0" w:hanging="0"/>
              <w:jc w:val="left"/>
              <w:rPr/>
            </w:pPr>
            <w:r>
              <w:rPr/>
              <w:t>​</w:t>
            </w:r>
          </w:p>
        </w:tc>
        <w:tc>
          <w:tcPr>
            <w:tcW w:w="2639" w:type="dxa"/>
            <w:tcBorders/>
            <w:vAlign w:val="center"/>
          </w:tcPr>
          <w:p>
            <w:pPr>
              <w:pStyle w:val="TableContents"/>
              <w:bidi w:val="0"/>
              <w:spacing w:lineRule="auto" w:line="285" w:before="0" w:after="0"/>
              <w:ind w:left="0" w:right="0" w:hanging="0"/>
              <w:jc w:val="left"/>
              <w:rPr/>
            </w:pPr>
            <w:r>
              <w:rPr/>
              <w:t>​</w:t>
            </w:r>
          </w:p>
        </w:tc>
        <w:tc>
          <w:tcPr>
            <w:tcW w:w="2179" w:type="dxa"/>
            <w:tcBorders/>
            <w:vAlign w:val="center"/>
          </w:tcPr>
          <w:p>
            <w:pPr>
              <w:pStyle w:val="TableContents"/>
              <w:bidi w:val="0"/>
              <w:spacing w:lineRule="auto" w:line="285" w:before="0" w:after="0"/>
              <w:ind w:left="0" w:right="0" w:hanging="0"/>
              <w:jc w:val="left"/>
              <w:rPr/>
            </w:pPr>
            <w:r>
              <w:rPr/>
              <w:t>​</w:t>
            </w:r>
          </w:p>
        </w:tc>
        <w:tc>
          <w:tcPr>
            <w:tcW w:w="1563" w:type="dxa"/>
            <w:tcBorders/>
            <w:vAlign w:val="center"/>
          </w:tcPr>
          <w:p>
            <w:pPr>
              <w:pStyle w:val="TableContents"/>
              <w:bidi w:val="0"/>
              <w:spacing w:lineRule="auto" w:line="285" w:before="0" w:after="0"/>
              <w:ind w:left="0" w:right="0" w:hanging="0"/>
              <w:jc w:val="left"/>
              <w:rPr/>
            </w:pPr>
            <w:r>
              <w:rPr/>
              <w:t>​</w:t>
            </w:r>
          </w:p>
        </w:tc>
        <w:tc>
          <w:tcPr>
            <w:tcW w:w="1364" w:type="dxa"/>
            <w:tcBorders/>
            <w:vAlign w:val="center"/>
          </w:tcPr>
          <w:p>
            <w:pPr>
              <w:pStyle w:val="TableContents"/>
              <w:bidi w:val="0"/>
              <w:spacing w:lineRule="auto" w:line="285" w:before="0" w:after="0"/>
              <w:ind w:left="0" w:right="0" w:hanging="0"/>
              <w:jc w:val="left"/>
              <w:rPr/>
            </w:pPr>
            <w:r>
              <w:rPr/>
              <w:t>​</w:t>
            </w:r>
          </w:p>
        </w:tc>
      </w:tr>
      <w:tr>
        <w:trPr/>
        <w:tc>
          <w:tcPr>
            <w:tcW w:w="1459"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Name and Title</w:t>
            </w:r>
          </w:p>
        </w:tc>
        <w:tc>
          <w:tcPr>
            <w:tcW w:w="1001"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Action Taken</w:t>
            </w:r>
          </w:p>
        </w:tc>
        <w:tc>
          <w:tcPr>
            <w:tcW w:w="2639"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Type of Trading Arrangement</w:t>
            </w:r>
          </w:p>
        </w:tc>
        <w:tc>
          <w:tcPr>
            <w:tcW w:w="2179"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Nature of Trading Arrangement</w:t>
            </w:r>
          </w:p>
        </w:tc>
        <w:tc>
          <w:tcPr>
            <w:tcW w:w="1563"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Duration of Trading Arrangement</w:t>
            </w:r>
          </w:p>
        </w:tc>
        <w:tc>
          <w:tcPr>
            <w:tcW w:w="1364"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b/>
                <w:sz w:val="20"/>
              </w:rPr>
            </w:pPr>
            <w:r>
              <w:rPr>
                <w:rFonts w:ascii="Times New Roman;Times;serif" w:hAnsi="Times New Roman;Times;serif"/>
                <w:b/>
                <w:sz w:val="20"/>
              </w:rPr>
              <w:t>Aggregate Number of Securities</w:t>
            </w:r>
          </w:p>
        </w:tc>
      </w:tr>
      <w:tr>
        <w:trPr/>
        <w:tc>
          <w:tcPr>
            <w:tcW w:w="145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L. Becker Hewes</w:t>
            </w:r>
          </w:p>
          <w:p>
            <w:pPr>
              <w:pStyle w:val="TableContents"/>
              <w:bidi w:val="0"/>
              <w:spacing w:lineRule="auto" w:line="285" w:before="60" w:after="60"/>
              <w:ind w:left="0" w:right="0" w:hanging="0"/>
              <w:jc w:val="center"/>
              <w:rPr>
                <w:rFonts w:ascii="Times New Roman;Times;serif" w:hAnsi="Times New Roman;Times;serif"/>
                <w:i/>
                <w:sz w:val="20"/>
              </w:rPr>
            </w:pPr>
            <w:r>
              <w:rPr>
                <w:rFonts w:ascii="Times New Roman;Times;serif" w:hAnsi="Times New Roman;Times;serif"/>
                <w:i/>
                <w:sz w:val="20"/>
              </w:rPr>
              <w:t>(Chief Medical Officer)</w:t>
            </w:r>
          </w:p>
          <w:p>
            <w:pPr>
              <w:pStyle w:val="TableContents"/>
              <w:bidi w:val="0"/>
              <w:spacing w:lineRule="auto" w:line="285" w:before="0" w:after="0"/>
              <w:ind w:left="0" w:right="0" w:hanging="0"/>
              <w:jc w:val="center"/>
              <w:rPr/>
            </w:pPr>
            <w:r>
              <w:rPr/>
              <w:t>​</w:t>
            </w:r>
          </w:p>
        </w:tc>
        <w:tc>
          <w:tcPr>
            <w:tcW w:w="10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 xml:space="preserve">Adoption </w:t>
            </w:r>
          </w:p>
          <w:p>
            <w:pPr>
              <w:pStyle w:val="TableContents"/>
              <w:bidi w:val="0"/>
              <w:spacing w:lineRule="auto" w:line="285" w:before="60" w:after="60"/>
              <w:ind w:left="0" w:right="0" w:hanging="0"/>
              <w:jc w:val="center"/>
              <w:rPr>
                <w:rFonts w:ascii="Times New Roman;Times;serif" w:hAnsi="Times New Roman;Times;serif"/>
                <w:i/>
                <w:sz w:val="20"/>
              </w:rPr>
            </w:pPr>
            <w:r>
              <w:rPr>
                <w:rFonts w:ascii="Times New Roman;Times;serif" w:hAnsi="Times New Roman;Times;serif"/>
                <w:i/>
                <w:sz w:val="20"/>
              </w:rPr>
              <w:t>(March 1, 2024)</w:t>
            </w:r>
          </w:p>
        </w:tc>
        <w:tc>
          <w:tcPr>
            <w:tcW w:w="263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Trading plan intended to satisfy the affirmative defense conditions of Securities Exchange Act Rule 10b5-1(c)</w:t>
            </w:r>
          </w:p>
        </w:tc>
        <w:tc>
          <w:tcPr>
            <w:tcW w:w="21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Sale of the Company’s common stock pursuant to the terms of the trading plan</w:t>
            </w:r>
          </w:p>
        </w:tc>
        <w:tc>
          <w:tcPr>
            <w:tcW w:w="15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 xml:space="preserve">March 1, 2024 – </w:t>
            </w:r>
            <w:r>
              <w:rPr>
                <w:rFonts w:ascii="Times New Roman;Times;serif" w:hAnsi="Times New Roman;Times;serif"/>
                <w:b w:val="false"/>
                <w:i w:val="false"/>
                <w:caps w:val="false"/>
                <w:smallCaps w:val="false"/>
                <w:sz w:val="20"/>
              </w:rPr>
              <w:t>September 1, 2025</w:t>
            </w:r>
          </w:p>
        </w:tc>
        <w:tc>
          <w:tcPr>
            <w:tcW w:w="136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69,080 </w:t>
            </w:r>
          </w:p>
        </w:tc>
      </w:tr>
      <w:tr>
        <w:trPr/>
        <w:tc>
          <w:tcPr>
            <w:tcW w:w="145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Debra Durso-Bumpus</w:t>
            </w:r>
          </w:p>
          <w:p>
            <w:pPr>
              <w:pStyle w:val="TableContents"/>
              <w:bidi w:val="0"/>
              <w:spacing w:lineRule="auto" w:line="285" w:before="60" w:after="60"/>
              <w:ind w:left="0" w:right="0" w:hanging="0"/>
              <w:jc w:val="center"/>
              <w:rPr>
                <w:rFonts w:ascii="Times New Roman;Times;serif" w:hAnsi="Times New Roman;Times;serif"/>
                <w:i/>
                <w:sz w:val="20"/>
              </w:rPr>
            </w:pPr>
            <w:r>
              <w:rPr>
                <w:rFonts w:ascii="Times New Roman;Times;serif" w:hAnsi="Times New Roman;Times;serif"/>
                <w:i/>
                <w:sz w:val="20"/>
              </w:rPr>
              <w:t>(Chief People Officer)</w:t>
            </w:r>
          </w:p>
        </w:tc>
        <w:tc>
          <w:tcPr>
            <w:tcW w:w="10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Adoption</w:t>
            </w:r>
          </w:p>
          <w:p>
            <w:pPr>
              <w:pStyle w:val="TableContents"/>
              <w:bidi w:val="0"/>
              <w:spacing w:lineRule="auto" w:line="285" w:before="60" w:after="60"/>
              <w:ind w:left="0" w:right="0" w:hanging="0"/>
              <w:jc w:val="center"/>
              <w:rPr>
                <w:rFonts w:ascii="Times New Roman;Times;serif" w:hAnsi="Times New Roman;Times;serif"/>
                <w:i/>
                <w:sz w:val="20"/>
              </w:rPr>
            </w:pPr>
            <w:r>
              <w:rPr>
                <w:rFonts w:ascii="Times New Roman;Times;serif" w:hAnsi="Times New Roman;Times;serif"/>
                <w:i/>
                <w:sz w:val="20"/>
              </w:rPr>
              <w:t>(March 13, 2024)</w:t>
            </w:r>
          </w:p>
          <w:p>
            <w:pPr>
              <w:pStyle w:val="TableContents"/>
              <w:bidi w:val="0"/>
              <w:spacing w:lineRule="auto" w:line="285" w:before="60" w:after="60"/>
              <w:ind w:left="0" w:right="0" w:hanging="0"/>
              <w:jc w:val="center"/>
              <w:rPr/>
            </w:pPr>
            <w:r>
              <w:rPr/>
              <w:t> </w:t>
            </w:r>
          </w:p>
        </w:tc>
        <w:tc>
          <w:tcPr>
            <w:tcW w:w="263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Trading plan intended to satisfy the affirmative defense conditions of Securities Exchange Act Rule 10b5-1(c)</w:t>
            </w:r>
          </w:p>
        </w:tc>
        <w:tc>
          <w:tcPr>
            <w:tcW w:w="21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Sale of the Company’s common stock pursuant to the terms of the trading plan</w:t>
            </w:r>
          </w:p>
        </w:tc>
        <w:tc>
          <w:tcPr>
            <w:tcW w:w="156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March 13, 2024 –</w:t>
            </w:r>
          </w:p>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June 20, 2025 </w:t>
            </w:r>
          </w:p>
        </w:tc>
        <w:tc>
          <w:tcPr>
            <w:tcW w:w="136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60" w:after="60"/>
              <w:ind w:left="0" w:right="0" w:hanging="0"/>
              <w:jc w:val="center"/>
              <w:rPr>
                <w:rFonts w:ascii="Times New Roman;Times;serif" w:hAnsi="Times New Roman;Times;serif"/>
                <w:sz w:val="20"/>
              </w:rPr>
            </w:pPr>
            <w:r>
              <w:rPr>
                <w:rFonts w:ascii="Times New Roman;Times;serif" w:hAnsi="Times New Roman;Times;serif"/>
                <w:sz w:val="20"/>
              </w:rPr>
              <w:t>87,034 </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1006" w:name="Item6Exhibits_734890"/>
      <w:bookmarkStart w:id="1007" w:name="_0716a8df_329c_4c65_8847_ba0de6cbe4b9"/>
      <w:bookmarkEnd w:id="1006"/>
      <w:bookmarkEnd w:id="1007"/>
      <w:r>
        <w:rPr>
          <w:rFonts w:ascii="Times New Roman;Times;serif" w:hAnsi="Times New Roman;Times;serif"/>
          <w:b/>
          <w:sz w:val="20"/>
        </w:rPr>
        <w:t>Item 6. Exhibits</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EXHIBIT INDEX</w:t>
      </w:r>
    </w:p>
    <w:tbl>
      <w:tblPr>
        <w:tblW w:w="10205" w:type="dxa"/>
        <w:jc w:val="left"/>
        <w:tblInd w:w="0" w:type="dxa"/>
        <w:tblLayout w:type="fixed"/>
        <w:tblCellMar>
          <w:top w:w="0" w:type="dxa"/>
          <w:left w:w="0" w:type="dxa"/>
          <w:bottom w:w="0" w:type="dxa"/>
          <w:right w:w="0" w:type="dxa"/>
        </w:tblCellMar>
      </w:tblPr>
      <w:tblGrid>
        <w:gridCol w:w="887"/>
        <w:gridCol w:w="326"/>
        <w:gridCol w:w="8992"/>
      </w:tblGrid>
      <w:tr>
        <w:trPr/>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563245" cy="29210"/>
                      <wp:effectExtent l="0" t="0" r="0" b="0"/>
                      <wp:wrapNone/>
                      <wp:docPr id="450" name="Frame450"/>
                      <a:graphic xmlns:a="http://schemas.openxmlformats.org/drawingml/2006/main">
                        <a:graphicData uri="http://schemas.microsoft.com/office/word/2010/wordprocessingShape">
                          <wps:wsp>
                            <wps:cNvSpPr txBox="1"/>
                            <wps:spPr>
                              <a:xfrm>
                                <a:off x="0" y="0"/>
                                <a:ext cx="5632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29210"/>
                      <wp:effectExtent l="0" t="0" r="0" b="0"/>
                      <wp:wrapNone/>
                      <wp:docPr id="451" name="Frame451"/>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9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709920" cy="29210"/>
                      <wp:effectExtent l="0" t="0" r="0" b="0"/>
                      <wp:wrapNone/>
                      <wp:docPr id="452" name="Frame452"/>
                      <a:graphic xmlns:a="http://schemas.openxmlformats.org/drawingml/2006/main">
                        <a:graphicData uri="http://schemas.microsoft.com/office/word/2010/wordprocessingShape">
                          <wps:wsp>
                            <wps:cNvSpPr txBox="1"/>
                            <wps:spPr>
                              <a:xfrm>
                                <a:off x="0" y="0"/>
                                <a:ext cx="57099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87" w:type="dxa"/>
            <w:tcBorders>
              <w:bottom w:val="single" w:sz="2" w:space="0" w:color="000000"/>
            </w:tcBorders>
            <w:tcMar>
              <w:bottom w:w="28" w:type="dxa"/>
            </w:tcMar>
            <w:vAlign w:val="center"/>
          </w:tcPr>
          <w:p>
            <w:pPr>
              <w:pStyle w:val="TableContents"/>
              <w:pBdr/>
              <w:bidi w:val="0"/>
              <w:spacing w:lineRule="auto" w:line="304" w:before="0" w:after="0"/>
              <w:ind w:left="0" w:right="0" w:hanging="144"/>
              <w:jc w:val="center"/>
              <w:rPr>
                <w:rFonts w:ascii="Times New Roman;Times;serif" w:hAnsi="Times New Roman;Times;serif"/>
                <w:b/>
                <w:sz w:val="20"/>
              </w:rPr>
            </w:pPr>
            <w:r>
              <w:rPr>
                <w:rFonts w:ascii="Times New Roman;Times;serif" w:hAnsi="Times New Roman;Times;serif"/>
                <w:b/>
                <w:sz w:val="20"/>
              </w:rPr>
              <w:t>Exhibit</w:t>
            </w:r>
          </w:p>
          <w:p>
            <w:pPr>
              <w:pStyle w:val="TableContents"/>
              <w:pBdr/>
              <w:bidi w:val="0"/>
              <w:spacing w:lineRule="auto" w:line="304"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26"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pPr>
            <w:r>
              <w:rPr/>
              <w:t>    </w:t>
            </w:r>
          </w:p>
        </w:tc>
        <w:tc>
          <w:tcPr>
            <w:tcW w:w="8992" w:type="dxa"/>
            <w:tcBorders>
              <w:bottom w:val="single" w:sz="2" w:space="0" w:color="000000"/>
            </w:tcBorders>
            <w:tcMar>
              <w:bottom w:w="28" w:type="dxa"/>
            </w:tcMar>
            <w:vAlign w:val="center"/>
          </w:tcPr>
          <w:p>
            <w:pPr>
              <w:pStyle w:val="TableContents"/>
              <w:bidi w:val="0"/>
              <w:spacing w:lineRule="auto" w:line="304" w:before="0" w:after="120"/>
              <w:ind w:left="0" w:right="0" w:hanging="0"/>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887" w:type="dxa"/>
            <w:tcBorders>
              <w:bottom w:val="single" w:sz="2" w:space="0" w:color="000000"/>
            </w:tcBorders>
            <w:tcMar>
              <w:bottom w:w="28"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lineRule="auto" w:line="285" w:before="0" w:after="0"/>
              <w:ind w:left="0" w:right="0" w:hanging="0"/>
              <w:jc w:val="left"/>
              <w:rPr/>
            </w:pPr>
            <w:r>
              <w:rPr/>
              <w:t>​</w:t>
            </w:r>
          </w:p>
        </w:tc>
        <w:tc>
          <w:tcPr>
            <w:tcW w:w="8992" w:type="dxa"/>
            <w:tcBorders>
              <w:bottom w:val="single" w:sz="2" w:space="0" w:color="000000"/>
            </w:tcBorders>
            <w:tcMar>
              <w:bottom w:w="28" w:type="dxa"/>
            </w:tcMar>
            <w:vAlign w:val="center"/>
          </w:tcPr>
          <w:p>
            <w:pPr>
              <w:pStyle w:val="TableContents"/>
              <w:bidi w:val="0"/>
              <w:spacing w:lineRule="auto" w:line="304" w:before="0" w:after="100"/>
              <w:ind w:left="0" w:right="0" w:hanging="0"/>
              <w:jc w:val="left"/>
              <w:rPr/>
            </w:pPr>
            <w:hyperlink r:id="rId2">
              <w:r>
                <w:rPr>
                  <w:rStyle w:val="InternetLink"/>
                  <w:rFonts w:ascii="Times New Roman;Times;serif" w:hAnsi="Times New Roman;Times;serif"/>
                  <w:b w:val="false"/>
                  <w:i w:val="false"/>
                  <w:caps w:val="false"/>
                  <w:smallCaps w:val="false"/>
                  <w:sz w:val="20"/>
                </w:rPr>
                <w:t>Fifth Amended and Restated Certificate of Incorporation of the Registrant (incorporated by reference to Exhibit 3.1 to the Quarterly Report on Form 10-Q, filed by the Registrant on November 9, 2015)</w:t>
              </w:r>
            </w:hyperlink>
          </w:p>
        </w:tc>
      </w:tr>
      <w:tr>
        <w:trPr/>
        <w:tc>
          <w:tcPr>
            <w:tcW w:w="887" w:type="dxa"/>
            <w:tcBorders>
              <w:bottom w:val="single" w:sz="2" w:space="0" w:color="000000"/>
            </w:tcBorders>
            <w:tcMar>
              <w:bottom w:w="28"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lineRule="auto" w:line="285" w:before="0" w:after="0"/>
              <w:ind w:left="0" w:right="0" w:hanging="0"/>
              <w:jc w:val="left"/>
              <w:rPr/>
            </w:pPr>
            <w:r>
              <w:rPr/>
              <w:t>​</w:t>
            </w:r>
          </w:p>
        </w:tc>
        <w:tc>
          <w:tcPr>
            <w:tcW w:w="8992" w:type="dxa"/>
            <w:tcBorders>
              <w:bottom w:val="single" w:sz="2" w:space="0" w:color="000000"/>
            </w:tcBorders>
            <w:tcMar>
              <w:bottom w:w="28" w:type="dxa"/>
            </w:tcMar>
            <w:vAlign w:val="center"/>
          </w:tcPr>
          <w:p>
            <w:pPr>
              <w:pStyle w:val="TableContents"/>
              <w:bidi w:val="0"/>
              <w:spacing w:lineRule="auto" w:line="304" w:before="0" w:after="10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 as amended on November 30, 2022, of the Registrant (incorporated by reference to Exhibit 3.1 to the Current Report on Form 8-K, filed by the Registrant on December 6, 2022).</w:t>
              </w:r>
            </w:hyperlink>
          </w:p>
        </w:tc>
      </w:tr>
      <w:tr>
        <w:trPr/>
        <w:tc>
          <w:tcPr>
            <w:tcW w:w="887" w:type="dxa"/>
            <w:tcBorders>
              <w:bottom w:val="single" w:sz="2" w:space="0" w:color="000000"/>
            </w:tcBorders>
            <w:tcMar>
              <w:bottom w:w="28" w:type="dxa"/>
            </w:tcMar>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92" w:type="dxa"/>
            <w:tcBorders>
              <w:bottom w:val="single" w:sz="2" w:space="0" w:color="000000"/>
            </w:tcBorders>
            <w:tcMar>
              <w:bottom w:w="28" w:type="dxa"/>
            </w:tcMar>
            <w:vAlign w:val="center"/>
          </w:tcPr>
          <w:p>
            <w:pPr>
              <w:pStyle w:val="TableContents"/>
              <w:bidi w:val="0"/>
              <w:spacing w:lineRule="auto" w:line="304" w:before="0" w:after="100"/>
              <w:ind w:left="0" w:right="0" w:hanging="0"/>
              <w:jc w:val="left"/>
              <w:rPr/>
            </w:pPr>
            <w:hyperlink w:anchor="bpmc-20240331xex10d1.htm">
              <w:r>
                <w:rPr>
                  <w:rStyle w:val="InternetLink"/>
                  <w:rFonts w:ascii="Times New Roman;Times;serif" w:hAnsi="Times New Roman;Times;serif"/>
                  <w:b w:val="false"/>
                  <w:i w:val="false"/>
                  <w:caps w:val="false"/>
                  <w:smallCaps w:val="false"/>
                  <w:sz w:val="20"/>
                </w:rPr>
                <w:t>Consent and Termination Agreement, dated February 22, 2024, by and between the Registrant and Royalty Pharma Investments 2019 ICAV</w:t>
              </w:r>
            </w:hyperlink>
          </w:p>
        </w:tc>
      </w:tr>
      <w:tr>
        <w:trPr/>
        <w:tc>
          <w:tcPr>
            <w:tcW w:w="887" w:type="dxa"/>
            <w:tcBorders/>
            <w:vAlign w:val="center"/>
          </w:tcPr>
          <w:p>
            <w:pPr>
              <w:pStyle w:val="TableContents"/>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pBdr/>
              <w:bidi w:val="0"/>
              <w:spacing w:lineRule="auto" w:line="285" w:before="0" w:after="0"/>
              <w:ind w:left="0" w:right="0" w:hanging="0"/>
              <w:jc w:val="left"/>
              <w:rPr/>
            </w:pPr>
            <w:r>
              <w:rPr/>
              <w:t>​</w:t>
            </w:r>
          </w:p>
        </w:tc>
        <w:tc>
          <w:tcPr>
            <w:tcW w:w="8992" w:type="dxa"/>
            <w:tcBorders/>
            <w:vAlign w:val="center"/>
          </w:tcPr>
          <w:p>
            <w:pPr>
              <w:pStyle w:val="TableContents"/>
              <w:bidi w:val="0"/>
              <w:spacing w:lineRule="auto" w:line="285" w:before="0" w:after="100"/>
              <w:ind w:left="0" w:right="0" w:hanging="0"/>
              <w:jc w:val="left"/>
              <w:rPr/>
            </w:pPr>
            <w:hyperlink w:anchor="bpmc-20240331xex31d1.htm">
              <w:r>
                <w:rPr>
                  <w:rStyle w:val="InternetLink"/>
                  <w:rFonts w:ascii="Times New Roman;Times;serif" w:hAnsi="Times New Roman;Times;serif"/>
                  <w:b w:val="false"/>
                  <w:i w:val="false"/>
                  <w:caps w:val="false"/>
                  <w:smallCaps w:val="false"/>
                  <w:sz w:val="20"/>
                </w:rPr>
                <w:t>Certification of Principal Executive Officer pursuant to Rule 13a-14(a) or Rule 15d-14(a) of the Exchange Act, as adopted pursuant to Section 302 of the Sarbanes-Oxley Act of 2002</w:t>
              </w:r>
            </w:hyperlink>
          </w:p>
        </w:tc>
      </w:tr>
      <w:tr>
        <w:trPr/>
        <w:tc>
          <w:tcPr>
            <w:tcW w:w="887" w:type="dxa"/>
            <w:tcBorders/>
            <w:vAlign w:val="center"/>
          </w:tcPr>
          <w:p>
            <w:pPr>
              <w:pStyle w:val="TableContents"/>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pBdr/>
              <w:bidi w:val="0"/>
              <w:spacing w:lineRule="auto" w:line="285" w:before="0" w:after="0"/>
              <w:ind w:left="0" w:right="0" w:hanging="0"/>
              <w:jc w:val="left"/>
              <w:rPr/>
            </w:pPr>
            <w:r>
              <w:rPr/>
              <w:t>​</w:t>
            </w:r>
          </w:p>
        </w:tc>
        <w:tc>
          <w:tcPr>
            <w:tcW w:w="8992" w:type="dxa"/>
            <w:tcBorders/>
            <w:vAlign w:val="center"/>
          </w:tcPr>
          <w:p>
            <w:pPr>
              <w:pStyle w:val="TableContents"/>
              <w:bidi w:val="0"/>
              <w:spacing w:lineRule="auto" w:line="285" w:before="0" w:after="100"/>
              <w:ind w:left="0" w:right="0" w:hanging="0"/>
              <w:jc w:val="left"/>
              <w:rPr/>
            </w:pPr>
            <w:hyperlink w:anchor="bpmc-20240331xex31d2.htm">
              <w:r>
                <w:rPr>
                  <w:rStyle w:val="InternetLink"/>
                  <w:rFonts w:ascii="Times New Roman;Times;serif" w:hAnsi="Times New Roman;Times;serif"/>
                  <w:b w:val="false"/>
                  <w:i w:val="false"/>
                  <w:caps w:val="false"/>
                  <w:smallCaps w:val="false"/>
                  <w:sz w:val="20"/>
                </w:rPr>
                <w:t>Certification of Principal Financial Officer pursuant to Rule 13a-14(a) or Rule 15d-14(a) of the Exchange Act, as adopted pursuant to Section 302 of the Sarbanes-Oxley Act of 2002</w:t>
              </w:r>
            </w:hyperlink>
          </w:p>
        </w:tc>
      </w:tr>
      <w:tr>
        <w:trPr/>
        <w:tc>
          <w:tcPr>
            <w:tcW w:w="887"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pBdr/>
              <w:bidi w:val="0"/>
              <w:spacing w:lineRule="auto" w:line="285" w:before="0" w:after="0"/>
              <w:ind w:left="0" w:right="0" w:hanging="0"/>
              <w:jc w:val="left"/>
              <w:rPr/>
            </w:pPr>
            <w:r>
              <w:rPr/>
              <w:t>​</w:t>
            </w:r>
          </w:p>
        </w:tc>
        <w:tc>
          <w:tcPr>
            <w:tcW w:w="8992" w:type="dxa"/>
            <w:tcBorders/>
            <w:vAlign w:val="center"/>
          </w:tcPr>
          <w:p>
            <w:pPr>
              <w:pStyle w:val="TableContents"/>
              <w:bidi w:val="0"/>
              <w:spacing w:lineRule="auto" w:line="304" w:before="0" w:after="100"/>
              <w:ind w:left="0" w:right="0" w:hanging="0"/>
              <w:jc w:val="left"/>
              <w:rPr/>
            </w:pPr>
            <w:hyperlink w:anchor="bpmc-20240331xex32d1.htm">
              <w:r>
                <w:rPr>
                  <w:rStyle w:val="InternetLink"/>
                  <w:rFonts w:ascii="Times New Roman;Times;serif" w:hAnsi="Times New Roman;Times;serif"/>
                  <w:b w:val="false"/>
                  <w:i w:val="false"/>
                  <w:caps w:val="false"/>
                  <w:smallCaps w:val="false"/>
                  <w:sz w:val="20"/>
                </w:rPr>
                <w:t>Certifications of Principal Executive Officer and Principal Financial Officer pursuant to 18 U.S.C. Section 1350, as adopted pursuant to Section 906 of the Sarbanes-Oxley Act of 2002</w:t>
              </w:r>
            </w:hyperlink>
          </w:p>
        </w:tc>
      </w:tr>
      <w:tr>
        <w:trPr/>
        <w:tc>
          <w:tcPr>
            <w:tcW w:w="887"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pBdr/>
              <w:bidi w:val="0"/>
              <w:spacing w:lineRule="auto" w:line="285" w:before="0" w:after="0"/>
              <w:ind w:left="0" w:right="0" w:hanging="0"/>
              <w:jc w:val="left"/>
              <w:rPr/>
            </w:pPr>
            <w:r>
              <w:rPr/>
              <w:t>​</w:t>
            </w:r>
          </w:p>
        </w:tc>
        <w:tc>
          <w:tcPr>
            <w:tcW w:w="8992" w:type="dxa"/>
            <w:tcBorders/>
            <w:vAlign w:val="center"/>
          </w:tcPr>
          <w:p>
            <w:pPr>
              <w:pStyle w:val="TableContents"/>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87"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pBdr/>
              <w:bidi w:val="0"/>
              <w:spacing w:lineRule="auto" w:line="285" w:before="0" w:after="0"/>
              <w:ind w:left="0" w:right="0" w:hanging="0"/>
              <w:jc w:val="left"/>
              <w:rPr/>
            </w:pPr>
            <w:r>
              <w:rPr/>
              <w:t>​</w:t>
            </w:r>
          </w:p>
        </w:tc>
        <w:tc>
          <w:tcPr>
            <w:tcW w:w="8992"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87"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pBdr/>
              <w:bidi w:val="0"/>
              <w:spacing w:lineRule="auto" w:line="285" w:before="0" w:after="0"/>
              <w:ind w:left="0" w:right="0" w:hanging="0"/>
              <w:jc w:val="left"/>
              <w:rPr/>
            </w:pPr>
            <w:r>
              <w:rPr/>
              <w:t>​</w:t>
            </w:r>
          </w:p>
        </w:tc>
        <w:tc>
          <w:tcPr>
            <w:tcW w:w="8992"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87" w:type="dxa"/>
            <w:tcBorders/>
            <w:vAlign w:val="center"/>
          </w:tcPr>
          <w:p>
            <w:pPr>
              <w:pStyle w:val="TableContents"/>
              <w:pBdr/>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lineRule="auto" w:line="285" w:before="0" w:after="0"/>
              <w:ind w:left="0" w:right="0" w:hanging="0"/>
              <w:jc w:val="left"/>
              <w:rPr/>
            </w:pPr>
            <w:r>
              <w:rPr/>
              <w:t>​</w:t>
            </w:r>
          </w:p>
        </w:tc>
        <w:tc>
          <w:tcPr>
            <w:tcW w:w="8992"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87" w:type="dxa"/>
            <w:tcBorders/>
            <w:vAlign w:val="center"/>
          </w:tcPr>
          <w:p>
            <w:pPr>
              <w:pStyle w:val="TableContents"/>
              <w:pBdr/>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lineRule="auto" w:line="285" w:before="0" w:after="0"/>
              <w:ind w:left="0" w:right="0" w:hanging="0"/>
              <w:jc w:val="left"/>
              <w:rPr/>
            </w:pPr>
            <w:r>
              <w:rPr/>
              <w:t>​</w:t>
            </w:r>
          </w:p>
        </w:tc>
        <w:tc>
          <w:tcPr>
            <w:tcW w:w="8992"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87" w:type="dxa"/>
            <w:tcBorders/>
            <w:vAlign w:val="center"/>
          </w:tcPr>
          <w:p>
            <w:pPr>
              <w:pStyle w:val="TableContents"/>
              <w:pBdr/>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lineRule="auto" w:line="285" w:before="0" w:after="0"/>
              <w:ind w:left="0" w:right="0" w:hanging="0"/>
              <w:jc w:val="left"/>
              <w:rPr/>
            </w:pPr>
            <w:r>
              <w:rPr/>
              <w:t>​</w:t>
            </w:r>
          </w:p>
        </w:tc>
        <w:tc>
          <w:tcPr>
            <w:tcW w:w="8992" w:type="dxa"/>
            <w:tcBorders/>
            <w:vAlign w:val="center"/>
          </w:tcPr>
          <w:p>
            <w:pPr>
              <w:pStyle w:val="TableContents"/>
              <w:bidi w:val="0"/>
              <w:spacing w:lineRule="auto" w:line="304" w:before="0" w:after="10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87"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lineRule="auto" w:line="285" w:before="0" w:after="0"/>
              <w:ind w:left="0" w:right="0" w:hanging="0"/>
              <w:jc w:val="left"/>
              <w:rPr/>
            </w:pPr>
            <w:r>
              <w:rPr/>
              <w:t>​</w:t>
            </w:r>
          </w:p>
        </w:tc>
        <w:tc>
          <w:tcPr>
            <w:tcW w:w="899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 The cover page interactive data file does not appear in the Interactive Data File because its XBRL tags are embedded within the Inline XBRL document</w:t>
            </w:r>
          </w:p>
        </w:tc>
      </w:tr>
      <w:tr>
        <w:trPr/>
        <w:tc>
          <w:tcPr>
            <w:tcW w:w="887" w:type="dxa"/>
            <w:tcBorders/>
            <w:vAlign w:val="center"/>
          </w:tcPr>
          <w:p>
            <w:pPr>
              <w:pStyle w:val="TableContents"/>
              <w:pBdr/>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8992"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tbl>
      <w:tblPr>
        <w:tblW w:w="10205" w:type="dxa"/>
        <w:jc w:val="left"/>
        <w:tblInd w:w="0" w:type="dxa"/>
        <w:shd w:fill="FFFFFF" w:val="clear"/>
        <w:tblLayout w:type="fixed"/>
        <w:tblCellMar>
          <w:top w:w="0" w:type="dxa"/>
          <w:left w:w="0" w:type="dxa"/>
          <w:bottom w:w="0" w:type="dxa"/>
          <w:right w:w="0" w:type="dxa"/>
        </w:tblCellMar>
      </w:tblPr>
      <w:tblGrid>
        <w:gridCol w:w="241"/>
        <w:gridCol w:w="9964"/>
      </w:tblGrid>
      <w:tr>
        <w:trPr/>
        <w:tc>
          <w:tcPr>
            <w:tcW w:w="24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9964"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24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4" w:type="dxa"/>
            <w:tcBorders/>
            <w:shd w:fill="FFFFFF" w:val="clear"/>
            <w:vAlign w:val="center"/>
          </w:tcPr>
          <w:p>
            <w:pPr>
              <w:pStyle w:val="TableContents"/>
              <w:bidi w:val="0"/>
              <w:spacing w:lineRule="auto" w:line="285" w:before="0" w:after="12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24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4" w:type="dxa"/>
            <w:tcBorders/>
            <w:shd w:fill="FFFFFF" w:val="clear"/>
            <w:vAlign w:val="center"/>
          </w:tcPr>
          <w:p>
            <w:pPr>
              <w:pStyle w:val="TableContents"/>
              <w:bidi w:val="0"/>
              <w:spacing w:lineRule="auto" w:line="285" w:before="0" w:after="12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Indicates management contract or compensatory plan or arrangement.</w:t>
            </w:r>
          </w:p>
        </w:tc>
      </w:tr>
      <w:tr>
        <w:trPr/>
        <w:tc>
          <w:tcPr>
            <w:tcW w:w="241" w:type="dxa"/>
            <w:tcBorders/>
            <w:shd w:fill="FFFFFF" w:val="clear"/>
            <w:vAlign w:val="center"/>
          </w:tcPr>
          <w:p>
            <w:pPr>
              <w:pStyle w:val="TableContents"/>
              <w:bidi w:val="0"/>
              <w:spacing w:lineRule="auto" w:line="304" w:before="0" w:after="0"/>
              <w:ind w:left="0" w:right="0" w:hanging="0"/>
              <w:jc w:val="left"/>
              <w:rPr>
                <w:shd w:fill="FFFFFF" w:val="clear"/>
              </w:rPr>
            </w:pPr>
            <w:r>
              <w:rPr>
                <w:shd w:fill="FFFFFF" w:val="clear"/>
              </w:rPr>
              <w:t>†</w:t>
            </w:r>
          </w:p>
        </w:tc>
        <w:tc>
          <w:tcPr>
            <w:tcW w:w="9964" w:type="dxa"/>
            <w:tcBorders/>
            <w:shd w:fill="FFFFFF" w:val="clear"/>
            <w:vAlign w:val="center"/>
          </w:tcPr>
          <w:p>
            <w:pPr>
              <w:pStyle w:val="TableContents"/>
              <w:bidi w:val="0"/>
              <w:spacing w:lineRule="auto" w:line="285" w:before="0" w:after="12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Certain portions of the exhibit have been omitted pursuant to Regulation S-K Item 601(b) because it is both (i) not material to investors and (ii) information that the Company treats as confidential and/or may cause competitive harm to the Company if publicly disclosed. </w:t>
            </w:r>
          </w:p>
        </w:tc>
      </w:tr>
      <w:tr>
        <w:trPr/>
        <w:tc>
          <w:tcPr>
            <w:tcW w:w="241" w:type="dxa"/>
            <w:tcBorders/>
            <w:shd w:fill="FFFF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4" w:type="dxa"/>
            <w:tcBorders/>
            <w:shd w:fill="FFFFFF" w:val="clear"/>
            <w:vAlign w:val="center"/>
          </w:tcPr>
          <w:p>
            <w:pPr>
              <w:pStyle w:val="TableContents"/>
              <w:bidi w:val="0"/>
              <w:spacing w:lineRule="auto" w:line="285" w:before="0" w:after="120"/>
              <w:ind w:left="0" w:right="0" w:hanging="0"/>
              <w:jc w:val="left"/>
              <w:rPr>
                <w:rFonts w:ascii="Times New Roman;Times;serif" w:hAnsi="Times New Roman;Times;serif"/>
                <w:sz w:val="20"/>
              </w:rPr>
            </w:pPr>
            <w:r>
              <w:rPr>
                <w:rFonts w:ascii="Times New Roman;Times;serif" w:hAnsi="Times New Roman;Times;serif"/>
                <w:sz w:val="20"/>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of 1933, as amended, or the Exchange Act, except to the extent that the Registrant specifically incorporates it by reference.</w:t>
            </w:r>
          </w:p>
          <w:p>
            <w:pPr>
              <w:pStyle w:val="TableContents"/>
              <w:bidi w:val="0"/>
              <w:spacing w:lineRule="auto" w:line="285" w:before="0" w:after="0"/>
              <w:ind w:left="0" w:right="0" w:hanging="0"/>
              <w:jc w:val="left"/>
              <w:rPr/>
            </w:pPr>
            <w:r>
              <w:rPr/>
              <w:t>​</w:t>
            </w:r>
          </w:p>
        </w:tc>
      </w:tr>
    </w:tbl>
    <w:p>
      <w:pPr>
        <w:pStyle w:val="TextBody"/>
        <w:pBdr/>
        <w:shd w:fill="FFFFFF" w:val="clear"/>
        <w:bidi w:val="0"/>
        <w:spacing w:lineRule="auto" w:line="285" w:before="0" w:after="0"/>
        <w:ind w:left="0" w:right="0" w:hanging="0"/>
        <w:jc w:val="left"/>
        <w:rPr>
          <w:shd w:fill="FFFF00" w:val="clear"/>
        </w:rPr>
      </w:pPr>
      <w:r>
        <w:rPr>
          <w:shd w:fill="FFFF00" w:val="clear"/>
        </w:rPr>
        <w:t>​</w:t>
      </w:r>
    </w:p>
    <w:p>
      <w:pPr>
        <w:pStyle w:val="TextBody"/>
        <w:pBdr/>
        <w:shd w:fill="FFFFFF" w:val="clear"/>
        <w:bidi w:val="0"/>
        <w:spacing w:lineRule="auto" w:line="285" w:before="0" w:after="0"/>
        <w:ind w:left="0" w:right="0" w:hanging="0"/>
        <w:jc w:val="left"/>
        <w:rPr>
          <w:shd w:fill="FFFF00" w:val="clear"/>
        </w:rPr>
      </w:pPr>
      <w:r>
        <w:rPr>
          <w:shd w:fill="FFFF00" w:val="clear"/>
        </w:rPr>
        <w:t>​</w:t>
      </w:r>
    </w:p>
    <w:p>
      <w:pPr>
        <w:pStyle w:val="TextBody"/>
        <w:shd w:fill="FFFFFF" w:val="clear"/>
        <w:bidi w:val="0"/>
        <w:spacing w:lineRule="auto" w:line="285" w:before="0" w:after="0"/>
        <w:ind w:left="0" w:right="0" w:hanging="0"/>
        <w:jc w:val="center"/>
        <w:rPr>
          <w:rFonts w:ascii="Times New Roman;Times;serif" w:hAnsi="Times New Roman;Times;serif"/>
          <w:b/>
          <w:sz w:val="20"/>
        </w:rPr>
      </w:pPr>
      <w:bookmarkStart w:id="1008" w:name="SIGNATURES_862342"/>
      <w:bookmarkStart w:id="1009" w:name="_b025d31f_86ad_4eb5_890d_6c6550c1ece7"/>
      <w:bookmarkEnd w:id="1008"/>
      <w:bookmarkEnd w:id="1009"/>
      <w:r>
        <w:rPr>
          <w:rFonts w:ascii="Times New Roman;Times;serif" w:hAnsi="Times New Roman;Times;serif"/>
          <w:b/>
          <w:sz w:val="20"/>
        </w:rPr>
        <w:t>SIGNATURES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6355" w:type="dxa"/>
        <w:jc w:val="left"/>
        <w:tblInd w:w="0" w:type="dxa"/>
        <w:tblLayout w:type="fixed"/>
        <w:tblCellMar>
          <w:top w:w="0" w:type="dxa"/>
          <w:left w:w="0" w:type="dxa"/>
          <w:bottom w:w="0" w:type="dxa"/>
          <w:right w:w="0" w:type="dxa"/>
        </w:tblCellMar>
      </w:tblPr>
      <w:tblGrid>
        <w:gridCol w:w="1636"/>
        <w:gridCol w:w="146"/>
        <w:gridCol w:w="406"/>
        <w:gridCol w:w="146"/>
        <w:gridCol w:w="4021"/>
      </w:tblGrid>
      <w:tr>
        <w:trPr/>
        <w:tc>
          <w:tcPr>
            <w:tcW w:w="163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92710" cy="175260"/>
                      <wp:effectExtent l="0" t="0" r="0" b="0"/>
                      <wp:wrapNone/>
                      <wp:docPr id="453" name="Frame45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92710" cy="175260"/>
                      <wp:effectExtent l="0" t="0" r="0" b="0"/>
                      <wp:wrapNone/>
                      <wp:docPr id="454" name="Frame45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21" w:type="dxa"/>
            <w:tcBorders/>
            <w:vAlign w:val="center"/>
          </w:tcPr>
          <w:p>
            <w:pPr>
              <w:pStyle w:val="TableContents"/>
              <w:bidi w:val="0"/>
              <w:spacing w:lineRule="auto" w:line="285" w:before="0" w:after="0"/>
              <w:ind w:left="0" w:right="0" w:hanging="0"/>
              <w:jc w:val="left"/>
              <w:rPr/>
            </w:pPr>
            <w:r>
              <w:rPr/>
              <w:t>​</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4021" w:type="dxa"/>
            <w:tcBorders/>
            <w:vAlign w:val="center"/>
          </w:tcPr>
          <w:p>
            <w:pPr>
              <w:pStyle w:val="TableContents"/>
              <w:bidi w:val="0"/>
              <w:spacing w:lineRule="auto" w:line="285" w:before="0" w:after="0"/>
              <w:ind w:left="0" w:right="0" w:hanging="0"/>
              <w:jc w:val="left"/>
              <w:rPr/>
            </w:pPr>
            <w:r>
              <w:rPr/>
              <w:t>​</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573" w:type="dxa"/>
            <w:gridSpan w:val="3"/>
            <w:tcBorders/>
            <w:vAlign w:val="center"/>
          </w:tcPr>
          <w:p>
            <w:pPr>
              <w:pStyle w:val="TableContents"/>
              <w:bidi w:val="0"/>
              <w:spacing w:lineRule="auto" w:line="328" w:before="0" w:after="0"/>
              <w:ind w:left="0" w:right="0" w:hanging="0"/>
              <w:jc w:val="left"/>
              <w:rPr>
                <w:rFonts w:ascii="Times New Roman;Times;serif" w:hAnsi="Times New Roman;Times;serif"/>
                <w:b/>
                <w:caps/>
                <w:sz w:val="20"/>
              </w:rPr>
            </w:pPr>
            <w:r>
              <w:rPr>
                <w:rFonts w:ascii="Times New Roman;Times;serif" w:hAnsi="Times New Roman;Times;serif"/>
                <w:b/>
                <w:caps/>
                <w:sz w:val="20"/>
              </w:rPr>
              <w:t>Blueprint Medicines Corporation</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552" w:type="dxa"/>
            <w:gridSpan w:val="2"/>
            <w:tcBorders/>
            <w:vAlign w:val="center"/>
          </w:tcPr>
          <w:p>
            <w:pPr>
              <w:pStyle w:val="TableContents"/>
              <w:bidi w:val="0"/>
              <w:spacing w:lineRule="auto" w:line="285" w:before="0" w:after="0"/>
              <w:ind w:left="0" w:right="0" w:hanging="0"/>
              <w:jc w:val="left"/>
              <w:rPr/>
            </w:pPr>
            <w:r>
              <w:rPr/>
              <w:t>​</w:t>
            </w:r>
          </w:p>
        </w:tc>
        <w:tc>
          <w:tcPr>
            <w:tcW w:w="4167" w:type="dxa"/>
            <w:gridSpan w:val="2"/>
            <w:tcBorders/>
            <w:vAlign w:val="center"/>
          </w:tcPr>
          <w:p>
            <w:pPr>
              <w:pStyle w:val="TableContents"/>
              <w:bidi w:val="0"/>
              <w:spacing w:lineRule="auto" w:line="285" w:before="0" w:after="0"/>
              <w:ind w:left="0" w:right="0" w:hanging="0"/>
              <w:jc w:val="left"/>
              <w:rPr/>
            </w:pPr>
            <w:r>
              <w:rPr/>
              <w:t>​</w:t>
            </w:r>
          </w:p>
        </w:tc>
      </w:tr>
      <w:tr>
        <w:trPr/>
        <w:tc>
          <w:tcPr>
            <w:tcW w:w="163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May 2, 2024</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pBdr>
                <w:bottom w:val="single" w:sz="2" w:space="1" w:color="000000"/>
              </w:pBdr>
              <w:bidi w:val="0"/>
              <w:spacing w:lineRule="auto" w:line="328" w:before="0" w:after="15"/>
              <w:ind w:left="0" w:right="0" w:hanging="0"/>
              <w:jc w:val="left"/>
              <w:rPr>
                <w:rFonts w:ascii="Times New Roman;Times;serif" w:hAnsi="Times New Roman;Times;serif"/>
                <w:sz w:val="20"/>
              </w:rPr>
            </w:pPr>
            <w:r>
              <w:rPr>
                <w:rFonts w:ascii="Times New Roman;Times;serif" w:hAnsi="Times New Roman;Times;serif"/>
                <w:sz w:val="20"/>
              </w:rPr>
              <w:t>/s/ Kathryn Haviland</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Kathryn Haviland</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and Director</w:t>
            </w:r>
          </w:p>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552" w:type="dxa"/>
            <w:gridSpan w:val="2"/>
            <w:tcBorders/>
            <w:vAlign w:val="center"/>
          </w:tcPr>
          <w:p>
            <w:pPr>
              <w:pStyle w:val="TableContents"/>
              <w:bidi w:val="0"/>
              <w:spacing w:lineRule="auto" w:line="285" w:before="0" w:after="0"/>
              <w:ind w:left="0" w:right="0" w:hanging="0"/>
              <w:jc w:val="left"/>
              <w:rPr/>
            </w:pPr>
            <w:r>
              <w:rPr/>
              <w:t>​</w:t>
            </w:r>
          </w:p>
        </w:tc>
        <w:tc>
          <w:tcPr>
            <w:tcW w:w="4167" w:type="dxa"/>
            <w:gridSpan w:val="2"/>
            <w:tcBorders/>
            <w:vAlign w:val="center"/>
          </w:tcPr>
          <w:p>
            <w:pPr>
              <w:pStyle w:val="TableContents"/>
              <w:bidi w:val="0"/>
              <w:spacing w:lineRule="auto" w:line="285" w:before="0" w:after="0"/>
              <w:ind w:left="0" w:right="0" w:hanging="0"/>
              <w:jc w:val="left"/>
              <w:rPr/>
            </w:pPr>
            <w:r>
              <w:rPr/>
              <w:t>​</w:t>
            </w:r>
          </w:p>
        </w:tc>
      </w:tr>
      <w:tr>
        <w:trPr/>
        <w:tc>
          <w:tcPr>
            <w:tcW w:w="163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May 2, 2024</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pBdr>
                <w:bottom w:val="single" w:sz="2" w:space="1" w:color="000000"/>
              </w:pBdr>
              <w:bidi w:val="0"/>
              <w:spacing w:lineRule="auto" w:line="328" w:before="0" w:after="15"/>
              <w:ind w:left="0" w:right="0" w:hanging="0"/>
              <w:jc w:val="left"/>
              <w:rPr>
                <w:rFonts w:ascii="Times New Roman;Times;serif" w:hAnsi="Times New Roman;Times;serif"/>
                <w:sz w:val="20"/>
              </w:rPr>
            </w:pPr>
            <w:r>
              <w:rPr>
                <w:rFonts w:ascii="Times New Roman;Times;serif" w:hAnsi="Times New Roman;Times;serif"/>
                <w:sz w:val="20"/>
              </w:rPr>
              <w:t>/s/ Michael Landsittel</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Michael Landsittel</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4021" w:type="dxa"/>
            <w:tcBorders/>
            <w:vAlign w:val="center"/>
          </w:tcPr>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Chief Financial Officer </w:t>
            </w:r>
          </w:p>
          <w:p>
            <w:pPr>
              <w:pStyle w:val="TableContents"/>
              <w:bidi w:val="0"/>
              <w:spacing w:lineRule="auto" w:line="328"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lineRule="auto" w:line="285" w:before="0" w:after="0"/>
        <w:ind w:left="0" w:right="0" w:hanging="0"/>
        <w:jc w:val="left"/>
        <w:rPr>
          <w:shd w:fill="FFFF00" w:val="clear"/>
        </w:rPr>
      </w:pPr>
      <w:r>
        <w:rPr>
          <w:shd w:fill="FFFF00" w:val="clear"/>
        </w:rPr>
        <w:t>​</w:t>
      </w:r>
    </w:p>
    <w:p>
      <w:pPr>
        <w:pStyle w:val="TextBody"/>
        <w:bidi w:val="0"/>
        <w:spacing w:lineRule="auto" w:line="285" w:before="0" w:after="0"/>
        <w:ind w:left="0" w:right="0" w:hanging="0"/>
        <w:jc w:val="center"/>
        <w:rPr>
          <w:shd w:fill="FFFF00" w:val="clear"/>
        </w:rPr>
      </w:pPr>
      <w:r>
        <w:rPr>
          <w:shd w:fill="FFFF00" w:val="clea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240"/>
        <w:ind w:left="0" w:right="0" w:hanging="0"/>
        <w:jc w:val="right"/>
        <w:rPr>
          <w:rFonts w:ascii="Times New Roman;Times;serif" w:hAnsi="Times New Roman;Times;serif"/>
          <w:b/>
          <w:sz w:val="24"/>
        </w:rPr>
      </w:pPr>
      <w:bookmarkStart w:id="1010" w:name="bpmc-20240331xex10d1.htm"/>
      <w:bookmarkStart w:id="1011" w:name="ksbpmc20240331xex10d1"/>
      <w:bookmarkEnd w:id="1010"/>
      <w:bookmarkEnd w:id="1011"/>
      <w:r>
        <w:rPr>
          <w:rFonts w:ascii="Times New Roman;Times;serif" w:hAnsi="Times New Roman;Times;serif"/>
          <w:b/>
          <w:sz w:val="24"/>
        </w:rPr>
        <w:t>Exhibit 10.1</w:t>
      </w:r>
      <w:r>
        <w:br w:type="page"/>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CERTAIN CONFIDENTIAL INFORMATION CONTAINED IN THIS DOCUMENT, MARKED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BY [***], HAS BEEN OMITTED BECAUSE IT IS BOTH (I) NOT MATERIAL AND (II)</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IS THE TYPE THAT THE REGISTRANT TREATS AS PRIVATE OR CONFIDENTIAL.</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Consent and Termination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4"/>
        </w:rPr>
        <w:t>This Consent and Termination Agreement (this “</w:t>
      </w:r>
      <w:r>
        <w:rPr>
          <w:rFonts w:ascii="Times New Roman;Times;serif" w:hAnsi="Times New Roman;Times;serif"/>
          <w:sz w:val="24"/>
          <w:u w:val="single"/>
        </w:rPr>
        <w:t>Termination Agreement</w:t>
      </w:r>
      <w:r>
        <w:rPr>
          <w:rFonts w:ascii="Times New Roman;Times;serif" w:hAnsi="Times New Roman;Times;serif"/>
          <w:sz w:val="20"/>
        </w:rPr>
        <w:t>”</w:t>
      </w:r>
      <w:r>
        <w:rPr>
          <w:rFonts w:ascii="Times New Roman;Times;serif" w:hAnsi="Times New Roman;Times;serif"/>
          <w:sz w:val="24"/>
        </w:rPr>
        <w:t>), dated February 22, 2024, is by and between Royalty Pharma Investments 2019 ICAV, an Irish collective-asset management vehicle (“</w:t>
      </w:r>
      <w:r>
        <w:rPr>
          <w:rFonts w:ascii="Times New Roman;Times;serif" w:hAnsi="Times New Roman;Times;serif"/>
          <w:sz w:val="24"/>
          <w:u w:val="single"/>
        </w:rPr>
        <w:t>Investor</w:t>
      </w:r>
      <w:r>
        <w:rPr>
          <w:rFonts w:ascii="Times New Roman;Times;serif" w:hAnsi="Times New Roman;Times;serif"/>
          <w:sz w:val="20"/>
        </w:rPr>
        <w:t>”</w:t>
      </w:r>
      <w:r>
        <w:rPr>
          <w:rFonts w:ascii="Times New Roman;Times;serif" w:hAnsi="Times New Roman;Times;serif"/>
          <w:sz w:val="24"/>
        </w:rPr>
        <w:t>), and Blueprint Medicines Corporation (“</w:t>
      </w:r>
      <w:r>
        <w:rPr>
          <w:rFonts w:ascii="Times New Roman;Times;serif" w:hAnsi="Times New Roman;Times;serif"/>
          <w:sz w:val="24"/>
          <w:u w:val="single"/>
        </w:rPr>
        <w:t>Company</w:t>
      </w:r>
      <w:r>
        <w:rPr>
          <w:rFonts w:ascii="Times New Roman;Times;serif" w:hAnsi="Times New Roman;Times;serif"/>
          <w:sz w:val="20"/>
        </w:rPr>
        <w:t>”</w:t>
      </w:r>
      <w:r>
        <w:rPr>
          <w:rFonts w:ascii="Times New Roman;Times;serif" w:hAnsi="Times New Roman;Times;serif"/>
          <w:sz w:val="24"/>
        </w:rPr>
        <w:t>). Reference is made to that certain Purchase and Sale Agreement, dated June 30, 2022, by and between Investor and Company (the “</w:t>
      </w:r>
      <w:r>
        <w:rPr>
          <w:rFonts w:ascii="Times New Roman;Times;serif" w:hAnsi="Times New Roman;Times;serif"/>
          <w:sz w:val="24"/>
          <w:u w:val="single"/>
        </w:rPr>
        <w:t>RPA</w:t>
      </w:r>
      <w:r>
        <w:rPr>
          <w:rFonts w:ascii="Times New Roman;Times;serif" w:hAnsi="Times New Roman;Times;serif"/>
          <w:sz w:val="20"/>
        </w:rPr>
        <w:t>”</w:t>
      </w:r>
      <w:r>
        <w:rPr>
          <w:rFonts w:ascii="Times New Roman;Times;serif" w:hAnsi="Times New Roman;Times;serif"/>
          <w:sz w:val="24"/>
        </w:rPr>
        <w:t>). Any capitalized term used but not defined in this Termination Agreement shall have the meaning ascribed to such term in the RPA.</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WHEREAS, Licensee previously delivered a notice of termination of the License Agreement to Company pursuant to Article 13 of the License Agreement;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4"/>
        </w:rPr>
        <w:t>WHEREAS, in connection with such termination, Company and Licensee intend to enter into a transition agreement on the date hereof, in substantially the form previously provided to Investor (the “</w:t>
      </w:r>
      <w:r>
        <w:rPr>
          <w:rFonts w:ascii="Times New Roman;Times;serif" w:hAnsi="Times New Roman;Times;serif"/>
          <w:sz w:val="24"/>
          <w:u w:val="single"/>
        </w:rPr>
        <w:t>Roche Transition Agreement</w:t>
      </w:r>
      <w:r>
        <w:rPr>
          <w:rFonts w:ascii="Times New Roman;Times;serif" w:hAnsi="Times New Roman;Times;serif"/>
          <w:sz w:val="20"/>
        </w:rPr>
        <w:t>”</w:t>
      </w:r>
      <w:r>
        <w:rPr>
          <w:rFonts w:ascii="Times New Roman;Times;serif" w:hAnsi="Times New Roman;Times;serif"/>
          <w:sz w:val="24"/>
        </w:rPr>
        <w:t>), setting forth the terms on which such termination and the winddown of Roche’s commercialization activities in the Roche Territory related to the Royalty Product will be effected.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NOW, THEREFORE, in consideration of the premises and the mutual agreements, representations and warranties set forth herein and of other good and valuable consideration, the receipt and adequacy of which are hereby acknowledged, Investor and Company covenant and agree as follows:</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1.</w:t>
            </w:r>
          </w:p>
        </w:tc>
        <w:tc>
          <w:tcPr>
            <w:tcW w:w="10047"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Investor hereby consents, including pursuant to Sections 5.6(a) and 5.6(b) of the RPA, to the termination of the License Agreement, the agreement between Company and Licensee to terminate the License Agreement, and the execution, delivery and performance by the Company of the Roche Transition Agreement.</w:t>
            </w:r>
          </w:p>
        </w:tc>
      </w:tr>
    </w:tbl>
    <w:tbl>
      <w:tblPr>
        <w:tblW w:w="8470" w:type="dxa"/>
        <w:jc w:val="left"/>
        <w:tblInd w:w="0" w:type="dxa"/>
        <w:tblLayout w:type="fixed"/>
        <w:tblCellMar>
          <w:top w:w="0" w:type="dxa"/>
          <w:left w:w="0" w:type="dxa"/>
          <w:bottom w:w="0" w:type="dxa"/>
          <w:right w:w="0" w:type="dxa"/>
        </w:tblCellMar>
      </w:tblPr>
      <w:tblGrid>
        <w:gridCol w:w="200"/>
        <w:gridCol w:w="8270"/>
      </w:tblGrid>
      <w:tr>
        <w:trPr/>
        <w:tc>
          <w:tcPr>
            <w:tcW w:w="20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2.</w:t>
            </w:r>
          </w:p>
        </w:tc>
        <w:tc>
          <w:tcPr>
            <w:tcW w:w="827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Investor hereby consents, including pursuant to Section 5.6(c) of the RPA, to the [***].</w:t>
            </w:r>
          </w:p>
        </w:tc>
      </w:tr>
    </w:tbl>
    <w:tbl>
      <w:tblPr>
        <w:tblW w:w="6565" w:type="dxa"/>
        <w:jc w:val="left"/>
        <w:tblInd w:w="0" w:type="dxa"/>
        <w:tblLayout w:type="fixed"/>
        <w:tblCellMar>
          <w:top w:w="0" w:type="dxa"/>
          <w:left w:w="0" w:type="dxa"/>
          <w:bottom w:w="0" w:type="dxa"/>
          <w:right w:w="0" w:type="dxa"/>
        </w:tblCellMar>
      </w:tblPr>
      <w:tblGrid>
        <w:gridCol w:w="200"/>
        <w:gridCol w:w="6365"/>
      </w:tblGrid>
      <w:tr>
        <w:trPr/>
        <w:tc>
          <w:tcPr>
            <w:tcW w:w="20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3.</w:t>
            </w:r>
          </w:p>
        </w:tc>
        <w:tc>
          <w:tcPr>
            <w:tcW w:w="6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Investor hereby acknowledges and agrees that Company has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4.</w:t>
            </w:r>
          </w:p>
        </w:tc>
        <w:tc>
          <w:tcPr>
            <w:tcW w:w="10037"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Investor and Company hereby acknowledge and agree that, upon execution of the Roche Transition Agreement, Licensee shall no longer be obligated to make any payments of the Purchased Royalty Interest.</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5.</w:t>
            </w:r>
          </w:p>
        </w:tc>
        <w:tc>
          <w:tcPr>
            <w:tcW w:w="10043"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Investor and Company hereby agree that, notwithstanding Section 9.1 of the RPA, but without limiting Section 9.2 of the RPA or the terms hereof, the RPA shall terminate automatically upon execution by Company and Licensee of the Roche Transition Agreement.</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6.</w:t>
            </w:r>
          </w:p>
        </w:tc>
        <w:tc>
          <w:tcPr>
            <w:tcW w:w="10044"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Company hereby agrees that, if any [***] would have become due in respect of Net Sales of the Royalty Product in the Roche Territory by Roche during the calendar year ending December 31, 2024, and if [***], Company shall pay an amount equal to such [***] no later</w:t>
            </w:r>
          </w:p>
        </w:tc>
      </w:tr>
    </w:tbl>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360" w:right="0" w:hanging="0"/>
        <w:jc w:val="left"/>
        <w:rPr>
          <w:rFonts w:ascii="Times New Roman;Times;serif" w:hAnsi="Times New Roman;Times;serif"/>
          <w:sz w:val="24"/>
        </w:rPr>
      </w:pPr>
      <w:r>
        <w:rPr>
          <w:rFonts w:ascii="Times New Roman;Times;serif" w:hAnsi="Times New Roman;Times;serif"/>
          <w:sz w:val="24"/>
        </w:rPr>
        <w:t>than [***]. In the event that [***], Company shall pay Investor a one time lump sum payment equal to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7.</w:t>
            </w:r>
          </w:p>
        </w:tc>
        <w:tc>
          <w:tcPr>
            <w:tcW w:w="100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Company hereby agrees that, for a period of [***] following the date hereof, it shall (and shall cause its Affiliates to) [***].</w:t>
            </w:r>
          </w:p>
        </w:tc>
      </w:tr>
    </w:tbl>
    <w:tbl>
      <w:tblPr>
        <w:tblW w:w="4720" w:type="dxa"/>
        <w:jc w:val="left"/>
        <w:tblInd w:w="0" w:type="dxa"/>
        <w:tblLayout w:type="fixed"/>
        <w:tblCellMar>
          <w:top w:w="0" w:type="dxa"/>
          <w:left w:w="0" w:type="dxa"/>
          <w:bottom w:w="0" w:type="dxa"/>
          <w:right w:w="0" w:type="dxa"/>
        </w:tblCellMar>
      </w:tblPr>
      <w:tblGrid>
        <w:gridCol w:w="200"/>
        <w:gridCol w:w="4520"/>
      </w:tblGrid>
      <w:tr>
        <w:trPr/>
        <w:tc>
          <w:tcPr>
            <w:tcW w:w="20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8.</w:t>
            </w:r>
          </w:p>
        </w:tc>
        <w:tc>
          <w:tcPr>
            <w:tcW w:w="452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Company acknowledges and agrees that, [***].</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9.</w:t>
            </w:r>
          </w:p>
        </w:tc>
        <w:tc>
          <w:tcPr>
            <w:tcW w:w="1006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THIS TERMINATION AGREEMENT SHALL BE GOVERNED BY AND CONSTRUED IN ACCORDANCE WITH THE INTERNAL SUBSTANTIVE LAWS OF THE STATE OF NEW YORK WITHOUT REFERENCE TO THE RULES THEREOF RELATING TO CONFLICTS OF LAW, AND THE OBLIGATIONS, RIGHTS AND REMEDIES OF THE PARTIES HEREUNDER SHALL BE DETERMINED IN ACCORDANCE WITH SUCH LAWS. Each of the parties hereto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Termination Agreement, or for recognition or enforcement of any Judgment, and each of the parties hereto hereby irrevocably and unconditionally agrees that all claims in respect of any such action or proceeding may be heard and determined in such New York State court or, to the extent permitted by applicable Law, in such federal court. Each of the parties hereto agrees that a final Judgment in any such action or proceeding shall be conclusive and may be enforced in other jurisdictions by suit on the Judgment or in any other manner provided by applicable Law.</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10.</w:t>
            </w:r>
          </w:p>
        </w:tc>
        <w:tc>
          <w:tcPr>
            <w:tcW w:w="99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Each of the parties hereto hereby irrevocably and unconditionally waives, to the fullest extent it may legally and effectively do so, any objection that it may now or hereafter have to the laying of venue of any suit, action or proceeding arising out of or relating to this Termination Agreement in any court referred to in Section 9. Each of the parties hereto hereby irrevocably waives, to the fullest extent permitted by applicable Law, the defense of an inconvenient forum to the maintenance of such action or proceeding in any such court.</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11.</w:t>
            </w:r>
          </w:p>
        </w:tc>
        <w:tc>
          <w:tcPr>
            <w:tcW w:w="9937"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All notices, consents, waivers and other communications hereunder shall be in writing and shall be effective (a) upon receipt when sent via certified mail, return receipt requested, postage prepaid, with such receipt to be effective the date of delivery indicated on the return receipt, (b) upon receipt when sent via email, with such receipt to be effective the date acknowledged by the recipient, (c) upon receipt when sent by a national overnight courier, or (d) on the date personally delivered to an authorized officer of the party to which such notice is sent, in all cases of (a), (c) and (d), with a copy emailed to the recipient at the applicable address, addressed to the recipient as follows:</w:t>
            </w:r>
          </w:p>
        </w:tc>
      </w:tr>
    </w:tbl>
    <w:p>
      <w:pPr>
        <w:pStyle w:val="TextBody"/>
        <w:bidi w:val="0"/>
        <w:spacing w:before="0" w:after="240"/>
        <w:ind w:left="360" w:right="0" w:hanging="0"/>
        <w:jc w:val="left"/>
        <w:rPr>
          <w:rFonts w:ascii="Times New Roman;Times;serif" w:hAnsi="Times New Roman;Times;serif"/>
          <w:sz w:val="24"/>
        </w:rPr>
      </w:pPr>
      <w:r>
        <w:rPr>
          <w:rFonts w:ascii="Times New Roman;Times;serif" w:hAnsi="Times New Roman;Times;serif"/>
          <w:sz w:val="24"/>
        </w:rPr>
        <w:t>if to Company, to:</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 xml:space="preserve">Blueprint Medicines Corporation </w:t>
        <w:br/>
        <w:t>45 Sidney Street</w:t>
        <w:br/>
        <w:t>Cambridge, MA 02139</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Attention: Chief Executive Officer</w:t>
        <w:br/>
        <w:t>Email: [***]</w:t>
      </w:r>
    </w:p>
    <w:p>
      <w:pPr>
        <w:pStyle w:val="TextBody"/>
        <w:bidi w:val="0"/>
        <w:spacing w:before="0" w:after="240"/>
        <w:ind w:left="360" w:right="0" w:hanging="0"/>
        <w:jc w:val="left"/>
        <w:rPr>
          <w:rFonts w:ascii="Times New Roman;Times;serif" w:hAnsi="Times New Roman;Times;serif"/>
          <w:sz w:val="24"/>
        </w:rPr>
      </w:pPr>
      <w:r>
        <w:rPr>
          <w:rFonts w:ascii="Times New Roman;Times;serif" w:hAnsi="Times New Roman;Times;serif"/>
          <w:sz w:val="24"/>
        </w:rPr>
        <w:t>with a copy, which shall not constitute notice, to:</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Goodwin Procter LLP</w:t>
        <w:br/>
        <w:t>100 Northern Avenue</w:t>
        <w:br/>
        <w:t>Boston, MA 02210</w:t>
        <w:br/>
        <w:t>Attention: Kingsley L. Taft; Danielle Lauzon; Yasin Akbari</w:t>
        <w:br/>
        <w:t>Email: [***]; [***]; [***]</w:t>
      </w:r>
    </w:p>
    <w:p>
      <w:pPr>
        <w:pStyle w:val="TextBody"/>
        <w:bidi w:val="0"/>
        <w:spacing w:before="0" w:after="240"/>
        <w:ind w:left="360" w:right="0" w:hanging="0"/>
        <w:jc w:val="left"/>
        <w:rPr>
          <w:rFonts w:ascii="Times New Roman;Times;serif" w:hAnsi="Times New Roman;Times;serif"/>
          <w:sz w:val="24"/>
        </w:rPr>
      </w:pPr>
      <w:r>
        <w:rPr>
          <w:rFonts w:ascii="Times New Roman;Times;serif" w:hAnsi="Times New Roman;Times;serif"/>
          <w:sz w:val="24"/>
        </w:rPr>
        <w:t>if to Investor, to:</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Royalty Pharma Investments 2019 ICAV</w:t>
        <w:br/>
        <w:t>c/o RP Management, LLC</w:t>
        <w:br/>
        <w:t>110 E. 59th Street</w:t>
        <w:br/>
        <w:t>New York, NY 10022</w:t>
        <w:br/>
        <w:t>Attention: General Counsel</w:t>
        <w:br/>
        <w:t>Email: [***]</w:t>
      </w:r>
    </w:p>
    <w:p>
      <w:pPr>
        <w:pStyle w:val="TextBody"/>
        <w:bidi w:val="0"/>
        <w:spacing w:before="0" w:after="240"/>
        <w:ind w:left="360" w:right="0" w:hanging="0"/>
        <w:jc w:val="left"/>
        <w:rPr>
          <w:rFonts w:ascii="Times New Roman;Times;serif" w:hAnsi="Times New Roman;Times;serif"/>
          <w:sz w:val="24"/>
        </w:rPr>
      </w:pPr>
      <w:r>
        <w:rPr>
          <w:rFonts w:ascii="Times New Roman;Times;serif" w:hAnsi="Times New Roman;Times;serif"/>
          <w:sz w:val="24"/>
        </w:rPr>
        <w:t>with a copy, which shall not constitute notice, to:</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Gibson, Dunn &amp; Crutcher LLP</w:t>
        <w:br/>
        <w:t>555 Mission Street</w:t>
        <w:br/>
        <w:t>San Francisco, CA 94105</w:t>
        <w:br/>
        <w:t>Attention: Ryan Murr &amp; Karen Spindler</w:t>
        <w:br/>
        <w:t>Email: [***]; [***]</w:t>
      </w:r>
    </w:p>
    <w:p>
      <w:pPr>
        <w:pStyle w:val="TextBody"/>
        <w:bidi w:val="0"/>
        <w:spacing w:before="0" w:after="240"/>
        <w:ind w:left="360" w:right="0" w:hanging="0"/>
        <w:jc w:val="left"/>
        <w:rPr>
          <w:rFonts w:ascii="Times New Roman;Times;serif" w:hAnsi="Times New Roman;Times;serif"/>
          <w:sz w:val="24"/>
        </w:rPr>
      </w:pPr>
      <w:r>
        <w:rPr>
          <w:rFonts w:ascii="Times New Roman;Times;serif" w:hAnsi="Times New Roman;Times;serif"/>
          <w:sz w:val="24"/>
        </w:rPr>
        <w:t>Each party hereto may, by notice given in accordance herewith to the other party hereto, designate any further or different address to which subsequent notices, consents, waivers and other communications shall be sent. Each of the parties hereto irrevocably consents to service of process in the manner provided for notices in this Section 11. Nothing in this Termination Agreement will affect the right of any party hereto to serve process in any other manner permitted by applicable Law. Each of the parties hereto waives personal service of any summons, complaint or other process, which may be made by any other means permitted by New York law.</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12.</w:t>
            </w:r>
          </w:p>
        </w:tc>
        <w:tc>
          <w:tcPr>
            <w:tcW w:w="9938"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If one or more provisions of this Termination Agreement are held to be invalid, illegal or unenforceable by a court of competent jurisdiction, such invalidity, illegality or unenforceability shall not affect any other provision of this Termination Agreement, which shall remain in full force and effect, and the parties hereto shall replace such invalid, illegal or unenforceable provision with a new provision permitted by applicable Law and having an economic effect as close as possible to the invalid, illegal or unenforceable provision. Any provision of this Termination Agreement held invalid, illegal or unenforceable only in part or degree by a court of competent jurisdiction shall remain in full force and effect to the extent not held invalid, illegal or unenforceable.</w:t>
            </w:r>
          </w:p>
        </w:tc>
      </w:tr>
    </w:tbl>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13.</w:t>
            </w:r>
          </w:p>
        </w:tc>
        <w:tc>
          <w:tcPr>
            <w:tcW w:w="9938"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Neither this Termination Agreement nor any term or provision hereof may be amended, supplemented, restated, waived, changed or modified except with the written consent of the parties hereto. No failure or delay by either party hereto in exercising any right, power or privilege hereunder shall operate as a waiver thereof nor shall any single or partial exercise thereof preclude any other or further exercise thereof or the exercise of any other right, power or privilege. No notice to or demand on either party hereto in any case shall entitle it to any notice or demand in similar or other circumstances. The rights and remedies herein provided shall be cumulative and not exclusive of any rights or remedies provided by applicable Law.</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14.</w:t>
            </w:r>
          </w:p>
        </w:tc>
        <w:tc>
          <w:tcPr>
            <w:tcW w:w="99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This Termination Agreement may be signed in any number of counterparts, each of which shall be an original, with the same effect as if the signatures thereto and hereto were upon the same instrument, and which may be executed by facsimile or Adobe™ Portable Document Format (PDF) sent by electronic mail or any electronic signature complying with the U.S. Federal ESIGN Act of 2000 and will be deemed to be original signatures, will be valid and binding upon the parties, and, upon delivery, will constitute due execution of this Termination Agreement.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Remainder of page intentionally blank</w:t>
      </w:r>
      <w:r>
        <w:rPr>
          <w:rFonts w:ascii="Times New Roman;Times;serif" w:hAnsi="Times New Roman;Times;serif"/>
          <w:sz w:val="24"/>
        </w:rPr>
        <w:t>]</w:t>
      </w:r>
    </w:p>
    <w:p>
      <w:pPr>
        <w:pStyle w:val="TextBody"/>
        <w:bidi w:val="0"/>
        <w:spacing w:before="0" w:after="0"/>
        <w:ind w:left="0" w:right="0" w:hanging="0"/>
        <w:jc w:val="center"/>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IN WITNESS WHEREOF, each of the parties hereto have caused this Termination Agreement to be duly executed by its authorized representative as of the day and year first written above.</w:t>
      </w:r>
    </w:p>
    <w:tbl>
      <w:tblPr>
        <w:tblW w:w="6060" w:type="dxa"/>
        <w:jc w:val="left"/>
        <w:tblInd w:w="0" w:type="dxa"/>
        <w:tblLayout w:type="fixed"/>
        <w:tblCellMar>
          <w:top w:w="0" w:type="dxa"/>
          <w:left w:w="0" w:type="dxa"/>
          <w:bottom w:w="0" w:type="dxa"/>
          <w:right w:w="0" w:type="dxa"/>
        </w:tblCellMar>
      </w:tblPr>
      <w:tblGrid>
        <w:gridCol w:w="869"/>
        <w:gridCol w:w="4711"/>
        <w:gridCol w:w="326"/>
        <w:gridCol w:w="154"/>
      </w:tblGrid>
      <w:tr>
        <w:trPr/>
        <w:tc>
          <w:tcPr>
            <w:tcW w:w="558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BLUEPRINT MEDICINES CORPORATION</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5580"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86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7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Kate Haviland</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86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47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Kate Haviland</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86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471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Chief Executive Officer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869" w:type="dxa"/>
            <w:tcBorders/>
            <w:vAlign w:val="center"/>
          </w:tcPr>
          <w:p>
            <w:pPr>
              <w:pStyle w:val="TableContents"/>
              <w:bidi w:val="0"/>
              <w:spacing w:before="0" w:after="0"/>
              <w:ind w:left="0" w:right="0" w:hanging="0"/>
              <w:jc w:val="left"/>
              <w:rPr/>
            </w:pPr>
            <w:r>
              <w:rPr/>
              <w:t>​</w:t>
            </w:r>
          </w:p>
        </w:tc>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58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ROYALTY PHARMA INVESTMENTS 2019 ICAV</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869" w:type="dxa"/>
            <w:tcBorders/>
            <w:vAlign w:val="center"/>
          </w:tcPr>
          <w:p>
            <w:pPr>
              <w:pStyle w:val="TableContents"/>
              <w:bidi w:val="0"/>
              <w:spacing w:before="0" w:after="0"/>
              <w:ind w:left="0" w:right="0" w:hanging="0"/>
              <w:jc w:val="left"/>
              <w:rPr/>
            </w:pPr>
            <w:r>
              <w:rPr/>
              <w:t>​</w:t>
            </w:r>
          </w:p>
        </w:tc>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86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47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Arthur R. McGivern</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86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47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Arthur R. McGivern</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86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471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Executive Vice Presidents, Investments &amp;</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869" w:type="dxa"/>
            <w:tcBorders/>
            <w:vAlign w:val="center"/>
          </w:tcPr>
          <w:p>
            <w:pPr>
              <w:pStyle w:val="TableContents"/>
              <w:bidi w:val="0"/>
              <w:spacing w:before="0" w:after="0"/>
              <w:ind w:left="0" w:right="0" w:hanging="0"/>
              <w:jc w:val="left"/>
              <w:rPr/>
            </w:pPr>
            <w:r>
              <w:rPr/>
              <w:t>​</w:t>
            </w:r>
          </w:p>
        </w:tc>
        <w:tc>
          <w:tcPr>
            <w:tcW w:w="471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General Counsel</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Schedule 1</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w:t>
      </w:r>
    </w:p>
    <w:p>
      <w:pPr>
        <w:pStyle w:val="HorizontalLine"/>
        <w:pBdr>
          <w:bottom w:val="double" w:sz="2" w:space="0" w:color="808080"/>
        </w:pBdr>
        <w:bidi w:val="0"/>
        <w:spacing w:before="0" w:after="283"/>
        <w:jc w:val="left"/>
        <w:rPr/>
      </w:pPr>
      <w:r>
        <w:rPr/>
      </w:r>
    </w:p>
    <w:p>
      <w:pPr>
        <w:pStyle w:val="TextBody"/>
        <w:shd w:fill="FFFFFF" w:val="clear"/>
        <w:bidi w:val="0"/>
        <w:spacing w:lineRule="auto" w:line="285" w:before="0" w:after="0"/>
        <w:ind w:left="0" w:right="0" w:hanging="0"/>
        <w:jc w:val="right"/>
        <w:rPr>
          <w:rFonts w:ascii="Times New Roman;Times;serif" w:hAnsi="Times New Roman;Times;serif"/>
          <w:b/>
          <w:sz w:val="20"/>
        </w:rPr>
      </w:pPr>
      <w:bookmarkStart w:id="1012" w:name="bpmc-20240331xex31d1.htm"/>
      <w:bookmarkStart w:id="1013" w:name="ksbpmc20240331xex31d1"/>
      <w:bookmarkEnd w:id="1012"/>
      <w:bookmarkEnd w:id="1013"/>
      <w:r>
        <w:rPr>
          <w:rFonts w:ascii="Times New Roman;Times;serif" w:hAnsi="Times New Roman;Times;serif"/>
          <w:b/>
          <w:sz w:val="20"/>
        </w:rPr>
        <w:t>Exhibit 31.1</w:t>
      </w:r>
      <w:r>
        <w:br w:type="page"/>
      </w:r>
    </w:p>
    <w:p>
      <w:pPr>
        <w:pStyle w:val="TextBody"/>
        <w:shd w:fill="FFFFFF" w:val="clear"/>
        <w:bidi w:val="0"/>
        <w:spacing w:lineRule="auto" w:line="285" w:before="0" w:after="0"/>
        <w:ind w:left="0" w:right="0" w:hanging="0"/>
        <w:jc w:val="right"/>
        <w:rPr/>
      </w:pPr>
      <w:r>
        <w:rPr/>
        <w:t>​</w:t>
      </w:r>
    </w:p>
    <w:p>
      <w:pPr>
        <w:pStyle w:val="TextBody"/>
        <w:pBdr/>
        <w:shd w:fill="FFFFFF" w:val="clear"/>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Certifications</w:t>
      </w:r>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Kathryn Haviland, certify that: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1.I have reviewed this Quarterly Report on Form 10-Q of Blueprint Medicines Corporation;</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(b)Any fraud, whether or not material, that involves management or other employees who have a significant role in the registrant’s internal control over financial reporting.</w:t>
      </w:r>
    </w:p>
    <w:p>
      <w:pPr>
        <w:pStyle w:val="TextBody"/>
        <w:shd w:fill="FFFFFF" w:val="clear"/>
        <w:bidi w:val="0"/>
        <w:spacing w:lineRule="auto" w:line="285" w:before="0" w:after="0"/>
        <w:ind w:left="0" w:right="0" w:hanging="0"/>
        <w:jc w:val="left"/>
        <w:rPr/>
      </w:pPr>
      <w:r>
        <w:rPr/>
        <w:t>​</w:t>
      </w:r>
    </w:p>
    <w:tbl>
      <w:tblPr>
        <w:tblW w:w="6003" w:type="dxa"/>
        <w:jc w:val="left"/>
        <w:tblInd w:w="0" w:type="dxa"/>
        <w:tblLayout w:type="fixed"/>
        <w:tblCellMar>
          <w:top w:w="0" w:type="dxa"/>
          <w:left w:w="0" w:type="dxa"/>
          <w:bottom w:w="0" w:type="dxa"/>
          <w:right w:w="0" w:type="dxa"/>
        </w:tblCellMar>
      </w:tblPr>
      <w:tblGrid>
        <w:gridCol w:w="1636"/>
        <w:gridCol w:w="406"/>
        <w:gridCol w:w="3961"/>
      </w:tblGrid>
      <w:tr>
        <w:trPr/>
        <w:tc>
          <w:tcPr>
            <w:tcW w:w="1636" w:type="dxa"/>
            <w:tcBorders/>
            <w:vAlign w:val="center"/>
          </w:tcPr>
          <w:p>
            <w:pPr>
              <w:pStyle w:val="TableContents"/>
              <w:bidi w:val="0"/>
              <w:spacing w:lineRule="auto" w:line="285" w:before="0" w:after="0"/>
              <w:ind w:left="0" w:right="0" w:hanging="0"/>
              <w:jc w:val="left"/>
              <w:rPr/>
            </w:pPr>
            <w:r>
              <w:rPr/>
              <w:t>​</w:t>
            </w:r>
          </w:p>
        </w:tc>
        <w:tc>
          <w:tcPr>
            <w:tcW w:w="4367" w:type="dxa"/>
            <w:gridSpan w:val="2"/>
            <w:tcBorders/>
            <w:vAlign w:val="center"/>
          </w:tcPr>
          <w:p>
            <w:pPr>
              <w:pStyle w:val="TableContents"/>
              <w:bidi w:val="0"/>
              <w:spacing w:lineRule="auto" w:line="285" w:before="0" w:after="0"/>
              <w:ind w:left="0" w:right="0" w:hanging="0"/>
              <w:jc w:val="left"/>
              <w:rPr/>
            </w:pPr>
            <w:r>
              <w:rPr/>
              <w:t>​</w:t>
            </w:r>
          </w:p>
        </w:tc>
      </w:tr>
      <w:tr>
        <w:trPr/>
        <w:tc>
          <w:tcPr>
            <w:tcW w:w="16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2, 2024</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Kathryn Haviland</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Kathryn Haviland</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shd w:fill="FFFFFF" w:val="clear"/>
        <w:bidi w:val="0"/>
        <w:spacing w:lineRule="auto" w:line="285" w:before="0" w:after="0"/>
        <w:ind w:left="0" w:right="0" w:hanging="0"/>
        <w:jc w:val="right"/>
        <w:rPr>
          <w:rFonts w:ascii="Times New Roman;Times;serif" w:hAnsi="Times New Roman;Times;serif"/>
          <w:b/>
          <w:sz w:val="20"/>
        </w:rPr>
      </w:pPr>
      <w:bookmarkStart w:id="1014" w:name="bpmc-20240331xex31d2.htm"/>
      <w:bookmarkStart w:id="1015" w:name="ksbpmc20240331xex31d2"/>
      <w:bookmarkEnd w:id="1014"/>
      <w:bookmarkEnd w:id="1015"/>
      <w:r>
        <w:rPr>
          <w:rFonts w:ascii="Times New Roman;Times;serif" w:hAnsi="Times New Roman;Times;serif"/>
          <w:b/>
          <w:sz w:val="20"/>
        </w:rPr>
        <w:t>Exhibit 31.2</w:t>
      </w:r>
      <w:r>
        <w:br w:type="page"/>
      </w:r>
    </w:p>
    <w:p>
      <w:pPr>
        <w:pStyle w:val="TextBody"/>
        <w:shd w:fill="FFFFFF" w:val="clear"/>
        <w:bidi w:val="0"/>
        <w:spacing w:lineRule="auto" w:line="285" w:before="0" w:after="0"/>
        <w:ind w:left="0" w:right="0" w:hanging="0"/>
        <w:jc w:val="right"/>
        <w:rPr/>
      </w:pPr>
      <w:r>
        <w:rPr/>
        <w:t>​</w:t>
      </w:r>
    </w:p>
    <w:p>
      <w:pPr>
        <w:pStyle w:val="TextBody"/>
        <w:pBdr/>
        <w:shd w:fill="FFFFFF" w:val="clear"/>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Certifications</w:t>
      </w:r>
    </w:p>
    <w:p>
      <w:pPr>
        <w:pStyle w:val="TextBody"/>
        <w:pBdr/>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Michael Landsittel, certify that: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1.I have reviewed this Quarterly Report on Form 10-Q of Blueprint Medicines Corporation;</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283"/>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283"/>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(b)Any fraud, whether or not material, that involves management or other employees who have a significant role in the registrant’s internal control over financial reporting.</w:t>
      </w:r>
    </w:p>
    <w:p>
      <w:pPr>
        <w:pStyle w:val="TextBody"/>
        <w:pBdr/>
        <w:shd w:fill="FFFFFF" w:val="clear"/>
        <w:bidi w:val="0"/>
        <w:spacing w:lineRule="auto" w:line="285" w:before="0" w:after="0"/>
        <w:ind w:left="0" w:right="0" w:hanging="4680"/>
        <w:jc w:val="left"/>
        <w:rPr/>
      </w:pPr>
      <w:r>
        <w:rPr/>
        <w:t>​</w:t>
      </w:r>
    </w:p>
    <w:tbl>
      <w:tblPr>
        <w:tblW w:w="4458" w:type="dxa"/>
        <w:jc w:val="center"/>
        <w:tblInd w:w="0" w:type="dxa"/>
        <w:tblLayout w:type="fixed"/>
        <w:tblCellMar>
          <w:top w:w="0" w:type="dxa"/>
          <w:left w:w="0" w:type="dxa"/>
          <w:bottom w:w="0" w:type="dxa"/>
          <w:right w:w="0" w:type="dxa"/>
        </w:tblCellMar>
      </w:tblPr>
      <w:tblGrid>
        <w:gridCol w:w="1636"/>
        <w:gridCol w:w="406"/>
        <w:gridCol w:w="2416"/>
      </w:tblGrid>
      <w:tr>
        <w:trPr/>
        <w:tc>
          <w:tcPr>
            <w:tcW w:w="1636" w:type="dxa"/>
            <w:tcBorders/>
            <w:vAlign w:val="center"/>
          </w:tcPr>
          <w:p>
            <w:pPr>
              <w:pStyle w:val="TableContents"/>
              <w:bidi w:val="0"/>
              <w:spacing w:lineRule="auto" w:line="285" w:before="0" w:after="0"/>
              <w:ind w:left="0" w:right="0" w:hanging="0"/>
              <w:jc w:val="left"/>
              <w:rPr/>
            </w:pPr>
            <w:r>
              <w:rPr/>
              <w:t>​</w:t>
            </w:r>
          </w:p>
        </w:tc>
        <w:tc>
          <w:tcPr>
            <w:tcW w:w="2822" w:type="dxa"/>
            <w:gridSpan w:val="2"/>
            <w:tcBorders/>
            <w:vAlign w:val="center"/>
          </w:tcPr>
          <w:p>
            <w:pPr>
              <w:pStyle w:val="TableContents"/>
              <w:bidi w:val="0"/>
              <w:spacing w:lineRule="auto" w:line="285" w:before="0" w:after="0"/>
              <w:ind w:left="0" w:right="0" w:hanging="0"/>
              <w:jc w:val="left"/>
              <w:rPr/>
            </w:pPr>
            <w:r>
              <w:rPr/>
              <w:t>​</w:t>
            </w:r>
          </w:p>
        </w:tc>
      </w:tr>
      <w:tr>
        <w:trPr/>
        <w:tc>
          <w:tcPr>
            <w:tcW w:w="16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2, 2024</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Michael Landsittel</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Michael Landsittel</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shd w:fill="FFFFFF" w:val="clear"/>
        <w:bidi w:val="0"/>
        <w:spacing w:lineRule="auto" w:line="285" w:before="0" w:after="0"/>
        <w:ind w:left="0" w:right="0" w:hanging="0"/>
        <w:jc w:val="right"/>
        <w:rPr>
          <w:rFonts w:ascii="Times New Roman;Times;serif" w:hAnsi="Times New Roman;Times;serif"/>
          <w:b/>
          <w:sz w:val="20"/>
        </w:rPr>
      </w:pPr>
      <w:bookmarkStart w:id="1016" w:name="bpmc-20240331xex32d1.htm"/>
      <w:bookmarkStart w:id="1017" w:name="ksbpmc20240331xex32d1"/>
      <w:bookmarkEnd w:id="1016"/>
      <w:bookmarkEnd w:id="1017"/>
      <w:r>
        <w:rPr>
          <w:rFonts w:ascii="Times New Roman;Times;serif" w:hAnsi="Times New Roman;Times;serif"/>
          <w:b/>
          <w:sz w:val="20"/>
        </w:rPr>
        <w:t>Exhibit 32.1</w:t>
      </w:r>
      <w:r>
        <w:br w:type="page"/>
      </w:r>
    </w:p>
    <w:p>
      <w:pPr>
        <w:pStyle w:val="TextBody"/>
        <w:shd w:fill="FFFFFF" w:val="clear"/>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Blueprint Medicines Corporation (the “Company”) for the period ended March 31, 2024 as filed with the Securities and Exchange Commission on the date hereof (the “Report”), each of the undersigned officers of the Company hereby certifies, pursuant to 18 U.S.C. Section 1350, that to his knowledge:</w:t>
      </w:r>
    </w:p>
    <w:tbl>
      <w:tblPr>
        <w:tblW w:w="9843" w:type="dxa"/>
        <w:jc w:val="left"/>
        <w:tblInd w:w="0" w:type="dxa"/>
        <w:tblLayout w:type="fixed"/>
        <w:tblCellMar>
          <w:top w:w="0" w:type="dxa"/>
          <w:left w:w="0" w:type="dxa"/>
          <w:bottom w:w="0" w:type="dxa"/>
          <w:right w:w="0" w:type="dxa"/>
        </w:tblCellMar>
      </w:tblPr>
      <w:tblGrid>
        <w:gridCol w:w="23"/>
        <w:gridCol w:w="290"/>
        <w:gridCol w:w="953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 xml:space="preserve">(1) </w:t>
            </w:r>
          </w:p>
        </w:tc>
        <w:tc>
          <w:tcPr>
            <w:tcW w:w="953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72"/>
        <w:gridCol w:w="9910"/>
      </w:tblGrid>
      <w:tr>
        <w:trPr/>
        <w:tc>
          <w:tcPr>
            <w:tcW w:w="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 xml:space="preserve">(2) </w:t>
            </w:r>
          </w:p>
        </w:tc>
        <w:tc>
          <w:tcPr>
            <w:tcW w:w="9910" w:type="dxa"/>
            <w:tcBorders/>
            <w:vAlign w:val="center"/>
          </w:tcPr>
          <w:p>
            <w:pPr>
              <w:pStyle w:val="TableContents"/>
              <w:bidi w:val="0"/>
              <w:spacing w:lineRule="auto" w:line="285"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center"/>
        <w:rPr/>
      </w:pPr>
      <w:r>
        <w:rPr/>
        <w:t>​</w:t>
      </w:r>
    </w:p>
    <w:tbl>
      <w:tblPr>
        <w:tblW w:w="6003" w:type="dxa"/>
        <w:jc w:val="center"/>
        <w:tblInd w:w="0" w:type="dxa"/>
        <w:tblLayout w:type="fixed"/>
        <w:tblCellMar>
          <w:top w:w="0" w:type="dxa"/>
          <w:left w:w="0" w:type="dxa"/>
          <w:bottom w:w="0" w:type="dxa"/>
          <w:right w:w="0" w:type="dxa"/>
        </w:tblCellMar>
      </w:tblPr>
      <w:tblGrid>
        <w:gridCol w:w="1636"/>
        <w:gridCol w:w="406"/>
        <w:gridCol w:w="3961"/>
      </w:tblGrid>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pPr>
            <w:r>
              <w:rPr/>
              <w:t>​</w:t>
            </w:r>
          </w:p>
        </w:tc>
      </w:tr>
      <w:tr>
        <w:trPr/>
        <w:tc>
          <w:tcPr>
            <w:tcW w:w="163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2, 2024</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Kathryn Haviland</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Kathryn Haviland</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lineRule="auto" w:line="285" w:before="0" w:after="0"/>
        <w:ind w:left="0" w:right="0" w:hanging="0"/>
        <w:jc w:val="left"/>
        <w:rPr/>
      </w:pPr>
      <w:r>
        <w:rPr/>
        <w:t>​</w:t>
      </w:r>
    </w:p>
    <w:tbl>
      <w:tblPr>
        <w:tblW w:w="4563" w:type="dxa"/>
        <w:jc w:val="center"/>
        <w:tblInd w:w="0" w:type="dxa"/>
        <w:tblLayout w:type="fixed"/>
        <w:tblCellMar>
          <w:top w:w="0" w:type="dxa"/>
          <w:left w:w="0" w:type="dxa"/>
          <w:bottom w:w="0" w:type="dxa"/>
          <w:right w:w="0" w:type="dxa"/>
        </w:tblCellMar>
      </w:tblPr>
      <w:tblGrid>
        <w:gridCol w:w="1636"/>
        <w:gridCol w:w="406"/>
        <w:gridCol w:w="2521"/>
      </w:tblGrid>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521" w:type="dxa"/>
            <w:tcBorders/>
            <w:vAlign w:val="center"/>
          </w:tcPr>
          <w:p>
            <w:pPr>
              <w:pStyle w:val="TableContents"/>
              <w:bidi w:val="0"/>
              <w:spacing w:lineRule="auto" w:line="285" w:before="0" w:after="0"/>
              <w:ind w:left="0" w:right="0" w:hanging="0"/>
              <w:jc w:val="left"/>
              <w:rPr/>
            </w:pPr>
            <w:r>
              <w:rPr/>
              <w:t>​</w:t>
            </w:r>
          </w:p>
        </w:tc>
      </w:tr>
      <w:tr>
        <w:trPr/>
        <w:tc>
          <w:tcPr>
            <w:tcW w:w="16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2, 2024</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Michael Landsittel</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Michael Landsittel</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2521" w:type="dxa"/>
            <w:tcBorders/>
            <w:vAlign w:val="center"/>
          </w:tcPr>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7264/000155837015002529/bpmc-20150930ex3100367a3.htm" TargetMode="External"/><Relationship Id="rId3" Type="http://schemas.openxmlformats.org/officeDocument/2006/relationships/hyperlink" Target="https://www.sec.gov/Archives/edgar/data/1597264/000110465922124884/tm2231954d1_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69051</Words>
  <Characters>386072</Characters>
  <CharactersWithSpaces>455910</CharactersWithSpaces>
  <Paragraphs>5817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