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61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200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260" w:type="dxa"/>
            <w:vAlign w:val="bottom"/>
            <w:gridSpan w:val="2"/>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Haviland Kate</w:t>
              </w:r>
            </w:hyperlink>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2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02/01/2016</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3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38 SIDNEY STREET, SUITE 200</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0"/>
          <w:szCs w:val="20"/>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51"/>
        <w:spacing w:after="0"/>
        <w:rPr>
          <w:sz w:val="20"/>
          <w:szCs w:val="20"/>
          <w:color w:val="auto"/>
        </w:rPr>
      </w:pPr>
      <w:r>
        <w:rPr>
          <w:rFonts w:ascii="Arial" w:cs="Arial" w:eastAsia="Arial" w:hAnsi="Arial"/>
          <w:sz w:val="17"/>
          <w:szCs w:val="17"/>
          <w:color w:val="0000FF"/>
        </w:rPr>
        <w:t>Chief Business Officer</w:t>
      </w:r>
    </w:p>
    <w:p>
      <w:pPr>
        <w:spacing w:after="0" w:line="397" w:lineRule="exact"/>
        <w:rPr>
          <w:sz w:val="20"/>
          <w:szCs w:val="20"/>
          <w:color w:val="auto"/>
        </w:rPr>
      </w:pPr>
    </w:p>
    <w:p>
      <w:pPr>
        <w:sectPr>
          <w:pgSz w:w="11900" w:h="16838" w:orient="portrait"/>
          <w:cols w:equalWidth="0" w:num="2">
            <w:col w:w="7980" w:space="69"/>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16.28</w:t>
            </w:r>
          </w:p>
        </w:tc>
        <w:tc>
          <w:tcPr>
            <w:tcW w:w="1100" w:type="dxa"/>
            <w:vAlign w:val="bottom"/>
          </w:tcPr>
          <w:p>
            <w:pPr>
              <w:ind w:left="200"/>
              <w:spacing w:after="0" w:line="207" w:lineRule="exact"/>
              <w:rPr>
                <w:sz w:val="20"/>
                <w:szCs w:val="20"/>
                <w:color w:val="auto"/>
              </w:rPr>
            </w:pPr>
            <w:r>
              <w:rPr>
                <w:rFonts w:ascii="Arial" w:cs="Arial" w:eastAsia="Arial" w:hAnsi="Arial"/>
                <w:sz w:val="13"/>
                <w:szCs w:val="13"/>
                <w:color w:val="0000FF"/>
              </w:rPr>
              <w:t>02/01/2016</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ind w:left="60"/>
              <w:spacing w:after="0"/>
              <w:rPr>
                <w:sz w:val="20"/>
                <w:szCs w:val="20"/>
                <w:color w:val="auto"/>
              </w:rPr>
            </w:pPr>
            <w:r>
              <w:rPr>
                <w:rFonts w:ascii="Arial" w:cs="Arial" w:eastAsia="Arial" w:hAnsi="Arial"/>
                <w:sz w:val="13"/>
                <w:szCs w:val="13"/>
                <w:color w:val="0000FF"/>
              </w:rPr>
              <w:t>02/01/2026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4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Issuer's equity award grant policy, this option was granted effective as of the first day of the month following the commencement of the Reporting Person's employment with the Issuer on January 5, 2016.</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25% of the shares underlying the option on January 5, 2017 and as to an additional 1/48th of the shares underlying the option each month thereafter.</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w w:val="99"/>
              </w:rPr>
              <w:t>/s/ Christopher Frankenfield,</w:t>
            </w:r>
          </w:p>
        </w:tc>
        <w:tc>
          <w:tcPr>
            <w:tcW w:w="940" w:type="dxa"/>
            <w:vAlign w:val="bottom"/>
            <w:gridSpan w:val="2"/>
            <w:vMerge w:val="restart"/>
          </w:tcPr>
          <w:p>
            <w:pPr>
              <w:ind w:left="140"/>
              <w:spacing w:after="0"/>
              <w:rPr>
                <w:sz w:val="20"/>
                <w:szCs w:val="20"/>
                <w:color w:val="auto"/>
              </w:rPr>
            </w:pPr>
            <w:r>
              <w:rPr>
                <w:rFonts w:ascii="Arial" w:cs="Arial" w:eastAsia="Arial" w:hAnsi="Arial"/>
                <w:sz w:val="17"/>
                <w:szCs w:val="17"/>
                <w:color w:val="0000FF"/>
                <w:w w:val="91"/>
              </w:rPr>
              <w:t>02/02/2016</w:t>
            </w:r>
          </w:p>
        </w:tc>
        <w:tc>
          <w:tcPr>
            <w:tcW w:w="0" w:type="dxa"/>
            <w:vAlign w:val="bottom"/>
          </w:tcPr>
          <w:p>
            <w:pPr>
              <w:spacing w:after="0"/>
              <w:rPr>
                <w:sz w:val="1"/>
                <w:szCs w:val="1"/>
                <w:color w:val="auto"/>
              </w:rPr>
            </w:pPr>
          </w:p>
        </w:tc>
      </w:tr>
      <w:tr>
        <w:trPr>
          <w:trHeight w:val="86"/>
        </w:trPr>
        <w:tc>
          <w:tcPr>
            <w:tcW w:w="116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Attorney-in-Fact</w:t>
            </w:r>
          </w:p>
        </w:tc>
        <w:tc>
          <w:tcPr>
            <w:tcW w:w="8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16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2019-12-09T06:49:43Z</dcterms:created>
  <dcterms:modified xsi:type="dcterms:W3CDTF">2019-12-09T06:49:43Z</dcterms:modified>
</cp:coreProperties>
</file>