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229870</wp:posOffset>
            </wp:positionV>
            <wp:extent cx="14662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223520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280"/>
          </w:cols>
          <w:pgMar w:left="1320" w:top="206" w:right="1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2920" w:space="720"/>
            <w:col w:w="2760" w:space="720"/>
            <w:col w:w="2160"/>
          </w:cols>
          <w:pgMar w:left="1320" w:top="206" w:right="1299" w:bottom="1440" w:gutter="0" w:footer="0" w:header="0"/>
          <w:type w:val="continuous"/>
        </w:sectPr>
      </w:pPr>
    </w:p>
    <w:p>
      <w:pPr>
        <w:spacing w:after="0" w:line="358"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880" w:space="720"/>
            <w:col w:w="2680"/>
          </w:cols>
          <w:pgMar w:left="1320" w:top="206" w:right="129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83185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60" w:hanging="321"/>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60" w:hanging="321"/>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60" w:hanging="321"/>
        <w:spacing w:after="0"/>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Arial" w:cs="Arial" w:eastAsia="Arial" w:hAnsi="Arial"/>
          <w:sz w:val="16"/>
          <w:szCs w:val="16"/>
          <w:color w:val="auto"/>
        </w:rPr>
      </w:pPr>
    </w:p>
    <w:p>
      <w:pPr>
        <w:ind w:left="960" w:hanging="321"/>
        <w:spacing w:after="0"/>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4" w:lineRule="exact"/>
        <w:rPr>
          <w:sz w:val="24"/>
          <w:szCs w:val="24"/>
          <w:color w:val="auto"/>
        </w:rPr>
      </w:pPr>
    </w:p>
    <w:p>
      <w:pPr>
        <w:ind w:right="100" w:firstLine="648"/>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7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firstLine="648"/>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262890</wp:posOffset>
            </wp:positionV>
            <wp:extent cx="589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80"/>
          </w:cols>
          <w:pgMar w:left="1320" w:top="206" w:right="1299" w:bottom="1440" w:gutter="0" w:footer="0" w:header="0"/>
          <w:type w:val="continuous"/>
        </w:sectPr>
      </w:pPr>
    </w:p>
    <w:bookmarkStart w:id="1" w:name="page2"/>
    <w:bookmarkEnd w:id="1"/>
    <w:p>
      <w:pPr>
        <w:ind w:right="2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Appointment of Senior Vice President, Technical Operations</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Effective October 10, 2017, Blueprint Medicines Corporation (the “Company”) appointed Christopher K. Murray, Ph.D. as Senior Vice President, Technical Operations of the Company and entered into an employment agreement with Dr. Murray that provides for “at will” employment.</w:t>
      </w:r>
    </w:p>
    <w:p>
      <w:pPr>
        <w:spacing w:after="0" w:line="18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Prior to joining the Company, Dr. Murray, age 55, served as Vice President, Technical Operations at ARIAD Pharmaceuticals, Inc. (“ARIAD”) from January 2014 to May 2017. In this role, Dr. Murray oversaw all aspects of commercial and clinical manufacturing, supply chain and logistics, process development, quality control and analytical chemistry for ARIAD’s approved products and product candidates, including Iclusig® (ponatinib) and Alunbrig® (brigatinib). From 2004 to December 2013, Dr. Murray held multiple roles of increasing responsibility at ARIAD related to process development, manufacturing and clinical supply. Prior to joining ARIAD, Dr. Murray served in various positions with Allos Therapeutics, Inc. and Hauser Inc. related to clinical and commercial manufacturing and supply of active pharmaceutical ingredient. Dr. Murray holds a B.S. from Hope College with a major in chemistry and a Ph.D. in chemistry from the University of Chicago.</w:t>
      </w:r>
    </w:p>
    <w:p>
      <w:pPr>
        <w:spacing w:after="0" w:line="16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Pursuant to the terms of his employment agreement, Dr. Murray is entitled to an annual base salary of $370,000. Dr. Murray is also eligible for an annual performance bonus targeted at 35% of his base salary commencing with the year ended 2018. Pursuant to the terms of his employment agreement, Dr. Murray will also be granted a stock option, effective November 1, 2017, to purchase 75,000 shares of the Company’s common stock at an exercise price per share equal to the closing price of the Company’s common stock on the date of grant. The stock option will have a ten-year term and will vest as to 25% of the shares underlying the stock option on the first anniversary of the commencement of Dr. Murray’s employment with the Company and as to an additional 1/48th of the shares underlying the stock option monthly thereafter. Dr. Murray is eligible to participate in the employee benefit plans generally available to full-time employees, subject to the terms of those plans. Pursuant to the terms of his employment agreement, if Dr. Murray’s employment is terminated by the Company without cause (as defined in his employment agreement) or by Dr. Murray for good reason (as defined in his employment agreement), and subject to Dr. Murray’s execution of a release of potential claims against the Company, Dr. Murray will be entitled to receive: (i) a lump sum in cash in an amount equal to 12 months of base salary and (ii) a monthly cash payment for 12 months for medical and dental benefits or Dr. Murray’s COBRA health continuation period, whichever ends earlier. However, in the event that Dr. Murray’s employment is terminated by the Company without cause, or Dr. Murray terminates his employment with the Company for good reason, in either case within 12 months following the occurrence of a sale event (as defined in his employment agreement), in lieu of the severance payments and benefits described in the preceding sentence and subject to Dr. Murray’s execution of a release of potential claims against the Company, Dr. Murray will be entitled to receive: (i) a lump sum in cash in an amount equal to the sum of 12 months of Dr. Murray’s base salary then in effect plus Dr. Murray’s target annual incentive compensation for the year in which the termination occurs, (ii) a monthly cash payment for 12 months for medical and dental benefits or Dr. Murray’s COBRA health continuation period, whichever ends earlier, and (iii) full and immediate vesting and exercisability of all time-based stock options and other time-based stock-based awards held by Dr. Murray.</w:t>
      </w:r>
    </w:p>
    <w:p>
      <w:pPr>
        <w:spacing w:after="0" w:line="182"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connection with Dr. Murray’s appointment as Senior Vice President, Technical Operations, Dr. Murray will enter into the Company’s standard form of indemnification agreement, a copy of which was filed as Exhibit 10.12 to the Company’s Registration Statement on Form S-1 (File No. 333-202938) filed with the Securities and Exchange Commission on March 23, 2015. Pursuant to the terms of the indemnification agreement, the Company may be required, among other things, to indemnify Dr. Murray for some expenses, including attorneys’ fees, judgments, fines and settlement amounts incurred by his in any action or proceeding arising out of his service as one of our officers. Dr. Murray has also previously entered into a non-competition, non-solicitation, confidentiality and assignment agreement that contains, among other things, non-competition and non-solicitation provisions that apply during the term of Dr. Murray’s employment and for 12 months thereafter.</w:t>
      </w:r>
    </w:p>
    <w:p>
      <w:pPr>
        <w:spacing w:after="0" w:line="38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Dr. Murray has no family relationship with any of the executive officers or directors of the Company. There are no arrangements or understandings between Dr. Murray and any other person pursuant to which he was appointed as an officer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1" w:right="1299" w:bottom="1440" w:gutter="0" w:footer="0" w:header="0"/>
        </w:sectPr>
      </w:pPr>
    </w:p>
    <w:bookmarkStart w:id="2" w:name="page3"/>
    <w:bookmarkEnd w:id="2"/>
    <w:p>
      <w:pPr>
        <w:ind w:right="440" w:firstLine="648"/>
        <w:spacing w:after="0" w:line="277" w:lineRule="auto"/>
        <w:rPr>
          <w:sz w:val="20"/>
          <w:szCs w:val="20"/>
          <w:color w:val="auto"/>
        </w:rPr>
      </w:pPr>
      <w:r>
        <w:rPr>
          <w:rFonts w:ascii="Arial" w:cs="Arial" w:eastAsia="Arial" w:hAnsi="Arial"/>
          <w:sz w:val="18"/>
          <w:szCs w:val="18"/>
          <w:color w:val="auto"/>
        </w:rPr>
        <w:t>A copy of the Company’s press release announcing Dr. Murray’s appointment as Senior Vice President, Technical Operations is attached as Exhibit 99.1 to this Current Report on Form 8-K.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7960" w:type="dxa"/>
            <w:vAlign w:val="bottom"/>
            <w:gridSpan w:val="2"/>
          </w:tcPr>
          <w:p>
            <w:pPr>
              <w:jc w:val="right"/>
              <w:ind w:right="5150"/>
              <w:spacing w:after="0"/>
              <w:rPr>
                <w:sz w:val="20"/>
                <w:szCs w:val="20"/>
                <w:color w:val="auto"/>
              </w:rPr>
            </w:pPr>
            <w:r>
              <w:rPr>
                <w:rFonts w:ascii="Arial" w:cs="Arial" w:eastAsia="Arial" w:hAnsi="Arial"/>
                <w:sz w:val="18"/>
                <w:szCs w:val="18"/>
                <w:b w:val="1"/>
                <w:bCs w:val="1"/>
                <w:color w:val="auto"/>
                <w:w w:val="90"/>
              </w:rPr>
              <w:t>Financial Statements and Exhibits.</w:t>
            </w:r>
          </w:p>
        </w:tc>
      </w:tr>
      <w:tr>
        <w:trPr>
          <w:trHeight w:val="432"/>
        </w:trPr>
        <w:tc>
          <w:tcPr>
            <w:tcW w:w="13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8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Exhibit No.</w:t>
            </w:r>
          </w:p>
        </w:tc>
        <w:tc>
          <w:tcPr>
            <w:tcW w:w="280" w:type="dxa"/>
            <w:vAlign w:val="bottom"/>
          </w:tcPr>
          <w:p>
            <w:pPr>
              <w:spacing w:after="0"/>
              <w:rPr>
                <w:sz w:val="24"/>
                <w:szCs w:val="24"/>
                <w:color w:val="auto"/>
              </w:rPr>
            </w:pPr>
          </w:p>
        </w:tc>
        <w:tc>
          <w:tcPr>
            <w:tcW w:w="76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0" w:type="dxa"/>
            <w:vAlign w:val="bottom"/>
          </w:tcPr>
          <w:p>
            <w:pPr>
              <w:spacing w:after="0"/>
              <w:rPr>
                <w:sz w:val="19"/>
                <w:szCs w:val="19"/>
                <w:color w:val="auto"/>
              </w:rPr>
            </w:pPr>
          </w:p>
        </w:tc>
        <w:tc>
          <w:tcPr>
            <w:tcW w:w="1300" w:type="dxa"/>
            <w:vAlign w:val="bottom"/>
          </w:tcPr>
          <w:p>
            <w:pPr>
              <w:ind w:left="8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Press release issued by Blueprint Medicines Corporation on October 10, 2017</w:t>
            </w:r>
          </w:p>
        </w:tc>
      </w:tr>
      <w:tr>
        <w:trPr>
          <w:trHeight w:val="85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960" w:type="dxa"/>
            <w:vAlign w:val="bottom"/>
            <w:gridSpan w:val="2"/>
          </w:tcPr>
          <w:p>
            <w:pPr>
              <w:jc w:val="right"/>
              <w:ind w:right="4510"/>
              <w:spacing w:after="0"/>
              <w:rPr>
                <w:sz w:val="20"/>
                <w:szCs w:val="20"/>
                <w:color w:val="auto"/>
              </w:rPr>
            </w:pPr>
            <w:r>
              <w:rPr>
                <w:rFonts w:ascii="Arial" w:cs="Arial" w:eastAsia="Arial" w:hAnsi="Arial"/>
                <w:sz w:val="18"/>
                <w:szCs w:val="18"/>
                <w:color w:val="auto"/>
              </w:rPr>
              <w:t>3</w:t>
            </w:r>
          </w:p>
        </w:tc>
      </w:tr>
      <w:tr>
        <w:trPr>
          <w:trHeight w:val="129"/>
        </w:trPr>
        <w:tc>
          <w:tcPr>
            <w:tcW w:w="2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5" w:right="129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60" w:type="dxa"/>
            <w:vAlign w:val="bottom"/>
            <w:gridSpan w:val="2"/>
          </w:tcPr>
          <w:p>
            <w:pPr>
              <w:ind w:left="222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320" w:type="dxa"/>
            <w:vAlign w:val="bottom"/>
            <w:tcBorders>
              <w:top w:val="single" w:sz="8" w:color="auto"/>
            </w:tcBorders>
          </w:tcPr>
          <w:p>
            <w:pPr>
              <w:ind w:left="100"/>
              <w:spacing w:after="0" w:line="170" w:lineRule="exact"/>
              <w:rPr>
                <w:sz w:val="20"/>
                <w:szCs w:val="20"/>
                <w:color w:val="auto"/>
              </w:rPr>
            </w:pPr>
            <w:r>
              <w:rPr>
                <w:rFonts w:ascii="Arial" w:cs="Arial" w:eastAsia="Arial" w:hAnsi="Arial"/>
                <w:sz w:val="18"/>
                <w:szCs w:val="18"/>
                <w:color w:val="auto"/>
              </w:rPr>
              <w:t>99.1</w:t>
            </w: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Press release issued by Blueprint Medicines Corporation on October 10, 2017</w:t>
              </w:r>
            </w:hyperlink>
          </w:p>
        </w:tc>
        <w:tc>
          <w:tcPr>
            <w:tcW w:w="1960" w:type="dxa"/>
            <w:vAlign w:val="bottom"/>
            <w:tcBorders>
              <w:top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1" w:right="12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6040" w:type="dxa"/>
            <w:vAlign w:val="bottom"/>
            <w:gridSpan w:val="2"/>
          </w:tcPr>
          <w:p>
            <w:pPr>
              <w:ind w:left="1540"/>
              <w:spacing w:after="0"/>
              <w:rPr>
                <w:sz w:val="20"/>
                <w:szCs w:val="20"/>
                <w:color w:val="auto"/>
              </w:rPr>
            </w:pPr>
            <w:r>
              <w:rPr>
                <w:rFonts w:ascii="Arial" w:cs="Arial" w:eastAsia="Arial" w:hAnsi="Arial"/>
                <w:sz w:val="18"/>
                <w:szCs w:val="18"/>
                <w:b w:val="1"/>
                <w:bCs w:val="1"/>
                <w:color w:val="auto"/>
              </w:rPr>
              <w:t>BLUEPRINT MEDICINES CORPORATION</w:t>
            </w:r>
          </w:p>
        </w:tc>
      </w:tr>
      <w:tr>
        <w:trPr>
          <w:trHeight w:val="675"/>
        </w:trPr>
        <w:tc>
          <w:tcPr>
            <w:tcW w:w="3240" w:type="dxa"/>
            <w:vAlign w:val="bottom"/>
          </w:tcPr>
          <w:p>
            <w:pPr>
              <w:spacing w:after="0"/>
              <w:rPr>
                <w:sz w:val="20"/>
                <w:szCs w:val="20"/>
                <w:color w:val="auto"/>
              </w:rPr>
            </w:pPr>
            <w:r>
              <w:rPr>
                <w:rFonts w:ascii="Arial" w:cs="Arial" w:eastAsia="Arial" w:hAnsi="Arial"/>
                <w:sz w:val="18"/>
                <w:szCs w:val="18"/>
                <w:color w:val="auto"/>
              </w:rPr>
              <w:t>Date: October 10, 2017</w:t>
            </w:r>
          </w:p>
        </w:tc>
        <w:tc>
          <w:tcPr>
            <w:tcW w:w="6040" w:type="dxa"/>
            <w:vAlign w:val="bottom"/>
            <w:gridSpan w:val="2"/>
          </w:tcPr>
          <w:p>
            <w:pPr>
              <w:ind w:left="1540"/>
              <w:spacing w:after="0"/>
              <w:rPr>
                <w:sz w:val="20"/>
                <w:szCs w:val="20"/>
                <w:color w:val="auto"/>
              </w:rPr>
            </w:pPr>
            <w:r>
              <w:rPr>
                <w:rFonts w:ascii="Arial" w:cs="Arial" w:eastAsia="Arial" w:hAnsi="Arial"/>
                <w:sz w:val="18"/>
                <w:szCs w:val="18"/>
                <w:color w:val="auto"/>
              </w:rPr>
              <w:t>By: /s/ Tracey L. McCain</w:t>
            </w:r>
          </w:p>
        </w:tc>
      </w:tr>
      <w:tr>
        <w:trPr>
          <w:trHeight w:val="195"/>
        </w:trPr>
        <w:tc>
          <w:tcPr>
            <w:tcW w:w="3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Tracey L. McCain</w:t>
            </w:r>
          </w:p>
        </w:tc>
      </w:tr>
      <w:tr>
        <w:trPr>
          <w:trHeight w:val="230"/>
        </w:trPr>
        <w:tc>
          <w:tcPr>
            <w:tcW w:w="3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1" w:right="1299" w:bottom="1440" w:gutter="0" w:footer="0" w:header="0"/>
        </w:sectPr>
      </w:pPr>
    </w:p>
    <w:bookmarkStart w:id="5" w:name="page6"/>
    <w:bookmarkEnd w:id="5"/>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wp:posOffset>
            </wp:positionV>
            <wp:extent cx="1724025"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160" w:right="139"/>
        <w:spacing w:after="0" w:line="267" w:lineRule="auto"/>
        <w:rPr>
          <w:sz w:val="20"/>
          <w:szCs w:val="20"/>
          <w:color w:val="auto"/>
        </w:rPr>
      </w:pPr>
      <w:r>
        <w:rPr>
          <w:rFonts w:ascii="Arial" w:cs="Arial" w:eastAsia="Arial" w:hAnsi="Arial"/>
          <w:sz w:val="20"/>
          <w:szCs w:val="20"/>
          <w:b w:val="1"/>
          <w:bCs w:val="1"/>
          <w:color w:val="auto"/>
        </w:rPr>
        <w:t>Blueprint Medicines Announces Appointment of Christopher Murray, Ph.D. as Senior Vice President, Technical Operations</w:t>
      </w:r>
    </w:p>
    <w:p>
      <w:pPr>
        <w:spacing w:after="0" w:line="183" w:lineRule="exact"/>
        <w:rPr>
          <w:sz w:val="20"/>
          <w:szCs w:val="20"/>
          <w:color w:val="auto"/>
        </w:rPr>
      </w:pPr>
    </w:p>
    <w:p>
      <w:pPr>
        <w:ind w:left="160" w:right="199"/>
        <w:spacing w:after="0" w:line="244" w:lineRule="auto"/>
        <w:rPr>
          <w:sz w:val="20"/>
          <w:szCs w:val="20"/>
          <w:color w:val="auto"/>
        </w:rPr>
      </w:pPr>
      <w:r>
        <w:rPr>
          <w:rFonts w:ascii="Arial" w:cs="Arial" w:eastAsia="Arial" w:hAnsi="Arial"/>
          <w:sz w:val="20"/>
          <w:szCs w:val="20"/>
          <w:color w:val="auto"/>
        </w:rPr>
        <w:t>CAMBRIDGE, Mass., October 10, 2017 – Blueprint Medicines Corporation (NASDAQ: BPMC), a leader in discovering and developing targeted kinase medicines for patients with genomically defined diseases, today announced the appointment of Christopher Murray, Ph.D. as Senior Vice President, Technical Operations. Dr. Murray will join the executive management team and be responsible for technical development, manufacturing and supply chain operations.</w:t>
      </w:r>
    </w:p>
    <w:p>
      <w:pPr>
        <w:spacing w:after="0" w:line="208" w:lineRule="exact"/>
        <w:rPr>
          <w:sz w:val="20"/>
          <w:szCs w:val="20"/>
          <w:color w:val="auto"/>
        </w:rPr>
      </w:pPr>
    </w:p>
    <w:p>
      <w:pPr>
        <w:ind w:left="160" w:right="179"/>
        <w:spacing w:after="0" w:line="276" w:lineRule="auto"/>
        <w:rPr>
          <w:sz w:val="20"/>
          <w:szCs w:val="20"/>
          <w:color w:val="auto"/>
        </w:rPr>
      </w:pPr>
      <w:r>
        <w:rPr>
          <w:rFonts w:ascii="Arial" w:cs="Arial" w:eastAsia="Arial" w:hAnsi="Arial"/>
          <w:sz w:val="18"/>
          <w:szCs w:val="18"/>
          <w:color w:val="auto"/>
        </w:rPr>
        <w:t>“We are thrilled to welcome Chris to Blueprint Medicines. Chris has more than two decades of strategic and operational experience in pharmaceutical sciences, and he has successfully led manufacturing operations for multiple product candidates through development, regulatory review and commercial launch,” said Jeff Albers, Chief Executive Officer of Blueprint Medicines. “As we expand clinical activities for our lead product candidates and develop plans to address potential future commercial supply needs, Chris will lead the effort to strategically enhance our manufacturing capabilities across the portfolio.”</w:t>
      </w:r>
    </w:p>
    <w:p>
      <w:pPr>
        <w:spacing w:after="0" w:line="179" w:lineRule="exact"/>
        <w:rPr>
          <w:sz w:val="20"/>
          <w:szCs w:val="20"/>
          <w:color w:val="auto"/>
        </w:rPr>
      </w:pPr>
    </w:p>
    <w:p>
      <w:pPr>
        <w:ind w:left="160" w:right="239"/>
        <w:spacing w:after="0" w:line="255" w:lineRule="auto"/>
        <w:rPr>
          <w:sz w:val="20"/>
          <w:szCs w:val="20"/>
          <w:color w:val="auto"/>
        </w:rPr>
      </w:pPr>
      <w:r>
        <w:rPr>
          <w:rFonts w:ascii="Arial" w:cs="Arial" w:eastAsia="Arial" w:hAnsi="Arial"/>
          <w:sz w:val="19"/>
          <w:szCs w:val="19"/>
          <w:color w:val="auto"/>
        </w:rPr>
        <w:t>Dr. Murray joins Blueprint Medicines with over 25 years of commercial and clinical manufacturing experience in the biopharmaceutical industry. Most recently, Dr. Murray served as Vice President, Technical Operations at ARIAD Pharmaceuticals, Inc. (ARIAD) from January 2014 to May 2017. In this role, Dr. Murray oversaw all aspects of commercial and clinical manufacturing, supply chain and logistics, process development, quality control and analytical chemistry for ARIAD’s approved products and product candidates, including Iclusig® (ponatinib) and Alunbrig® (brigatinib). From 2004 to December 2013, Dr. Murray held multiple roles of increasing responsibility at ARIAD related to process development, manufacturing and clinical supply. Prior to joining ARIAD, Dr. Murray served in various positions with Allos Therapeutics, Inc. and Hauser Inc. related to clinical and commercial manufacturing and supply of active pharmaceutical ingredient. Dr. Murray holds a B.S. from Hope College with a major in chemistry and a Ph.D. in chemistry from the University of Chicago.</w:t>
      </w:r>
    </w:p>
    <w:p>
      <w:pPr>
        <w:spacing w:after="0" w:line="202" w:lineRule="exact"/>
        <w:rPr>
          <w:sz w:val="20"/>
          <w:szCs w:val="20"/>
          <w:color w:val="auto"/>
        </w:rPr>
      </w:pPr>
    </w:p>
    <w:p>
      <w:pPr>
        <w:ind w:left="160" w:right="819"/>
        <w:spacing w:after="0" w:line="246" w:lineRule="auto"/>
        <w:rPr>
          <w:sz w:val="20"/>
          <w:szCs w:val="20"/>
          <w:color w:val="auto"/>
        </w:rPr>
      </w:pPr>
      <w:r>
        <w:rPr>
          <w:rFonts w:ascii="Arial" w:cs="Arial" w:eastAsia="Arial" w:hAnsi="Arial"/>
          <w:sz w:val="20"/>
          <w:szCs w:val="20"/>
          <w:color w:val="auto"/>
        </w:rPr>
        <w:t>“I’m excited to join Blueprint Medicines at this pivotal moment as the company begins to plan for commercial readiness,” said Dr. Murray. “With compelling data sets for two product candidates and a growing pipeline of differentiated assets, Blueprint Medicines has the potential to become the leading developer of highly selective kinase medicines.”</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Blueprint Medicines</w:t>
      </w:r>
    </w:p>
    <w:p>
      <w:pPr>
        <w:spacing w:after="0" w:line="235" w:lineRule="exact"/>
        <w:rPr>
          <w:sz w:val="20"/>
          <w:szCs w:val="20"/>
          <w:color w:val="auto"/>
        </w:rPr>
      </w:pPr>
    </w:p>
    <w:p>
      <w:pPr>
        <w:ind w:left="160" w:right="339"/>
        <w:spacing w:after="0" w:line="274" w:lineRule="auto"/>
        <w:rPr>
          <w:sz w:val="20"/>
          <w:szCs w:val="20"/>
          <w:color w:val="auto"/>
        </w:rPr>
      </w:pPr>
      <w:r>
        <w:rPr>
          <w:rFonts w:ascii="Arial" w:cs="Arial" w:eastAsia="Arial" w:hAnsi="Arial"/>
          <w:sz w:val="18"/>
          <w:szCs w:val="18"/>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 Blueprint Medicines is advancing four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www.blueprintmedicines.com.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263525</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16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6" w:lineRule="exact"/>
        <w:rPr>
          <w:sz w:val="20"/>
          <w:szCs w:val="20"/>
          <w:color w:val="auto"/>
        </w:rPr>
      </w:pPr>
    </w:p>
    <w:p>
      <w:pPr>
        <w:ind w:left="160" w:right="159"/>
        <w:spacing w:after="0" w:line="268"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the potential to become the leading developer of highly selective kinase medicines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BLU-285, BLU-554 and BLU-667;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and actions of the U.S. Food and Drug Administration or other regulatory agencies, which may affect the initiation, timing and progress of clinical trials; Blueprint Medicines’ ability to develop and commercialize companion diagnostic tests for its current and future drug candidates, including companion diagnostic tests for BLU-554 with Ventana Medical Systems, Inc. and for BLU-285 with QIAGEN Manchester Limited; and the success of Blueprint Medicines’ cancer immunotherapy collaboration with F. Hoffmann-La Roche Ltd and Hoffmann-La Roche Inc. These and other risks and uncertainties are described in greater detail in the section entitled "Risk Factors" in Blueprint Medicines’ Quarterly Report on Form 10-Q for the quarter ended June 30, 2017, as filed with the Securities and Exchange Commission (SEC) on August 2, 2017,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Media and Investor Relations Contacts</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Kristin Hodous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617-714-6674</w:t>
      </w:r>
    </w:p>
    <w:p>
      <w:pPr>
        <w:ind w:left="160"/>
        <w:spacing w:after="0"/>
        <w:rPr>
          <w:sz w:val="20"/>
          <w:szCs w:val="20"/>
          <w:color w:val="auto"/>
        </w:rPr>
      </w:pPr>
      <w:r>
        <w:rPr>
          <w:rFonts w:ascii="Arial" w:cs="Arial" w:eastAsia="Arial" w:hAnsi="Arial"/>
          <w:sz w:val="20"/>
          <w:szCs w:val="20"/>
          <w:color w:val="auto"/>
        </w:rPr>
        <w:t>KHodous@blueprintmedicines.com</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Jim Baker</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617-844-8236</w:t>
      </w:r>
    </w:p>
    <w:p>
      <w:pPr>
        <w:ind w:left="160"/>
        <w:spacing w:after="0"/>
        <w:rPr>
          <w:sz w:val="20"/>
          <w:szCs w:val="20"/>
          <w:color w:val="auto"/>
        </w:rPr>
      </w:pPr>
      <w:r>
        <w:rPr>
          <w:rFonts w:ascii="Arial" w:cs="Arial" w:eastAsia="Arial" w:hAnsi="Arial"/>
          <w:sz w:val="20"/>
          <w:szCs w:val="20"/>
          <w:color w:val="auto"/>
        </w:rPr>
        <w:t>JBaker@blueprintmedicines.com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283210</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2019-12-29T04:06:23Z</dcterms:created>
  <dcterms:modified xsi:type="dcterms:W3CDTF">2019-12-29T04:06:23Z</dcterms:modified>
</cp:coreProperties>
</file>