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072024_090858.xml.htm"/>
      <w:bookmarkStart w:id="1" w:name="ksform408072024_09085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Lee Philina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BLUEPRINT MEDICINES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 SIDNEY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Blueprint Medicines Corp</w:t>
              </w:r>
            </w:hyperlink>
            <w:r>
              <w:rPr/>
              <w:t xml:space="preserve"> [ </w:t>
            </w:r>
            <w:r>
              <w:rPr>
                <w:rFonts w:ascii="Times;serif" w:hAnsi="Times;serif"/>
                <w:color w:val="0000FF"/>
                <w:sz w:val="24"/>
                <w:shd w:fill="FFFFFF" w:val="clear"/>
              </w:rPr>
              <w:t>BPMC</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COMMERCIAL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53"/>
              <w:gridCol w:w="6381"/>
            </w:tblGrid>
            <w:tr>
              <w:trPr/>
              <w:tc>
                <w:tcPr>
                  <w:tcW w:w="15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638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36.05</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34,886</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51.06</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35,928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5,011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81.44</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40,939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4,331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43.15</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45,270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8,450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54.13</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53,720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10,572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61.31</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64,292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12,350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86.6</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76,642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08/05/2024</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41,913</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93.19</w:t>
            </w:r>
            <w:r>
              <w:rPr>
                <w:rFonts w:ascii="Times;serif" w:hAnsi="Times;serif"/>
                <w:color w:val="008000"/>
                <w:position w:val="7"/>
                <w:sz w:val="16"/>
                <w:sz w:val="20"/>
                <w:shd w:fill="FFFFFF" w:val="clear"/>
              </w:rPr>
              <w:t>(1)</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34,729</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36.05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02/16/2027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51.06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1,042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07/03/2027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81.44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5,011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02/16/2028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5,011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43.15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4,331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4,331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20,669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54.13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8,450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61.31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10,572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10,572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6,928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86.6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12,350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sold in multiple transactions ranging from $93.00 to $93.835 per share.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option was granted on February 16, 2017 and is fully vested as of the transaction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option was granted on July 3, 2017 and is fully vested as of the transaction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option was granted on February 16, 2018 and is fully vested as of the transaction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option was granted on March 1, 2023. This option vested with respect to 1/48th of the shares underlying the option on April 1, 2023 and as to an additional 1/48th of the shares underlying the option each month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option was granted on March 1, 2020 and is fully vested as of the transaction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option was granted on March 1, 2022. This option vested with respect to 1/48th of the shares underlying the option on April 1, 2022 and as to an additional 1/48th of the shares underlying the option each month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This option was granted on March 1, 2019 and is fully vested as of the transaction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Melissa Masse,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845080" TargetMode="External"/><Relationship Id="rId4" Type="http://schemas.openxmlformats.org/officeDocument/2006/relationships/hyperlink" Target="http://www.sec.gov/cgi-bin/browse-edgar?action=getcompany&amp;CIK=0001597264"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978</Words>
  <Characters>5020</Characters>
  <CharactersWithSpaces>5818</CharactersWithSpaces>
  <Paragraphs>244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