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9"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001-37359</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23"/>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35"/>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4"/>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980" w:type="dxa"/>
            <w:vAlign w:val="bottom"/>
          </w:tcPr>
          <w:p>
            <w:pPr>
              <w:spacing w:after="0"/>
              <w:rPr>
                <w:sz w:val="24"/>
                <w:szCs w:val="24"/>
                <w:color w:val="auto"/>
              </w:rPr>
            </w:pPr>
          </w:p>
        </w:tc>
      </w:tr>
      <w:tr>
        <w:trPr>
          <w:trHeight w:val="223"/>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980" w:type="dxa"/>
            <w:vAlign w:val="bottom"/>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28"/>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37"/>
        </w:trPr>
        <w:tc>
          <w:tcPr>
            <w:tcW w:w="2500" w:type="dxa"/>
            <w:vAlign w:val="bottom"/>
          </w:tcPr>
          <w:p>
            <w:pPr>
              <w:spacing w:after="0"/>
              <w:rPr>
                <w:sz w:val="20"/>
                <w:szCs w:val="20"/>
                <w:color w:val="auto"/>
              </w:rPr>
            </w:pPr>
          </w:p>
        </w:tc>
        <w:tc>
          <w:tcPr>
            <w:tcW w:w="3980" w:type="dxa"/>
            <w:vAlign w:val="bottom"/>
          </w:tcPr>
          <w:p>
            <w:pPr>
              <w:jc w:val="right"/>
              <w:ind w:right="2368"/>
              <w:spacing w:after="0"/>
              <w:rPr>
                <w:sz w:val="20"/>
                <w:szCs w:val="20"/>
                <w:color w:val="auto"/>
              </w:rPr>
            </w:pPr>
            <w:r>
              <w:rPr>
                <w:rFonts w:ascii="Times New Roman" w:cs="Times New Roman" w:eastAsia="Times New Roman" w:hAnsi="Times New Roman"/>
                <w:sz w:val="18"/>
                <w:szCs w:val="18"/>
                <w:b w:val="1"/>
                <w:bCs w:val="1"/>
                <w:color w:val="auto"/>
              </w:rPr>
              <w:t>(617) 374-7580</w:t>
            </w:r>
          </w:p>
        </w:tc>
      </w:tr>
    </w:tbl>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164" w:lineRule="exact"/>
        <w:rPr>
          <w:sz w:val="24"/>
          <w:szCs w:val="24"/>
          <w:color w:val="auto"/>
        </w:rPr>
      </w:pPr>
    </w:p>
    <w:p>
      <w:pPr>
        <w:ind w:right="100" w:firstLine="415"/>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1" w:lineRule="exact"/>
        <w:rPr>
          <w:sz w:val="24"/>
          <w:szCs w:val="24"/>
          <w:color w:val="auto"/>
        </w:rPr>
      </w:pPr>
    </w:p>
    <w:p>
      <w:pPr>
        <w:ind w:right="160" w:firstLine="41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9" w:lineRule="exact"/>
        <w:rPr>
          <w:sz w:val="24"/>
          <w:szCs w:val="24"/>
          <w:color w:val="auto"/>
        </w:rPr>
      </w:pPr>
    </w:p>
    <w:p>
      <w:pPr>
        <w:ind w:right="320" w:firstLine="415"/>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80"/>
            <w:col w:w="3040" w:space="720"/>
            <w:col w:w="960" w:space="80"/>
            <w:col w:w="2040"/>
          </w:cols>
          <w:pgMar w:left="980" w:top="661" w:right="979" w:bottom="1440" w:gutter="0" w:footer="0" w:header="0"/>
          <w:type w:val="continuous"/>
        </w:sectPr>
      </w:pPr>
    </w:p>
    <w:p>
      <w:pPr>
        <w:spacing w:after="0" w:line="1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4">
            <w:col w:w="2980" w:space="60"/>
            <w:col w:w="2800" w:space="720"/>
            <w:col w:w="1560" w:space="80"/>
            <w:col w:w="1740"/>
          </w:cols>
          <w:pgMar w:left="980" w:top="661" w:right="979" w:bottom="1440" w:gutter="0" w:footer="0" w:header="0"/>
          <w:type w:val="continuous"/>
        </w:sectPr>
      </w:pPr>
    </w:p>
    <w:p>
      <w:pPr>
        <w:spacing w:after="0" w:line="14"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2">
            <w:col w:w="8120" w:space="80"/>
            <w:col w:w="1740"/>
          </w:cols>
          <w:pgMar w:left="980" w:top="661" w:right="979" w:bottom="1440" w:gutter="0" w:footer="0" w:header="0"/>
          <w:type w:val="continuous"/>
        </w:sectPr>
      </w:pPr>
    </w:p>
    <w:p>
      <w:pPr>
        <w:ind w:right="60" w:firstLine="415"/>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color w:val="auto"/>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July 29, 2022: 59,719,570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880745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160" w:type="dxa"/>
            <w:vAlign w:val="bottom"/>
            <w:gridSpan w:val="7"/>
            <w:vMerge w:val="restart"/>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160" w:type="dxa"/>
            <w:vAlign w:val="bottom"/>
            <w:tcBorders>
              <w:bottom w:val="single" w:sz="8" w:color="0000EE"/>
            </w:tcBorders>
            <w:gridSpan w:val="7"/>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4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3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640" w:type="dxa"/>
            <w:vAlign w:val="bottom"/>
            <w:gridSpan w:val="2"/>
          </w:tcPr>
          <w:p>
            <w:pPr>
              <w:spacing w:after="0"/>
              <w:rPr>
                <w:sz w:val="5"/>
                <w:szCs w:val="5"/>
                <w:color w:val="auto"/>
              </w:rPr>
            </w:pPr>
          </w:p>
        </w:tc>
        <w:tc>
          <w:tcPr>
            <w:tcW w:w="61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and December 31, 2021</w:t>
            </w:r>
          </w:p>
        </w:tc>
        <w:tc>
          <w:tcPr>
            <w:tcW w:w="2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40" w:type="dxa"/>
            <w:vAlign w:val="bottom"/>
            <w:tcBorders>
              <w:bottom w:val="single" w:sz="8" w:color="0000EE"/>
            </w:tcBorders>
            <w:gridSpan w:val="16"/>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six</w:t>
            </w: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60" w:type="dxa"/>
            <w:vAlign w:val="bottom"/>
            <w:gridSpan w:val="21"/>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EE"/>
                <w:w w:val="99"/>
              </w:rPr>
              <w:t>months ended June 30, 2022 and 2021</w:t>
            </w:r>
          </w:p>
        </w:tc>
        <w:tc>
          <w:tcPr>
            <w:tcW w:w="1240" w:type="dxa"/>
            <w:vAlign w:val="bottom"/>
            <w:tcBorders>
              <w:top w:val="single" w:sz="8" w:color="0000EE"/>
              <w:bottom w:val="single" w:sz="8" w:color="0000EE"/>
            </w:tcBorders>
          </w:tcPr>
          <w:p>
            <w:pPr>
              <w:spacing w:after="0"/>
              <w:rPr>
                <w:sz w:val="17"/>
                <w:szCs w:val="17"/>
                <w:color w:val="auto"/>
              </w:rPr>
            </w:pPr>
          </w:p>
        </w:tc>
        <w:tc>
          <w:tcPr>
            <w:tcW w:w="280" w:type="dxa"/>
            <w:vAlign w:val="bottom"/>
            <w:tcBorders>
              <w:top w:val="single" w:sz="8" w:color="0000EE"/>
              <w:bottom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rPr>
                <w:sz w:val="17"/>
                <w:szCs w:val="17"/>
                <w:color w:val="auto"/>
              </w:rPr>
            </w:pPr>
          </w:p>
        </w:tc>
        <w:tc>
          <w:tcPr>
            <w:tcW w:w="620" w:type="dxa"/>
            <w:vAlign w:val="bottom"/>
            <w:tcBorders>
              <w:top w:val="single" w:sz="8" w:color="0000EE"/>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June</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8"/>
              </w:rPr>
              <w:t>30, 2022 and 2021</w:t>
            </w:r>
          </w:p>
        </w:tc>
        <w:tc>
          <w:tcPr>
            <w:tcW w:w="3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70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spacing w:after="0"/>
              <w:rPr>
                <w:sz w:val="17"/>
                <w:szCs w:val="17"/>
                <w:color w:val="auto"/>
              </w:rPr>
            </w:pPr>
          </w:p>
        </w:tc>
        <w:tc>
          <w:tcPr>
            <w:tcW w:w="9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360" w:type="dxa"/>
            <w:vAlign w:val="bottom"/>
            <w:gridSpan w:val="2"/>
            <w:vMerge w:val="restart"/>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Borders>
              <w:bottom w:val="single" w:sz="8" w:color="0000EE"/>
            </w:tcBorders>
            <w:gridSpan w:val="1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spacing w:after="0"/>
              <w:rPr>
                <w:sz w:val="15"/>
                <w:szCs w:val="15"/>
                <w:color w:val="auto"/>
              </w:rPr>
            </w:pPr>
          </w:p>
        </w:tc>
        <w:tc>
          <w:tcPr>
            <w:tcW w:w="1280" w:type="dxa"/>
            <w:vAlign w:val="bottom"/>
            <w:gridSpan w:val="4"/>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1"/>
        </w:trPr>
        <w:tc>
          <w:tcPr>
            <w:tcW w:w="70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020" w:type="dxa"/>
            <w:vAlign w:val="bottom"/>
            <w:tcBorders>
              <w:bottom w:val="single" w:sz="8" w:color="0000EE"/>
            </w:tcBorders>
            <w:gridSpan w:val="19"/>
            <w:vMerge w:val="continue"/>
          </w:tcPr>
          <w:p>
            <w:pPr>
              <w:spacing w:after="0"/>
              <w:rPr>
                <w:sz w:val="15"/>
                <w:szCs w:val="15"/>
                <w:color w:val="auto"/>
              </w:rPr>
            </w:pPr>
          </w:p>
        </w:tc>
        <w:tc>
          <w:tcPr>
            <w:tcW w:w="1280" w:type="dxa"/>
            <w:vAlign w:val="bottom"/>
            <w:gridSpan w:val="4"/>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1"/>
        </w:trPr>
        <w:tc>
          <w:tcPr>
            <w:tcW w:w="49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860" w:type="dxa"/>
            <w:vAlign w:val="bottom"/>
          </w:tcPr>
          <w:p>
            <w:pPr>
              <w:spacing w:after="0"/>
              <w:rPr>
                <w:sz w:val="5"/>
                <w:szCs w:val="5"/>
                <w:color w:val="auto"/>
              </w:rPr>
            </w:pPr>
          </w:p>
        </w:tc>
        <w:tc>
          <w:tcPr>
            <w:tcW w:w="1240" w:type="dxa"/>
            <w:vAlign w:val="bottom"/>
            <w:gridSpan w:val="3"/>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20" w:type="dxa"/>
            <w:vAlign w:val="bottom"/>
            <w:tcBorders>
              <w:bottom w:val="single" w:sz="8" w:color="0000EE"/>
            </w:tcBorders>
            <w:gridSpan w:val="15"/>
            <w:vMerge w:val="continue"/>
          </w:tcPr>
          <w:p>
            <w:pPr>
              <w:spacing w:after="0"/>
              <w:rPr>
                <w:sz w:val="15"/>
                <w:szCs w:val="15"/>
                <w:color w:val="auto"/>
              </w:rPr>
            </w:pPr>
          </w:p>
        </w:tc>
        <w:tc>
          <w:tcPr>
            <w:tcW w:w="860" w:type="dxa"/>
            <w:vAlign w:val="bottom"/>
            <w:vMerge w:val="restart"/>
          </w:tcPr>
          <w:p>
            <w:pPr>
              <w:spacing w:after="0"/>
              <w:rPr>
                <w:sz w:val="15"/>
                <w:szCs w:val="15"/>
                <w:color w:val="auto"/>
              </w:rPr>
            </w:pPr>
          </w:p>
        </w:tc>
        <w:tc>
          <w:tcPr>
            <w:tcW w:w="2520" w:type="dxa"/>
            <w:vAlign w:val="bottom"/>
            <w:gridSpan w:val="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3"/>
        </w:trPr>
        <w:tc>
          <w:tcPr>
            <w:tcW w:w="760" w:type="dxa"/>
            <w:vAlign w:val="bottom"/>
            <w:gridSpan w:val="3"/>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600" w:type="dxa"/>
            <w:vAlign w:val="bottom"/>
            <w:gridSpan w:val="2"/>
          </w:tcPr>
          <w:p>
            <w:pPr>
              <w:spacing w:after="0"/>
              <w:rPr>
                <w:sz w:val="3"/>
                <w:szCs w:val="3"/>
                <w:color w:val="auto"/>
              </w:rPr>
            </w:pPr>
          </w:p>
        </w:tc>
        <w:tc>
          <w:tcPr>
            <w:tcW w:w="1980" w:type="dxa"/>
            <w:vAlign w:val="bottom"/>
            <w:gridSpan w:val="4"/>
          </w:tcPr>
          <w:p>
            <w:pPr>
              <w:spacing w:after="0"/>
              <w:rPr>
                <w:sz w:val="3"/>
                <w:szCs w:val="3"/>
                <w:color w:val="auto"/>
              </w:rPr>
            </w:pPr>
          </w:p>
        </w:tc>
        <w:tc>
          <w:tcPr>
            <w:tcW w:w="860" w:type="dxa"/>
            <w:vAlign w:val="bottom"/>
            <w:vMerge w:val="continue"/>
          </w:tcPr>
          <w:p>
            <w:pPr>
              <w:spacing w:after="0"/>
              <w:rPr>
                <w:sz w:val="3"/>
                <w:szCs w:val="3"/>
                <w:color w:val="auto"/>
              </w:rPr>
            </w:pPr>
          </w:p>
        </w:tc>
        <w:tc>
          <w:tcPr>
            <w:tcW w:w="2520" w:type="dxa"/>
            <w:vAlign w:val="bottom"/>
            <w:gridSpan w:val="7"/>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4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rPr>
              <w:t>Item 4.</w:t>
            </w:r>
          </w:p>
        </w:tc>
        <w:tc>
          <w:tcPr>
            <w:tcW w:w="1800" w:type="dxa"/>
            <w:vAlign w:val="bottom"/>
            <w:tcBorders>
              <w:bottom w:val="single" w:sz="8" w:color="0000EE"/>
            </w:tcBorders>
            <w:gridSpan w:val="8"/>
          </w:tcPr>
          <w:p>
            <w:pPr>
              <w:ind w:left="20"/>
              <w:spacing w:after="0" w:line="174"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00" w:type="dxa"/>
            <w:vAlign w:val="bottom"/>
            <w:gridSpan w:val="2"/>
            <w:vMerge w:val="restart"/>
          </w:tcPr>
          <w:p>
            <w:pPr>
              <w:spacing w:after="0"/>
              <w:rPr>
                <w:sz w:val="16"/>
                <w:szCs w:val="16"/>
                <w:color w:val="auto"/>
              </w:rPr>
            </w:pPr>
          </w:p>
        </w:tc>
        <w:tc>
          <w:tcPr>
            <w:tcW w:w="2840" w:type="dxa"/>
            <w:vAlign w:val="bottom"/>
            <w:gridSpan w:val="5"/>
            <w:vMerge w:val="restart"/>
          </w:tcPr>
          <w:p>
            <w:pPr>
              <w:spacing w:after="0"/>
              <w:rPr>
                <w:sz w:val="16"/>
                <w:szCs w:val="16"/>
                <w:color w:val="auto"/>
              </w:rPr>
            </w:pPr>
          </w:p>
        </w:tc>
        <w:tc>
          <w:tcPr>
            <w:tcW w:w="2520" w:type="dxa"/>
            <w:vAlign w:val="bottom"/>
            <w:gridSpan w:val="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13"/>
          </w:tcPr>
          <w:p>
            <w:pPr>
              <w:jc w:val="center"/>
              <w:ind w:right="236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13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040" w:type="dxa"/>
            <w:vAlign w:val="bottom"/>
            <w:gridSpan w:val="4"/>
            <w:vMerge w:val="restart"/>
          </w:tcPr>
          <w:p>
            <w:pPr>
              <w:spacing w:after="0"/>
              <w:rPr>
                <w:sz w:val="21"/>
                <w:szCs w:val="21"/>
                <w:color w:val="auto"/>
              </w:rPr>
            </w:pPr>
          </w:p>
        </w:tc>
        <w:tc>
          <w:tcPr>
            <w:tcW w:w="2840" w:type="dxa"/>
            <w:vAlign w:val="bottom"/>
            <w:tcBorders>
              <w:top w:val="single" w:sz="8" w:color="0000EE"/>
              <w:bottom w:val="single" w:sz="8" w:color="0000EE"/>
            </w:tcBorders>
            <w:gridSpan w:val="5"/>
            <w:vMerge w:val="restart"/>
          </w:tcPr>
          <w:p>
            <w:pPr>
              <w:spacing w:after="0"/>
              <w:rPr>
                <w:sz w:val="21"/>
                <w:szCs w:val="21"/>
                <w:color w:val="auto"/>
              </w:rPr>
            </w:pPr>
          </w:p>
        </w:tc>
        <w:tc>
          <w:tcPr>
            <w:tcW w:w="2520" w:type="dxa"/>
            <w:vAlign w:val="bottom"/>
            <w:gridSpan w:val="7"/>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1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00" w:type="dxa"/>
            <w:vAlign w:val="bottom"/>
            <w:tcBorders>
              <w:bottom w:val="single" w:sz="8" w:color="0000EE"/>
            </w:tcBorders>
            <w:gridSpan w:val="5"/>
            <w:vMerge w:val="continue"/>
          </w:tcPr>
          <w:p>
            <w:pPr>
              <w:spacing w:after="0"/>
              <w:rPr>
                <w:sz w:val="15"/>
                <w:szCs w:val="15"/>
                <w:color w:val="auto"/>
              </w:rPr>
            </w:pPr>
          </w:p>
        </w:tc>
        <w:tc>
          <w:tcPr>
            <w:tcW w:w="280" w:type="dxa"/>
            <w:vAlign w:val="bottom"/>
            <w:vMerge w:val="restart"/>
          </w:tcPr>
          <w:p>
            <w:pPr>
              <w:spacing w:after="0"/>
              <w:rPr>
                <w:sz w:val="15"/>
                <w:szCs w:val="15"/>
                <w:color w:val="auto"/>
              </w:rPr>
            </w:pPr>
          </w:p>
        </w:tc>
        <w:tc>
          <w:tcPr>
            <w:tcW w:w="6420" w:type="dxa"/>
            <w:vAlign w:val="bottom"/>
            <w:gridSpan w:val="1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3"/>
        </w:trPr>
        <w:tc>
          <w:tcPr>
            <w:tcW w:w="760" w:type="dxa"/>
            <w:vAlign w:val="bottom"/>
            <w:gridSpan w:val="3"/>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6420" w:type="dxa"/>
            <w:vAlign w:val="bottom"/>
            <w:gridSpan w:val="17"/>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4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rPr>
              <w:t>Item 5.</w:t>
            </w:r>
          </w:p>
        </w:tc>
        <w:tc>
          <w:tcPr>
            <w:tcW w:w="1340" w:type="dxa"/>
            <w:vAlign w:val="bottom"/>
            <w:tcBorders>
              <w:bottom w:val="single" w:sz="8" w:color="0000EE"/>
            </w:tcBorders>
            <w:gridSpan w:val="5"/>
          </w:tcPr>
          <w:p>
            <w:pPr>
              <w:ind w:left="20"/>
              <w:spacing w:after="0" w:line="174"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420" w:type="dxa"/>
            <w:vAlign w:val="bottom"/>
            <w:gridSpan w:val="1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rPr>
              <w:t>Item 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gridSpan w:val="2"/>
          </w:tcPr>
          <w:p>
            <w:pPr>
              <w:spacing w:after="0"/>
              <w:rPr>
                <w:sz w:val="5"/>
                <w:szCs w:val="5"/>
                <w:color w:val="auto"/>
              </w:rPr>
            </w:pPr>
          </w:p>
        </w:tc>
        <w:tc>
          <w:tcPr>
            <w:tcW w:w="6420" w:type="dxa"/>
            <w:vAlign w:val="bottom"/>
            <w:gridSpan w:val="1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40" w:type="dxa"/>
            <w:vAlign w:val="bottom"/>
            <w:tcBorders>
              <w:bottom w:val="single" w:sz="8" w:color="0000EE"/>
            </w:tcBorders>
            <w:vMerge w:val="continue"/>
          </w:tcPr>
          <w:p>
            <w:pPr>
              <w:spacing w:after="0"/>
              <w:rPr>
                <w:sz w:val="15"/>
                <w:szCs w:val="15"/>
                <w:color w:val="auto"/>
              </w:rPr>
            </w:pPr>
          </w:p>
        </w:tc>
        <w:tc>
          <w:tcPr>
            <w:tcW w:w="620" w:type="dxa"/>
            <w:vAlign w:val="bottom"/>
            <w:tcBorders>
              <w:bottom w:val="single" w:sz="8" w:color="0000EE"/>
            </w:tcBorders>
            <w:gridSpan w:val="3"/>
            <w:vMerge w:val="continue"/>
          </w:tcPr>
          <w:p>
            <w:pPr>
              <w:spacing w:after="0"/>
              <w:rPr>
                <w:sz w:val="15"/>
                <w:szCs w:val="15"/>
                <w:color w:val="auto"/>
              </w:rPr>
            </w:pPr>
          </w:p>
        </w:tc>
        <w:tc>
          <w:tcPr>
            <w:tcW w:w="7140" w:type="dxa"/>
            <w:vAlign w:val="bottom"/>
            <w:gridSpan w:val="19"/>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43"/>
        </w:trPr>
        <w:tc>
          <w:tcPr>
            <w:tcW w:w="5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7140" w:type="dxa"/>
            <w:vAlign w:val="bottom"/>
            <w:gridSpan w:val="19"/>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Signatures</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right="199" w:firstLine="648"/>
        <w:spacing w:after="0" w:line="231"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GAVRETO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193" w:lineRule="exact"/>
        <w:rPr>
          <w:sz w:val="20"/>
          <w:szCs w:val="20"/>
          <w:color w:val="auto"/>
        </w:rPr>
      </w:pPr>
    </w:p>
    <w:p>
      <w:pPr>
        <w:ind w:left="1380" w:right="55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08" w:lineRule="exact"/>
        <w:rPr>
          <w:rFonts w:ascii="Times New Roman" w:cs="Times New Roman" w:eastAsia="Times New Roman" w:hAnsi="Times New Roman"/>
          <w:sz w:val="18"/>
          <w:szCs w:val="18"/>
          <w:color w:val="auto"/>
        </w:rPr>
      </w:pPr>
    </w:p>
    <w:p>
      <w:pPr>
        <w:ind w:left="1380" w:right="279" w:hanging="331"/>
        <w:spacing w:after="0" w:line="209"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expand out our commercial infrastructure and successfully launching, marketing and selling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GAVRETO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(pralsetinib) and any current and future drug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380" w:right="5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timelines and expectations for interactions with the U.S. Food and Drug Administration (FDA) and other regulatory authorities;</w:t>
      </w:r>
    </w:p>
    <w:p>
      <w:pPr>
        <w:spacing w:after="0" w:line="80"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timelines to update the primary endpoint of the registrational PIONEER trial of AYVAKIT in patients with non-advanced SM;</w:t>
      </w:r>
    </w:p>
    <w:p>
      <w:pPr>
        <w:spacing w:after="0" w:line="94" w:lineRule="exact"/>
        <w:rPr>
          <w:rFonts w:ascii="Times New Roman" w:cs="Times New Roman" w:eastAsia="Times New Roman" w:hAnsi="Times New Roman"/>
          <w:sz w:val="18"/>
          <w:szCs w:val="18"/>
          <w:color w:val="auto"/>
        </w:rPr>
      </w:pPr>
    </w:p>
    <w:p>
      <w:pPr>
        <w:ind w:left="1380" w:right="35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AYVAKIT in treating patients with non-advanced SM and advanced SM;</w:t>
      </w:r>
    </w:p>
    <w:p>
      <w:pPr>
        <w:spacing w:after="0" w:line="94" w:lineRule="exact"/>
        <w:rPr>
          <w:rFonts w:ascii="Times New Roman" w:cs="Times New Roman" w:eastAsia="Times New Roman" w:hAnsi="Times New Roman"/>
          <w:sz w:val="18"/>
          <w:szCs w:val="18"/>
          <w:color w:val="auto"/>
        </w:rPr>
      </w:pPr>
    </w:p>
    <w:p>
      <w:pPr>
        <w:ind w:left="1380" w:right="41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GAVRETO and any current and future drug candidates for which we receive marketing approval;</w:t>
      </w:r>
    </w:p>
    <w:p>
      <w:pPr>
        <w:spacing w:after="0" w:line="80"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GAVRETO and any current and future drug candidates for which we receive marketing approval;</w:t>
      </w:r>
    </w:p>
    <w:p>
      <w:pPr>
        <w:spacing w:after="0" w:line="94"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as monotherapies or in combination with other agents and research and development programs;</w:t>
      </w:r>
    </w:p>
    <w:p>
      <w:pPr>
        <w:spacing w:after="0" w:line="10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44"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08"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94"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hanging="331"/>
        <w:spacing w:after="0" w:line="25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BLU-701 and BLU-945 as inhibitors of epidermal growth factor receptor (EGFR), and our collaboration with Proteovant Therapeutics to discover and advance novel targeted protein degrader therapies, as well as our ability to maintain these collaborations and establish additional strategic collaborations;</w:t>
      </w:r>
    </w:p>
    <w:p>
      <w:pPr>
        <w:spacing w:after="0" w:line="124"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to develop and commercialize BLU-782 for fibrodysplasia ossificans progressiva;</w:t>
      </w:r>
    </w:p>
    <w:p>
      <w:pPr>
        <w:spacing w:after="0" w:line="94" w:lineRule="exact"/>
        <w:rPr>
          <w:rFonts w:ascii="Times New Roman" w:cs="Times New Roman" w:eastAsia="Times New Roman" w:hAnsi="Times New Roman"/>
          <w:sz w:val="18"/>
          <w:szCs w:val="18"/>
          <w:color w:val="auto"/>
        </w:rPr>
      </w:pPr>
    </w:p>
    <w:p>
      <w:pPr>
        <w:ind w:left="1380" w:right="319" w:hanging="331"/>
        <w:spacing w:after="0" w:line="25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strategic financing transactions with Garnich Adjacent Investments S.a.r.l. (Sixth Street Partners) and Royalty Pharma Investments 2019 ICAV (Royalty Pharma) and the potential acceleration of our commercial products and pipeline resulting from the non-dilutive growth capital;</w:t>
      </w:r>
    </w:p>
    <w:p>
      <w:pPr>
        <w:spacing w:after="0" w:line="10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157"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9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44"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the FDA, such as orphan drug, fast track and breakthrough therapy designation or priority review; and</w:t>
      </w:r>
    </w:p>
    <w:p>
      <w:pPr>
        <w:spacing w:after="0" w:line="94" w:lineRule="exact"/>
        <w:rPr>
          <w:rFonts w:ascii="Times New Roman" w:cs="Times New Roman" w:eastAsia="Times New Roman" w:hAnsi="Times New Roman"/>
          <w:sz w:val="18"/>
          <w:szCs w:val="18"/>
          <w:color w:val="auto"/>
        </w:rPr>
      </w:pPr>
    </w:p>
    <w:p>
      <w:pPr>
        <w:ind w:left="1380" w:right="139" w:hanging="331"/>
        <w:spacing w:after="0" w:line="253"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 party products intended for use as combination therapies or as comparator agents, and the launch, marketing, sale and commercial supply of AYVAKIT/AYVAKYT, GAVRETO and any current or future drug candidates for which we receive marketing approval.</w:t>
      </w:r>
    </w:p>
    <w:p>
      <w:pPr>
        <w:spacing w:after="0" w:line="12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77"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64"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94"/>
        </w:trPr>
        <w:tc>
          <w:tcPr>
            <w:tcW w:w="66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209,948</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679,712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267,166</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25,155</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21,817</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34,204</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952,179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554,025</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94,048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557,529</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90,162</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14,638</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1,192,446</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1,252,225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121,829</w:t>
            </w:r>
          </w:p>
        </w:tc>
        <w:tc>
          <w:tcPr>
            <w:tcW w:w="0" w:type="dxa"/>
            <w:vAlign w:val="bottom"/>
          </w:tcPr>
          <w:p>
            <w:pPr>
              <w:spacing w:after="0"/>
              <w:rPr>
                <w:sz w:val="1"/>
                <w:szCs w:val="1"/>
                <w:color w:val="auto"/>
              </w:rPr>
            </w:pPr>
          </w:p>
        </w:tc>
      </w:tr>
      <w:tr>
        <w:trPr>
          <w:trHeight w:val="175"/>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deferred revenue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11,510</w:t>
            </w:r>
          </w:p>
        </w:tc>
        <w:tc>
          <w:tcPr>
            <w:tcW w:w="0" w:type="dxa"/>
            <w:vAlign w:val="bottom"/>
          </w:tcPr>
          <w:p>
            <w:pPr>
              <w:spacing w:after="0"/>
              <w:rPr>
                <w:sz w:val="1"/>
                <w:szCs w:val="1"/>
                <w:color w:val="auto"/>
              </w:rPr>
            </w:pPr>
          </w:p>
        </w:tc>
      </w:tr>
      <w:tr>
        <w:trPr>
          <w:trHeight w:val="175"/>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Liability related to the sale of future royalties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158,760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149,765</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98,160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103,315</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25,066</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Liability related to the sale of future royalties, net of current portion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165,742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281,490</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$0.001 par value; 5,000,000 shares authorized; no shares issued and outstanding</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66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 $0.001 par value; 120,000,000 shares authorized; 59,688,295 and 59,141,086 shares issued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June 30, 2022 and December 31, 2021, respectively</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2,303,087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2,250,250</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(1,541,149)</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(1,275,441)</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747,750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970,735</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1,192,446</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1,252,225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(207,966)</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(108,444)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(208,159)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losses on available-for-sale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(109,182)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(208,779)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51"/>
        </w:trPr>
        <w:tc>
          <w:tcPr>
            <w:tcW w:w="484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loss per</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 basic and diluted</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59"/>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Blueprint Medicines Corporation Condensed Consolidated Statements of Stockholders’ Equity (in thousands, except share data) </w:t>
      </w:r>
      <w:r>
        <w:rPr>
          <w:rFonts w:ascii="Times New Roman" w:cs="Times New Roman" w:eastAsia="Times New Roman" w:hAnsi="Times New Roman"/>
          <w:sz w:val="18"/>
          <w:szCs w:val="18"/>
          <w:b w:val="1"/>
          <w:bCs w:val="1"/>
          <w:i w:val="1"/>
          <w:iCs w:val="1"/>
          <w:color w:val="auto"/>
        </w:rPr>
        <w:t>(Unaudited)</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77"/>
              <w:spacing w:after="0" w:line="144"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7"/>
              <w:spacing w:after="0" w:line="144"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59,141,086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2,250,250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(4,133)</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(1,275,441)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414,888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2022</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59,555,974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2,275,156</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(12,110)</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(1,381,440)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881,666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2022</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59,688,295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2,303,087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(14,248)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(1,541,149)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747,750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57,793,533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2,106,600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(631,356)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2021</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58,277,412</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2,136,130</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(5,097)</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(731,070)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June 30,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58,554,559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2,174,094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1,328,804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10"/>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400,500</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the sale of future royalties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689,804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539,488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incurred but unpaid at period end</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5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1,829</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7"/>
        </w:trPr>
        <w:tc>
          <w:tcPr>
            <w:tcW w:w="61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taxes, net</w:t>
            </w: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771</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r>
      <w:tr>
        <w:trPr>
          <w:trHeight w:val="17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173,399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534,317</w:t>
            </w:r>
          </w:p>
        </w:tc>
        <w:tc>
          <w:tcPr>
            <w:tcW w:w="80" w:type="dxa"/>
            <w:vAlign w:val="bottom"/>
            <w:shd w:val="clear" w:color="auto" w:fill="CCEEFF"/>
          </w:tcPr>
          <w:p>
            <w:pPr>
              <w:spacing w:after="0"/>
              <w:rPr>
                <w:sz w:val="15"/>
                <w:szCs w:val="15"/>
                <w:color w:val="auto"/>
              </w:rPr>
            </w:pPr>
          </w:p>
        </w:tc>
      </w:tr>
      <w:tr>
        <w:trPr>
          <w:trHeight w:val="17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80" w:type="dxa"/>
            <w:vAlign w:val="bottom"/>
            <w:tcBorders>
              <w:bottom w:val="single" w:sz="8" w:color="CCEEFF"/>
            </w:tcBorders>
          </w:tcPr>
          <w:p>
            <w:pPr>
              <w:spacing w:after="0"/>
              <w:rPr>
                <w:sz w:val="15"/>
                <w:szCs w:val="15"/>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condensed consolidated statements of cash flows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178,570</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539,488</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w:t>
      </w:r>
    </w:p>
    <w:p>
      <w:pPr>
        <w:spacing w:after="0" w:line="187"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approved precision therapies and is globally advancing multiple programs for systemic mastocytosis (SM), lung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87"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2022, the Company had cash, cash equivalents and marketable securities of $947.2 million. Based on the Company’s current operating plans, the Company anticipates that its existing cash, cash equivalents and marketable securities will </w:t>
      </w:r>
      <w:r>
        <w:rPr>
          <w:rFonts w:ascii="Times New Roman" w:cs="Times New Roman" w:eastAsia="Times New Roman" w:hAnsi="Times New Roman"/>
          <w:sz w:val="18"/>
          <w:szCs w:val="18"/>
          <w:color w:val="212529"/>
        </w:rPr>
        <w:t>be sufficient to enable it to fund its current operations for at least the next twelve months from the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2021 and notes thereto included in the Company’s Annual Report on Form 10-K for the year ended December 31, 2021, filed with the SEC on February 17, 2022 (2021 Annual Report on Form 10-K).</w:t>
      </w:r>
    </w:p>
    <w:p>
      <w:pPr>
        <w:spacing w:after="0" w:line="19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June 30, 2022, the results of its operations for the three and six months ended June 30, 2022 and 2021, stockholder’s equity for the three and six months ended June 30, 2022 and 2021 and cash flows for six months ended June 30, 2022 and 2021. Such adjustments are of a normal and recurring nature. The results for the three and six months ended June 30, 2022 are not necessarily indicative of the results for the year ending December 31, 2022 or for any future period.</w:t>
      </w:r>
    </w:p>
    <w:p>
      <w:pPr>
        <w:spacing w:after="0" w:line="19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Lengo Therapeutics, Inc. (Lengo), which was acquired on December 30, 2021, was dissolved in June 2022. All intercompany transactions and balances have been eliminated.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liability related to the sale of future royalties, and income taxes. The length of time and full extent to which the ongoing COVID-19 pandemic will directly or indirectly impact the Company’s business, results of operations and financial condition, including revenues, expenses, reserves and allowances, manufacturing and supply,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 The Russian invasion of Ukraine has not had a material impact on the Company’s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six months ended June 30, 2022 are consistent with those discussed in Note 2 to the consolidated financial statements in the 2021 Annual Report on Form 10-K, with the below exception.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Liability related to the sale of future royalties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accounts for net proceeds from sales of the Company’s rights to receive future royalty payments as a liability related to the sale of future royalties if the Company has significant continuing involvement in the generation of the related future cash flows. Interest on the liability related to the sale of future royalties will be recognized using the effective interest rate method over the life of the related royalty stream. The liability related to the sale of future royalties and the related interest expenses are based on the Company’s current estimates of future royalties and commercial milestones expected to be achieved and received over the life of the arrangement, which the Company determines by using forecasts of the underlying drug products of the underlying regions. The Company will periodically assess the expected payments and to the extent the amount or timing of the future estimated payments is materially different than previous estimates, the Company will account for any such change by adjusting the liability related to the sale of future royalties and prospectively recognizing the related interest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1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Liability Related to The Sale of Future Royalties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and U.S. territory under the terms of the Roche pralsetinib collaboration agreement.</w:t>
      </w:r>
    </w:p>
    <w:p>
      <w:pPr>
        <w:spacing w:after="0" w:line="187"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Although the Company sold all of the rights to receive royalties on the net sales of GAVRETO worldwide excluding the CStone territory and U.S. territory to Royalty Pharma, the Company continues to co-develop pralsetinib</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with Roche globally and are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on the consolidated balance sheet. The Company will amortize the $175.0 million, net of transaction costs of $3.7 million using the effective interest method over the estimated life of the arrangement.</w:t>
      </w:r>
    </w:p>
    <w:p>
      <w:pPr>
        <w:spacing w:after="0" w:line="175"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As payments are made to Royalty Pharma, the balance of the liability will be effectively repaid over the life of the royalty purchase agreement. In order to determine the amortization of the liability, the Company estimates the total amount of future royalty payments to be received by the Company and paid to Royalty Pharma over the life of the arrangement.</w:t>
      </w:r>
    </w:p>
    <w:p>
      <w:pPr>
        <w:spacing w:after="0" w:line="2"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The exact amount of repayment is likely to change each reporting period. The Company will periodically assess the expected payments to Royalty Pharma and will prospectively adjust the amortization of the liability related to the sale of future royalties for material changes in such payments.</w:t>
      </w:r>
    </w:p>
    <w:p>
      <w:pPr>
        <w:spacing w:after="0" w:line="186" w:lineRule="exact"/>
        <w:rPr>
          <w:sz w:val="20"/>
          <w:szCs w:val="20"/>
          <w:color w:val="auto"/>
        </w:rPr>
      </w:pPr>
    </w:p>
    <w:p>
      <w:pPr>
        <w:jc w:val="both"/>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the carrying value of the liability related to the sale of future royalties was $171.3 million, net of closing costs of $3.7 million. The carrying value of the liability related to the sale of future royalties approximates fair value as of June 30,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closing costs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June 30, 2022</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39" w:firstLine="648"/>
        <w:spacing w:after="0" w:line="261" w:lineRule="auto"/>
        <w:rPr>
          <w:sz w:val="20"/>
          <w:szCs w:val="20"/>
          <w:color w:val="auto"/>
        </w:rPr>
      </w:pPr>
      <w:r>
        <w:rPr>
          <w:rFonts w:ascii="Times New Roman" w:cs="Times New Roman" w:eastAsia="Times New Roman" w:hAnsi="Times New Roman"/>
          <w:sz w:val="18"/>
          <w:szCs w:val="18"/>
          <w:color w:val="auto"/>
        </w:rPr>
        <w:t>Pursuant to the royalty purchase agreement, the Company is eligible to receive certain milestone payments totaling up to $165.0 million, subject to the achievement of specified net sales milestones by Roche. The potential milestone payments will be added to the carrying value of the liability related to sale of future royalties when the milestones are achieved and received.</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June 30, 2022 and December 31, 2021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20" w:type="dxa"/>
            <w:vAlign w:val="bottom"/>
            <w:tcBorders>
              <w:bottom w:val="single" w:sz="8" w:color="CCEEFF"/>
            </w:tcBorders>
            <w:gridSpan w:val="2"/>
            <w:vMerge w:val="continue"/>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42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335,643</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786,777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5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2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328,801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827,383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0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Company held 77 debt securities that were in an unrealized loss position with an aggregate fair value of $773.8 million. Of the 77 debt securities, 3 were in an unrealized loss position for more than twelve months with an aggregate fair value of $39.2 million. As of December 31, 2021, the Company held 74 debt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securities that were in an unrealized loss position with an aggregate fair value of $750.5 million. As of December 31, 2021,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and six months ended June 30, 2022 and 2021.</w:t>
      </w:r>
    </w:p>
    <w:p>
      <w:pPr>
        <w:spacing w:after="0" w:line="16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2022, 14 securities with an aggregate fair value of $94.0 million had remaining maturities between one year and five years. As of December 31, 2021, 56 </w:t>
      </w:r>
      <w:r>
        <w:rPr>
          <w:rFonts w:ascii="Times New Roman" w:cs="Times New Roman" w:eastAsia="Times New Roman" w:hAnsi="Times New Roman"/>
          <w:sz w:val="18"/>
          <w:szCs w:val="18"/>
          <w:color w:val="212529"/>
        </w:rPr>
        <w:t>securities with an aggregate fair value of $557.5 million had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remaining maturities between one year and five years.</w:t>
      </w:r>
    </w:p>
    <w:p>
      <w:pPr>
        <w:spacing w:after="0" w:line="18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212529"/>
        </w:rPr>
        <w:t>The Company received proceeds of $79.6 million from maturities of debt securities for the three and six months ended June 30, 2022, and $185.1 million and $400.5 million for the three and six months ended June 30, 2021, respectively. The Company did not realize any gains or losses from maturities of debt securities for the three and six months ended June 30, 2022 and 2021.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June 30, 2022 (in thousands):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6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4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5"/>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338,283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December 31,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400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5"/>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$ 118,880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943,575</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$ 446,432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Product Revenue Reserves and Allowances</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September 2020, the FDA granted accelerated approval of GAVRETO for the treatment of adult patients with metastatic RET fusion-positive non-small cell lung cancer (NSCLC) as detected by an FDA approved test.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recorded net product revenue from the U.S. product sales of GAVRETO in 2021 until it transferred, on July 1, 2021, certain responsibilities associated with product sales to customers, pricing and distribution matters related to U.S. product sales of GAVRETO to its collaboration partner. The Company did not record any net product revenue from product sales of GAVRETO subsequent to this transition date. For additional information, see Note 10,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revenue recognized from product sales for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2021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48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5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9"/>
                <w:szCs w:val="19"/>
                <w:color w:val="auto"/>
              </w:rPr>
            </w:pPr>
          </w:p>
        </w:tc>
      </w:tr>
      <w:tr>
        <w:trPr>
          <w:trHeight w:val="196"/>
        </w:trPr>
        <w:tc>
          <w:tcPr>
            <w:tcW w:w="5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09"/>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w:t>
            </w: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six months ended June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6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product sales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0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June 30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total reserves that are included in the Company’s unaudited condensed consolidated balance sheets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December 31, 2021, are summarized as follows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5"/>
        </w:trPr>
        <w:tc>
          <w:tcPr>
            <w:tcW w:w="6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1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June 30, 2022 and December 31,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The Company did not recognize any material write-down for the three and six months ended June 30, 2022 and the three and six months ended June 30, 2021. Long-term inventory, which primarily consists of work in process and raw materials, is included in other assets in the unaudited condensed consolidated balance sheets.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Restricted Cash</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$5.2 million and $5.2 million, respectively, of the Company’s cash is restricted by a bank primarily related to security deposits for the Company’s building lease agreements.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Revenue-related reserves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121,829</w:t>
            </w: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February 2022, the Company entered into an exclusive collaboration agreement (the Proteovant collaboration agreement) with Oncopia Therapeutics, Inc., d/b/a Proteovant Therapeutics, Inc., (Proteovant), pursuant to which the parties will jointly research and advance up to two novel protein degrader therapies into development candidates, as well as up to two additional novel protein degrader target programs as may be mutually agreed to by the Company and Proteovant (each a target program). 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that Proteovant is providing the Company with research services throughout the period until the Company can exercise its option to obtain a worldwide, exclusive license to develop and commercialize any licensed compound. Therefore, the Company recorded the $20.0 million upfront payment as an asset on the unaudited condensed consolidated financial statements and will record it as research and development expense over the expected research period. During the three and six months ended June 30, 2022, the Company recorded research and development expense of $1.0 million and $1.5 million, respectively, under the Proteovant collaboration agreement. The Company will reevaluate the research period at the end of each reporting period and as any changes in circumstances occur, and if necessary, the Company will adjust its estimate of expected research period accordingly. Each research and development milestone payment will be accrued and expensed when probable.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pursuant to which the Company granted Zai Lab exclusive rights to develop and commercialize the Company’s drug candidates BLU-701 and BLU-945 for the treatment of EGFR-driven non-small cell lung cancer in Greater China, including Mainland China, Hong Kong, Macau and Taiwan (collectively, the Zai Lab territory), either as a monotherapy or as part of a combination therapy. The Company retains exclusive rights to the licensed products outside the Zai Lab territory.</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will be responsible for costs related to clinical trials in the Zai Lab territory, other than the specified shared services costs as defined in the Zai Lab agreement which will be shared by the Company and Zai Lab.</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83" w:lineRule="exact"/>
        <w:rPr>
          <w:sz w:val="20"/>
          <w:szCs w:val="20"/>
          <w:color w:val="auto"/>
        </w:rPr>
      </w:pPr>
    </w:p>
    <w:p>
      <w:pPr>
        <w:jc w:val="both"/>
        <w:ind w:left="60" w:right="79" w:firstLine="648"/>
        <w:spacing w:after="0" w:line="230" w:lineRule="auto"/>
        <w:rPr>
          <w:sz w:val="20"/>
          <w:szCs w:val="20"/>
          <w:color w:val="auto"/>
        </w:rPr>
      </w:pPr>
      <w:r>
        <w:rPr>
          <w:rFonts w:ascii="Times New Roman" w:cs="Times New Roman" w:eastAsia="Times New Roman" w:hAnsi="Times New Roman"/>
          <w:sz w:val="17"/>
          <w:szCs w:val="17"/>
          <w:color w:val="auto"/>
        </w:rPr>
        <w:t>The Zai Lab agreement will continue on a licensed product-by-product and region-by-region basis until the later of (i)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anniversary of the date of the first commercial sale of a licensed product in the Zai Lab territory, (ii) the date of expiration of the last valid patent claim related to the Company’s patent rights of the product in the Zai Lab territory, and</w:t>
      </w:r>
    </w:p>
    <w:p>
      <w:pPr>
        <w:spacing w:after="0" w:line="3" w:lineRule="exact"/>
        <w:rPr>
          <w:sz w:val="20"/>
          <w:szCs w:val="20"/>
          <w:color w:val="auto"/>
        </w:rPr>
      </w:pPr>
    </w:p>
    <w:p>
      <w:pPr>
        <w:ind w:left="60" w:right="179" w:hanging="10"/>
        <w:spacing w:after="0" w:line="249"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development activities, including manufacturing, are accounted for as a reduction of related expenses. During the three and six months ended June 30, 2022, no material reduction of expenses was recorded from the Zai Lab agreement.</w:t>
      </w:r>
    </w:p>
    <w:p>
      <w:pPr>
        <w:spacing w:after="0" w:line="16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9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and are recognized as revenue. During the three and six months ended June 30, 2022, the Company recorded $0.5 million and $0.6 million, respectively, in revenue related to Zai Lab territory specific activities in the unaudited condensed consolidated financial statements.</w:t>
      </w:r>
    </w:p>
    <w:p>
      <w:pPr>
        <w:spacing w:after="0" w:line="19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ASC 606, the transaction price of the Zai Lab agreement as of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during the year ended December 31, 2021.</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and through June 30, 2022, the Company has received an aggregate of $105.0 million in specified regulatory and commercialization milestones. In addition to the upfront and milestone payments received through June 30, 2022, the Company is eligible to receive up to $822.0 million in contingent payments, including specified development,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regulatory and sales-based milestones for pralsetinib and any licensed product containing a next-generation RET compound.</w:t>
      </w:r>
    </w:p>
    <w:p>
      <w:pPr>
        <w:spacing w:after="0" w:line="162"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39" w:lineRule="exact"/>
        <w:rPr>
          <w:sz w:val="20"/>
          <w:szCs w:val="20"/>
          <w:color w:val="auto"/>
        </w:rPr>
      </w:pPr>
    </w:p>
    <w:p>
      <w:pPr>
        <w:ind w:left="60" w:right="199" w:hanging="10"/>
        <w:spacing w:after="0" w:line="266" w:lineRule="auto"/>
        <w:tabs>
          <w:tab w:leader="none" w:pos="2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7" w:lineRule="exact"/>
        <w:rPr>
          <w:sz w:val="20"/>
          <w:szCs w:val="20"/>
          <w:color w:val="auto"/>
        </w:rPr>
      </w:pPr>
    </w:p>
    <w:p>
      <w:pPr>
        <w:ind w:left="60" w:right="699" w:firstLine="648"/>
        <w:spacing w:after="0" w:line="312" w:lineRule="auto"/>
        <w:rPr>
          <w:sz w:val="20"/>
          <w:szCs w:val="20"/>
          <w:color w:val="auto"/>
        </w:rPr>
      </w:pPr>
      <w:r>
        <w:rPr>
          <w:rFonts w:ascii="Times New Roman" w:cs="Times New Roman" w:eastAsia="Times New Roman" w:hAnsi="Times New Roman"/>
          <w:sz w:val="17"/>
          <w:szCs w:val="17"/>
          <w:color w:val="auto"/>
        </w:rPr>
        <w:t>The Company evaluated the Roche territory activities under ASC 606 and identified one material promise associated with manufacturing activities related to development and commercial supply of pralsetinib in the Roche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are recognized when the related sales occur. Costs that are incurred associated with the Roche territory activities are reimbursable from Roche and are recognized as revenue.</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June 30, 2022, the Company has achieved an aggregate of $105.0 million in specified regulatory and commercialization milestones and added the $105.0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8"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three and six months ended June 30, 2022 and 2021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2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5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2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territory-specific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w:t>
      </w:r>
    </w:p>
    <w:p>
      <w:pPr>
        <w:spacing w:after="0" w:line="188"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recognized from collaboration loss sharing after Roche became the principal for product sales of GAVRETO to customers in the U.S.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5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9"/>
                <w:szCs w:val="19"/>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share of loss in the U.S. for pralsetinib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recognized as reductions to selling, general and administrative expenses related to the commercialization of GAVRETO in the U.S. and reductions to or increases in research and development expenses related to global development activities for pralsetinib under the Roche pralsetinib collaboration during the three and six months ended June 30, 2022 and 2021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2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5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9"/>
                <w:szCs w:val="19"/>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to 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(increases in)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r>
    </w:tbl>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 assets associated with the Roche pralsetinib collaboration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December 31, 2021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bl>
    <w:p>
      <w:pPr>
        <w:spacing w:after="0" w:line="22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2022, although the Company sold its right to receive royalty payments from Roche’s sales of GAVRETO in Roche territory to Royalty Pharma, given the Company’s significant continuing involvement in the generation of future royalties, the Company continues to account for any royalties and development and commercialization milestones earned related to the Roche territory activities under the Roche pralsetinib collaboration agreement as collaboration revenue on its consolidated statements of operations and comprehensive loss. For additional information, see Note 3 – </w:t>
      </w:r>
      <w:r>
        <w:rPr>
          <w:rFonts w:ascii="Times New Roman" w:cs="Times New Roman" w:eastAsia="Times New Roman" w:hAnsi="Times New Roman"/>
          <w:sz w:val="18"/>
          <w:szCs w:val="18"/>
          <w:i w:val="1"/>
          <w:iCs w:val="1"/>
          <w:color w:val="auto"/>
        </w:rPr>
        <w:t>Liability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sale of future royalties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8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Under the Clementia agreement, the Company received an upfront cash payment of $25.0 million and through June 30, 2022, the Company has received an aggregate of $50.0 million in cash milestone payments. Subject to the terms of the Clementia agreement, in addition to the upfront and milestone payments received through June 30, 2022,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 for a total of $1.5 million.</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7"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The Company determined that the transaction price as of the outset of the arrangement was $46.5 million, which consisted of the upfront amount of $25.0 million, the $20.0 million cash milestone payment received in the third quarter of 2020, the purchase of existing manufacturing inventory of $1.2 million and the purchase of in-process manufacturing inventory of $0.3 million. The transaction price was allocated to the three performance obligations on a relative stand-alone selling price basis. The Company satisfied the performance obligations upon delivery of the license and completion of the technology transfer and inventory transfers. During 2019, the Company completed the delivery of the license, the technology transfer and the transfer of existing manufacturing inventory and recognized a total of $46.2 million as revenue.</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During the three months ended June 30, 2022, no revenue was recognized from the Clementia collaboration. During the six months ended June 30,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2021, no material revenue was recognized from the Clementia collaboration. There was no revenue deferred as a contract liability associated with the Clementia agreement as of June 30, 2022 and December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June 30, 2022, the Company has achieved an aggregate of $27.0 million in milestones under this collaboration. Subject to the terms of the CStone agreement, in addition to the upfront payments received and milestones achieved through June 30, 2022, the Company will be eligible to receive up to $319.0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agreement, including license grants to enable each party to conduct research, development and commercialization activities pursuant to the terms of the CStone agreement.</w:t>
      </w:r>
    </w:p>
    <w:p>
      <w:pPr>
        <w:spacing w:after="0" w:line="16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are accounted for as a reduction of related expenses.</w:t>
      </w:r>
    </w:p>
    <w:p>
      <w:pPr>
        <w:spacing w:after="0" w:line="194"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 summary of manufacturing and research and development services related to the global development activities, net of expenses payable to CStone during the three and six months ended June 30, 2022 and 2021 is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r>
      <w:tr>
        <w:trPr>
          <w:trHeight w:val="174"/>
        </w:trPr>
        <w:tc>
          <w:tcPr>
            <w:tcW w:w="5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4"/>
        </w:trPr>
        <w:tc>
          <w:tcPr>
            <w:tcW w:w="54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 global</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4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activities, net of expenses payable to CStone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bl>
    <w:p>
      <w:pPr>
        <w:spacing w:after="0" w:line="23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performance obligations. As such, the Company determined that these six material promises, described above, should be combined into one performance obligation for each of the three candidates.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0"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76"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year ended December 31, 2018.</w:t>
      </w:r>
    </w:p>
    <w:p>
      <w:pPr>
        <w:spacing w:after="0" w:line="18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did not achieve any milestones under the CStone agreement during the three months ended June 30, 2022 and 2021. During the six months ended June 30, 2022 and 2021, cash considerations associated with achieved regulatory and development milestones of $4.0 million and $9.0 million, respectively, were added to the estimated transaction price for the CStone agreement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9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2021, the Company entered into commercial supply agreements and an avapritinib manufacturing technology transfer agreement with CStone related to supply of drug substance of avapritinib and drug product of avapritinib and pralsetinib to assist CStone’s commercialization activities conducted specifically for the CStone territory. In the first quarter of 2022, the Company entered into a pralsetinib manufacturing technology transfer agreement with CStone related to supply of drug substance of pralsetinib.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revenue recognized under the CStone agreement during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2021 is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2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198"/>
        </w:trPr>
        <w:tc>
          <w:tcPr>
            <w:tcW w:w="5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specific activities</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contract assets associated with the CStone collaboration as of June 30,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4"/>
        </w:trPr>
        <w:tc>
          <w:tcPr>
            <w:tcW w:w="6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8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r>
    </w:tbl>
    <w:p>
      <w:pPr>
        <w:spacing w:after="0" w:line="19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$4.6 million of deferred revenue as a contract liability associated with the CStone collaboration. This contract liability results primarily from advance payments made by CStone in connection with commercial supply of pralsetinib for the CStone territory. The contract liability associated with the CStone collaboration was $4.8 million at December 31, 2021.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83" w:lineRule="exact"/>
        <w:rPr>
          <w:sz w:val="20"/>
          <w:szCs w:val="20"/>
          <w:color w:val="auto"/>
        </w:rPr>
      </w:pPr>
    </w:p>
    <w:p>
      <w:pPr>
        <w:ind w:left="60" w:right="119" w:firstLine="693"/>
        <w:spacing w:after="0" w:line="252" w:lineRule="auto"/>
        <w:rPr>
          <w:sz w:val="20"/>
          <w:szCs w:val="20"/>
          <w:color w:val="auto"/>
        </w:rPr>
      </w:pPr>
      <w:r>
        <w:rPr>
          <w:rFonts w:ascii="Times New Roman" w:cs="Times New Roman" w:eastAsia="Times New Roman" w:hAnsi="Times New Roman"/>
          <w:sz w:val="18"/>
          <w:szCs w:val="18"/>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prior reporting periods,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7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Prior to Roche’s exercise of an option, the Company has the lead responsibility for drug discovery and preclinical development of all collaboration programs. In addition, the Company has the lead responsibility for the conduct of all Phase 1 clinical trials other than those Phase 1 clinical trials for any product in combination with Roche’s portfolio of therapeutics, for which Roche has the right to lead the conduct of such Phase 1 clinical trials. Pursuant to the Roche immunotherapy agreement, the parties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$45.0 million, and through June 30, 2022, the Company has received an aggregate of $23.5 million in milestone payments under this collaboration. Subject to the terms of the Roche immunotherapy agreement, as amended, in addition to the upfront and milestone payments received through June 30, 2022, the Company is eligible to receive up to approximately $319.3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88" w:lineRule="exact"/>
        <w:rPr>
          <w:sz w:val="20"/>
          <w:szCs w:val="20"/>
          <w:color w:val="auto"/>
        </w:rPr>
      </w:pPr>
    </w:p>
    <w:p>
      <w:pPr>
        <w:ind w:left="60" w:right="259" w:firstLine="648"/>
        <w:spacing w:after="0" w:line="280" w:lineRule="auto"/>
        <w:rPr>
          <w:sz w:val="20"/>
          <w:szCs w:val="20"/>
          <w:color w:val="auto"/>
        </w:rPr>
      </w:pPr>
      <w:r>
        <w:rPr>
          <w:rFonts w:ascii="Times New Roman" w:cs="Times New Roman" w:eastAsia="Times New Roman" w:hAnsi="Times New Roman"/>
          <w:sz w:val="17"/>
          <w:szCs w:val="17"/>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92"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3" w:lineRule="exact"/>
        <w:rPr>
          <w:sz w:val="20"/>
          <w:szCs w:val="20"/>
          <w:color w:val="auto"/>
        </w:rPr>
      </w:pPr>
    </w:p>
    <w:p>
      <w:pPr>
        <w:ind w:left="60" w:right="59" w:hanging="10"/>
        <w:spacing w:after="0" w:line="249"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82"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0"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6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9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Through June 30, 2022, the Company has achieved an aggregate of $23.5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 In the first quarter of 2022, it was determined that Roche will initiate a Phase 1 clinical development plan for BLU-852, one of the ongoing programs, in combination with atezolizumab, an approved drug product commercialized by Roche, and pursuant to the Roche immunotherapy agreement, the Company will share the development cost up to $15.0 million. As a result, the Company reduced the aggregated transaction price of this collaboration from $68.5 million to $53.5 million and recorded its commitment of $15.0 million as a contract liability on its unaudited condensed consolidated financial statements.</w:t>
      </w:r>
    </w:p>
    <w:p>
      <w:pPr>
        <w:spacing w:after="0" w:line="190" w:lineRule="exact"/>
        <w:rPr>
          <w:sz w:val="20"/>
          <w:szCs w:val="20"/>
          <w:color w:val="auto"/>
        </w:rPr>
      </w:pPr>
    </w:p>
    <w:p>
      <w:pPr>
        <w:jc w:val="both"/>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w:t>
      </w:r>
    </w:p>
    <w:p>
      <w:pPr>
        <w:sectPr>
          <w:pgSz w:w="11900" w:h="16838" w:orient="portrait"/>
          <w:cols w:equalWidth="0" w:num="1">
            <w:col w:w="9019"/>
          </w:cols>
          <w:pgMar w:left="1440" w:top="513" w:right="1440"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In the first quarter of 2022, a reduction in the costs expected to be incurred in the future to satisfy certain performance obligations under the collaboration became probable as a result of Roche and the Company endorsing the Phase 1 clinical development plan for one of the ongoing programs in combination with Roche’s product.</w:t>
      </w:r>
    </w:p>
    <w:p>
      <w:pPr>
        <w:spacing w:after="0" w:line="17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Because of the revision to the cost expected to be incurred to satisfy the performance obligation and the reduction of the $15.0 million payment commitment to Roche from the aggregated transaction price of $68.5 million, the Company recorded a cumulative revenue catch-up of $2.9 million during the six months ended June 30, 2022. A summary of revenue recognized or revenue reduced under the Roche immunotherapy agreement during the three and six months ended June 30, 2022 and 2021 is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700" w:type="dxa"/>
            <w:vAlign w:val="bottom"/>
          </w:tcPr>
          <w:p>
            <w:pPr>
              <w:spacing w:after="0"/>
              <w:rPr>
                <w:sz w:val="16"/>
                <w:szCs w:val="16"/>
                <w:color w:val="auto"/>
              </w:rPr>
            </w:pPr>
          </w:p>
        </w:tc>
        <w:tc>
          <w:tcPr>
            <w:tcW w:w="102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r>
      <w:tr>
        <w:trPr>
          <w:trHeight w:val="174"/>
        </w:trPr>
        <w:tc>
          <w:tcPr>
            <w:tcW w:w="57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collaboration research and development services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2,885</w:t>
            </w:r>
          </w:p>
        </w:tc>
      </w:tr>
    </w:tbl>
    <w:p>
      <w:pPr>
        <w:spacing w:after="0" w:line="25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recognized the following revenue due to the changes in the contract liability balances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700" w:type="dxa"/>
            <w:vAlign w:val="bottom"/>
          </w:tcPr>
          <w:p>
            <w:pPr>
              <w:spacing w:after="0"/>
              <w:rPr>
                <w:sz w:val="16"/>
                <w:szCs w:val="16"/>
                <w:color w:val="auto"/>
              </w:rPr>
            </w:pPr>
          </w:p>
        </w:tc>
        <w:tc>
          <w:tcPr>
            <w:tcW w:w="102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r>
      <w:tr>
        <w:trPr>
          <w:trHeight w:val="174"/>
        </w:trPr>
        <w:tc>
          <w:tcPr>
            <w:tcW w:w="57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2,302</w:t>
            </w:r>
          </w:p>
        </w:tc>
      </w:tr>
    </w:tbl>
    <w:p>
      <w:pPr>
        <w:spacing w:after="0" w:line="2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 liability related to the Roche immunotherapy agreement as of</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December 31, 2021 (in thousands):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16"/>
                <w:szCs w:val="16"/>
                <w:color w:val="auto"/>
              </w:rPr>
            </w:pPr>
          </w:p>
        </w:tc>
        <w:tc>
          <w:tcPr>
            <w:tcW w:w="2220" w:type="dxa"/>
            <w:vAlign w:val="bottom"/>
            <w:tcBorders>
              <w:bottom w:val="single" w:sz="8" w:color="auto"/>
            </w:tcBorders>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8"/>
        </w:trPr>
        <w:tc>
          <w:tcPr>
            <w:tcW w:w="28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17,564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13,937</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research and development services related to the performance obligation are expected to be performed over a remaining period of approximately 3.5 years.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16"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Plan was increased by 2,365,643 shares. In addition, the total number of shares reserved for issuance is subject to adjustment in the event of a stock split, stock dividend or other change in the Company’s capitalization. As of June 30, 2022, there were 4,096,926 shares available for future grant under the 2015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229"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further increased at any time with the approval of the Company’s board of directors. The Inducement Plan permits the board of directors or a committee thereof to use the stock-based awards available under the Inducement Plan to attract key employees for the growth of the Company. As of June 30, 2022, there were 1,606,017 shares available for future grant under the Inducement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6,387,217</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3,881,205</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unvested stock option awards was $97.4 million, which is expected to be recognized over a weighted-average period of approximately 2.65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activity for the six months ended June 30, 2022:</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21"/>
        </w:trPr>
        <w:tc>
          <w:tcPr>
            <w:tcW w:w="63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5"/>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(388,087)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(88,534)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r>
      <w:tr>
        <w:trPr>
          <w:trHeight w:val="209"/>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unvested restricted stock units was $122.4 million, which is expected to be recognize over a weighted-average period of approximately 2.84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ESPP was increased by 591,410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left="60"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$25.3 million and $48.7 million for the three and six months ended June 30, 2022, respectively, and $24.3 million and $45.0 million for the three and six months ended June 30, 2021, respectively. Stock-based compensation expense by award type included within the unaudited condensed consolidated statements of operations and comprehensive loss was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2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4"/>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0"/>
                <w:szCs w:val="20"/>
                <w:color w:val="auto"/>
              </w:rPr>
            </w:pPr>
          </w:p>
        </w:tc>
        <w:tc>
          <w:tcPr>
            <w:tcW w:w="980" w:type="dxa"/>
            <w:vAlign w:val="bottom"/>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0"/>
                <w:szCs w:val="20"/>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29,107</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16,064</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45,734</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164"/>
        </w:trPr>
        <w:tc>
          <w:tcPr>
            <w:tcW w:w="54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Stock-based compensation expense included in total cost and operating</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48,746</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44,991</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that is included in operating expenses, by classification within the unaudited condensed consolidated statements of operations and comprehensive loss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540" w:type="dxa"/>
            <w:vAlign w:val="bottom"/>
          </w:tcPr>
          <w:p>
            <w:pPr>
              <w:spacing w:after="0"/>
              <w:rPr>
                <w:sz w:val="16"/>
                <w:szCs w:val="16"/>
                <w:color w:val="auto"/>
              </w:rPr>
            </w:pPr>
          </w:p>
        </w:tc>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r>
      <w:tr>
        <w:trPr>
          <w:trHeight w:val="174"/>
        </w:trPr>
        <w:tc>
          <w:tcPr>
            <w:tcW w:w="55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$ 10,497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$ 10,485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19,432</w:t>
            </w:r>
          </w:p>
        </w:tc>
      </w:tr>
      <w:tr>
        <w:trPr>
          <w:trHeight w:val="21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25,559</w:t>
            </w: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$ 25,347</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$ 24,307</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44,991</w:t>
            </w:r>
          </w:p>
        </w:tc>
      </w:tr>
      <w:tr>
        <w:trPr>
          <w:trHeight w:val="20"/>
        </w:trPr>
        <w:tc>
          <w:tcPr>
            <w:tcW w:w="5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ind w:left="60" w:right="160"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87" w:lineRule="exact"/>
        <w:rPr>
          <w:sz w:val="20"/>
          <w:szCs w:val="20"/>
          <w:color w:val="auto"/>
        </w:rPr>
      </w:pPr>
    </w:p>
    <w:p>
      <w:pPr>
        <w:ind w:left="60" w:right="220" w:firstLine="648"/>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three and six months ended June 30, 2022 and 2021 because including them would have had an anti-dilutive effect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20" w:type="dxa"/>
            <w:vAlign w:val="bottom"/>
          </w:tcPr>
          <w:p>
            <w:pPr>
              <w:spacing w:after="0"/>
              <w:rPr>
                <w:sz w:val="16"/>
                <w:szCs w:val="16"/>
                <w:color w:val="auto"/>
              </w:rPr>
            </w:pPr>
          </w:p>
        </w:tc>
        <w:tc>
          <w:tcPr>
            <w:tcW w:w="12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209"/>
        </w:trPr>
        <w:tc>
          <w:tcPr>
            <w:tcW w:w="7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r>
      <w:tr>
        <w:trPr>
          <w:trHeight w:val="20"/>
        </w:trPr>
        <w:tc>
          <w:tcPr>
            <w:tcW w:w="7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left="60"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w:t>
      </w:r>
    </w:p>
    <w:p>
      <w:pPr>
        <w:sectPr>
          <w:pgSz w:w="11900" w:h="16838" w:orient="portrait"/>
          <w:cols w:equalWidth="0" w:num="1">
            <w:col w:w="9040"/>
          </w:cols>
          <w:pgMar w:left="1440" w:top="513" w:right="1419" w:bottom="1440" w:gutter="0" w:footer="0" w:header="0"/>
        </w:sectPr>
      </w:pP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differences are expected to reverse. The Company provides a valuation allowance when it is more likely than not that deferred tax assets will not be realized.</w:t>
      </w:r>
    </w:p>
    <w:p>
      <w:pPr>
        <w:spacing w:after="0" w:line="162" w:lineRule="exact"/>
        <w:rPr>
          <w:sz w:val="20"/>
          <w:szCs w:val="20"/>
          <w:color w:val="auto"/>
        </w:rPr>
      </w:pPr>
    </w:p>
    <w:p>
      <w:pPr>
        <w:jc w:val="both"/>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June 30, 2022, the Company has a full valuation allowance applied against its U.S. and foreign deferred tax assets.</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was not required during the three and six months ended June 30, 2022.</w:t>
      </w:r>
    </w:p>
    <w:p>
      <w:pPr>
        <w:spacing w:after="0" w:line="19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prepared an analysis of the tax impact of capitalizing and amortizing these costs over the required periods and is expected to be in a taxable income position after the estimated addback for calendar year ended December 31, 2022.</w:t>
      </w:r>
    </w:p>
    <w:p>
      <w:pPr>
        <w:spacing w:after="0" w:line="19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June 30, 2022, the Company entered into a royalty purchase agreement with Royalty Pharma and a purchase and sale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is considered taxable income for calendar year ended December 31, 2022. Therefore, the $425.0 million is included in the estimated taxable income calculation when estimating the Company’s forecasted 2022 annual effective tax rate.</w:t>
      </w:r>
    </w:p>
    <w:p>
      <w:pPr>
        <w:spacing w:after="0" w:line="18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Company expects to be in a taxable income position for the calendar year ended December 31, 2022, and recorded an income tax expense of $3.1 million and $3.3 million for the three and six months ended June 30, 2022,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1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contain various clauses for renewal at the Company’s option, and the renewal options were not included in the calculation of the operating lease assets and the operating lease liabilities as the renewal options were not reasonably certain of being exercised as of June 30, 2022. The lease agreements do not contain residual value guarantees and the components of lease cost for the three and six months ended June 30, 2022 and 2021 were as follows (in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5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1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lease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June 30, 2022.</w:t>
      </w:r>
    </w:p>
    <w:p>
      <w:pPr>
        <w:spacing w:after="0" w:line="225"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2022 and 2021 is as follows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8900" w:type="dxa"/>
            <w:vAlign w:val="bottom"/>
            <w:gridSpan w:val="7"/>
          </w:tcPr>
          <w:p>
            <w:pPr>
              <w:jc w:val="right"/>
              <w:ind w:right="314"/>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Commercial Supply Agreements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In connection with the commercialization of AYVAKIT/AYVAKYT and GAVRETO, the Company has negotiated manufacturing agreements with certain vendors that require the Company to meet minimum purchase obligations on an annual basis. During the six months ended June 30, 2022, there were no material changes to the Company’s contractual obligations </w:t>
      </w:r>
      <w:r>
        <w:rPr>
          <w:rFonts w:ascii="Times New Roman" w:cs="Times New Roman" w:eastAsia="Times New Roman" w:hAnsi="Times New Roman"/>
          <w:sz w:val="18"/>
          <w:szCs w:val="18"/>
          <w:color w:val="000000"/>
        </w:rPr>
        <w:t>described in Note 18 to the consolidated financial statements in the Company’s Annual Report on Form 10-K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the fiscal year ended December 31, 2021</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Legal Proceedings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212529"/>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Indemnification Agreements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21252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from their status or service as directors or officers of the Company. The maximum potential amount of future payments that the Company could be required to make, or otherwise be liable for,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June 30, 2022 or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Synthetic Royalty Facility</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212529"/>
        </w:rPr>
        <w:t>In July 2022, the Company closed a transaction pursuant to a purchase and sale agreement with Sixth Street Partners and received gross proceeds of $250.0 million in exchange for future royalty payments at a rate of 9.75% on up to $900 million each year of (i) aggregate worldwide annual net product sales of AYVAKIT/ AYVAKYT (avapritinib) and, if it is approved, BLU-263, excluding in Greater China, and (ii) aggregate worldwide annual net product sales of BLU-263,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will be recorded as a liability on the consolidated balance sheet.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Facility</w:t>
      </w:r>
    </w:p>
    <w:p>
      <w:pPr>
        <w:spacing w:after="0" w:line="227"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7"/>
          <w:szCs w:val="17"/>
          <w:color w:val="212529"/>
        </w:rPr>
        <w:t>In July 2022, the Company closed on a financing transaction for up to $660.0 million with Sixth Street Partners (financing agreement). The financing agreement entered into by the parties in connection with the transaction provides for</w:t>
      </w:r>
    </w:p>
    <w:p>
      <w:pPr>
        <w:ind w:left="60" w:right="119" w:hanging="10"/>
        <w:spacing w:after="0" w:line="250" w:lineRule="auto"/>
        <w:tabs>
          <w:tab w:leader="none" w:pos="275"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 senior secured term loan facility of up to $150.0 million and (ii) a senior secured delayed draw term loan facility of up to $250.0 million to be funded in two tranches at the Company’s choice. The loans will mature on June 30, 2028 and bear interest at a variable rate equal to either the Secured Overnight Financing Rate (SOFR) plus six and one half percent</w:t>
      </w:r>
    </w:p>
    <w:p>
      <w:pPr>
        <w:spacing w:after="0" w:line="1" w:lineRule="exact"/>
        <w:rPr>
          <w:rFonts w:ascii="Times New Roman" w:cs="Times New Roman" w:eastAsia="Times New Roman" w:hAnsi="Times New Roman"/>
          <w:sz w:val="18"/>
          <w:szCs w:val="18"/>
          <w:color w:val="212529"/>
        </w:rPr>
      </w:pPr>
    </w:p>
    <w:p>
      <w:pPr>
        <w:ind w:left="60" w:right="179"/>
        <w:spacing w:after="0" w:line="253" w:lineRule="auto"/>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(6.50%) or the base rate plus five and one half percent (5.50%), subject to a floor of one percent (1%) and two percent (2%) with respect to the SOFR and base rate, respectively. The initial gross proceeds of $150.0 million was funded in July 2022. In addition, the Company may at any time request an incremental term loan in an amount not to exceed $260.0 million on terms to be agreed and subject to the consent of the lenders providing such incremental term loan.</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212529"/>
        </w:rPr>
        <w:t>The Company’s obligations under the financing agreement will be secured, subject to certain exceptions, by security interests in the substantially all of the Company’s assets and the Company’s certain subsidiaries. The financing agreement contains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have consolidated liquidity of at least (i) $50.0 million during the period commencing from the date on which the term loans are funded to the date which is the day before the next term loans are funded and (ii) $80.0 million for each day thereafter.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and Stock Purchase and Rights Agreement with IDRx</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212529"/>
        </w:rPr>
        <w:t>In August 2022, the Company entered into a license agreement and a stock purchase and rights agreement with IDRx, Inc., a recently launched clinical-stage biopharmaceutical company. Pursuant to the agreements, the Company licensed its internally discovered KIT exon 13 inhibitor to IDRx in exchange for a 15% Series A preferred equity investment in IDRx and the eligibility to receive future milestone and tiered royalty payments. Among IDRx’s founders are Alexis Borisy, George Demetri, M.D., and Nicholas Lydon, Ph.D., who each currently serve as members of the board of directors of the Company</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1"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2021, filed with the Securities and Exchange Commission (the SEC) on February 17,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/AYVAKYT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and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to patients in the U.S. and Europe, and we are globally advancing multiple programs for systemic mastocytosis (SM), lung cancer and other genomically defined cancers, and cancer immunotherapy.</w:t>
      </w:r>
    </w:p>
    <w:p>
      <w:pPr>
        <w:spacing w:after="0" w:line="24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AYVAKIT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 AYVAKYT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(avapritinib) and BLU-263</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6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and commercializing avapritinib for the treatment of advanced SM and developing avapritinib for the treatment of non-advanced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28"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In June 2021, the FDA approved avapritinib under the brand name AYVAKIT for the treatment of adult patients with advanced SM, including aggressive SM (ASM), SM with an associated hematologic neoplasm (SM-AHN), and mast cell leukemia (MCL). In March 2022, the European Commission expanded the marketing authorization for AYVAKYT to include the treatment of adult patients with ASM, SM-AHN, or MCL, after at least one systemic therapy. We launched AYVAKYT in advanced SM in Germany within one week after receiving the European Commission approval and plan to make AYVAKYT commercially available in other European countries based on local reimbursement and access pathways.</w:t>
      </w:r>
    </w:p>
    <w:p>
      <w:pPr>
        <w:spacing w:after="0" w:line="20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At the European Hematology Association (EHA) Annual Meeting in June 2022, we presented data showing that AYVAKIT improved overall survival (OS) and other clinical outcomes in patients with advanced SM, when indirectly compared to real-world data for prior best available therapies.</w:t>
      </w:r>
    </w:p>
    <w:p>
      <w:pPr>
        <w:spacing w:after="0" w:line="21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are also evaluating avapritinib in an ongoing registration-enabling Phase 2 clinical trial in non-advanced SM, which we refer to as our PIONEER trial. In January 2022, we announced that the PIONEER trial was fully enrolled.</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In June 2022, we announced that we updated the primary endpoint of the registration-enabling PIONEER trial of AYVAKIT in patients with non-advanced SM, based on a written recommendation from the FDA on statistical considerations ahead of the planned database lock. The mean absolute change in total symptom score (TSS), previously a key secondary endpoint, is now the primary endpoint and the proportion of patients with a 30 percent or greater decrease in TSS, previously the primary endpoint, is now a key secondary endpoint. Both analyses were previously defined as key endpoints that the PIONEER trial was powered to assess. In addition, both endpoints are based on the Indolent SM Symptom Assessment Form, a patient-reported outcomes tool that has been developed and validated in collaboration with the SM community and global regulatory authorities. We plan to report top-line data for Part 2 of the PIONEER trial in August 2022 and to submit a supplemental new drug application (sNDA) to the FDA for avapritinib in non-advanced SM in the second half of 2022.</w:t>
      </w:r>
    </w:p>
    <w:p>
      <w:pPr>
        <w:spacing w:after="0" w:line="23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BLU-263</w:t>
      </w:r>
    </w:p>
    <w:p>
      <w:pPr>
        <w:spacing w:after="0" w:line="25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central nervous system (CNS) penetration relative to avapritinib based on preclinical data, which we believe will enable development of BLU-263 in a broad population of patients with non-advanced SM, including patients with lower disease burden and potentially patients with other mast cell disorders.</w:t>
      </w:r>
    </w:p>
    <w:p>
      <w:pPr>
        <w:spacing w:after="0" w:line="21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April 2021, we presented results from a Phase 1 trial of BLU-263 in healthy volunteers at the virtual American Association for Cancer Research (AACR) Annual Meeting, which showed that BLU-263 was well-tolerated at all doses tested. Based on these data, we initiated the Phase 2/3 trial of BLU-263 in patients with non-advanced SM, which we refer to as our HARBOR trial, in the second quarter of 2021. We anticipate presenting initial data from the HARBOR trial in the second half of 2022.</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(pralsetinib)</w:t>
      </w:r>
    </w:p>
    <w:p>
      <w:pPr>
        <w:spacing w:after="0" w:line="18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(NSCLC), and for the treatment of RET-altered thyroid carcinoma, including medullary thyroid cancer (MTC). We are also developing pralsetinib for the treatment of other RET-altered solid tumors. We have granted exclusive licenses to F. Hoffmann-La Roche Ltd and Genentech, Inc., a member of the Roche Group (which we refer to together as Roche) and CStone Pharmaceuticals (CStone), to develop and commercialize pralsetinib in their respective territories. See “— Collaborations and Licenses Summary” below.</w:t>
      </w:r>
    </w:p>
    <w:p>
      <w:pPr>
        <w:spacing w:after="0" w:line="23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2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2021, Roche announced that the European Commission granted conditional marketing authorization for GAVRETO as a monotherapy for the treatment of adults with RET fusion-positive advanced NSCLC not previously treated with a RET inhibitor. Roche submitted a Type II variation MAA to the EMA for pralsetinib for RET-altered thyroid cancers in December 2021, as well as marketing applications for pralsetinib for RET-altered NSCLC and thyroid cancers across multiple global geographies in 2021. Marketing applications are planned for pralsetinib for RET-altered NSCLC and thyroid cancers across additional global geographies in 2022.</w:t>
      </w:r>
    </w:p>
    <w:p>
      <w:pPr>
        <w:spacing w:after="0" w:line="216" w:lineRule="exact"/>
        <w:rPr>
          <w:sz w:val="20"/>
          <w:szCs w:val="20"/>
          <w:color w:val="auto"/>
        </w:rPr>
      </w:pPr>
    </w:p>
    <w:p>
      <w:pPr>
        <w:ind w:left="60" w:right="239" w:firstLine="693"/>
        <w:spacing w:after="0" w:line="282" w:lineRule="auto"/>
        <w:rPr>
          <w:sz w:val="20"/>
          <w:szCs w:val="20"/>
          <w:color w:val="auto"/>
        </w:rPr>
      </w:pPr>
      <w:r>
        <w:rPr>
          <w:rFonts w:ascii="Times New Roman" w:cs="Times New Roman" w:eastAsia="Times New Roman" w:hAnsi="Times New Roman"/>
          <w:sz w:val="18"/>
          <w:szCs w:val="18"/>
          <w:color w:val="auto"/>
        </w:rPr>
        <w:t>In March 2021, China’s NMPA approved GAVRETO for the treatment of RET fusion-positive NSCLC patients previously treated with platinum-based chemotherapy. In March 2022, China’s National Medicinal Products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Administration (NMPA) approved GAVRETO for the treatment of RET-mutant MTC and RET fusion-positive thyroid cancer. In February 2022, the Taiwan Food and Drug Administration (TFDA) accepted CStone’s NDA for the treatment of patients with RET fusion-positive locally advanced or metastatic NSCLC, RET-mutant MTC, and RET fusion-positive TC. GAVRETO was approved in Hong Kong in July 2022 for the treatment of RET fusion-positive NSCLC.</w:t>
      </w:r>
    </w:p>
    <w:p>
      <w:pPr>
        <w:spacing w:after="0" w:line="22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evaluated pralsetinib in an ongoing registration-enabling Phase 1/2 clinical trial in patients with RET-altered NSCLC, MTC and other advanced solid tumors, which we referred to as the ARROW trial. In addition, Roche is conducting multiple ongoing studies, including a registration-enabling Phase 3 clinical trial in treatment-naïve patients with RET fusion-positive NSCLC, which is referred to as the ACCELERET-Lung trial; and a registration-enabling Phase 3 clinical trial in patients with locally advanced or metastatic RET-mutated MTC who have not previously received a standard of care multi-kinase inhibitor therapy, which is referred to as the ACCELERET-MTC trial. In June 2021, we reported updated data from the ARROW trial in metastatic RET fusion-positive NSCLC and other advanced solid tumors at the 2021 American Society of Clinical Oncology (ASCO) Annual Meeting. The ARROW trial was fully enrolled in December 2021 and was subsequently transferred to Roche in May 2022. Pursuant to our collaboration with Roche, we are co-developing pralsetinib globally in RET-altered solid tumors, including NSCLC, MTC and other thyroid cancers, as well as other solid tumors.</w:t>
      </w:r>
    </w:p>
    <w:p>
      <w:pPr>
        <w:spacing w:after="0" w:line="23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r>
        <w:rPr>
          <w:rFonts w:ascii="Arial" w:cs="Arial" w:eastAsia="Arial" w:hAnsi="Arial"/>
          <w:sz w:val="18"/>
          <w:szCs w:val="18"/>
          <w:color w:val="auto"/>
        </w:rPr>
        <w:t>.</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 AYVAKYT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(avapritinib)</w:t>
      </w:r>
    </w:p>
    <w:p>
      <w:pPr>
        <w:spacing w:after="0" w:line="17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are commercializing avapritinib for the treatment of patients with PDGFRA exon 18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30"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In March 2021, CStone announced that China’s NMPA approved AYVAKIT for the treatment of adults with unresectable or metastatic GIST harboring a PDGFRA exon 18 mutation, including PDGFRA D842V mutations. AYVAKIT received accelerated approval in April 2021 from the TFDA and approval in Hong Kong in December 2021, both for adults with unresectable or metastatic GIST harboring PDGFRA D842V mutations.</w:t>
      </w:r>
    </w:p>
    <w:p>
      <w:pPr>
        <w:spacing w:after="0" w:line="20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 — BLU-945, BLU-701 and BLU-451</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are developing three investigational epidermal growth factor receptor (EGFR) inhibitors, BLU-945, BLU-701 and BLU-451, which was formerly known as LNG-451, with the goal of addressing nearly all activating mutations (&gt;90 percent) in EGFR-driven NSCLC; specifically, exon 19 deletions, the L858R mutation, and exon 20 insertions. The introduction of EGFR-targeted therapies, including osimertinib, has transformed the care of patients with EGFR-driven NSCLC. However, there remain significant opportunities to improve outcomes for EGFR-mutant NSCLC patients. First, osimertinib has demonstrated shorter overall survival and progression-free survival in patients with L858R activating mutations. Second, the majority of patients will progress due to the emergence of tumor resistance, including specific EGFR-driven, on target resistance as well as off-target bypass resistance. Third, the brain is a common site of disease progression that has proven difficult to treat. Our portfolio of investigational therapies are designed to address each of these opportunities, alone and in combination with other therapies, with the goal of prolonging patient benefit and preventing the emergence of tumor resistance in the front line, addressing on- and off-target mechanisms of resistance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second line and later lines of treatment, and preventing and treating brain metastases with enhanced CNS penetration.</w:t>
      </w:r>
    </w:p>
    <w:p>
      <w:pPr>
        <w:spacing w:after="0" w:line="26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BLU-945 and BLU-701 were specifically designed to provide comprehensive coverage of common activating and resistance mutations, spare wild-type EGFR and other kinases to limit off-target toxicities, which is expected to improve the potential combinability with other therapies, and treat or prevent CNS metastases. We believe these profiles may enable BLU-945 and BLU-701 to become the backbones of a range of combination strategies with the potential to address important medical needs for patients with EGFR-driven NSCLC, including in early line treatment settings. We plan to develop BLU-945 and BLU-701 in combination with each other and other therapies, including osimertinib chemotherapy, and antibody drug conjugates, as initial treatments designed to address outstanding unmet needs in patients with activating mutations and prevent both on-target and off-target resistance from emerging. In addition, we plan to develop BLU-945 and BLU-701 as monotherapies and in combination with other therapies in certain biomarker-selected patient populations in the second line and later lines of treatment. We plan to initiate these combination studies as expansion cohorts in the Phase 1/2 trials in EGFR-mutated NSCLC, which we refer to as our SYMPHONY and HARMONY trials throughout the remainder of 2022 and into 2023, with the goal of generating data to further inform development and registration strategies, including opportunities for expedited approvals. We believe that our comprehensive development plan will allow us to address the unmet needs in EGFR-mutant NSCLC that affect nearly 60,000 patients in major markets, including the US, European Union (EU), the UK, and Japan.</w:t>
      </w:r>
    </w:p>
    <w:p>
      <w:pPr>
        <w:spacing w:after="0" w:line="235"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completed our acquisition of Lengo Therapeutics, Inc., along with its lead compound LNG-451, which we now refer to as BLU-451. BLU-451 is an oral precision therapy in development for the treatment of NSCLC in patients with EGFR exon 20 mutations.</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BLU-945</w:t>
      </w:r>
    </w:p>
    <w:p>
      <w:pPr>
        <w:spacing w:after="0" w:line="254"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BLU-945 is a selective and potent investigational inhibitor of EGFR harboring either the activating L858R or exon 19 deletion mutations combined with the acquired T790M and C797S mutations, the most common on-target resistance mutations to first-generation EGFR inhibitors and osimertinib, respectively. In early data from the ongoing Phase 1 dose escalation part of the SYMPHONY trial presented at the AACR Annual Meeting in April 2022, BLU-945 demonstrated dose-dependent decreases in EGFR variant allele fractions via circulating tumor DNA (ctDNA) analysis, and radiographic tumor reductions including an unconfirmed partial response (PR) observed in a patient treated with 400 mg once daily (QD), the highest dose tested as of the data cutoff date. Pharmacokinetic results showed BLU-945 exposures at higher doses were associated with broad EGFR mutation coverage, including the activating L858R mutation with or without acquired resistance mutations. BLU-945 was generally well-tolerated, with no significant adverse events (AEs) associated with wild-type EGFR inhibition. The maximum tolerated dose and recommended Phase 2 dose have not yet been identified, and dose escalation is continuing. We initiated a BLU-945 and osimertinib combination cohort in the ongoing Phase 1/2 SYMPHONY trial in the second quarter of 2022, with initiation of further combination cohorts planned in the second half of 2022 and in 2023.</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BLU-701</w:t>
      </w:r>
    </w:p>
    <w:p>
      <w:pPr>
        <w:spacing w:after="0" w:line="26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BLU-701 is a selective and potent investigational inhibitor of EGFR harboring either the activating L858R or exon 19 deletion mutations combined with the acquired C797S mutation. In preclinical data presented at the virtual AACR Annual Meeting in April 2021, BLU-701 showed strong and durable inhibition of tumor growth at doses that are EGFR wild-type sparing, and the potential to be used in both first- and second-line settings. BLU-701 indicated significant CNS penetration in preclinical models, with comparable exposure in the plasma and brain, which illustrates its potential to treat or prevent CNS metastases in patients with EGFR-driven tumors. Based on these preclinical data, in the fourth quarter of 2021, we initiated a Phase 1/2 trial of BLU-701 in EGFR-mutant NSCLC, which we refer to as our HARMONY trial. We plan to present initial clinical data from the HARMONY trial in the second half of 2022.</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Combinations with BLU-945 and/or BLU-701</w:t>
      </w:r>
    </w:p>
    <w:p>
      <w:pPr>
        <w:spacing w:after="0" w:line="268"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Based on their differentiated selectivity profiles and potency against on-target EGFR activating and resistant mutants, we believe BLU -945 and BLU-701 have the potential to become backbone therapies for a range of monotherapy or combination strategies for EGFR-positive NSCLC in the first line and later lines of treatment. These combination strategies include BLU-945 and BLU-701 with osimertinib, chemotherapy, and antibody drug conjugates,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well as BLU-945 and BLU-701 together. Our development plans are driven by BLU-945 and BLU-701 preclinical data which demonstrate coverage of both activating and resistance mutations in EGFRm NSCLC, a broad window over wild-type, and strong CNS penetration. Preclinical data presented at the British Thoracic Oncology Group (BTOG) Annual Conference in January 2022 and the AACR Meeting in April 2022 showed potent antitumor activity on models of exon 19 deletion or LR-driven disease, with or without on-target resistance, supporting the development of both investigational agents in combination in the first- and second-line settings. We plan to initiate these combination studies as expansion cohorts in the ongoing Phase 1/2 SYMPHONY and HARMONY trials during the remainder of 2022 and in 2023.</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 Exon 20 Insertion-Positive NSCLC — BLU-451</w:t>
      </w:r>
    </w:p>
    <w:p>
      <w:pPr>
        <w:spacing w:after="0" w:line="2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BLU-451 is a selective and potent investigational inhibitor under development for the treatment of EGFR exon 20 insertion-positive NSCLC.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We plan to present clinical proof-of-concept data for BLU-451 in the first half of 2023.</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CDK2-Vulnerable Cancers — BLU-222</w:t>
      </w:r>
    </w:p>
    <w:p>
      <w:pPr>
        <w:spacing w:after="0" w:line="27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an investigational inhibitor, BLU-222, targeting CDK2 for the treatment of patients with CDK2-vulnerable cancers. CDK2 is cell cycle regulator and an important cancer target, with relevance across multiple malignancies, including hormone-receptor-positive breast cancer and other CCNE1 amplified tumors, including subsets of ovarian and endometrial cancer. In subsets of patients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3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In the first quarter of 2022, we initiated the Phase 1/2 trial of BLU-222 in CDK2-vulnerable cancers, which we refer to as our VELA trial. BLU-222 is being developed as monotherapy and in combination with other agents, including CDK4/6 inhibitors and ER antagonists, in hormone-receptor-positive, HER2-negative breast cancer (HR+/HER- BC), and as a single agent and in combination in CCNE1-amplified tumor types. We plan to present initial clinical data for BLU-222 in the first half of 2023.</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Advanced Cancers — BLU-852</w:t>
      </w:r>
    </w:p>
    <w:p>
      <w:pPr>
        <w:spacing w:after="0" w:line="26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BLU-852 is a selective and potent investigational inhibitor of MAP4K1, a well-characterized immunokinase involved in the regulation of immune cells. Preclinical data presented at the virtual AACR Annual Meeting in April 2021 show that MAP4K1 inhibition enhanced intratumoral immune cell activation, overcame Treg mediated T cell suppression, and reduced tumor burden both as a monotherapy and in combination with checkpoint inhibition. These preclinical data support the continued development of BLU-852. Under our ongoing cancer immunotherapy collaboration, we expect Roche to initiate a Phase 1 trial of BLU-852, as a single agent and in combination with atezolizumab, in advanced cancers in 2023.</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programs for undisclosed kinase targets. In 2022, we plan to nominate two development candidates from our discovery programs. We also plan to share our vision for our expanded discovery platform at an R&amp;D Day in the second half of 2022.</w:t>
      </w:r>
    </w:p>
    <w:p>
      <w:pPr>
        <w:spacing w:after="0" w:line="180"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7"/>
          <w:szCs w:val="17"/>
          <w:color w:val="auto"/>
        </w:rPr>
        <w:t>Under our targeted protein degradation collaboration with Proteovant, we plan to research and advance up to two novel protein degrader programs into development, with the option to expand to two additional programs. Under our immunotherapy collaboration with Roche, we are conducting activities for up to two discovery programs, including BLU-</w:t>
      </w:r>
    </w:p>
    <w:p>
      <w:pPr>
        <w:spacing w:after="0" w:line="2" w:lineRule="exact"/>
        <w:rPr>
          <w:sz w:val="20"/>
          <w:szCs w:val="20"/>
          <w:color w:val="auto"/>
        </w:rPr>
      </w:pPr>
    </w:p>
    <w:p>
      <w:pPr>
        <w:ind w:left="420" w:hanging="370"/>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Summary below.</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Rights</w:t>
      </w:r>
    </w:p>
    <w:p>
      <w:pPr>
        <w:spacing w:after="0" w:line="25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currently have worldwide development and commercialization rights to avapritinib, other than the rights licensed to CStone for these drug candidates in Mainland China, Hong Kong, Macau and Taiwan (the CStone territory). We have entered into distribution agreements for certain European countries in which we do not have our own infrastructure, and we plan to pursue additional regulatory approvals and commercialization of avapritinib in additional countries, including through additional distribution agreements.</w:t>
      </w:r>
    </w:p>
    <w:p>
      <w:pPr>
        <w:spacing w:after="0" w:line="21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w:t>
      </w:r>
    </w:p>
    <w:p>
      <w:pPr>
        <w:spacing w:after="0" w:line="216"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currently have worldwide development and commercialization rights to BLU-945 and BLU-701, other than the rights licensed to Zai Lab for these drug candidates in Mainland China, Hong Kong, Macau, and Taiwan (collectively, the Zai territory).</w:t>
      </w:r>
    </w:p>
    <w:p>
      <w:pPr>
        <w:spacing w:after="0" w:line="223"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Other than the discovery-stage cancer immunotherapy programs (including BLU-852) under our collaboration with Roche, we have worldwide development and commercialization rights to all of our development and discovery programs, including BLU-451, BLU-222 and BLU-263.</w:t>
      </w:r>
    </w:p>
    <w:p>
      <w:pPr>
        <w:spacing w:after="0" w:line="20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have granted an exclusive worldwide license to Clementia Pharmaceuticals, Inc. (Clementia), a wholly-owned subsidiary of Ipsen S.A., to develop and commercialize BLU-782.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w:t>
      </w:r>
    </w:p>
    <w:p>
      <w:pPr>
        <w:spacing w:after="0" w:line="268"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Roche—Immunotherapy Collaboration. </w:t>
      </w:r>
      <w:r>
        <w:rPr>
          <w:rFonts w:ascii="Times New Roman" w:cs="Times New Roman" w:eastAsia="Times New Roman" w:hAnsi="Times New Roman"/>
          <w:sz w:val="18"/>
          <w:szCs w:val="18"/>
          <w:color w:val="auto"/>
        </w:rPr>
        <w:t>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207"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225" w:lineRule="exact"/>
        <w:rPr>
          <w:sz w:val="20"/>
          <w:szCs w:val="20"/>
          <w:color w:val="auto"/>
        </w:rPr>
      </w:pPr>
    </w:p>
    <w:p>
      <w:pPr>
        <w:ind w:left="60" w:right="4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back-up forms and certain other forms, in the CStone territory either as a monotherapy or as part of a combination therapy.</w:t>
      </w:r>
    </w:p>
    <w:p>
      <w:pPr>
        <w:spacing w:after="0" w:line="200" w:lineRule="exact"/>
        <w:rPr>
          <w:sz w:val="20"/>
          <w:szCs w:val="20"/>
          <w:color w:val="auto"/>
        </w:rPr>
      </w:pPr>
    </w:p>
    <w:p>
      <w:pPr>
        <w:ind w:left="60" w:right="33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Clementia. </w:t>
      </w:r>
      <w:r>
        <w:rPr>
          <w:rFonts w:ascii="Times New Roman" w:cs="Times New Roman" w:eastAsia="Times New Roman" w:hAnsi="Times New Roman"/>
          <w:sz w:val="17"/>
          <w:szCs w:val="17"/>
          <w:color w:val="auto"/>
        </w:rPr>
        <w:t>In October 2019, we entered into a license agreement with Clementia Pharmaceuticals, Inc.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ALK2 in</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development for the treatment of FOP. The FDA has granted a rare pediatric disease designation, orphan drug designation and fast track designation to BLU-782, each for the treatment of FOP. Clementia initiated patient dosing in a Phase 2 clinical trial of BLU-782, now referred to as IPN60130, in the first quarter of 2022.</w:t>
      </w:r>
    </w:p>
    <w:p>
      <w:pPr>
        <w:spacing w:after="0" w:line="214" w:lineRule="exact"/>
        <w:rPr>
          <w:sz w:val="20"/>
          <w:szCs w:val="20"/>
          <w:color w:val="auto"/>
        </w:rPr>
      </w:pPr>
    </w:p>
    <w:p>
      <w:pPr>
        <w:jc w:val="both"/>
        <w:ind w:left="60" w:right="79"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Zai Lab</w:t>
      </w:r>
      <w:r>
        <w:rPr>
          <w:rFonts w:ascii="Times New Roman" w:cs="Times New Roman" w:eastAsia="Times New Roman" w:hAnsi="Times New Roman"/>
          <w:sz w:val="18"/>
          <w:szCs w:val="18"/>
          <w:color w:val="auto"/>
        </w:rPr>
        <w:t>. In November 2021, we entered into a collaboration with Zai Lab to develop and commercialize BLU-701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BLU-945 for the treatment of EGFR-driven NSCLC in Greater China, including Mainland China, Hong Kong, Macau and Taiwan. The collaboration aims to accelerate and expand global development of BLU-701 and BLU-945.</w:t>
      </w:r>
    </w:p>
    <w:p>
      <w:pPr>
        <w:spacing w:after="0" w:line="2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Proteovant</w:t>
      </w:r>
      <w:r>
        <w:rPr>
          <w:rFonts w:ascii="Times New Roman" w:cs="Times New Roman" w:eastAsia="Times New Roman" w:hAnsi="Times New Roman"/>
          <w:sz w:val="18"/>
          <w:szCs w:val="18"/>
          <w:color w:val="auto"/>
        </w:rPr>
        <w:t>. In February 2022, we entered into a collaboration with Proteovant to research and advance novel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protein degrader therapies to address medical needs in oncology and hematology. The collaboration will leverage Proteovant’s artificial intelligence-enhanced targeted protein degradation platform and our small molecule precision medicine capabilities to discover and advance up to two novel protein degrader target programs into development, with the option to extend to two additional programs.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 Summary</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Lengo Therapeutics</w:t>
      </w:r>
      <w:r>
        <w:rPr>
          <w:rFonts w:ascii="Times New Roman" w:cs="Times New Roman" w:eastAsia="Times New Roman" w:hAnsi="Times New Roman"/>
          <w:sz w:val="18"/>
          <w:szCs w:val="18"/>
          <w:color w:val="auto"/>
        </w:rPr>
        <w:t>. In December 2021, we completed our acquisition of Lengo Therapeutics, Inc., along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compound LNG-451, now known as BLU-451, which is in development for the treatment of NSCLC in patients with EGFR exon 20 insertion mutations. The acquisition also brought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21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 Summary</w:t>
      </w:r>
    </w:p>
    <w:p>
      <w:pPr>
        <w:spacing w:after="0" w:line="26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Royalty Purchase. </w:t>
      </w:r>
      <w:r>
        <w:rPr>
          <w:rFonts w:ascii="Times New Roman" w:cs="Times New Roman" w:eastAsia="Times New Roman" w:hAnsi="Times New Roman"/>
          <w:sz w:val="18"/>
          <w:szCs w:val="18"/>
          <w:color w:val="auto"/>
        </w:rPr>
        <w:t>In June 2022, we entered into a royalty purchase agreement with Royalty Pharma.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w:t>
      </w:r>
    </w:p>
    <w:p>
      <w:pPr>
        <w:spacing w:after="0" w:line="22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a purchase and sale agreement with Sixth Street Partners.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2022, upon the closing of the transaction pursuant to the purchase and sale agreement, we received gross proceeds of $250.0 million in exchange for future royalty payments at a rate of 9.75% on up to $900 million each year of (i) aggregate worldwide annual net product sales of AYVAKIT/ AYVAKYT (avapritinib) and, if it is approved, BLU-263, excluding in Greater China, and (ii) aggregate worldwide annual net product sales of BLU-263,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1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The Financing Agreement provides for (i) a senior secured term loan facility of up to $150.0 million and (ii) a senior secured delayed draw term loan facility of up to $250.0 million to be funded in two tranches at the Company’s choice. The loans will mature on June 30, 2028 and bear interest at a variable rate equal to either the SOFR plus six and one half percent (6.50%) or the base rate plus five and one half percent (5.50%), subject to a floor of one percent (1%) and two percent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Ongoing COVID-19 Pandemic</w:t>
      </w:r>
    </w:p>
    <w:p>
      <w:pPr>
        <w:spacing w:after="0" w:line="270" w:lineRule="exact"/>
        <w:rPr>
          <w:sz w:val="20"/>
          <w:szCs w:val="20"/>
          <w:color w:val="auto"/>
        </w:rPr>
      </w:pPr>
    </w:p>
    <w:p>
      <w:pPr>
        <w:ind w:left="60" w:right="79" w:firstLine="661"/>
        <w:spacing w:after="0" w:line="250" w:lineRule="auto"/>
        <w:rPr>
          <w:sz w:val="20"/>
          <w:szCs w:val="20"/>
          <w:color w:val="auto"/>
        </w:rPr>
      </w:pPr>
      <w:r>
        <w:rPr>
          <w:rFonts w:ascii="Times New Roman" w:cs="Times New Roman" w:eastAsia="Times New Roman" w:hAnsi="Times New Roman"/>
          <w:sz w:val="18"/>
          <w:szCs w:val="18"/>
          <w:color w:val="auto"/>
        </w:rPr>
        <w:t>Due to the continued evolution and global impact of the ongoing COVID-19 pandemic, we cannot precisely determine or quantify the impact this pandemic will have on our business, operations and financial performance. For our ongoing and planned clinical trials, while we anticipate and have experienced some delays or disruptions due to the COVID-19 pandemic, we have successfully worked with impacted clinical trial sites to ensure study continuity. We actively monitor for COVID-19-related impacts to our supply chain, and we currently have sufficient supply or plans for supply to meet our anticipated global commercial and clinical development needs for our approved drugs and clinical-stage drug candidates. COVID-19 may also impact and has impacted our commercial activities for AYVAKIT/AYVAKYT and GAVRETO, including patient access to testing and identification, but we have observed an increase in in-person engagements and will continue to conduct commercial and medical affairs field activities across our portfolio in virtual formats where in-person interactions are not feasible.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keeping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Conflict in Ukraine</w:t>
      </w:r>
    </w:p>
    <w:p>
      <w:pPr>
        <w:spacing w:after="0" w:line="270" w:lineRule="exact"/>
        <w:rPr>
          <w:sz w:val="20"/>
          <w:szCs w:val="20"/>
          <w:color w:val="auto"/>
        </w:rPr>
      </w:pPr>
    </w:p>
    <w:p>
      <w:pPr>
        <w:ind w:left="60" w:right="139" w:firstLine="661"/>
        <w:spacing w:after="0" w:line="253" w:lineRule="auto"/>
        <w:rPr>
          <w:sz w:val="20"/>
          <w:szCs w:val="20"/>
          <w:color w:val="auto"/>
        </w:rPr>
      </w:pPr>
      <w:r>
        <w:rPr>
          <w:rFonts w:ascii="Times New Roman" w:cs="Times New Roman" w:eastAsia="Times New Roman" w:hAnsi="Times New Roman"/>
          <w:sz w:val="18"/>
          <w:szCs w:val="18"/>
          <w:color w:val="auto"/>
        </w:rPr>
        <w:t>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direct and indirect impacts of this evolving situation and its effect on global economies in future periods are difficult to predict. We are monitoring the invasion in Ukraine, the impact in the region, and any broader economic effects from the crisis. To date, the Russian invasion of Ukraine has not had a material impact on our business, operations or financial performance.</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and a royalty monetization. Through June 30, 2022, we have received an aggregate of $3.2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$1.0 billion in upfront payments and milestone payments under our collaborations with Roche, CStone and Zai Lab, our license agreement with Clementia and our former collaboration with Alexion Pharma Holding (Alexion). In addition, in July 2022, we received a total of $400.0 million in gross proceeds related to our purchase and sale agreement and financing agreement with Sixth Street Partners. Since January 2020, we have also generated revenue through the sales of our approved drug products.</w:t>
      </w:r>
    </w:p>
    <w:p>
      <w:pPr>
        <w:spacing w:after="0" w:line="21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loss was $265.7 million for the six months ended June 30, 2022. For the year ended December 31, 2021, our net loss was $644.1 million, which included $260.0 million of expenses related to the acquisition of Lengo, and our net income was $313.9 million for the year ended December 31, 2020, primarily due to the collaboration revenue recorded under our collaboration with Roche for pralsetinib. Our net loss was $347.7 million for the year ended December 31, 2019. As of June 30, 2022, we had an accumulated deficit of $1,541.1 million. We expect to continue to incur significant expenses and operating losses over the next few years. We anticipate that our expenses will continue to increase in connection with our ongoing activities, particularly as we:</w:t>
      </w:r>
    </w:p>
    <w:p>
      <w:pPr>
        <w:spacing w:after="0" w:line="232" w:lineRule="exact"/>
        <w:rPr>
          <w:sz w:val="20"/>
          <w:szCs w:val="20"/>
          <w:color w:val="auto"/>
        </w:rPr>
      </w:pPr>
    </w:p>
    <w:p>
      <w:pPr>
        <w:ind w:left="1380" w:right="319" w:hanging="331"/>
        <w:spacing w:after="0" w:line="312" w:lineRule="auto"/>
        <w:tabs>
          <w:tab w:leader="none" w:pos="1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our drug and any current or future drug candidates for which we may obtain marketing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49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our drug candidates, including avapritinib and pralsetinib in additional indications or avapritinib in additional geographies;</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activities for avapritinib and pralsetinib and initiate or advance clinical development activities for other current or future drug candidates as monotherapies or in combination with other agents;</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BLU-701, BLU-945, BLU-451, BLU-263 and BLU-222;</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61"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w:t>
      </w:r>
    </w:p>
    <w:p>
      <w:pPr>
        <w:spacing w:after="0" w:line="166"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development and commercialization activities for companion diagnostic tests for our drugs and drug candidates;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Roche, CStone, Zai Lab and Proteovant;</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0"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21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September 2020, the FDA granted accelerated approval to pralsetinib under the brand name GAVRETO for the treatment of adult patients with metastatic RET fusion-positive NSCLC as detected by an FDA approved test.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23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June 30, 2022, our revenue primarily consisted of product sales of AYVAKIT/ AYVAKYT as well as collaboration revenue under our collaborations with CStone and Roche and license agreement with Clementia. We transferred certain responsibilities associated with product sales to customers, pricing and distribution matters related to U.S. product sales of GAVRETO to Roche on July 1, 2021, and have not recorded any net product revenue from product sales of GAVRETO after this date. For additional information, see Note 10</w:t>
      </w:r>
      <w:r>
        <w:rPr>
          <w:rFonts w:ascii="Times New Roman" w:cs="Times New Roman" w:eastAsia="Times New Roman" w:hAnsi="Times New Roman"/>
          <w:sz w:val="18"/>
          <w:szCs w:val="18"/>
          <w:i w:val="1"/>
          <w:iCs w:val="1"/>
          <w:color w:val="auto"/>
        </w:rPr>
        <w:t>, 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unaudited condensed consolidated financial statements. Collaboration revenue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2022 primarily includes amounts that were recognized related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milestone payments, amounts due to us for supply of inventory (under our collaboration agreements) and research and development services, and royalties on drug sales.</w:t>
      </w:r>
    </w:p>
    <w:p>
      <w:pPr>
        <w:spacing w:after="0" w:line="20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certain manufacturing costs related to the inventory build-up incurred before FDA approval were expensed in prior periods and are therefore excluded from the cost of goods sold for the three and six months ended June 30, 2022. We estimate our cost of goods sold related to product revenue as a percentage of net product revenue will continue to be positively impacted as we sell through certain inventory that was previously expensed prior to FDA approval. We expect to utilize low-cost inventory for an extended period of time. Once the low-cost inventory balances are sold through, we estimate our costs of goods sold related to product sales to remain in the mid-single digit percentage range. Cost of goods sold related to sales of drug products to our collaboration partners are at lower margins and will partially offset the positive impact of the previously expensed inventory.</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5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10</w:t>
      </w:r>
      <w:r>
        <w:rPr>
          <w:rFonts w:ascii="Times New Roman" w:cs="Times New Roman" w:eastAsia="Times New Roman" w:hAnsi="Times New Roman"/>
          <w:sz w:val="18"/>
          <w:szCs w:val="18"/>
          <w:i w:val="1"/>
          <w:iCs w:val="1"/>
          <w:color w:val="auto"/>
        </w:rPr>
        <w:t>, 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unaudited condensed consolidated financial statements. We expect collaboration loss sharing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fluctuate from quarter to quarter as a result of the timing and amount of GAVRETO sales.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8"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67"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acquire in-process research and development asset with no alternative future use;</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380" w:right="85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3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for the development and commercialization of companion diagnostic tests;</w:t>
      </w:r>
    </w:p>
    <w:p>
      <w:pPr>
        <w:spacing w:after="0" w:line="161" w:lineRule="exact"/>
        <w:rPr>
          <w:rFonts w:ascii="Times New Roman" w:cs="Times New Roman" w:eastAsia="Times New Roman" w:hAnsi="Times New Roman"/>
          <w:sz w:val="18"/>
          <w:szCs w:val="18"/>
          <w:color w:val="auto"/>
        </w:rPr>
      </w:pPr>
    </w:p>
    <w:p>
      <w:pPr>
        <w:ind w:left="1380" w:right="99" w:hanging="331"/>
        <w:spacing w:after="0" w:line="312" w:lineRule="auto"/>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research and development activities under our immunotherapy collaboration with Roche, and development activities under our collaboration for pralsetinib with Roche;</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1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7"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195" w:lineRule="exact"/>
        <w:rPr>
          <w:sz w:val="20"/>
          <w:szCs w:val="20"/>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GAVRETO and our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GAVRETO and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GAVRETO and any future drug we may commercialize;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3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28" w:lineRule="exact"/>
        <w:rPr>
          <w:sz w:val="20"/>
          <w:szCs w:val="20"/>
          <w:color w:val="auto"/>
        </w:rPr>
      </w:pPr>
    </w:p>
    <w:p>
      <w:pPr>
        <w:jc w:val="both"/>
        <w:ind w:left="60" w:right="9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and six months ended June 30, 2022 and 2021.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55"/>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3"/>
                <w:szCs w:val="13"/>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BLU-263 external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BLU-701/945 external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22,299</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BLU-222 external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BLU-451 external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development and pre-development candidate</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4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and unallocated expenses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65,445</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47,555</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231,599</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020" w:right="119" w:hanging="322"/>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includes reduction for reimbursable expenses from Roche or increases in reimbursements to Roche under our collaboration for pralsetinib with Roche, and other development and pre-development candidate expenses includes reduction for reimbursable expenses under our other collaboration agreement.</w:t>
      </w:r>
    </w:p>
    <w:p>
      <w:pPr>
        <w:spacing w:after="0" w:line="20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research and development activities under our collaboration with Proteovant and development activities for companion diagnostic tests for any current and future drug candidates.</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legal fees related to intellectual property and corporate matters and fees for accounting and consulting services.</w:t>
      </w:r>
    </w:p>
    <w:p>
      <w:pPr>
        <w:spacing w:after="0" w:line="26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(expense), net consists primarily of income earned on cash equivalents and marketable securities.</w:t>
      </w:r>
    </w:p>
    <w:p>
      <w:pPr>
        <w:spacing w:after="0" w:line="22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royalty purchase agreement with Royalty Pharma, we expect our interest expense to increase in the future. Interest expense on liability related to the sale of future royalties consists of the periodic interest calculated using the effective interest rate method over the future estimated royalty payments due to Royalty Pharma over the life of the purchase and sale agreement. For additional information, see Note 3, </w:t>
      </w:r>
      <w:r>
        <w:rPr>
          <w:rFonts w:ascii="Times New Roman" w:cs="Times New Roman" w:eastAsia="Times New Roman" w:hAnsi="Times New Roman"/>
          <w:sz w:val="18"/>
          <w:szCs w:val="18"/>
          <w:i w:val="1"/>
          <w:iCs w:val="1"/>
          <w:color w:val="auto"/>
        </w:rPr>
        <w:t>Liability Related to the Sale of Future Royalties</w:t>
      </w:r>
      <w:r>
        <w:rPr>
          <w:rFonts w:ascii="Times New Roman" w:cs="Times New Roman" w:eastAsia="Times New Roman" w:hAnsi="Times New Roman"/>
          <w:sz w:val="18"/>
          <w:szCs w:val="18"/>
          <w:color w:val="auto"/>
        </w:rPr>
        <w:t>, to our unaudited condensed consolidated financial statements.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income (expense), net consists primarily of foreign currency transaction gains or losses.</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federal, state and foreign income taxes incurred.</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2021. There have been no significant changes to our critical accounting policies and estimates since December 31, 2021 with the exception of the below new policy.</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Liability related to the sale of future royalties</w:t>
      </w:r>
    </w:p>
    <w:p>
      <w:pPr>
        <w:spacing w:after="0" w:line="2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account for net proceeds from sales of our rights to receive future royalty payments as a liability related to the sale of future royalties if we have significant continuing involvement in the generation of the related future cash flows. Interest on the liability related to the sale of future royalties will be recognized using the effective interest rate method over the life of the related royalty stream. The liability related to the sale of future royalties and the expected interest expenses are based on our current estimates of future royalties and commercial milestones expected to be achieved and received over the life of the arrangement, which we determine by using forecasts of the underlying drug products of the underlying regions. We will periodically assess the expected payments and to the extent the amount or timing of the future estimated payments is materially different than our previous estimates, we will account for any such change by adjusting the liability related to the sale of future royalties and prospectively recognizing the related interest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2021</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together with the changes in those items in dollars and as a percentage: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194,185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58,379</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(108,251)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product revenue increased by $17.0 million from $11.4 million for three months ended June 30, 2021 to $28.5 million for three months ended June 30, 2022.</w:t>
      </w:r>
    </w:p>
    <w:p>
      <w:pPr>
        <w:spacing w:after="0" w:line="176"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transferred certain responsibilities associated with product sales to customers, pricing and distribution matters related to U.S. product sales of GAVRETO to our collaboration partner on July 1, 2021, and have not recorded any net product revenue from product sales of GAVRETO after this date. For additional information, see Note 10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Collaboration and License Agreements</w:t>
      </w:r>
      <w:r>
        <w:rPr>
          <w:rFonts w:ascii="Times New Roman" w:cs="Times New Roman" w:eastAsia="Times New Roman" w:hAnsi="Times New Roman"/>
          <w:sz w:val="17"/>
          <w:szCs w:val="17"/>
          <w:color w:val="auto"/>
        </w:rPr>
        <w:t>, to our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and GAVRETO during the three months ended June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1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160" w:type="dxa"/>
            <w:vAlign w:val="bottom"/>
          </w:tcPr>
          <w:p>
            <w:pPr>
              <w:spacing w:after="0"/>
              <w:rPr>
                <w:sz w:val="12"/>
                <w:szCs w:val="12"/>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World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$ 24,682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$ 28,454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$ 28,454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$7.8 million from $15.9 million for the three months ended June 30, 2021 to $8.1 million for the three months ended June 30, 2022. The following table summarizes the revenue recognized from our collaboration and license agreements during the three months ended June 30, 2022 and 2021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1"/>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Cancer immunotherapy with Roche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Revenue recognized under our CStone collaboration for the three months ended June 30, 2022 consisted of manufacturing services related to CStone territory-specific activities and royalties on drug sales. Revenue recognized under our cancer immunotherapy collaboration with Roche for the three months ended June 30, 2022 consisted of amortization of the total $53.5 million of upfront and milestone payments achieved as of such period. Other revenue for the three months ended June 30, 2022 was associated with Roche territory-specific activities under our collaboration with Roche for pralsetinib and Zai Lab territory-specific activities under our collaboration with Zai Lab.</w:t>
      </w:r>
    </w:p>
    <w:p>
      <w:pPr>
        <w:spacing w:after="0" w:line="17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under our CStone collaboration for the three months ended June 30, 2021 was primarily generated by the manufacturing services associated with CStone territory-specific activities during the quarter, including supply of drug substance and drug product to CStone for sale in their territory. Revenue recognized under our cancer immunotherapy collaboration with Roche for three months ended June 30, 2021 consisted of amortization of the total $64.5 million of upfront and milestone payments achieved as of such period. Other revenue for the three months ended June 30, 2021 was primarily associated with services related to Roche territory-specific activities under our collaboration with Roche for pralsetinib.</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Cost of product sales decreased by $1.6 million from $6.5 million during the three months ended June 30, 2021 to $4.9 million for the three months ended June 30, 2022 and was related to manufacturing costs associated with our products sales as well as costs associated with the sale of drug products to our collaboration partners. The following table summarizes the cost of sales by type during the three months ended June 30, 2022 and 2021 (in thousands):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1"/>
        </w:trPr>
        <w:tc>
          <w:tcPr>
            <w:tcW w:w="6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r>
      <w:tr>
        <w:trPr>
          <w:trHeight w:val="194"/>
        </w:trPr>
        <w:tc>
          <w:tcPr>
            <w:tcW w:w="6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09"/>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decrease in costs of product sales was primarily driven by the decrease in sale of drug products to our collaboration partners. In addition, costs associated with our net product revenue remain at higher margins as certain costs associated with the manufacture of our drugs prior to FDA approval were recorded as research and development expenses and, therefore, were not included in cost of sales during such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Our loss sharing under the collaboration with Roche for pralsetinib was $2.1 million for the three months ended June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14" w:lineRule="exact"/>
        <w:rPr>
          <w:sz w:val="20"/>
          <w:szCs w:val="20"/>
          <w:color w:val="auto"/>
        </w:rPr>
      </w:pPr>
    </w:p>
    <w:p>
      <w:pPr>
        <w:ind w:left="60" w:right="419" w:firstLine="648"/>
        <w:spacing w:after="0" w:line="277" w:lineRule="auto"/>
        <w:rPr>
          <w:sz w:val="20"/>
          <w:szCs w:val="20"/>
          <w:color w:val="auto"/>
        </w:rPr>
      </w:pPr>
      <w:r>
        <w:rPr>
          <w:rFonts w:ascii="Times New Roman" w:cs="Times New Roman" w:eastAsia="Times New Roman" w:hAnsi="Times New Roman"/>
          <w:sz w:val="17"/>
          <w:szCs w:val="17"/>
          <w:color w:val="auto"/>
        </w:rPr>
        <w:t>Research and development expense increased by $48.4 million from $80.0 million for the three months ended June 30, 2021 to $128.5 million for the three months ended June 30, 2022. The increase in research and development expense was primarily due to an increase of $30.5 million in increased clinical supply manufacturing and clinical development activities due to the progression and expansion of our clinical trials, an increase of $9.8 million in costs related to early discovery and expanding the platform, and an increase of $8.1 million in personnel expenses.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399"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increased by $9.4 million from $49.3 million for the three months ended June 30, 2021 to $58.7 million for the three months ended June 30, 2022. The increase in selling, general and administrative expense was primarily related to an increase of $6.7 million in personnel expenses associated with the expansion of our commercial infrastructure for commercialization of AYVAKIT/AYVAKIT, including a $1.0 million increase in stock-based compensation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decreased by $0.2 million from $0.6 million for the three months ended June 30, 2021 to $0.4 million for the three months ended June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$1.0 million from $0.4 million expense for the three months ended June 30, 2021 to $0.6 million income for the three months ended June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increased by $2.9 million from $0.2 million for the three months ended June 30, 2021 to $3.1 million for three months ended June 30, 2022. On June 30, 2022, we entered into a royalty purchase agreement with Royalty Pharma and a purchase and sale agreement with Sixth Street Partners. Pursuant to the agreements, we received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 xml:space="preserve">gross proceeds of $175.0 million from Royalty Pharma in June 2022 and $250.0 million from Sixth Street Partners in July 2022 upon the transactions closing. Both cash considerations in their entirety are considered as taxable income for the calendar year ending December 31, 2022 which resulted in the Company being in an estimated taxable income position for the calendar year ending December 31, 2022 and the increase in income tax expense for three months ended June 30, 2022. For additional information, see Note 13,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to our unaudited condensed consolidated financial statements.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2021</w:t>
      </w:r>
    </w:p>
    <w:p>
      <w:pPr>
        <w:spacing w:after="0" w:line="229"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together with the changes in those items in dollars and as a percentage: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 w:type="dxa"/>
            <w:vAlign w:val="bottom"/>
            <w:vMerge w:val="restart"/>
          </w:tcPr>
          <w:p>
            <w:pPr>
              <w:spacing w:after="0"/>
              <w:rPr>
                <w:sz w:val="16"/>
                <w:szCs w:val="16"/>
                <w:color w:val="auto"/>
              </w:rPr>
            </w:pP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1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20,388</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(207,966)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(3,313)</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(3,120)</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(208,159)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Net product revenue increased by $31.9 million from $20.4 million for the six months ended June 30, 2021 to $52.3 million for the six months ended June 30, 2022.</w:t>
      </w:r>
    </w:p>
    <w:p>
      <w:pPr>
        <w:spacing w:after="0" w:line="162"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transferred certain responsibilities associated with product sales to customers, pricing and distribution matters related to U.S. product sales of GAVRETO to our collaboration partner on July 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 xml:space="preserve">and have not recorded any net product revenue from product sales of GAVRETO after this date. For additional information, see Note 10, </w:t>
      </w:r>
      <w:r>
        <w:rPr>
          <w:rFonts w:ascii="Times New Roman" w:cs="Times New Roman" w:eastAsia="Times New Roman" w:hAnsi="Times New Roman"/>
          <w:sz w:val="17"/>
          <w:szCs w:val="17"/>
          <w:i w:val="1"/>
          <w:iCs w:val="1"/>
          <w:color w:val="auto"/>
        </w:rPr>
        <w:t>Collaboration and License Agreements</w:t>
      </w:r>
      <w:r>
        <w:rPr>
          <w:rFonts w:ascii="Times New Roman" w:cs="Times New Roman" w:eastAsia="Times New Roman" w:hAnsi="Times New Roman"/>
          <w:sz w:val="17"/>
          <w:szCs w:val="17"/>
          <w:color w:val="auto"/>
        </w:rPr>
        <w:t>, to our unaudited condensed consolidated financial statements.</w:t>
      </w:r>
    </w:p>
    <w:p>
      <w:pPr>
        <w:spacing w:after="0" w:line="14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and GAVRETO during the six months ended June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100" w:type="dxa"/>
            <w:vAlign w:val="bottom"/>
          </w:tcPr>
          <w:p>
            <w:pPr>
              <w:spacing w:after="0"/>
              <w:rPr>
                <w:sz w:val="12"/>
                <w:szCs w:val="12"/>
                <w:color w:val="auto"/>
              </w:rPr>
            </w:pPr>
          </w:p>
        </w:tc>
        <w:tc>
          <w:tcPr>
            <w:tcW w:w="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12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140" w:type="dxa"/>
            <w:vAlign w:val="bottom"/>
          </w:tcPr>
          <w:p>
            <w:pPr>
              <w:spacing w:after="0"/>
              <w:rPr>
                <w:sz w:val="12"/>
                <w:szCs w:val="12"/>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0" w:type="dxa"/>
            <w:vAlign w:val="bottom"/>
          </w:tcPr>
          <w:p>
            <w:pPr>
              <w:spacing w:after="0"/>
              <w:rPr>
                <w:sz w:val="16"/>
                <w:szCs w:val="16"/>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760" w:type="dxa"/>
            <w:vAlign w:val="bottom"/>
            <w:gridSpan w:val="2"/>
            <w:vMerge w:val="continue"/>
          </w:tcPr>
          <w:p>
            <w:pPr>
              <w:spacing w:after="0"/>
              <w:rPr>
                <w:sz w:val="16"/>
                <w:szCs w:val="16"/>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20" w:type="dxa"/>
            <w:vAlign w:val="bottom"/>
          </w:tcPr>
          <w:p>
            <w:pPr>
              <w:spacing w:after="0"/>
              <w:rPr>
                <w:sz w:val="16"/>
                <w:szCs w:val="16"/>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World</w:t>
            </w: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$ 45,834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$ 52,295</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$ 12,293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$ 45,834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$ 52,295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Collaboration revenue increased by $18.5 million from $28.5 million for the six months ended June 30, 2021 to $47.0 million for the six months ended June 30, 2022. The following table summarizes the revenue recognized from our collaboration and license agreements during the six months ended June 30, 2022 and 2021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Clementia license agreement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21,574</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with Roche for pralsetinib</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Revenue recognized under our license agreement with Clementia for the six months ended June 30, 2022 consisted of a specified development milestone payment. Revenue recognized under our CStone collaboration for the six months ended June 30, 2022 consisted of $4.0 million in a specified regulatory milestone payment and $11.3 million associated with the manufacturing services related to CStone territory-specific activities and royalties on drug sales. Revenue recognized under our collaboration with Roche for pralsetinib for the six months ended June 30, 2022 was associated with services related to Roche territory-specific activities and royalties on drug sales.</w:t>
      </w:r>
    </w:p>
    <w:p>
      <w:pPr>
        <w:spacing w:after="0" w:line="189" w:lineRule="exact"/>
        <w:rPr>
          <w:sz w:val="20"/>
          <w:szCs w:val="20"/>
          <w:color w:val="auto"/>
        </w:rPr>
      </w:pPr>
    </w:p>
    <w:p>
      <w:pPr>
        <w:ind w:left="60" w:right="79" w:firstLine="693"/>
        <w:spacing w:after="0" w:line="252" w:lineRule="auto"/>
        <w:rPr>
          <w:sz w:val="20"/>
          <w:szCs w:val="20"/>
          <w:color w:val="auto"/>
        </w:rPr>
      </w:pPr>
      <w:r>
        <w:rPr>
          <w:rFonts w:ascii="Times New Roman" w:cs="Times New Roman" w:eastAsia="Times New Roman" w:hAnsi="Times New Roman"/>
          <w:sz w:val="18"/>
          <w:szCs w:val="18"/>
          <w:color w:val="auto"/>
        </w:rPr>
        <w:t>Revenue recognized under our CStone collaboration for the six months ended June 30, 2021 primarily consisted of $9.0 million in milestone revenue related to regulatory and development milestones that were achieved during the period and $10.5 million related to manufacturing services associated with CStone territory-specific activities during the period, including supply of drug substance and drug product to CStone for sale in their territory. Revenue recognized under our collaboration with Roche for pralsetinib for the six months ended June 30, 2021 was associated with services related to Roche territory-specific activities. Other revenue for the six months ended June 30, 2021 was primarily related to amortization of the total $64.5 million of upfront and milestone payments achieved as of such period under our cancer immunotherapy collaboration with Roche.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Cost of product sales increased by $3.4 million from $6.6 million during the six months ended June 30, 2021 to $10.0 million for the six months ended June 30, 2022 and was related to manufacturing costs associated with our products sales as well as costs associated with the sale of drug product to our collaboration partners. The following table summarizes the cost of sales by type during the six months ended June 30, 2022 and 2021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1"/>
        </w:trPr>
        <w:tc>
          <w:tcPr>
            <w:tcW w:w="6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8,536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0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9,964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increase in costs of product sales was primarily driven by the increase in sales to our collaboration partners. Costs associated with our net product revenue remain at higher margins as certain costs associated with the manufacture of our drugs prior to FDA approval were recorded as research and development expenses and, therefore, were not included in cost of sales during such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14"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Our loss sharing under the collaboration with Roche for pralsetinib was $5.4 million for the six months ended June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by $71.9 million from $159.7 million for the six months ended June 30, 2021 to $231.6 million for the six months ended June 30, 2022. The increase in research and development expense was primarily due to an increase of $41.6 million in increased clinical supply manufacturing and clinical development activities due to the progression and expansion of our clinical trials, an increase of $13.7 million in costs related to early discovery and expanding the platform, and an increase of $16.6 million in personnel expenses, including an increase of $1.1 million in stock-based compensation expense.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 increased by $24.5 million from $91.3 million for the six months ended June 30, 2021 to $115.7 million for the six months ended June 30, 2022. The increase in selling, general and administrative expense was primarily related to an increase of $15.9 million in personnel expenses, including a $2.6 million increase in stock-based compensation expense, an increase of $6.6 million in other general expenses to operate the business, and an increase of $1.9 million in commercial expenses primarily related to the expansion of our commercial infrastructure for commercialization of AYVAKIT/AYVAKYT.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decreased by $0.5 million from $1.4 million for the six months ended June 30, 2021 to $0.9 million for the six months ended June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$0.8 million from $0.6 million expense for the six months ended June 30, 2021 to $0.2 million income for the six months ended June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Income tax expense increased by $3.1 million from $0.2 million for the six months ended June 30, 2021 to $3.3 million for the six months ended June 30, 2022. On June 30, 2022, we entered into a royalty purchase agreement with Royalty Pharma and a purchase and sale agreement with Sixth Street Partners. Pursuant to the agreements, we received gross proceeds of $ 175.0 million from Royalty Pharma in June 2022 and $250.0 million from Sixth Street Partners in July 2022 upon the transactions closing. Both cash considerations in their entirety are considered as taxable income for the calendar year ending December 31, 2022 which resulted in the Company being in a taxable income position for the calendar year ending December 31, 2022 and the increase in income tax expense for the six months ended June 30, 2022. For additional information, see Note 13,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unaudited condensed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public offerings of our common stock, private placements of our convertible preferred and common stock, collaborations, a license agreement and a royalty monetization. Through June 30, 2022, we have received an aggregate of $3.2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$1.0 billion in upfront payments and milestone payments under our collaborations with Roche, CStone and Zai Lab our license agreement with Clementia and our former collaboration with Alexion. In addition, in July 2022, we received a total of $400.0 million in gross proceeds related to our purchase and sale agreement and financing agreement with Sixth Street Partners. Since January 2020, we have also generated revenue through the sales of our approved drug products.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$947.2 million.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556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six months ended June 30,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$62.0 million increase in net cash used in operating activities was primarily due to an increase of $57.6 million in the net loss.</w:t>
      </w:r>
    </w:p>
    <w:p>
      <w:pPr>
        <w:spacing w:after="0" w:line="146"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Investing Activities. </w:t>
      </w:r>
      <w:r>
        <w:rPr>
          <w:rFonts w:ascii="Times New Roman" w:cs="Times New Roman" w:eastAsia="Times New Roman" w:hAnsi="Times New Roman"/>
          <w:sz w:val="18"/>
          <w:szCs w:val="18"/>
          <w:color w:val="auto"/>
        </w:rPr>
        <w:t>For the six months ended June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2021, the $19.0 million increase in net cash provided by investing activities was primarily due to an increase of $21.8 million in net proceeds from maturities of available-for-sale marketable securities.</w:t>
      </w:r>
    </w:p>
    <w:p>
      <w:pPr>
        <w:spacing w:after="0" w:line="153" w:lineRule="exact"/>
        <w:rPr>
          <w:sz w:val="20"/>
          <w:szCs w:val="20"/>
          <w:color w:val="auto"/>
        </w:rPr>
      </w:pPr>
    </w:p>
    <w:p>
      <w:pPr>
        <w:jc w:val="both"/>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six months ended June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2021, the $156.9 million increase in net cash provided by financing activities was primarily due to an increase of $175.0 million in gross proceeds received from the sale of future royalties transaction with Royalty Pharma.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a liability related to sale of future royalties on the consolidated balance sheet. As of June 30, 2022, the carrying value of the liability related to the sale of future royalties was $171.3 million, net of closing costs of $3.7 million.</w:t>
      </w:r>
    </w:p>
    <w:p>
      <w:pPr>
        <w:spacing w:after="0" w:line="18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royalty purchase agreement, we are eligible to receive certain milestone payments totaling up to $165.0 million, subject to the achievement of specified net sales milestones by Roche. The potential milestone payments will be added to the carrying value of the liability related to sale of future royalties when the milestones are achieved and received. For additional information, see Note 3, </w:t>
      </w:r>
      <w:r>
        <w:rPr>
          <w:rFonts w:ascii="Times New Roman" w:cs="Times New Roman" w:eastAsia="Times New Roman" w:hAnsi="Times New Roman"/>
          <w:sz w:val="18"/>
          <w:szCs w:val="18"/>
          <w:i w:val="1"/>
          <w:iCs w:val="1"/>
          <w:color w:val="auto"/>
        </w:rPr>
        <w:t>Liability Related to the Sale of Future Royalties</w:t>
      </w:r>
      <w:r>
        <w:rPr>
          <w:rFonts w:ascii="Times New Roman" w:cs="Times New Roman" w:eastAsia="Times New Roman" w:hAnsi="Times New Roman"/>
          <w:sz w:val="18"/>
          <w:szCs w:val="18"/>
          <w:color w:val="auto"/>
        </w:rPr>
        <w:t>, to our unaudited condensed consolidated financial statements.</w:t>
      </w:r>
    </w:p>
    <w:p>
      <w:pPr>
        <w:spacing w:after="0" w:line="187"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In July 2022, we closed a purchase and sale agreement with Sixth Street Partners and received gross proceeds of $250.0 million in exchange for future royalty payments at a rate of 9.75% on up to $900 million each year of (i) aggregate worldwide annual net product sales of AYVAKIT/AYVAKYT (avapritinib) and, if it is approved, BLU-263, excluding in Greater China, and (ii) aggregate worldwide annual net product sales of BLU-263,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will be recorded as a liability on the consolidated balance sheet.</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six and one half percent (6.50%) or the base rate plus five and one half percent (5.50%), subject to a floor of one percent (1%) and two percent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spacing w:after="0" w:line="190"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Our obligations under the financing agreement will be secured, subject to certain exceptions, by security interests in the substantially all of our assets and our certain subsidiaries. The financing agreement contains negative covenants that, among other things and subject to certain exceptions, could restrict the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68" w:lineRule="exact"/>
        <w:rPr>
          <w:sz w:val="20"/>
          <w:szCs w:val="20"/>
          <w:color w:val="auto"/>
        </w:rPr>
      </w:pPr>
    </w:p>
    <w:p>
      <w:pPr>
        <w:ind w:left="60" w:right="279" w:firstLine="648"/>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avapritinib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216" w:lineRule="exact"/>
        <w:rPr>
          <w:sz w:val="20"/>
          <w:szCs w:val="20"/>
          <w:color w:val="auto"/>
        </w:rPr>
      </w:pPr>
    </w:p>
    <w:p>
      <w:pPr>
        <w:ind w:left="60" w:right="419" w:firstLine="648"/>
        <w:spacing w:after="0" w:line="255" w:lineRule="auto"/>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$947.2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380" w:right="379" w:hanging="331"/>
        <w:spacing w:after="0" w:line="312"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96" w:lineRule="exact"/>
        <w:rPr>
          <w:rFonts w:ascii="Times New Roman" w:cs="Times New Roman" w:eastAsia="Times New Roman" w:hAnsi="Times New Roman"/>
          <w:sz w:val="18"/>
          <w:szCs w:val="18"/>
          <w:color w:val="auto"/>
        </w:rPr>
      </w:pPr>
    </w:p>
    <w:p>
      <w:pPr>
        <w:ind w:left="1380" w:right="139" w:hanging="331"/>
        <w:spacing w:after="0" w:line="255"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8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avapritinib in additional geographies;</w:t>
      </w:r>
    </w:p>
    <w:p>
      <w:pPr>
        <w:spacing w:after="0" w:line="196" w:lineRule="exact"/>
        <w:rPr>
          <w:rFonts w:ascii="Times New Roman" w:cs="Times New Roman" w:eastAsia="Times New Roman" w:hAnsi="Times New Roman"/>
          <w:sz w:val="18"/>
          <w:szCs w:val="18"/>
          <w:color w:val="auto"/>
        </w:rPr>
      </w:pPr>
    </w:p>
    <w:p>
      <w:pPr>
        <w:jc w:val="both"/>
        <w:ind w:left="1380" w:right="9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Zai Lab and Proteovant and our license agreement with Clementia, as well as our ability to establish and maintain additional collaborations, partnerships or licenses on favorable terms, if at all;</w:t>
      </w:r>
    </w:p>
    <w:p>
      <w:pPr>
        <w:spacing w:after="0" w:line="196" w:lineRule="exact"/>
        <w:rPr>
          <w:rFonts w:ascii="Times New Roman" w:cs="Times New Roman" w:eastAsia="Times New Roman" w:hAnsi="Times New Roman"/>
          <w:sz w:val="18"/>
          <w:szCs w:val="18"/>
          <w:color w:val="auto"/>
        </w:rPr>
      </w:pPr>
    </w:p>
    <w:p>
      <w:pPr>
        <w:ind w:left="1380" w:right="11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96"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69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1"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spacing w:after="0" w:line="215" w:lineRule="exact"/>
        <w:rPr>
          <w:sz w:val="20"/>
          <w:szCs w:val="20"/>
          <w:color w:val="auto"/>
        </w:rPr>
      </w:pPr>
    </w:p>
    <w:p>
      <w:pPr>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the license agreement with Clementia,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3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20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our contractual obligations and commitments described under “Management’s Discussion and Analysis of Financial Condition and Results of Operations” included in the Annual Report on Form 10-K for the year ended December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had cash, cash equivalents and marketable securities of $947.2 million and $1,034.6 million, respectively, consisting primarily of money market funds and investments in U.S. government agency and treasury obligations.</w:t>
      </w:r>
    </w:p>
    <w:p>
      <w:pPr>
        <w:spacing w:after="0" w:line="13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9"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We are also exposed to market risk related to changes in foreign currency exchange rates, including recent changes resulting from the Russian invasion of Ukraine. From time to time, we contract with vendors that are located in Asia and Europe, which are denominated in foreign currencies. We are subject to fluctuations in foreign currency rates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these agreements. We do not currently hedge our foreign currency exchange rate risk.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December 31, 2021, we held limited funds and future obligations denominated in foreign currencies.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and six months ended June 30, 2022 and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2022. Based upon such evaluation, our Chief Executive Officer and Chief Financial Officer have concluded that, as of June 30, 2022, our disclosure controls and procedures were effective at the reasonable assurance level.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539" w:firstLine="648"/>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1" w:lineRule="exact"/>
        <w:rPr>
          <w:sz w:val="20"/>
          <w:szCs w:val="20"/>
          <w:color w:val="auto"/>
        </w:rPr>
      </w:pPr>
    </w:p>
    <w:p>
      <w:pPr>
        <w:ind w:left="1380" w:right="99" w:hanging="331"/>
        <w:spacing w:after="0" w:line="201"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or any future approved drugs may be unsuccessful or less successful than anticipated.</w:t>
      </w:r>
    </w:p>
    <w:p>
      <w:pPr>
        <w:spacing w:after="0" w:line="197" w:lineRule="exact"/>
        <w:rPr>
          <w:rFonts w:ascii="Times New Roman" w:cs="Times New Roman" w:eastAsia="Times New Roman" w:hAnsi="Times New Roman"/>
          <w:sz w:val="18"/>
          <w:szCs w:val="18"/>
          <w:color w:val="auto"/>
        </w:rPr>
      </w:pPr>
    </w:p>
    <w:p>
      <w:pPr>
        <w:ind w:left="1380" w:right="799" w:hanging="331"/>
        <w:spacing w:after="0" w:line="312" w:lineRule="auto"/>
        <w:tabs>
          <w:tab w:leader="none" w:pos="1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ind w:left="1380" w:right="19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additional commercial capabilities and infrastructure, we may be unable to generate sufficient revenue to sustain our business.</w:t>
      </w:r>
    </w:p>
    <w:p>
      <w:pPr>
        <w:spacing w:after="0" w:line="161" w:lineRule="exact"/>
        <w:rPr>
          <w:rFonts w:ascii="Times New Roman" w:cs="Times New Roman" w:eastAsia="Times New Roman" w:hAnsi="Times New Roman"/>
          <w:sz w:val="18"/>
          <w:szCs w:val="18"/>
          <w:color w:val="auto"/>
        </w:rPr>
      </w:pPr>
    </w:p>
    <w:p>
      <w:pPr>
        <w:jc w:val="both"/>
        <w:ind w:left="1380" w:right="179" w:hanging="331"/>
        <w:spacing w:after="0" w:line="26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commercializing, developing or discovering drugs before or more successfully than we do.</w:t>
      </w:r>
    </w:p>
    <w:p>
      <w:pPr>
        <w:spacing w:after="0" w:line="161"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54"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drug candidates to clinical development, develop our drug candidates as monotherapies or in combination with other agents,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99" w:hanging="331"/>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66" w:lineRule="exact"/>
        <w:rPr>
          <w:rFonts w:ascii="Times New Roman" w:cs="Times New Roman" w:eastAsia="Times New Roman" w:hAnsi="Times New Roman"/>
          <w:sz w:val="18"/>
          <w:szCs w:val="18"/>
          <w:color w:val="auto"/>
        </w:rPr>
      </w:pPr>
    </w:p>
    <w:p>
      <w:pPr>
        <w:ind w:left="1380" w:right="179" w:hanging="331"/>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clinical development or regulatory approval, limit the commercial profile of an approved label, result in restrictive distribution or result in significant negative consequences following marketing approval, if any.</w:t>
      </w:r>
    </w:p>
    <w:p>
      <w:pPr>
        <w:spacing w:after="0" w:line="16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25" w:lineRule="exact"/>
        <w:rPr>
          <w:rFonts w:ascii="Times New Roman" w:cs="Times New Roman" w:eastAsia="Times New Roman" w:hAnsi="Times New Roman"/>
          <w:sz w:val="18"/>
          <w:szCs w:val="18"/>
          <w:color w:val="auto"/>
        </w:rPr>
      </w:pPr>
    </w:p>
    <w:p>
      <w:pPr>
        <w:ind w:left="1380" w:right="359" w:hanging="331"/>
        <w:spacing w:after="0" w:line="258"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69"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89"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7" w:lineRule="exact"/>
        <w:rPr>
          <w:rFonts w:ascii="Times New Roman" w:cs="Times New Roman" w:eastAsia="Times New Roman" w:hAnsi="Times New Roman"/>
          <w:sz w:val="17"/>
          <w:szCs w:val="17"/>
          <w:color w:val="auto"/>
        </w:rPr>
      </w:pPr>
    </w:p>
    <w:p>
      <w:pPr>
        <w:ind w:left="1380" w:right="99" w:hanging="331"/>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future growth prospects could be materially and adversely affected by the ongoing COVID-19 pandemic.</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been commercializing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89" w:lineRule="exact"/>
        <w:rPr>
          <w:sz w:val="20"/>
          <w:szCs w:val="20"/>
          <w:color w:val="auto"/>
        </w:rPr>
      </w:pPr>
    </w:p>
    <w:p>
      <w:pPr>
        <w:ind w:left="1340" w:right="13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61" w:lineRule="exact"/>
        <w:rPr>
          <w:rFonts w:ascii="Times New Roman" w:cs="Times New Roman" w:eastAsia="Times New Roman" w:hAnsi="Times New Roman"/>
          <w:sz w:val="18"/>
          <w:szCs w:val="18"/>
          <w:color w:val="auto"/>
        </w:rPr>
      </w:pPr>
    </w:p>
    <w:p>
      <w:pPr>
        <w:ind w:left="1340" w:right="7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GAVRETO and any future drugs;</w:t>
      </w:r>
    </w:p>
    <w:p>
      <w:pPr>
        <w:spacing w:after="0" w:line="148"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existing collaborations with Roche, CStone Pharmaceuticals and Zai Lab;</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4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87" w:lineRule="exact"/>
        <w:rPr>
          <w:sz w:val="20"/>
          <w:szCs w:val="20"/>
          <w:color w:val="auto"/>
        </w:rPr>
      </w:pPr>
    </w:p>
    <w:p>
      <w:pPr>
        <w:ind w:left="1380" w:hanging="331"/>
        <w:spacing w:after="0"/>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25" w:lineRule="exact"/>
        <w:rPr>
          <w:rFonts w:ascii="Times New Roman" w:cs="Times New Roman" w:eastAsia="Times New Roman" w:hAnsi="Times New Roman"/>
          <w:sz w:val="18"/>
          <w:szCs w:val="18"/>
          <w:color w:val="auto"/>
        </w:rPr>
      </w:pPr>
    </w:p>
    <w:p>
      <w:pPr>
        <w:ind w:left="1340" w:right="619" w:hanging="318"/>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25" w:lineRule="exact"/>
        <w:rPr>
          <w:sz w:val="20"/>
          <w:szCs w:val="20"/>
          <w:color w:val="auto"/>
        </w:rPr>
      </w:pPr>
    </w:p>
    <w:p>
      <w:pPr>
        <w:ind w:left="1340" w:hanging="31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25" w:lineRule="exact"/>
        <w:rPr>
          <w:rFonts w:ascii="Times New Roman" w:cs="Times New Roman" w:eastAsia="Times New Roman" w:hAnsi="Times New Roman"/>
          <w:sz w:val="18"/>
          <w:szCs w:val="18"/>
          <w:color w:val="auto"/>
        </w:rPr>
      </w:pPr>
    </w:p>
    <w:p>
      <w:pPr>
        <w:ind w:left="1340" w:right="499" w:hanging="318"/>
        <w:spacing w:after="0" w:line="266"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75"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 including due to the ongoing COVID-19 pandemic.</w:t>
      </w:r>
    </w:p>
    <w:p>
      <w:pPr>
        <w:spacing w:after="0" w:line="162"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precise incidence and/or prevalence for SM, RET-altered cancers, EGFR-mutated NSCLC, CCNE aberrant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Accordingly, the number of patients in the U.S., France, Germany, Italy, Spain, the United Kingdom (UK)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59"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9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8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likely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 Pralsetinib’s commercial potential may also face indirect competition from chemotherapeutic agents and immuno-oncology products, including those developed by AstraZeneca PLC, Bristol-Myers Squibb Company, EMD Serono &amp; Pfizer Inc., Merck &amp; Co., and Regeneron Pharmaceuticals, Inc.</w:t>
      </w:r>
    </w:p>
    <w:p>
      <w:pPr>
        <w:spacing w:after="0" w:line="18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Cogent Biosciences, Inc., Deciphera Pharmaceuticals, LLC, Exelixis, Inc., Ningbo Tai Kang Medical Technology Co. Ltd., Theseus Pharmaceuticals and Xencor, Inc.</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BLU-701 and BLU-945 for treatment-resistant EGFR-mutated NSCLC, which, if approved, will face competition from AstraZeneca plc’s osimertinib and aumolertinib, which is under collaboration between Jiangsu Hansoh Pharmaceutical Group Co., Ltd. and EQRX, Inc. and approved in China. In addition, BLU-701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C4 Therapeutics, Inc., Daiichi Sankyo Company, Limited, EpimAb Biotherapeutics, Inc., Janssen Pharmaceuticals, Inc., Kanaph Therapeutics, Merus N.V., SystImmune, Inc., Theseus Pharmaceuticals, Inc., RedCloud Bio, and Erasca, Inc.. BLU-701 and BLU-945 may also face indirect competition from chemotherapeutic agents and immuno-oncology products, including those developed by AstraZeneca PLC, Bristol-Myers Squibb Company, EMD Serono &amp; Pfizer Inc., Merck &amp; Co., and Regeneron Pharmaceuticals, Inc.</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Bayer AG, Cullinan Oncology, Inc., Dizal Pharmaceutical Co. Ltd., Shenzhen Forward Pharmaceutical Co., Ltd., Shanghai Junshi Biosciences Co., Ltd., Oric Pharmaceuticals, Inc., and Scorpion Therapeutics, Inc. BLU-451 may also face indirect competition from chemotherapeutic agents and immuno-oncology products, including those developed by AstraZeneca PLC, Bristol-Myers Squibb Company, EMD Serono &amp; Pfizer Inc., Merck &amp; Co., and Regeneron Pharmaceuticals, Inc.</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cyclin E aberrant cancers, which, if approved, will face competition from indication-specific therapies such as Genentech’s bevacizumab, AstraZeneca and Merck’s olaparib, AstraZeneca and Daiichi Sankyo’s trastuzumab deruxtecan, Clovis Oncology’s rucaparib, GSK’s niraparib, Merck’s pembrolizumab, and Eisai’s lenvatinib. In addition, BLU-222 may face competition from drug candidates in development, including those being developed by Allorian Therapeutics, Inc., ARC Therapeutics, Inc., Cedilla Therapeutics, Inc., Cyclacel Pharmaceuticals Inc., Debiopharm Group, Incyte Corporation, Monte Rosa Therapeutics, Inc., Nuvation Bio, Inc., Regor Therapeutics Inc., Schrodinger, Inc., Simcere Pharmaceutical, Pfizer Inc., AstraZeneca plc, Zentalis Pharmaceuticals, Inc., Relay Therapeutics, and Repare Therapeutics, Inc.</w:t>
      </w:r>
    </w:p>
    <w:p>
      <w:pPr>
        <w:spacing w:after="0" w:line="192"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7"/>
          <w:szCs w:val="17"/>
          <w:color w:val="auto"/>
        </w:rPr>
        <w:t>We are developing BLU-852 for advanced cancers susceptible to MAP4K1 inhibition, which, if approved, will face competition from immuno-oncology products, including those developed by Bristol-Myers Squibb Company, Merck</w:t>
      </w:r>
    </w:p>
    <w:p>
      <w:pPr>
        <w:ind w:left="60" w:right="79" w:hanging="10"/>
        <w:spacing w:after="0" w:line="249"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MingMed Biotechnology Co., Ltd., and Pfizer Inc.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0" w:lineRule="exact"/>
        <w:rPr>
          <w:sz w:val="20"/>
          <w:szCs w:val="20"/>
          <w:color w:val="auto"/>
        </w:rPr>
      </w:pPr>
    </w:p>
    <w:p>
      <w:pPr>
        <w:ind w:left="1380" w:right="89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4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clinical trials required for regulatory approval and successful commercialization of our drug candidates, which could prompt adverse publicity or other disruptions related to current or potential participants in such programs.</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75"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99" w:lineRule="exact"/>
        <w:rPr>
          <w:sz w:val="20"/>
          <w:szCs w:val="20"/>
          <w:color w:val="auto"/>
        </w:rPr>
      </w:pPr>
    </w:p>
    <w:p>
      <w:pPr>
        <w:ind w:left="1340" w:hanging="318"/>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clearances or approvals;</w:t>
      </w:r>
    </w:p>
    <w:p>
      <w:pPr>
        <w:spacing w:after="0" w:line="161" w:lineRule="exact"/>
        <w:rPr>
          <w:rFonts w:ascii="Times New Roman" w:cs="Times New Roman" w:eastAsia="Times New Roman" w:hAnsi="Times New Roman"/>
          <w:sz w:val="18"/>
          <w:szCs w:val="18"/>
          <w:color w:val="auto"/>
        </w:rPr>
      </w:pPr>
    </w:p>
    <w:p>
      <w:pPr>
        <w:jc w:val="both"/>
        <w:ind w:left="1340" w:right="319" w:hanging="318"/>
        <w:spacing w:after="0" w:line="258"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2"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a companion diagnostic test;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87" w:lineRule="exact"/>
        <w:rPr>
          <w:sz w:val="20"/>
          <w:szCs w:val="20"/>
          <w:color w:val="auto"/>
        </w:rPr>
      </w:pPr>
    </w:p>
    <w:p>
      <w:pPr>
        <w:ind w:left="1340" w:right="23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approved drugs and drug candidates may be adversely affected if we are unable to appropriately select patients for enrollment in our clinical trials;</w:t>
      </w:r>
    </w:p>
    <w:p>
      <w:pPr>
        <w:spacing w:after="0" w:line="161" w:lineRule="exact"/>
        <w:rPr>
          <w:rFonts w:ascii="Times New Roman" w:cs="Times New Roman" w:eastAsia="Times New Roman" w:hAnsi="Times New Roman"/>
          <w:sz w:val="18"/>
          <w:szCs w:val="18"/>
          <w:color w:val="auto"/>
        </w:rPr>
      </w:pPr>
    </w:p>
    <w:p>
      <w:pPr>
        <w:ind w:left="1340" w:right="31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w:t>
      </w:r>
    </w:p>
    <w:p>
      <w:pPr>
        <w:spacing w:after="0" w:line="161"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post-marketing requirements regarding the development and commercialization of companion diagnostic tests for our drugs and drug candidates;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79" w:hanging="318"/>
        <w:spacing w:after="0" w:line="266"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our business may be materially harmed.</w:t>
      </w:r>
    </w:p>
    <w:p>
      <w:pPr>
        <w:spacing w:after="0" w:line="22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5" w:lineRule="exact"/>
        <w:rPr>
          <w:sz w:val="20"/>
          <w:szCs w:val="20"/>
          <w:color w:val="auto"/>
        </w:rPr>
      </w:pPr>
    </w:p>
    <w:p>
      <w:pPr>
        <w:ind w:left="60" w:right="3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5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93" w:lineRule="exact"/>
        <w:rPr>
          <w:sz w:val="20"/>
          <w:szCs w:val="20"/>
          <w:color w:val="auto"/>
        </w:rPr>
      </w:pPr>
    </w:p>
    <w:p>
      <w:pPr>
        <w:ind w:left="1340" w:right="139" w:hanging="318"/>
        <w:spacing w:after="0" w:line="266"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drugs and drug candidates;</w:t>
      </w:r>
    </w:p>
    <w:p>
      <w:pPr>
        <w:spacing w:after="0" w:line="225"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pacing w:after="0" w:line="148" w:lineRule="exact"/>
        <w:rPr>
          <w:rFonts w:ascii="Times New Roman" w:cs="Times New Roman" w:eastAsia="Times New Roman" w:hAnsi="Times New Roman"/>
          <w:sz w:val="18"/>
          <w:szCs w:val="18"/>
          <w:color w:val="auto"/>
        </w:rPr>
      </w:pPr>
    </w:p>
    <w:p>
      <w:pPr>
        <w:ind w:left="1340" w:right="79" w:hanging="318"/>
        <w:spacing w:after="0" w:line="289" w:lineRule="auto"/>
        <w:tabs>
          <w:tab w:leader="none" w:pos="1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7"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82"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48"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25" w:lineRule="exact"/>
        <w:rPr>
          <w:sz w:val="20"/>
          <w:szCs w:val="20"/>
          <w:color w:val="auto"/>
        </w:rPr>
      </w:pPr>
    </w:p>
    <w:p>
      <w:pPr>
        <w:ind w:left="60" w:right="419" w:firstLine="648"/>
        <w:spacing w:after="0" w:line="296"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 If we do not receive regulatory approvals for our drug candidates, we may not be able to continue our operations.</w:t>
      </w:r>
    </w:p>
    <w:p>
      <w:pPr>
        <w:spacing w:after="0" w:line="22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25" w:lineRule="exact"/>
        <w:rPr>
          <w:sz w:val="20"/>
          <w:szCs w:val="20"/>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expedited review and approval programs, including breakthrough therapy designation and fast track designation, or otherwise to seek to accelerate clinical development and regulatory timelines.</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w:t>
      </w:r>
    </w:p>
    <w:p>
      <w:pPr>
        <w:spacing w:after="0" w:line="17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90"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48" w:lineRule="exact"/>
        <w:rPr>
          <w:sz w:val="20"/>
          <w:szCs w:val="20"/>
          <w:color w:val="auto"/>
        </w:rPr>
      </w:pPr>
    </w:p>
    <w:p>
      <w:pPr>
        <w:ind w:left="1380" w:right="79" w:hanging="331"/>
        <w:spacing w:after="0" w:line="282"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75"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5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380" w:right="379" w:hanging="331"/>
        <w:spacing w:after="0" w:line="312" w:lineRule="auto"/>
        <w:tabs>
          <w:tab w:leader="none" w:pos="1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impacting the FDA or comparable foreign regulatory authorities due to the ongoing COVID-19 pandemic.</w:t>
      </w:r>
    </w:p>
    <w:p>
      <w:pPr>
        <w:spacing w:after="0" w:line="162"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During the COVID-19 pandemic,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6" w:lineRule="exact"/>
        <w:rPr>
          <w:sz w:val="20"/>
          <w:szCs w:val="20"/>
          <w:color w:val="auto"/>
        </w:rPr>
      </w:pPr>
    </w:p>
    <w:p>
      <w:pPr>
        <w:ind w:left="1380" w:right="11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for any or all targeted indications. The drug 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 target toxicity. If on 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 benefit perspective. Many compounds that initially showed promise in early stage testing for treating cancer have later been found to cause side effects that prevented further development of the compound.</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0" w:lineRule="exact"/>
        <w:rPr>
          <w:sz w:val="20"/>
          <w:szCs w:val="20"/>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9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3"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seek approval of our drug candidates, where applicable, under the FDA’s accelerated approval pathway. This pathway may not lead to a faster development, regulatory review or approval process and does not increase the likelihood that our drug candidates will receive marketing approval.</w:t>
      </w:r>
    </w:p>
    <w:p>
      <w:pPr>
        <w:spacing w:after="0" w:line="175"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0"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239" w:firstLine="648"/>
        <w:spacing w:after="0" w:line="250"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94"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drugs that are intended for the diagnosis, prevention or treatment of life threatening or chronically debilitating conditions affecting not more than five (5) in ten thousand (10,000) persons in the EU and for which no satisfactory method of</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diagnosis, prevention, or treatment has been authorized for marketing in the EU (or, if such a method exists, the drug would be of significant benefit to those affected by the condition). In addition, designation is granted for drugs intended for the diagnosis, prevention, or treatment of a life threatening, seriously debilitating or serious and chronic condition and when, without incentives, it is unlikely that sales of the drug in the EU would generate sufficient return to justify the necessary investment in developing the drug. In the EU, orphan medicinal product designation entitles a party to financial incentives such as reduction of fees or fee waivers.</w:t>
      </w:r>
    </w:p>
    <w:p>
      <w:pPr>
        <w:spacing w:after="0" w:line="18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89" w:lineRule="exact"/>
        <w:rPr>
          <w:sz w:val="20"/>
          <w:szCs w:val="20"/>
          <w:color w:val="auto"/>
        </w:rPr>
      </w:pPr>
    </w:p>
    <w:p>
      <w:pPr>
        <w:ind w:left="60" w:right="279" w:firstLine="648"/>
        <w:spacing w:after="0" w:line="275"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1"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medicine capabilities. However, we may not be able to identify any drug candidates for our pipeline through such acquisitions or in-licenses.</w:t>
      </w:r>
    </w:p>
    <w:p>
      <w:pPr>
        <w:spacing w:after="0" w:line="16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intend to develop, launch and commercialize BLU-945, BLU-701,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94" w:lineRule="exact"/>
        <w:rPr>
          <w:sz w:val="20"/>
          <w:szCs w:val="20"/>
          <w:color w:val="auto"/>
        </w:rPr>
      </w:pPr>
    </w:p>
    <w:p>
      <w:pPr>
        <w:jc w:val="both"/>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7"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approval of current or future drug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 marketing information and reports, registration, as well as continued compliance with current Good Manufacturing Practices (cGMPs) and Good Clinical Practices (GCPs) for any clinical trials that we conduct post 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 marketing testing, including Phase 4 clinical trials, and surveillance to monitor the safety and efficacy of the drug.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165" w:lineRule="exact"/>
        <w:rPr>
          <w:sz w:val="20"/>
          <w:szCs w:val="20"/>
          <w:color w:val="auto"/>
        </w:rPr>
      </w:pPr>
    </w:p>
    <w:p>
      <w:pPr>
        <w:ind w:left="1340" w:right="5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6"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0"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“Business – Coverage and Reimbursement” included in our Annual Report on Form 10-K for the year ended December 31, 2021.</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56"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spacing w:after="0" w:line="2"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2" w:lineRule="exact"/>
        <w:rPr>
          <w:sz w:val="20"/>
          <w:szCs w:val="20"/>
          <w:color w:val="auto"/>
        </w:rPr>
      </w:pPr>
    </w:p>
    <w:p>
      <w:pPr>
        <w:ind w:left="60" w:right="99" w:hanging="10"/>
        <w:spacing w:after="0" w:line="252"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See section entitled “Business – Coverage and Reimbursement” included in our Annual Report on Form 10-K for the year ended December 31, 2021.</w:t>
      </w:r>
    </w:p>
    <w:p>
      <w:pPr>
        <w:spacing w:after="0" w:line="215"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7" w:lineRule="exact"/>
        <w:rPr>
          <w:sz w:val="20"/>
          <w:szCs w:val="20"/>
          <w:color w:val="auto"/>
        </w:rPr>
      </w:pPr>
    </w:p>
    <w:p>
      <w:pPr>
        <w:jc w:val="both"/>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w:t>
      </w:r>
    </w:p>
    <w:p>
      <w:pPr>
        <w:spacing w:after="0" w:line="2" w:lineRule="exact"/>
        <w:rPr>
          <w:sz w:val="20"/>
          <w:szCs w:val="20"/>
          <w:color w:val="auto"/>
        </w:rPr>
      </w:pPr>
    </w:p>
    <w:p>
      <w:pPr>
        <w:ind w:left="60" w:right="99"/>
        <w:spacing w:after="0" w:line="249" w:lineRule="auto"/>
        <w:rPr>
          <w:sz w:val="20"/>
          <w:szCs w:val="20"/>
          <w:color w:val="auto"/>
        </w:rPr>
      </w:pPr>
      <w:r>
        <w:rPr>
          <w:rFonts w:ascii="Times New Roman" w:cs="Times New Roman" w:eastAsia="Times New Roman" w:hAnsi="Times New Roman"/>
          <w:sz w:val="18"/>
          <w:szCs w:val="18"/>
          <w:color w:val="auto"/>
        </w:rPr>
        <w:t>Legislation or regulations allowing the reimportation of drugs, if enacted, could decrease the price we receive for any products that we may develop and adversely affect our future revenues and prospects for profitability. For example, on July 9, 2021, President Biden issued an executive order directing the FDA to, among other things, continue to clarify and improve the approval framework for generic drugs and identify and address any efforts to impede generic drug competition which could adversely impact our business.</w:t>
      </w:r>
    </w:p>
    <w:p>
      <w:pPr>
        <w:spacing w:after="0" w:line="23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allocate additional resources to responding to such requests or any legal challenges under this law, our business could be adversely impacted.</w:t>
      </w:r>
    </w:p>
    <w:p>
      <w:pPr>
        <w:spacing w:after="0" w:line="202"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22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3"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HIPAA,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“Business – Other Healthcare Laws” included in our Annual Report on Form 10-K for the year ended December 31, 2021.</w:t>
      </w:r>
    </w:p>
    <w:p>
      <w:pPr>
        <w:spacing w:after="0" w:line="19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90"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8" w:lineRule="exact"/>
        <w:rPr>
          <w:sz w:val="20"/>
          <w:szCs w:val="20"/>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58"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therapies. If reimbursement of our drugs is unavailable or limited in scope or amount, or if pricing is set at unsatisfactory levels, our business could be materially harmed.</w:t>
      </w:r>
    </w:p>
    <w:p>
      <w:pPr>
        <w:spacing w:after="0" w:line="15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(API), drug substance and drug product material for use in preclinical studies and clinical trials for our drug candidates and commercial sale of our approved drugs.</w:t>
      </w:r>
    </w:p>
    <w:p>
      <w:pPr>
        <w:spacing w:after="0" w:line="187"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public offerings of our common stock, private placements of our convertible preferred and common stock, collaborations, a license agreement and a royalty monetization. Through June 30, 2022, we have received an aggregate of $3.2 billion from such transactions, including $1.9 billion in aggregate gross proceeds from the sale of common stock in our IPO, follow on public offerings, through our “at the market” stock offering program and the equity investment by Roche, $115.1 million in gross proceeds from the issuance of convertible preferred stock, $175.0 million in gross proceeds from our royalty purchase agreement with Royalty Pharma, $1.0 billion in upfront payments and milestone payments under our collaborations with Roche, CStone and Zai Lab our license agreement with Clementia and our former collaboration with Alexion. In addition, in July 2022, we received a total of $400.0 million in gross proceeds related to our purchase and sale agreement and financing agreement with Sixth Street Partners. Since January 2020, we also have generated revenue through sales of our drug products.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w:t>
      </w:r>
    </w:p>
    <w:p>
      <w:pPr>
        <w:spacing w:after="0" w:line="27"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December 31, 2020. Our net loss was $265.7 million for the six months ended June 30, 2022. For the year ended December 31, 2021, our net loss was $644.1 million, which included $260.0 million of expenses related to the acquisition of Lengo, and our net income was $313.9 million for the year ended December 31, 2020 primarily due to the collaboration revenue recorded under our collaboration with Roche for pralsetinib. Our net loss was $347.7 million for the year ended December 31, 2019. As of June 30, 2022, we had an accumulated deficit of $1,541.1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1"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 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substantial revenue from drug sales. Our ability to generate substantial revenue depends on a number of factors, including, but not limited to, our ability to:</w:t>
      </w:r>
    </w:p>
    <w:p>
      <w:pPr>
        <w:spacing w:after="0" w:line="176" w:lineRule="exact"/>
        <w:rPr>
          <w:sz w:val="20"/>
          <w:szCs w:val="20"/>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66"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75"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pacing w:after="0" w:line="161" w:lineRule="exact"/>
        <w:rPr>
          <w:rFonts w:ascii="Times New Roman" w:cs="Times New Roman" w:eastAsia="Times New Roman" w:hAnsi="Times New Roman"/>
          <w:sz w:val="18"/>
          <w:szCs w:val="18"/>
          <w:color w:val="auto"/>
        </w:rPr>
      </w:pPr>
    </w:p>
    <w:p>
      <w:pPr>
        <w:ind w:left="1340" w:right="379" w:hanging="318"/>
        <w:spacing w:after="0" w:line="258"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2"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GAVRETO and any current or future drug candidates for which we receive marketing approval.</w:t>
      </w:r>
    </w:p>
    <w:p>
      <w:pPr>
        <w:spacing w:after="0" w:line="176" w:lineRule="exact"/>
        <w:rPr>
          <w:sz w:val="20"/>
          <w:szCs w:val="20"/>
          <w:color w:val="auto"/>
        </w:rPr>
      </w:pPr>
    </w:p>
    <w:p>
      <w:pPr>
        <w:ind w:left="60" w:right="399" w:firstLine="648"/>
        <w:spacing w:after="0" w:line="253"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w:t>
      </w:r>
    </w:p>
    <w:p>
      <w:pPr>
        <w:spacing w:after="0" w:line="183"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4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40" w:right="399" w:hanging="318"/>
        <w:spacing w:after="0" w:line="312" w:lineRule="auto"/>
        <w:tabs>
          <w:tab w:leader="none" w:pos="1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40" w:right="35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75"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48"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5"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and Zai Lab and our license agreement with Clementia,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58"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2"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40" w:right="71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48"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25" w:lineRule="exact"/>
        <w:rPr>
          <w:sz w:val="20"/>
          <w:szCs w:val="20"/>
          <w:color w:val="auto"/>
        </w:rPr>
      </w:pPr>
    </w:p>
    <w:p>
      <w:pPr>
        <w:ind w:left="60" w:right="159" w:firstLine="693"/>
        <w:spacing w:after="0" w:line="252"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technologies, drugs or drug candidates or otherwise agree to terms unfavorable to us, any of which may have a material adverse effect on our business, operating results and prospects.</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As consideration for the arrangement, we received $175.0 million upfront in cash and may receive up to $165.0 million in milestone payments. As a result, we will no longer derive cash from royalty payments from sales of GAVRETO in all countries besides Greater China and the U.S., other than in the form of contingent milestone payments under the royalty purchase agreement with Royalty Pharma.</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June 2022, we entered into a purchase and sale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 AYVAKYT, excluding in Greater China, and (ii) aggregate worldwide annual net product sales of BLU-263,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w:t>
      </w:r>
    </w:p>
    <w:p>
      <w:pPr>
        <w:spacing w:after="0" w:line="188" w:lineRule="exact"/>
        <w:rPr>
          <w:sz w:val="20"/>
          <w:szCs w:val="20"/>
          <w:color w:val="auto"/>
        </w:rPr>
      </w:pPr>
    </w:p>
    <w:p>
      <w:pPr>
        <w:jc w:val="both"/>
        <w:ind w:left="60" w:right="4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6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Under the financing agreement by and among the Company, the other lenders from time to time party thereto and Tao Talents, LLC, as the administrative agent for the lenders,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loan in an aggregate principal amount of up to $150.0 million. We may also at any time request an incremental term loan in an amount not to exceed $260.0 million on terms to be agreed and subject to the consent of the lenders providing such incremental term loan.</w:t>
      </w:r>
    </w:p>
    <w:p>
      <w:pPr>
        <w:spacing w:after="0" w:line="176"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7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 $80.0 million. These and other terms in the Sixth Street Financing Agreement could restrict our ability to grow our business or enter into transactions that we believe would be beneficial to our business.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We have entered into collaborations and licenses with Roche, CStone, Zai Lab, Proteovant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8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Zai Lab, Proteovant or Clementia, or of any future collaboration or license agreement, could adversely affect us financially or harm our business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CROs, we could be required to repeat, extend the duration of, or increase the size of any clinical trials we conduct and this could significantly delay commercialization and require significantly greater expenditures.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8"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6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7" w:lineRule="exact"/>
        <w:rPr>
          <w:sz w:val="20"/>
          <w:szCs w:val="20"/>
          <w:color w:val="auto"/>
        </w:rPr>
      </w:pPr>
    </w:p>
    <w:p>
      <w:pPr>
        <w:ind w:left="60" w:right="79" w:firstLine="648"/>
        <w:spacing w:after="0" w:line="248"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our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91"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9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3" w:lineRule="exact"/>
        <w:rPr>
          <w:sz w:val="20"/>
          <w:szCs w:val="20"/>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6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there are several potential alternative manufacturers who could manufacture our approved drugs and drug candidates, we may incur added costs and delays in identifying and qualifying any such replacement.</w:t>
      </w:r>
    </w:p>
    <w:p>
      <w:pPr>
        <w:spacing w:after="0" w:line="16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76" w:lineRule="exact"/>
        <w:rPr>
          <w:sz w:val="20"/>
          <w:szCs w:val="20"/>
          <w:color w:val="auto"/>
        </w:rPr>
      </w:pPr>
    </w:p>
    <w:p>
      <w:pPr>
        <w:ind w:left="60" w:right="3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pacing w:after="0" w:line="189"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spacing w:after="0" w:line="16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state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70" w:lineRule="exact"/>
        <w:rPr>
          <w:sz w:val="20"/>
          <w:szCs w:val="20"/>
          <w:color w:val="auto"/>
        </w:rPr>
      </w:pPr>
    </w:p>
    <w:p>
      <w:pPr>
        <w:ind w:left="60" w:right="79" w:firstLine="648"/>
        <w:spacing w:after="0" w:line="213" w:lineRule="auto"/>
        <w:rPr>
          <w:sz w:val="20"/>
          <w:szCs w:val="20"/>
          <w:color w:val="auto"/>
        </w:rPr>
      </w:pPr>
      <w:r>
        <w:rPr>
          <w:rFonts w:ascii="Times New Roman" w:cs="Times New Roman" w:eastAsia="Times New Roman" w:hAnsi="Times New Roman"/>
          <w:sz w:val="18"/>
          <w:szCs w:val="18"/>
          <w:color w:val="auto"/>
        </w:rPr>
        <w:t>We own or license patents and patent applications that relate to our approved drugs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and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and our drug candidates BLU-263, BLU-945, BLU-701, BLU-451, BLU-222, and BLU-852. We also own or license patents and patent applications relating to other compounds that are inhibitors of KIT and PDGFRA, RET, EGFR, CDK2, and MAP4K1 as well as methods of use, formulations, solid state forms, and manufacturing processes. The issued U.S. patent directed to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composition of matter has a statutory expiration date in 2034, the issued U.S. patent directed to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composition of matter has a statutory expiration date in 2036.</w:t>
      </w:r>
    </w:p>
    <w:p>
      <w:pPr>
        <w:spacing w:after="0" w:line="83" w:lineRule="exact"/>
        <w:rPr>
          <w:sz w:val="20"/>
          <w:szCs w:val="20"/>
          <w:color w:val="auto"/>
        </w:rPr>
      </w:pPr>
    </w:p>
    <w:p>
      <w:pPr>
        <w:ind w:left="60" w:right="79" w:firstLine="648"/>
        <w:spacing w:after="0" w:line="235" w:lineRule="auto"/>
        <w:rPr>
          <w:sz w:val="20"/>
          <w:szCs w:val="20"/>
          <w:color w:val="auto"/>
        </w:rPr>
      </w:pPr>
      <w:r>
        <w:rPr>
          <w:rFonts w:ascii="Times New Roman" w:cs="Times New Roman" w:eastAsia="Times New Roman" w:hAnsi="Times New Roman"/>
          <w:sz w:val="18"/>
          <w:szCs w:val="18"/>
          <w:color w:val="auto"/>
        </w:rPr>
        <w:t>As of July 12, 2022, the patent portfolio for our KIT and PDGFRA program, including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BLU-263 contains 12 issued U.S. patents, 20 issued foreign patents, including two European patents validated in 38 and 12 countries, six pending U.S. non-provisional patent applications, one pending U.S. provisional application, four pending PCT international patent applications and 54 pending foreign patent applications. The patents that have issued or will issue covering our KIT and PDGFRA program will have a statutory expiration date between 2034 and 2043. Patent term adjustments, patent term extensions, and supplementary protection certificates could result in later expiration dates.</w:t>
      </w:r>
    </w:p>
    <w:p>
      <w:pPr>
        <w:spacing w:after="0" w:line="192" w:lineRule="exact"/>
        <w:rPr>
          <w:sz w:val="20"/>
          <w:szCs w:val="20"/>
          <w:color w:val="auto"/>
        </w:rPr>
      </w:pPr>
    </w:p>
    <w:p>
      <w:pPr>
        <w:ind w:left="60" w:right="99" w:firstLine="648"/>
        <w:spacing w:after="0" w:line="232" w:lineRule="auto"/>
        <w:rPr>
          <w:sz w:val="20"/>
          <w:szCs w:val="20"/>
          <w:color w:val="auto"/>
        </w:rPr>
      </w:pPr>
      <w:r>
        <w:rPr>
          <w:rFonts w:ascii="Times New Roman" w:cs="Times New Roman" w:eastAsia="Times New Roman" w:hAnsi="Times New Roman"/>
          <w:sz w:val="18"/>
          <w:szCs w:val="18"/>
          <w:color w:val="auto"/>
        </w:rPr>
        <w:t>As of July 12, 2022, the patent portfolio for our RET program, including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contains nine issued U.S. patents, four pending U.S. non-provisional patent applications, three pending PCT international applications, 56 pending foreign patent applications and 13 issued foreign patents. The patents that have issued or will issue covering our RET program will have a statutory expiration date between 2036 and 2041. Patent term adjustments, patent term extensions, and supplementary protection certificates could result in later expiration dates.</w:t>
      </w:r>
    </w:p>
    <w:p>
      <w:pPr>
        <w:spacing w:after="0" w:line="20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July 12, 2022, the patent portfolio for our EGFR program, including BLU-945, BLU-701, and BLU-451 contains one issued U.S. patent, two pending U.S. non-provisional patent applications, 8 pending U.S. provisional applications, 12 pending PCT international patent applications and 41 pending foreign patent applications and two issued foreign patents, including one European patent validated in 6 countries directed to our EGFR program, including BLU-945, BLU-701, and BLU-451. The patents that have issued or will issue covering our EGFR program will have a statutory expiration date between 2034 and 2043. Patent term adjustments, patent term extensions, and supplementary protection certificates could result in later expiration 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As of July 12, 2022, the patent portfolio for our CDK2 program, including BLU-222 contains one pending U.S. non-provisional application, two pending U.S. provisional applications, two pending PCT international applications, and three pending foreign patent applications. The patents that will issue covering our CDK2 program will have a statutory expiration date of 2042. Patent term adjustments, patent term extensions, and supplementary protection certificates could result in later expiration dates. As of July 12, 2022, the patent portfolio for our MAP4K1 program, including BLU-852 contains one pending U.S. non-provisional application, three pending U.S. provisional applications, two pending PCT international applications, and two pending foreign patent applications. The patents that will issue covering our MAP4K1 program will have a statutory expiration date of between 2041 and 2042. Patent term adjustments, patent term extensions, and supplementary protection certificates could result in later expiration dates.</w:t>
      </w:r>
    </w:p>
    <w:p>
      <w:pPr>
        <w:spacing w:after="0" w:line="191"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patents and patent applications directed to novel gene fusions and the uses of these fusions for detecting and treating conditions implicated with these fusions. As of July 12, 2022, the patent portfolio directed to our platform contains nine issued U.S. patents, five pending U.S. non-provisional patent applications, one pending European Union patent applications and eight issued European patents. Any U.S. or ex-U.S. patent issuing from the pending applications directed to this technology, if issued, will have statutory expiration dates ranging from 2034 to 2035.</w:t>
      </w:r>
    </w:p>
    <w:p>
      <w:pPr>
        <w:spacing w:after="0" w:line="189"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9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228" w:lineRule="exact"/>
        <w:rPr>
          <w:sz w:val="20"/>
          <w:szCs w:val="20"/>
          <w:color w:val="auto"/>
        </w:rPr>
      </w:pPr>
    </w:p>
    <w:p>
      <w:pPr>
        <w:ind w:left="60" w:right="6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8"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7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7"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9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3"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94"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2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future growth prospects could be materially and adversely affected by the ongoing COVID-19 pandemic.</w:t>
      </w:r>
    </w:p>
    <w:p>
      <w:pPr>
        <w:spacing w:after="0" w:line="14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9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planned clinical trials;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and business operations;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at our third-party suppliers and other vendors in the U.S. and other countries;</w:t>
      </w:r>
    </w:p>
    <w:p>
      <w:pPr>
        <w:spacing w:after="0" w:line="225" w:lineRule="exact"/>
        <w:rPr>
          <w:rFonts w:ascii="Times New Roman" w:cs="Times New Roman" w:eastAsia="Times New Roman" w:hAnsi="Times New Roman"/>
          <w:sz w:val="18"/>
          <w:szCs w:val="18"/>
          <w:color w:val="auto"/>
        </w:rPr>
      </w:pPr>
    </w:p>
    <w:p>
      <w:pPr>
        <w:jc w:val="both"/>
        <w:ind w:left="1340" w:right="159" w:hanging="318"/>
        <w:spacing w:after="0" w:line="266"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75"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activities related to AYVAKIT/AYVAKYT, GAVRETO and any drug candidates for which we may receive marketing approval in the U.S. or other geographies in the future.</w:t>
      </w:r>
    </w:p>
    <w:p>
      <w:pPr>
        <w:spacing w:after="0" w:line="17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172"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7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of July 15, 2022, we had 580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1"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ongoing COVID-19 pandemic has caused extreme volatility and disruptions in the capital and credit markets. In addition, geopolitical developments, such as the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European Union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Political development can also lead to uncertainty to regulations and rules that may materially affect our business. For example, as the UK regulatory system is now independent from the EU, Brexit could result in the UK significantly altering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European Union and elsewhere.</w:t>
      </w:r>
    </w:p>
    <w:p>
      <w:pPr>
        <w:spacing w:after="0" w:line="166"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67"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9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70"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6"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8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5" w:lineRule="exact"/>
        <w:rPr>
          <w:sz w:val="20"/>
          <w:szCs w:val="20"/>
          <w:color w:val="auto"/>
        </w:rPr>
      </w:pPr>
    </w:p>
    <w:p>
      <w:pPr>
        <w:ind w:left="60" w:right="139" w:firstLine="648"/>
        <w:spacing w:after="0" w:line="264" w:lineRule="auto"/>
        <w:rPr>
          <w:sz w:val="20"/>
          <w:szCs w:val="20"/>
          <w:color w:val="auto"/>
        </w:rPr>
      </w:pPr>
      <w:r>
        <w:rPr>
          <w:rFonts w:ascii="Times New Roman" w:cs="Times New Roman" w:eastAsia="Times New Roman" w:hAnsi="Times New Roman"/>
          <w:sz w:val="17"/>
          <w:szCs w:val="17"/>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w:t>
      </w:r>
    </w:p>
    <w:p>
      <w:pPr>
        <w:spacing w:after="0" w:line="6"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w:t>
      </w:r>
    </w:p>
    <w:p>
      <w:pPr>
        <w:spacing w:after="0" w:line="18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(SCCs) approved by the European Commission or binding corporate rules, or a derogation applies. In 2020, the Court of Justice of the European Union (CJEU) deemed that transfers made pursuant to the EU SCCs and other alternative transfer mechanisms, including binding corporate rules, need to be analyzed on a case-by-case basis to ensure EU standards of data protection are met in the jurisdiction where the data importer is based, and there continue to be concerns about whether these transfer mechanisms will face additional challenges. European regulators have issued recent guidance following the CJEU case that imposes significant new diligence requirements on transferring data outside the European Union, including under an approved transfer mechanism. This guidance requires an “essential equivalency” assessment of the laws of the destination country transferred. If essentially equivalent protections are not available in the destination country, the exporting entity must then assess if supplemental measures can be put in place that, in combination with the chosen transfer mechanism, would address the deficiency in the laws and ensure that essentially equivalent protection can be given to the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1" w:lineRule="auto"/>
        <w:rPr>
          <w:sz w:val="20"/>
          <w:szCs w:val="20"/>
          <w:color w:val="auto"/>
        </w:rPr>
      </w:pPr>
      <w:r>
        <w:rPr>
          <w:rFonts w:ascii="Times New Roman" w:cs="Times New Roman" w:eastAsia="Times New Roman" w:hAnsi="Times New Roman"/>
          <w:sz w:val="18"/>
          <w:szCs w:val="18"/>
          <w:color w:val="auto"/>
        </w:rPr>
        <w:t>On June 4, 2021, the European Commission issued new SCCs that account for the CJEU’s decision and other developments, which need to be put in place for new contracts involving the transfer of personal data from the European Economic Area to a third country since September 27, 2021, and incorporated into existing contracts by December 27, 2022. The New SCCs do not apply to the UK, but the UK Information Commissioner’s Office has published its own transfer mechanism, the International Data Transfer Agreement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Complying with these obligations and applicable guidance regarding cross-border data transfers could be expensive and time consuming, and may require us to modify our data handling policies and procedures and may ultimately prevent or restrict us from transferring personal data outside the European Economic Area of the UK which could cause significant business disruption.</w:t>
      </w:r>
    </w:p>
    <w:p>
      <w:pPr>
        <w:spacing w:after="0" w:line="197" w:lineRule="exact"/>
        <w:rPr>
          <w:sz w:val="20"/>
          <w:szCs w:val="20"/>
          <w:color w:val="auto"/>
        </w:rPr>
      </w:pPr>
    </w:p>
    <w:p>
      <w:pPr>
        <w:jc w:val="both"/>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Complying with this guidance as it exists today and evolves will be expensive and time consuming and may ultimately prevent us from transferring personal data outside the European Union, which would cause significant business disruption for ourselves and our customers and potentially require the changes in the way our products are configured, hosted and supported.</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(FADP). While the FADP provides broad protections to personal data, on September 25, 2020, the Swiss federal Parliament enacted a revised version of the FADP, which is anticipated to become effective in 2022 or the beginning of 2023. The new version of the FADP aligns Swiss data protection law with the GDPR.</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An update is expected in 2022. The aim is for the Draft Regulation to be in force some time in 2023.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8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As another prominent example, we are also subject to data protection regulation in the UK. Following the UK’s withdrawal from the EU on January 31, 2020 and the end of the transitional arrangements agreed between the UK and EU as of January 1, 2021, the GDPR has been incorporated into UK domestic law by virtue of section 3 of the European Union (Withdrawal) Act 2018 and amended by the Data Protection, Privacy and Electronic Communications (Amendments etc.) (EU Exit) Regulations 2019 (UK GDPR). United Kingdom-based organizations doing business in the European Union will need to continue to comply with the GDPR.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protection under the EU GDPR and, therefore, transfers of personal data originating in the EU to the UK remain unrestricted. Like the EU GDPR, the UK GDPR restricts personal data transfers outside the UK to countries not regarded by the UK as providing adequate protection. The Information Commissioner’s Office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European data protection requirements, we are subject to the California Consumer Privacy Act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7" w:lineRule="exact"/>
        <w:rPr>
          <w:sz w:val="20"/>
          <w:szCs w:val="20"/>
          <w:color w:val="auto"/>
        </w:rPr>
      </w:pPr>
    </w:p>
    <w:p>
      <w:pPr>
        <w:ind w:left="60" w:right="79" w:firstLine="648"/>
        <w:spacing w:after="0" w:line="264" w:lineRule="auto"/>
        <w:rPr>
          <w:sz w:val="20"/>
          <w:szCs w:val="20"/>
          <w:color w:val="auto"/>
        </w:rPr>
      </w:pPr>
      <w:r>
        <w:rPr>
          <w:rFonts w:ascii="Times New Roman" w:cs="Times New Roman" w:eastAsia="Times New Roman" w:hAnsi="Times New Roman"/>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w:t>
      </w:r>
    </w:p>
    <w:p>
      <w:pPr>
        <w:spacing w:after="0" w:line="3" w:lineRule="exact"/>
        <w:rPr>
          <w:sz w:val="20"/>
          <w:szCs w:val="20"/>
          <w:color w:val="auto"/>
        </w:rPr>
      </w:pPr>
    </w:p>
    <w:p>
      <w:pPr>
        <w:ind w:left="60" w:right="139" w:hanging="10"/>
        <w:spacing w:after="0" w:line="255"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8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complex and costly and may increase the likelihood that we may be subject to enforcement actions or otherwise incur liability for noncompliance.</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66"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8"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them over five years. The U.S. Congress is considering legislation that would defer the amortization requirement to future periods; however, we have no assurance that the provision will be repealed or otherwise modified. If the requirement is not repealed or modified, it will have a material impact on the carryover of taxable losses used to offset future taxable income, and in turn, impacting our cash flows in future years.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July 29, 2022. As a result of this volatility, our stockholders could incur substantial losses.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399"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a new sales agreement with Cowen through which we may, from time to time, issue and sell shares of our common stock having an aggregate offering price of up to $300.0 million, subject to the terms and conditions of the new sales agreement.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75"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2022, we commenced a new at-the-market, or ATM, program to raise capital. Under our ATM</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we have entered into a sales agreement to sell common shares, up to a maximum aggregate market value of</w:t>
      </w:r>
    </w:p>
    <w:p>
      <w:pPr>
        <w:ind w:left="60"/>
        <w:spacing w:after="0"/>
        <w:rPr>
          <w:sz w:val="20"/>
          <w:szCs w:val="20"/>
          <w:color w:val="auto"/>
        </w:rPr>
      </w:pPr>
      <w:r>
        <w:rPr>
          <w:rFonts w:ascii="Times New Roman" w:cs="Times New Roman" w:eastAsia="Times New Roman" w:hAnsi="Times New Roman"/>
          <w:sz w:val="17"/>
          <w:szCs w:val="17"/>
          <w:color w:val="auto"/>
        </w:rPr>
        <w:t>$300.0 million, through one or more at-the-market offerings. Given volatility in the capital markets, we may not be willing</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able to continue to raise equity capital through our ATM program. We may, therefore, need to turn to other sources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that may have terms that are not favorable to us, or reduce our business operations given capital constraints.</w:t>
      </w:r>
    </w:p>
    <w:p>
      <w:pPr>
        <w:spacing w:after="0" w:line="20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00" w:lineRule="exact"/>
        <w:rPr>
          <w:sz w:val="20"/>
          <w:szCs w:val="20"/>
          <w:color w:val="auto"/>
        </w:rPr>
      </w:pPr>
    </w:p>
    <w:p>
      <w:pPr>
        <w:spacing w:after="0" w:line="201"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9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2"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3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jc w:val="both"/>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reporting, or financial results and could result in an adverse opinion on our internal control over financial reporting from our independent registered public accounting firm.</w:t>
      </w:r>
    </w:p>
    <w:p>
      <w:pPr>
        <w:spacing w:after="0" w:line="158"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$872.6 million, and our ability to utilize those net operating loss carryforwards could be limited by an “ownership change” as described above, which could result in increased tax liability to us. In addition, pursuant to the TCJA (as amended by the CARES Act),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88" w:lineRule="exact"/>
        <w:rPr>
          <w:sz w:val="20"/>
          <w:szCs w:val="20"/>
          <w:color w:val="auto"/>
        </w:rPr>
      </w:pPr>
    </w:p>
    <w:p>
      <w:pPr>
        <w:jc w:val="both"/>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As part of this update, the Company also analyzed the shifts in the stock ownership of Lengo Therapeutics, Inc. (Lengo), a company acquired on December 29, 2021, for purposes of determining (1) whether and when Lengo experienced an “ownership change,” as defined in section 382(g)(1) of the Internal Revenue Code, during the period beginning March 6, 2019, the date of the first reported issuance of Lengo stock, and ending on the date of the Company’s acquisition by Blueprint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Blueprint’s acquisition of the Company.</w:t>
      </w: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Change in Directors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On June 23, 2022, the Company’s board of directors unanimously appointed Habib J. Dable to fill the vacancy on the board of directors resulting from the resignation of Charles A. Rowland. Mr. Dable was appointed as a Class III director of the Company, to serve in such capacity until the annual meeting of the Company’s stockholders in 2024 or until his earlier resignation, death or removal.</w:t>
      </w:r>
    </w:p>
    <w:p>
      <w:pPr>
        <w:spacing w:after="0" w:line="187"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On April 4, 2022, Kathryn Haviland became a member of the Company’s board of directors in connection with her employment as our president and chief executive officer as the successor to Jefferey Albers, who transitioned into a new role as our executive chairman on that date.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486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10.2*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48"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u w:val="single" w:color="auto"/>
          <w:color w:val="0000EE"/>
        </w:rPr>
        <w:t>Purchase and Sale Agreement, dated as of June 30, 2022, by and between the Registrant and Royalty Pharma Investments 2019 ICAV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4946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7"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8"/>
          <w:szCs w:val="18"/>
          <w:u w:val="single" w:color="auto"/>
          <w:color w:val="0000EE"/>
        </w:rPr>
        <w:t>Purchase and Sale Agreement, dated as of June 30, 2022, by and among the Registrant Garnich Adjacent Investments S.a.r.l. the various other purchasers from time to time party thereto and Garnish Adjacent Investments S.a.r.l, as Purchaser’s Representative</w:t>
      </w:r>
    </w:p>
    <w:p>
      <w:pPr>
        <w:spacing w:after="0" w:line="48" w:lineRule="exact"/>
        <w:rPr>
          <w:sz w:val="20"/>
          <w:szCs w:val="20"/>
          <w:color w:val="auto"/>
        </w:rPr>
      </w:pPr>
    </w:p>
    <w:p>
      <w:pPr>
        <w:sectPr>
          <w:pgSz w:w="11900" w:h="16838" w:orient="portrait"/>
          <w:cols w:equalWidth="0" w:num="2">
            <w:col w:w="800" w:space="360"/>
            <w:col w:w="78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 †</w:t>
            </w:r>
          </w:p>
        </w:tc>
        <w:tc>
          <w:tcPr>
            <w:tcW w:w="7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Financing Agreement, dated as of June 30, 2022, by and among the Registrant, as Borrower, certain</w:t>
            </w:r>
          </w:p>
        </w:tc>
        <w:tc>
          <w:tcPr>
            <w:tcW w:w="46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 as Guarantors, various lenders from time to time party thereto and Tao</w:t>
            </w:r>
          </w:p>
        </w:tc>
      </w:tr>
      <w:tr>
        <w:trPr>
          <w:trHeight w:val="183"/>
        </w:trPr>
        <w:tc>
          <w:tcPr>
            <w:tcW w:w="1100" w:type="dxa"/>
            <w:vAlign w:val="bottom"/>
          </w:tcPr>
          <w:p>
            <w:pPr>
              <w:spacing w:after="0"/>
              <w:rPr>
                <w:sz w:val="15"/>
                <w:szCs w:val="15"/>
                <w:color w:val="auto"/>
              </w:rPr>
            </w:pPr>
          </w:p>
        </w:tc>
        <w:tc>
          <w:tcPr>
            <w:tcW w:w="726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Talents, LLC, as Administrative Agent for the lenders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or Rule 15d-14(a) of the Exchange</w:t>
            </w:r>
          </w:p>
        </w:tc>
      </w:tr>
      <w:tr>
        <w:trPr>
          <w:trHeight w:val="196"/>
        </w:trPr>
        <w:tc>
          <w:tcPr>
            <w:tcW w:w="1100" w:type="dxa"/>
            <w:vAlign w:val="bottom"/>
          </w:tcPr>
          <w:p>
            <w:pPr>
              <w:spacing w:after="0"/>
              <w:rPr>
                <w:sz w:val="17"/>
                <w:szCs w:val="17"/>
                <w:color w:val="auto"/>
              </w:rPr>
            </w:pPr>
          </w:p>
        </w:tc>
        <w:tc>
          <w:tcPr>
            <w:tcW w:w="7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as 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 Exchange</w:t>
            </w:r>
          </w:p>
        </w:tc>
      </w:tr>
      <w:tr>
        <w:trPr>
          <w:trHeight w:val="196"/>
        </w:trPr>
        <w:tc>
          <w:tcPr>
            <w:tcW w:w="1100" w:type="dxa"/>
            <w:vAlign w:val="bottom"/>
          </w:tcPr>
          <w:p>
            <w:pPr>
              <w:spacing w:after="0"/>
              <w:rPr>
                <w:sz w:val="17"/>
                <w:szCs w:val="17"/>
                <w:color w:val="auto"/>
              </w:rPr>
            </w:pPr>
          </w:p>
        </w:tc>
        <w:tc>
          <w:tcPr>
            <w:tcW w:w="7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Act, as adopted pursuant to Section 302 of the Sarbanes-Oxley Act of 2002</w:t>
            </w:r>
          </w:p>
        </w:tc>
        <w:tc>
          <w:tcPr>
            <w:tcW w:w="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Certifications of Principal Executive Officer and Principal Financial Officer pursuant to 18 U.S.C. Section</w:t>
            </w:r>
          </w:p>
        </w:tc>
      </w:tr>
      <w:tr>
        <w:trPr>
          <w:trHeight w:val="210"/>
        </w:trPr>
        <w:tc>
          <w:tcPr>
            <w:tcW w:w="1100" w:type="dxa"/>
            <w:vAlign w:val="bottom"/>
          </w:tcPr>
          <w:p>
            <w:pPr>
              <w:spacing w:after="0"/>
              <w:rPr>
                <w:sz w:val="18"/>
                <w:szCs w:val="18"/>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r>
      <w:tr>
        <w:trPr>
          <w:trHeight w:val="20"/>
        </w:trPr>
        <w:tc>
          <w:tcPr>
            <w:tcW w:w="110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100" w:type="dxa"/>
            <w:vAlign w:val="bottom"/>
          </w:tcPr>
          <w:p>
            <w:pPr>
              <w:spacing w:after="0"/>
              <w:rPr>
                <w:sz w:val="20"/>
                <w:szCs w:val="20"/>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160" w:right="339" w:hanging="1104"/>
        <w:spacing w:after="0" w:line="297" w:lineRule="auto"/>
        <w:tabs>
          <w:tab w:leader="none" w:pos="1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141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97"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117" w:lineRule="exact"/>
        <w:rPr>
          <w:sz w:val="20"/>
          <w:szCs w:val="20"/>
          <w:color w:val="auto"/>
        </w:rPr>
      </w:pPr>
    </w:p>
    <w:p>
      <w:pPr>
        <w:ind w:left="300" w:right="499" w:hanging="250"/>
        <w:spacing w:after="0" w:line="282" w:lineRule="auto"/>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Regulation S-K Item 601(b) because it is both (i) not material to investors and (ii) information that the Company treats as private or confidential.</w:t>
      </w:r>
    </w:p>
    <w:p>
      <w:pPr>
        <w:spacing w:after="0" w:line="54" w:lineRule="exact"/>
        <w:rPr>
          <w:sz w:val="20"/>
          <w:szCs w:val="20"/>
          <w:color w:val="auto"/>
        </w:rPr>
      </w:pPr>
    </w:p>
    <w:p>
      <w:pPr>
        <w:ind w:left="300" w:right="119" w:hanging="250"/>
        <w:spacing w:after="0" w:line="261" w:lineRule="auto"/>
        <w:tabs>
          <w:tab w:leader="none" w:pos="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68"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88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1"/>
          <w:szCs w:val="21"/>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June 30,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ROYALTY PHARMA INVESTMENTS 2019 ICAV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1453515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09" w:name="page110"/>
    <w:bookmarkEnd w:id="109"/>
    <w:p>
      <w:pPr>
        <w:jc w:val="center"/>
        <w:ind w:right="800"/>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2"/>
          <w:szCs w:val="22"/>
          <w:color w:val="auto"/>
        </w:rPr>
        <w:t>DEFINED TERMS AND RULES OF CONSTRUCTION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Defined Terms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1.2</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Rules of Construction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10</w:t>
            </w:r>
          </w:p>
        </w:tc>
      </w:tr>
      <w:tr>
        <w:trPr>
          <w:trHeight w:val="258"/>
        </w:trPr>
        <w:tc>
          <w:tcPr>
            <w:tcW w:w="1760" w:type="dxa"/>
            <w:vAlign w:val="bottom"/>
          </w:tcPr>
          <w:p>
            <w:pPr>
              <w:spacing w:after="0"/>
              <w:rPr>
                <w:sz w:val="22"/>
                <w:szCs w:val="22"/>
                <w:color w:val="auto"/>
              </w:rPr>
            </w:pPr>
          </w:p>
        </w:tc>
        <w:tc>
          <w:tcPr>
            <w:tcW w:w="644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7"/>
              </w:rPr>
              <w:t>ARTICLE II</w:t>
            </w:r>
          </w:p>
        </w:tc>
        <w:tc>
          <w:tcPr>
            <w:tcW w:w="1720" w:type="dxa"/>
            <w:vAlign w:val="bottom"/>
          </w:tcPr>
          <w:p>
            <w:pPr>
              <w:spacing w:after="0"/>
              <w:rPr>
                <w:sz w:val="22"/>
                <w:szCs w:val="22"/>
                <w:color w:val="auto"/>
              </w:rPr>
            </w:pPr>
          </w:p>
        </w:tc>
      </w:tr>
      <w:tr>
        <w:trPr>
          <w:trHeight w:val="282"/>
        </w:trPr>
        <w:tc>
          <w:tcPr>
            <w:tcW w:w="1760" w:type="dxa"/>
            <w:vAlign w:val="bottom"/>
          </w:tcPr>
          <w:p>
            <w:pPr>
              <w:spacing w:after="0"/>
              <w:rPr>
                <w:sz w:val="24"/>
                <w:szCs w:val="24"/>
                <w:color w:val="auto"/>
              </w:rPr>
            </w:pPr>
          </w:p>
        </w:tc>
        <w:tc>
          <w:tcPr>
            <w:tcW w:w="644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7"/>
              </w:rPr>
              <w:t>PURCHASE AND SALE OF THE Purchased Royalty Interest</w:t>
            </w:r>
          </w:p>
        </w:tc>
        <w:tc>
          <w:tcPr>
            <w:tcW w:w="1720" w:type="dxa"/>
            <w:vAlign w:val="bottom"/>
          </w:tcPr>
          <w:p>
            <w:pPr>
              <w:spacing w:after="0"/>
              <w:rPr>
                <w:sz w:val="24"/>
                <w:szCs w:val="24"/>
                <w:color w:val="auto"/>
              </w:rPr>
            </w:pP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Purchase and Sale</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Purchase Price</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2.3</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Assumed Obligations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2.4</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Excluded Assets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2.5</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Milestone Payments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13</w:t>
            </w:r>
          </w:p>
        </w:tc>
      </w:tr>
      <w:tr>
        <w:trPr>
          <w:trHeight w:val="258"/>
        </w:trPr>
        <w:tc>
          <w:tcPr>
            <w:tcW w:w="1760" w:type="dxa"/>
            <w:vAlign w:val="bottom"/>
          </w:tcPr>
          <w:p>
            <w:pPr>
              <w:spacing w:after="0"/>
              <w:rPr>
                <w:sz w:val="22"/>
                <w:szCs w:val="22"/>
                <w:color w:val="auto"/>
              </w:rPr>
            </w:pPr>
          </w:p>
        </w:tc>
        <w:tc>
          <w:tcPr>
            <w:tcW w:w="6440" w:type="dxa"/>
            <w:vAlign w:val="bottom"/>
          </w:tcPr>
          <w:p>
            <w:pPr>
              <w:jc w:val="center"/>
              <w:ind w:right="692"/>
              <w:spacing w:after="0"/>
              <w:rPr>
                <w:sz w:val="20"/>
                <w:szCs w:val="20"/>
                <w:color w:val="auto"/>
              </w:rPr>
            </w:pPr>
            <w:r>
              <w:rPr>
                <w:rFonts w:ascii="Times New Roman" w:cs="Times New Roman" w:eastAsia="Times New Roman" w:hAnsi="Times New Roman"/>
                <w:sz w:val="22"/>
                <w:szCs w:val="22"/>
                <w:color w:val="auto"/>
                <w:w w:val="96"/>
              </w:rPr>
              <w:t>ARTICLE III</w:t>
            </w:r>
          </w:p>
        </w:tc>
        <w:tc>
          <w:tcPr>
            <w:tcW w:w="1720" w:type="dxa"/>
            <w:vAlign w:val="bottom"/>
          </w:tcPr>
          <w:p>
            <w:pPr>
              <w:spacing w:after="0"/>
              <w:rPr>
                <w:sz w:val="22"/>
                <w:szCs w:val="22"/>
                <w:color w:val="auto"/>
              </w:rPr>
            </w:pPr>
          </w:p>
        </w:tc>
      </w:tr>
      <w:tr>
        <w:trPr>
          <w:trHeight w:val="282"/>
        </w:trPr>
        <w:tc>
          <w:tcPr>
            <w:tcW w:w="1760" w:type="dxa"/>
            <w:vAlign w:val="bottom"/>
          </w:tcPr>
          <w:p>
            <w:pPr>
              <w:spacing w:after="0"/>
              <w:rPr>
                <w:sz w:val="24"/>
                <w:szCs w:val="24"/>
                <w:color w:val="auto"/>
              </w:rPr>
            </w:pPr>
          </w:p>
        </w:tc>
        <w:tc>
          <w:tcPr>
            <w:tcW w:w="644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7"/>
              </w:rPr>
              <w:t>REPRESENTATIONS AND WARRANTIES OF THE SELLER</w:t>
            </w:r>
          </w:p>
        </w:tc>
        <w:tc>
          <w:tcPr>
            <w:tcW w:w="1720" w:type="dxa"/>
            <w:vAlign w:val="bottom"/>
          </w:tcPr>
          <w:p>
            <w:pPr>
              <w:spacing w:after="0"/>
              <w:rPr>
                <w:sz w:val="24"/>
                <w:szCs w:val="24"/>
                <w:color w:val="auto"/>
              </w:rPr>
            </w:pP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Existence; Organization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Conflicts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3.3</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3.4</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Ownership</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3.5</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Governmental and Third Party Authorizations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3.6</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Litigation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3.7</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Brokers’ Fees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3.8</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Compliance with Laws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3.9</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Intellectual Property Matters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Section 3.10</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License Agreement</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Section 3.11</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UCC Matters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18</w:t>
            </w:r>
          </w:p>
        </w:tc>
      </w:tr>
      <w:tr>
        <w:trPr>
          <w:trHeight w:val="258"/>
        </w:trPr>
        <w:tc>
          <w:tcPr>
            <w:tcW w:w="1760" w:type="dxa"/>
            <w:vAlign w:val="bottom"/>
          </w:tcPr>
          <w:p>
            <w:pPr>
              <w:spacing w:after="0"/>
              <w:rPr>
                <w:sz w:val="22"/>
                <w:szCs w:val="22"/>
                <w:color w:val="auto"/>
              </w:rPr>
            </w:pPr>
          </w:p>
        </w:tc>
        <w:tc>
          <w:tcPr>
            <w:tcW w:w="644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7"/>
              </w:rPr>
              <w:t>ARTICLE IV</w:t>
            </w:r>
          </w:p>
        </w:tc>
        <w:tc>
          <w:tcPr>
            <w:tcW w:w="1720" w:type="dxa"/>
            <w:vAlign w:val="bottom"/>
          </w:tcPr>
          <w:p>
            <w:pPr>
              <w:spacing w:after="0"/>
              <w:rPr>
                <w:sz w:val="22"/>
                <w:szCs w:val="22"/>
                <w:color w:val="auto"/>
              </w:rPr>
            </w:pPr>
          </w:p>
        </w:tc>
      </w:tr>
      <w:tr>
        <w:trPr>
          <w:trHeight w:val="282"/>
        </w:trPr>
        <w:tc>
          <w:tcPr>
            <w:tcW w:w="8200" w:type="dxa"/>
            <w:vAlign w:val="bottom"/>
            <w:gridSpan w:val="2"/>
          </w:tcPr>
          <w:p>
            <w:pPr>
              <w:jc w:val="center"/>
              <w:ind w:left="872"/>
              <w:spacing w:after="0"/>
              <w:rPr>
                <w:sz w:val="20"/>
                <w:szCs w:val="20"/>
                <w:color w:val="auto"/>
              </w:rPr>
            </w:pPr>
            <w:r>
              <w:rPr>
                <w:rFonts w:ascii="Times New Roman" w:cs="Times New Roman" w:eastAsia="Times New Roman" w:hAnsi="Times New Roman"/>
                <w:sz w:val="22"/>
                <w:szCs w:val="22"/>
                <w:color w:val="auto"/>
                <w:w w:val="97"/>
              </w:rPr>
              <w:t>REPRESENTATIONS AND WARRANTIES OF THE PURCHASER</w:t>
            </w:r>
          </w:p>
        </w:tc>
        <w:tc>
          <w:tcPr>
            <w:tcW w:w="1720" w:type="dxa"/>
            <w:vAlign w:val="bottom"/>
          </w:tcPr>
          <w:p>
            <w:pPr>
              <w:spacing w:after="0"/>
              <w:rPr>
                <w:sz w:val="24"/>
                <w:szCs w:val="24"/>
                <w:color w:val="auto"/>
              </w:rPr>
            </w:pP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Organization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Conflicts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4.3</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Authorization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4.4</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Governmental and Third Party Authorizations</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4.5</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 Litigation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4.6</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Access to Information</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4.7</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Funds Available</w:t>
            </w:r>
          </w:p>
        </w:tc>
        <w:tc>
          <w:tcPr>
            <w:tcW w:w="17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20</w:t>
            </w:r>
          </w:p>
        </w:tc>
      </w:tr>
      <w:tr>
        <w:trPr>
          <w:trHeight w:val="1035"/>
        </w:trPr>
        <w:tc>
          <w:tcPr>
            <w:tcW w:w="17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8" w:right="999" w:bottom="1440" w:gutter="0" w:footer="0" w:header="0"/>
        </w:sectPr>
      </w:pPr>
    </w:p>
    <w:bookmarkStart w:id="110" w:name="page111"/>
    <w:bookmarkEnd w:id="110"/>
    <w:p>
      <w:pPr>
        <w:jc w:val="center"/>
        <w:ind w:right="760"/>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2"/>
          <w:szCs w:val="22"/>
          <w:color w:val="auto"/>
        </w:rPr>
        <w:t>COVENANTS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Announcement</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Further Assurances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5.3</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Royalty Reports; Notices and Communications from Licensee</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5.4</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Misdirected Payments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5.5</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Royalty Set-Offs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5.6</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Maintenance of License Agreement</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5.7</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Enforcement of License Agreement</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5.8</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New Arrangements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5.9</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Patent Prosecution; Enforcement</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5.10</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 Assignment; No Liens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5.11</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Audits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5.12</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Tax Matters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27</w:t>
            </w:r>
          </w:p>
        </w:tc>
      </w:tr>
      <w:tr>
        <w:trPr>
          <w:trHeight w:val="258"/>
        </w:trPr>
        <w:tc>
          <w:tcPr>
            <w:tcW w:w="1940" w:type="dxa"/>
            <w:vAlign w:val="bottom"/>
          </w:tcPr>
          <w:p>
            <w:pPr>
              <w:spacing w:after="0"/>
              <w:rPr>
                <w:sz w:val="22"/>
                <w:szCs w:val="22"/>
                <w:color w:val="auto"/>
              </w:rPr>
            </w:pPr>
          </w:p>
        </w:tc>
        <w:tc>
          <w:tcPr>
            <w:tcW w:w="622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auto"/>
                <w:w w:val="97"/>
              </w:rPr>
              <w:t>ARTICLE VI</w:t>
            </w:r>
          </w:p>
        </w:tc>
        <w:tc>
          <w:tcPr>
            <w:tcW w:w="1760" w:type="dxa"/>
            <w:vAlign w:val="bottom"/>
          </w:tcPr>
          <w:p>
            <w:pPr>
              <w:spacing w:after="0"/>
              <w:rPr>
                <w:sz w:val="22"/>
                <w:szCs w:val="22"/>
                <w:color w:val="auto"/>
              </w:rPr>
            </w:pPr>
          </w:p>
        </w:tc>
      </w:tr>
      <w:tr>
        <w:trPr>
          <w:trHeight w:val="282"/>
        </w:trPr>
        <w:tc>
          <w:tcPr>
            <w:tcW w:w="1940" w:type="dxa"/>
            <w:vAlign w:val="bottom"/>
          </w:tcPr>
          <w:p>
            <w:pPr>
              <w:spacing w:after="0"/>
              <w:rPr>
                <w:sz w:val="24"/>
                <w:szCs w:val="24"/>
                <w:color w:val="auto"/>
              </w:rPr>
            </w:pPr>
          </w:p>
        </w:tc>
        <w:tc>
          <w:tcPr>
            <w:tcW w:w="622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7"/>
              </w:rPr>
              <w:t>THE CLOSING</w:t>
            </w:r>
          </w:p>
        </w:tc>
        <w:tc>
          <w:tcPr>
            <w:tcW w:w="1760" w:type="dxa"/>
            <w:vAlign w:val="bottom"/>
          </w:tcPr>
          <w:p>
            <w:pPr>
              <w:spacing w:after="0"/>
              <w:rPr>
                <w:sz w:val="24"/>
                <w:szCs w:val="24"/>
                <w:color w:val="auto"/>
              </w:rPr>
            </w:pP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Closing</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Payment of Closing Purchase Price</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6.3</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Closing Deliverables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28</w:t>
            </w:r>
          </w:p>
        </w:tc>
      </w:tr>
      <w:tr>
        <w:trPr>
          <w:trHeight w:val="258"/>
        </w:trPr>
        <w:tc>
          <w:tcPr>
            <w:tcW w:w="1940" w:type="dxa"/>
            <w:vAlign w:val="bottom"/>
          </w:tcPr>
          <w:p>
            <w:pPr>
              <w:spacing w:after="0"/>
              <w:rPr>
                <w:sz w:val="22"/>
                <w:szCs w:val="22"/>
                <w:color w:val="auto"/>
              </w:rPr>
            </w:pPr>
          </w:p>
        </w:tc>
        <w:tc>
          <w:tcPr>
            <w:tcW w:w="622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auto"/>
                <w:w w:val="97"/>
              </w:rPr>
              <w:t>ARTICLE VII</w:t>
            </w:r>
          </w:p>
        </w:tc>
        <w:tc>
          <w:tcPr>
            <w:tcW w:w="1760" w:type="dxa"/>
            <w:vAlign w:val="bottom"/>
          </w:tcPr>
          <w:p>
            <w:pPr>
              <w:spacing w:after="0"/>
              <w:rPr>
                <w:sz w:val="22"/>
                <w:szCs w:val="22"/>
                <w:color w:val="auto"/>
              </w:rPr>
            </w:pPr>
          </w:p>
        </w:tc>
      </w:tr>
      <w:tr>
        <w:trPr>
          <w:trHeight w:val="282"/>
        </w:trPr>
        <w:tc>
          <w:tcPr>
            <w:tcW w:w="1940" w:type="dxa"/>
            <w:vAlign w:val="bottom"/>
          </w:tcPr>
          <w:p>
            <w:pPr>
              <w:spacing w:after="0"/>
              <w:rPr>
                <w:sz w:val="24"/>
                <w:szCs w:val="24"/>
                <w:color w:val="auto"/>
              </w:rPr>
            </w:pPr>
          </w:p>
        </w:tc>
        <w:tc>
          <w:tcPr>
            <w:tcW w:w="622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6"/>
              </w:rPr>
              <w:t>INDEMNIFICATION</w:t>
            </w:r>
          </w:p>
        </w:tc>
        <w:tc>
          <w:tcPr>
            <w:tcW w:w="1760" w:type="dxa"/>
            <w:vAlign w:val="bottom"/>
          </w:tcPr>
          <w:p>
            <w:pPr>
              <w:spacing w:after="0"/>
              <w:rPr>
                <w:sz w:val="24"/>
                <w:szCs w:val="24"/>
                <w:color w:val="auto"/>
              </w:rPr>
            </w:pP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Indemnification by the Seller</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7.2</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Indemnification by the Purchaser</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7.3</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Procedures for Third Party Claims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7.4</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Claims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7.5</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Time Limitations</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7.6</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Limitations on Liability</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7.7</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Exclusive Remedy</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32</w:t>
            </w:r>
          </w:p>
        </w:tc>
      </w:tr>
      <w:tr>
        <w:trPr>
          <w:trHeight w:val="258"/>
        </w:trPr>
        <w:tc>
          <w:tcPr>
            <w:tcW w:w="1940" w:type="dxa"/>
            <w:vAlign w:val="bottom"/>
          </w:tcPr>
          <w:p>
            <w:pPr>
              <w:spacing w:after="0"/>
              <w:rPr>
                <w:sz w:val="22"/>
                <w:szCs w:val="22"/>
                <w:color w:val="auto"/>
              </w:rPr>
            </w:pPr>
          </w:p>
        </w:tc>
        <w:tc>
          <w:tcPr>
            <w:tcW w:w="6220" w:type="dxa"/>
            <w:vAlign w:val="bottom"/>
          </w:tcPr>
          <w:p>
            <w:pPr>
              <w:jc w:val="center"/>
              <w:ind w:right="832"/>
              <w:spacing w:after="0"/>
              <w:rPr>
                <w:sz w:val="20"/>
                <w:szCs w:val="20"/>
                <w:color w:val="auto"/>
              </w:rPr>
            </w:pPr>
            <w:r>
              <w:rPr>
                <w:rFonts w:ascii="Times New Roman" w:cs="Times New Roman" w:eastAsia="Times New Roman" w:hAnsi="Times New Roman"/>
                <w:sz w:val="22"/>
                <w:szCs w:val="22"/>
                <w:color w:val="auto"/>
                <w:w w:val="96"/>
              </w:rPr>
              <w:t>ARTICLE VIII</w:t>
            </w:r>
          </w:p>
        </w:tc>
        <w:tc>
          <w:tcPr>
            <w:tcW w:w="1760" w:type="dxa"/>
            <w:vAlign w:val="bottom"/>
          </w:tcPr>
          <w:p>
            <w:pPr>
              <w:spacing w:after="0"/>
              <w:rPr>
                <w:sz w:val="22"/>
                <w:szCs w:val="22"/>
                <w:color w:val="auto"/>
              </w:rPr>
            </w:pPr>
          </w:p>
        </w:tc>
      </w:tr>
      <w:tr>
        <w:trPr>
          <w:trHeight w:val="282"/>
        </w:trPr>
        <w:tc>
          <w:tcPr>
            <w:tcW w:w="1940" w:type="dxa"/>
            <w:vAlign w:val="bottom"/>
          </w:tcPr>
          <w:p>
            <w:pPr>
              <w:spacing w:after="0"/>
              <w:rPr>
                <w:sz w:val="24"/>
                <w:szCs w:val="24"/>
                <w:color w:val="auto"/>
              </w:rPr>
            </w:pPr>
          </w:p>
        </w:tc>
        <w:tc>
          <w:tcPr>
            <w:tcW w:w="622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auto"/>
                <w:w w:val="97"/>
              </w:rPr>
              <w:t>CONFIDENTIALITY</w:t>
            </w:r>
          </w:p>
        </w:tc>
        <w:tc>
          <w:tcPr>
            <w:tcW w:w="1760" w:type="dxa"/>
            <w:vAlign w:val="bottom"/>
          </w:tcPr>
          <w:p>
            <w:pPr>
              <w:spacing w:after="0"/>
              <w:rPr>
                <w:sz w:val="24"/>
                <w:szCs w:val="24"/>
                <w:color w:val="auto"/>
              </w:rPr>
            </w:pP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8.1</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Confidentiality</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8.2</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Termination of Confidentiality Agreement</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33</w:t>
            </w:r>
          </w:p>
        </w:tc>
      </w:tr>
      <w:tr>
        <w:trPr>
          <w:trHeight w:val="297"/>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8.3</w:t>
            </w:r>
          </w:p>
        </w:tc>
        <w:tc>
          <w:tcPr>
            <w:tcW w:w="62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Required Disclosure</w:t>
            </w: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33</w:t>
            </w:r>
          </w:p>
        </w:tc>
      </w:tr>
      <w:tr>
        <w:trPr>
          <w:trHeight w:val="1035"/>
        </w:trPr>
        <w:tc>
          <w:tcPr>
            <w:tcW w:w="19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8" w:right="99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8.4</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Permitted Disclosure</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33</w:t>
            </w:r>
          </w:p>
        </w:tc>
      </w:tr>
      <w:tr>
        <w:trPr>
          <w:trHeight w:val="258"/>
        </w:trPr>
        <w:tc>
          <w:tcPr>
            <w:tcW w:w="2000" w:type="dxa"/>
            <w:vAlign w:val="bottom"/>
          </w:tcPr>
          <w:p>
            <w:pPr>
              <w:spacing w:after="0"/>
              <w:rPr>
                <w:sz w:val="22"/>
                <w:szCs w:val="22"/>
                <w:color w:val="auto"/>
              </w:rPr>
            </w:pPr>
          </w:p>
        </w:tc>
        <w:tc>
          <w:tcPr>
            <w:tcW w:w="566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7"/>
              </w:rPr>
              <w:t>ARTICLE IX</w:t>
            </w:r>
          </w:p>
        </w:tc>
        <w:tc>
          <w:tcPr>
            <w:tcW w:w="2260" w:type="dxa"/>
            <w:vAlign w:val="bottom"/>
          </w:tcPr>
          <w:p>
            <w:pPr>
              <w:spacing w:after="0"/>
              <w:rPr>
                <w:sz w:val="22"/>
                <w:szCs w:val="22"/>
                <w:color w:val="auto"/>
              </w:rPr>
            </w:pPr>
          </w:p>
        </w:tc>
      </w:tr>
      <w:tr>
        <w:trPr>
          <w:trHeight w:val="282"/>
        </w:trPr>
        <w:tc>
          <w:tcPr>
            <w:tcW w:w="2000" w:type="dxa"/>
            <w:vAlign w:val="bottom"/>
          </w:tcPr>
          <w:p>
            <w:pPr>
              <w:spacing w:after="0"/>
              <w:rPr>
                <w:sz w:val="24"/>
                <w:szCs w:val="24"/>
                <w:color w:val="auto"/>
              </w:rPr>
            </w:pPr>
          </w:p>
        </w:tc>
        <w:tc>
          <w:tcPr>
            <w:tcW w:w="56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w w:val="96"/>
              </w:rPr>
              <w:t>TERMINATION</w:t>
            </w:r>
          </w:p>
        </w:tc>
        <w:tc>
          <w:tcPr>
            <w:tcW w:w="2260" w:type="dxa"/>
            <w:vAlign w:val="bottom"/>
          </w:tcPr>
          <w:p>
            <w:pPr>
              <w:spacing w:after="0"/>
              <w:rPr>
                <w:sz w:val="24"/>
                <w:szCs w:val="24"/>
                <w:color w:val="auto"/>
              </w:rPr>
            </w:pP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Termination of Agreement</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9.2</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Effect of Termination</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34</w:t>
            </w:r>
          </w:p>
        </w:tc>
      </w:tr>
      <w:tr>
        <w:trPr>
          <w:trHeight w:val="258"/>
        </w:trPr>
        <w:tc>
          <w:tcPr>
            <w:tcW w:w="2000" w:type="dxa"/>
            <w:vAlign w:val="bottom"/>
          </w:tcPr>
          <w:p>
            <w:pPr>
              <w:spacing w:after="0"/>
              <w:rPr>
                <w:sz w:val="22"/>
                <w:szCs w:val="22"/>
                <w:color w:val="auto"/>
              </w:rPr>
            </w:pPr>
          </w:p>
        </w:tc>
        <w:tc>
          <w:tcPr>
            <w:tcW w:w="566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ARTICLE X</w:t>
            </w:r>
          </w:p>
        </w:tc>
        <w:tc>
          <w:tcPr>
            <w:tcW w:w="2260" w:type="dxa"/>
            <w:vAlign w:val="bottom"/>
          </w:tcPr>
          <w:p>
            <w:pPr>
              <w:spacing w:after="0"/>
              <w:rPr>
                <w:sz w:val="22"/>
                <w:szCs w:val="22"/>
                <w:color w:val="auto"/>
              </w:rPr>
            </w:pPr>
          </w:p>
        </w:tc>
      </w:tr>
      <w:tr>
        <w:trPr>
          <w:trHeight w:val="282"/>
        </w:trPr>
        <w:tc>
          <w:tcPr>
            <w:tcW w:w="2000" w:type="dxa"/>
            <w:vAlign w:val="bottom"/>
          </w:tcPr>
          <w:p>
            <w:pPr>
              <w:spacing w:after="0"/>
              <w:rPr>
                <w:sz w:val="24"/>
                <w:szCs w:val="24"/>
                <w:color w:val="auto"/>
              </w:rPr>
            </w:pPr>
          </w:p>
        </w:tc>
        <w:tc>
          <w:tcPr>
            <w:tcW w:w="56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w w:val="98"/>
              </w:rPr>
              <w:t>MISCELLANEOUS</w:t>
            </w:r>
          </w:p>
        </w:tc>
        <w:tc>
          <w:tcPr>
            <w:tcW w:w="2260" w:type="dxa"/>
            <w:vAlign w:val="bottom"/>
          </w:tcPr>
          <w:p>
            <w:pPr>
              <w:spacing w:after="0"/>
              <w:rPr>
                <w:sz w:val="24"/>
                <w:szCs w:val="24"/>
                <w:color w:val="auto"/>
              </w:rPr>
            </w:pP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Specific Performance</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10.3</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 and Assigns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Independent Nature of Relationship</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10.5</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Entire Agreement</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10.6</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10.7</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Waiver of Jury Trial</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10.8</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10.9</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Counterparts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10.10</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Amendments; No Waivers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Cumulative Remedies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2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10.12</w:t>
            </w:r>
          </w:p>
        </w:tc>
        <w:tc>
          <w:tcPr>
            <w:tcW w:w="5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Table of Contents and Headings</w:t>
            </w:r>
          </w:p>
        </w:tc>
        <w:tc>
          <w:tcPr>
            <w:tcW w:w="22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39</w:t>
            </w:r>
          </w:p>
        </w:tc>
      </w:tr>
      <w:tr>
        <w:trPr>
          <w:trHeight w:val="690"/>
        </w:trPr>
        <w:tc>
          <w:tcPr>
            <w:tcW w:w="2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w:t>
            </w:r>
          </w:p>
        </w:tc>
        <w:tc>
          <w:tcPr>
            <w:tcW w:w="5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Form of Bill of Sale</w:t>
            </w:r>
          </w:p>
        </w:tc>
        <w:tc>
          <w:tcPr>
            <w:tcW w:w="2260" w:type="dxa"/>
            <w:vAlign w:val="bottom"/>
          </w:tcPr>
          <w:p>
            <w:pPr>
              <w:spacing w:after="0"/>
              <w:rPr>
                <w:sz w:val="24"/>
                <w:szCs w:val="24"/>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Licensee Consent</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Form of Licensee Instruction</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Purchaser Account</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Seller Account</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Disclosure Schedule</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Royalty Product Patents</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H-1</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License Agreement</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H-2</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Supply Agreement</w:t>
            </w:r>
          </w:p>
        </w:tc>
        <w:tc>
          <w:tcPr>
            <w:tcW w:w="2260" w:type="dxa"/>
            <w:vAlign w:val="bottom"/>
          </w:tcPr>
          <w:p>
            <w:pPr>
              <w:spacing w:after="0"/>
              <w:rPr>
                <w:sz w:val="21"/>
                <w:szCs w:val="2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I</w:t>
            </w:r>
          </w:p>
        </w:tc>
        <w:tc>
          <w:tcPr>
            <w:tcW w:w="5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Common Interest and Joint Privilege Agreement</w:t>
            </w:r>
          </w:p>
        </w:tc>
        <w:tc>
          <w:tcPr>
            <w:tcW w:w="2260" w:type="dxa"/>
            <w:vAlign w:val="bottom"/>
          </w:tcPr>
          <w:p>
            <w:pPr>
              <w:spacing w:after="0"/>
              <w:rPr>
                <w:sz w:val="21"/>
                <w:szCs w:val="21"/>
                <w:color w:val="auto"/>
              </w:rPr>
            </w:pPr>
          </w:p>
        </w:tc>
      </w:tr>
      <w:tr>
        <w:trPr>
          <w:trHeight w:val="282"/>
        </w:trPr>
        <w:tc>
          <w:tcPr>
            <w:tcW w:w="2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1.1</w:t>
            </w:r>
          </w:p>
        </w:tc>
        <w:tc>
          <w:tcPr>
            <w:tcW w:w="5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Knowledge Parties</w:t>
            </w:r>
          </w:p>
        </w:tc>
        <w:tc>
          <w:tcPr>
            <w:tcW w:w="2260" w:type="dxa"/>
            <w:vAlign w:val="bottom"/>
          </w:tcPr>
          <w:p>
            <w:pPr>
              <w:spacing w:after="0"/>
              <w:rPr>
                <w:sz w:val="24"/>
                <w:szCs w:val="24"/>
                <w:color w:val="auto"/>
              </w:rPr>
            </w:pPr>
          </w:p>
        </w:tc>
      </w:tr>
      <w:tr>
        <w:trPr>
          <w:trHeight w:val="981"/>
        </w:trPr>
        <w:tc>
          <w:tcPr>
            <w:tcW w:w="20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8" w:right="99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11"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This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30, 2022 is between Blueprint Medicines Corporation, a Delaware corporation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Royalty Pharma Investments 2019 ICAV, an Irish collective asset-management vehicle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WHEREAS, pursuant to the License Agreement, the Seller granted to Licensee an exclusive, royalty-bearing license in the Field under the BPM Technology to commercialize the Licensed Product in the Field on an exclusive basis in the Roche Territory, and the Seller has the right to receive royalties based on Roche Net Sales of the Royalty Product; and</w:t>
      </w:r>
    </w:p>
    <w:p>
      <w:pPr>
        <w:spacing w:after="0" w:line="180"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WHEREAS, the Seller desires to sell, contribute, assign, transfer, convey and grant to the Purchaser, and the Purchaser desires to purchase, acquire and accept from the Seller, the Purchased Royalty Interest, upon and subject to the terms and conditions set forth in this Agreement.</w:t>
      </w:r>
    </w:p>
    <w:p>
      <w:pPr>
        <w:spacing w:after="0" w:line="173" w:lineRule="exact"/>
        <w:rPr>
          <w:sz w:val="20"/>
          <w:szCs w:val="20"/>
          <w:color w:val="auto"/>
        </w:rPr>
      </w:pPr>
    </w:p>
    <w:p>
      <w:pPr>
        <w:jc w:val="both"/>
        <w:ind w:right="30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representations and warranties set forth herein and of other good and valuable consideration, the receipt and adequacy of which are hereby acknowledged, the parties hereto covenant and agree as follows: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DEFINED TERMS AND RULES OF CONSTRUCTION</w:t>
      </w:r>
    </w:p>
    <w:p>
      <w:pPr>
        <w:spacing w:after="0" w:line="182"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as used herein, shall have the following respective meanings:</w:t>
      </w:r>
    </w:p>
    <w:p>
      <w:pPr>
        <w:spacing w:after="0" w:line="15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designated Person, any other Person that, directly or indirectly, controls, is controlled by or is under common control with such designated Person. For purposes of this definition,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of a Person means the possession, directly 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have meanings correlative to the foregoing.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BPM Collaboration Patents</w:t>
      </w:r>
      <w:r>
        <w:rPr>
          <w:rFonts w:ascii="Times New Roman" w:cs="Times New Roman" w:eastAsia="Times New Roman" w:hAnsi="Times New Roman"/>
          <w:sz w:val="22"/>
          <w:szCs w:val="22"/>
          <w:color w:val="auto"/>
        </w:rPr>
        <w:t>” has the meaning set forth in Section 1.21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BPM Patents</w:t>
      </w:r>
      <w:r>
        <w:rPr>
          <w:rFonts w:ascii="Times New Roman" w:cs="Times New Roman" w:eastAsia="Times New Roman" w:hAnsi="Times New Roman"/>
          <w:sz w:val="22"/>
          <w:szCs w:val="22"/>
          <w:color w:val="auto"/>
        </w:rPr>
        <w:t>” has the meaning set forth in Section 1.28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BPM Technology</w:t>
      </w:r>
      <w:r>
        <w:rPr>
          <w:rFonts w:ascii="Times New Roman" w:cs="Times New Roman" w:eastAsia="Times New Roman" w:hAnsi="Times New Roman"/>
          <w:sz w:val="22"/>
          <w:szCs w:val="22"/>
          <w:color w:val="auto"/>
        </w:rPr>
        <w:t>” has the meaning set forth in Section 1.29 of the License Agreement.</w:t>
      </w:r>
    </w:p>
    <w:p>
      <w:pPr>
        <w:spacing w:after="0" w:line="20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that certain bill of sale, dated as of the Closing Date, executed by the Seller and the Purchaser,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8" w:right="1019" w:bottom="1440" w:gutter="0" w:footer="0" w:header="0"/>
        </w:sectPr>
      </w:pPr>
    </w:p>
    <w:bookmarkStart w:id="113" w:name="page114"/>
    <w:bookmarkEnd w:id="113"/>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New York are authorized or required by applicable Law to remain closed.</w:t>
      </w:r>
    </w:p>
    <w:p>
      <w:pPr>
        <w:spacing w:after="0" w:line="15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each period of three (3) consecutive calendar months, ending March 31, June 30, September 30, and December 31.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has the meaning set forth in Section‎ 6.1.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has the meaning set forth in Section‎ 6.1.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has the meaning set forth in Section‎ 2.2.</w:t>
      </w:r>
    </w:p>
    <w:p>
      <w:pPr>
        <w:spacing w:after="0" w:line="206"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Co-Commercialization Arrangement</w:t>
      </w:r>
      <w:r>
        <w:rPr>
          <w:rFonts w:ascii="Times New Roman" w:cs="Times New Roman" w:eastAsia="Times New Roman" w:hAnsi="Times New Roman"/>
          <w:sz w:val="22"/>
          <w:szCs w:val="22"/>
          <w:color w:val="auto"/>
        </w:rPr>
        <w:t>” means all rights and obligations of the Seller and Licensee (including rights and obligations of each of the Collaboration Governance Bodies) under the License Agreement related to the Development, Manufacture, distribution and Commercialization of, regulatory matters related to, and Medical Affairs Activities for, Licensed Products in the Shared Territory.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and the regulations thereunder.</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Collaboration Governance Bodies</w:t>
      </w:r>
      <w:r>
        <w:rPr>
          <w:rFonts w:ascii="Times New Roman" w:cs="Times New Roman" w:eastAsia="Times New Roman" w:hAnsi="Times New Roman"/>
          <w:sz w:val="22"/>
          <w:szCs w:val="22"/>
          <w:color w:val="auto"/>
        </w:rPr>
        <w:t>” means, collectively, the Joint Commercialization Committee, the Joint Development Committee, the Joint Medical Affairs Committee, the Joint Steering Committee and the Manufacturing Committee as defined in Sections 1.114, 1.115, 1.121, 1.125 and 1.136 of the License Agreement,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has the meaning set forth in Section 1.49 of the License Agreement.</w:t>
      </w:r>
    </w:p>
    <w:p>
      <w:pPr>
        <w:spacing w:after="0" w:line="206" w:lineRule="exact"/>
        <w:rPr>
          <w:sz w:val="20"/>
          <w:szCs w:val="20"/>
          <w:color w:val="auto"/>
        </w:rPr>
      </w:pPr>
    </w:p>
    <w:p>
      <w:pPr>
        <w:jc w:val="both"/>
        <w:ind w:right="6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Interest and Joint Privilege Agreement</w:t>
      </w:r>
      <w:r>
        <w:rPr>
          <w:rFonts w:ascii="Times New Roman" w:cs="Times New Roman" w:eastAsia="Times New Roman" w:hAnsi="Times New Roman"/>
          <w:sz w:val="22"/>
          <w:szCs w:val="22"/>
          <w:color w:val="auto"/>
        </w:rPr>
        <w:t>” that certain common interest and joint privilege agreement, dated as of the Closing Date, executed by the Seller and the Purchaser, substantially in the form attached hereto as Exhibit I.</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Compound</w:t>
      </w:r>
      <w:r>
        <w:rPr>
          <w:rFonts w:ascii="Times New Roman" w:cs="Times New Roman" w:eastAsia="Times New Roman" w:hAnsi="Times New Roman"/>
          <w:sz w:val="22"/>
          <w:szCs w:val="22"/>
          <w:color w:val="auto"/>
        </w:rPr>
        <w:t>” has the meaning set forth in Section 1.53 of the License Agreement.</w:t>
      </w:r>
    </w:p>
    <w:p>
      <w:pPr>
        <w:spacing w:after="0" w:line="206" w:lineRule="exact"/>
        <w:rPr>
          <w:sz w:val="20"/>
          <w:szCs w:val="20"/>
          <w:color w:val="auto"/>
        </w:rPr>
      </w:pPr>
    </w:p>
    <w:p>
      <w:pPr>
        <w:ind w:right="8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Compulsory Sublicense Compensation</w:t>
      </w:r>
      <w:r>
        <w:rPr>
          <w:rFonts w:ascii="Times New Roman" w:cs="Times New Roman" w:eastAsia="Times New Roman" w:hAnsi="Times New Roman"/>
          <w:sz w:val="22"/>
          <w:szCs w:val="22"/>
          <w:color w:val="auto"/>
        </w:rPr>
        <w:t>” has the meaning set forth in Section 1.56 of the License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has the meaning set forth in Section 1.59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has the meaning set forth in Section 1.61 of the License Agreement.</w:t>
      </w:r>
    </w:p>
    <w:p>
      <w:pPr>
        <w:spacing w:after="0" w:line="206"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means any insolvency, bankruptcy, receivership, assignment for the benefit of creditors, similar proceeding, or financial distress of Licensee, as a result of which the Licensee fails to pay, or is delayed in paying, all or a portion of the Purchased Royalty Interest.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has the meaning set forth in Section 1.64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has the meaning set forth in [***]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22"/>
          <w:szCs w:val="22"/>
          <w:color w:val="auto"/>
        </w:rPr>
        <w:t>“[***]” has the meaning set forth in [***]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has the meaning set 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3.9(d).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Amount</w:t>
      </w:r>
      <w:r>
        <w:rPr>
          <w:rFonts w:ascii="Times New Roman" w:cs="Times New Roman" w:eastAsia="Times New Roman" w:hAnsi="Times New Roman"/>
          <w:sz w:val="22"/>
          <w:szCs w:val="22"/>
          <w:color w:val="auto"/>
        </w:rPr>
        <w:t>” has the meaning set forth in Section‎ 5.4(c).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has the meaning set forth in Section 1.84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and any successor agency thereto.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has the meaning set forth in Section 1.87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effect in the United States from time to time.</w:t>
      </w:r>
    </w:p>
    <w:p>
      <w:pPr>
        <w:spacing w:after="0" w:line="21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each Patent Office, the FDA and any other government authority in any jurisdiction.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Collaboration Patents</w:t>
      </w:r>
      <w:r>
        <w:rPr>
          <w:rFonts w:ascii="Times New Roman" w:cs="Times New Roman" w:eastAsia="Times New Roman" w:hAnsi="Times New Roman"/>
          <w:sz w:val="22"/>
          <w:szCs w:val="22"/>
          <w:color w:val="auto"/>
        </w:rPr>
        <w:t>” has the meaning set forth in Section 1.112 of the License Agreement.</w:t>
      </w:r>
    </w:p>
    <w:p>
      <w:pPr>
        <w:spacing w:after="0" w:line="2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stipulation, consent order, ruling, injunction, assessment, award, writ or decree.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with respect to the Seller, [***] ‎Article III [***].</w:t>
      </w:r>
    </w:p>
    <w:p>
      <w:pPr>
        <w:spacing w:after="0" w:line="20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rule, regulation or ordinance issued or promulgated by a Governmental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Backup</w:t>
      </w:r>
      <w:r>
        <w:rPr>
          <w:rFonts w:ascii="Times New Roman" w:cs="Times New Roman" w:eastAsia="Times New Roman" w:hAnsi="Times New Roman"/>
          <w:sz w:val="22"/>
          <w:szCs w:val="22"/>
          <w:color w:val="auto"/>
        </w:rPr>
        <w:t>” has the meaning set forth in Section 1.127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Product</w:t>
      </w:r>
      <w:r>
        <w:rPr>
          <w:rFonts w:ascii="Times New Roman" w:cs="Times New Roman" w:eastAsia="Times New Roman" w:hAnsi="Times New Roman"/>
          <w:sz w:val="22"/>
          <w:szCs w:val="22"/>
          <w:color w:val="auto"/>
        </w:rPr>
        <w:t>” has the meaning set forth in Section 1.130 of the License Agreement.</w:t>
      </w:r>
    </w:p>
    <w:p>
      <w:pPr>
        <w:spacing w:after="0" w:line="20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means that certain Collaboration Agreement, dated July 13, 2020, by and among the Seller and Licensee.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has the meaning set forth in Section 1.132 of the License Agreement.</w:t>
      </w:r>
    </w:p>
    <w:p>
      <w:pPr>
        <w:spacing w:after="0" w:line="206"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collectively, F. Hoffmann-La Roche Ltd and Genentech, Inc., and their respective successors and permitted assigns.</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 Consent</w:t>
      </w:r>
      <w:r>
        <w:rPr>
          <w:rFonts w:ascii="Times New Roman" w:cs="Times New Roman" w:eastAsia="Times New Roman" w:hAnsi="Times New Roman"/>
          <w:sz w:val="22"/>
          <w:szCs w:val="22"/>
          <w:color w:val="auto"/>
        </w:rPr>
        <w:t xml:space="preserve">” means that certain letter agreement, dated on or about the date hereof, by and between the Seller and Licensee,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 Instruction</w:t>
      </w:r>
      <w:r>
        <w:rPr>
          <w:rFonts w:ascii="Times New Roman" w:cs="Times New Roman" w:eastAsia="Times New Roman" w:hAnsi="Times New Roman"/>
          <w:sz w:val="22"/>
          <w:szCs w:val="22"/>
          <w:color w:val="auto"/>
        </w:rPr>
        <w:t xml:space="preserve">” means the direction letter to Licensee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mortgage, pledge, hypothecation, assignment, deposit arrangement, encumbrance, lien (statutory or otherwise), charge against or interest in property or other restriction, priority or preferential arrangement, in each case of any kind or nature whatsoever.</w:t>
      </w:r>
    </w:p>
    <w:p>
      <w:pPr>
        <w:spacing w:after="0" w:line="173"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loss, assessment, award, cause of action, claim, charge, cost, expense (including expenses of investigation and attorneys’ fees), fine, Judgment, liability, obligation, penalty.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has the meaning set forth in Section 1.135 of the License Agreement.</w:t>
      </w:r>
    </w:p>
    <w:p>
      <w:pPr>
        <w:spacing w:after="0" w:line="20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effect on (i) the legality, validity or enforceability of any of the Transaction Documents or the License Agreement, other than any provision of the License Agreement that relates solely to the Co-Commercialization Arrangement or is otherwise unrelated to the Purchased Royalty Interest, (ii) the ability of the Seller to perform its obligations under any of the Transaction Documents or under the License Agreement, other than any provision of the License Agreement that relates solely to the Co-Commercialization Arrangement or is otherwise unrelated to the Purchased Royalty Interest, (iii) the rights of the Seller under the License Agreement related to the Purchased Royalty Interest, (iv) the Royalty Product or the Royalty Product Patents, or (v) the rights or remedies of the Purchaser under any of the Transaction Documents to which it is a party; or (b) an adverse effect in any material respect on the timing, amount or duration of the payments to be made to the Purchaser in respect of any portion of the Purchased Royalty Interest or the right of the Purchaser to receive the Purchased Royalty Interest.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Medical Affairs Activities</w:t>
      </w:r>
      <w:r>
        <w:rPr>
          <w:rFonts w:ascii="Times New Roman" w:cs="Times New Roman" w:eastAsia="Times New Roman" w:hAnsi="Times New Roman"/>
          <w:sz w:val="22"/>
          <w:szCs w:val="22"/>
          <w:color w:val="auto"/>
        </w:rPr>
        <w:t>” has the meaning set forth in Section 1.141 of the License Agreement.</w:t>
      </w:r>
    </w:p>
    <w:p>
      <w:pPr>
        <w:spacing w:after="0" w:line="206"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Measurement Dates</w:t>
      </w:r>
      <w:r>
        <w:rPr>
          <w:rFonts w:ascii="Times New Roman" w:cs="Times New Roman" w:eastAsia="Times New Roman" w:hAnsi="Times New Roman"/>
          <w:sz w:val="22"/>
          <w:szCs w:val="22"/>
          <w:color w:val="auto"/>
        </w:rPr>
        <w:t>” means, with respect to a given Milestone Measurement Period, the dates on which the Purchased Royalty Interest in respect of each Calendar Quarter contained in such Milestone Measurement Period is received by the Seller and the Purchaser (each such date, a “</w:t>
      </w:r>
      <w:r>
        <w:rPr>
          <w:rFonts w:ascii="Times New Roman" w:cs="Times New Roman" w:eastAsia="Times New Roman" w:hAnsi="Times New Roman"/>
          <w:sz w:val="22"/>
          <w:szCs w:val="22"/>
          <w:u w:val="single" w:color="auto"/>
          <w:color w:val="auto"/>
        </w:rPr>
        <w:t>Milestone Measurement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Payments</w:t>
      </w:r>
      <w:r>
        <w:rPr>
          <w:rFonts w:ascii="Times New Roman" w:cs="Times New Roman" w:eastAsia="Times New Roman" w:hAnsi="Times New Roman"/>
          <w:sz w:val="22"/>
          <w:szCs w:val="22"/>
          <w:color w:val="auto"/>
        </w:rPr>
        <w:t>” means the amounts set forth below in the third column of the table below, each of which shall be payable only if the amount of the Purchased Royalty Interest received by Purchaser (whenever received) in respect of Roche Net Sales during the applicable time period set forth in the first column in the table below (each such period, a “</w:t>
      </w:r>
      <w:r>
        <w:rPr>
          <w:rFonts w:ascii="Times New Roman" w:cs="Times New Roman" w:eastAsia="Times New Roman" w:hAnsi="Times New Roman"/>
          <w:sz w:val="22"/>
          <w:szCs w:val="22"/>
          <w:u w:val="single" w:color="auto"/>
          <w:color w:val="auto"/>
        </w:rPr>
        <w:t>Milestone Measurement Period</w:t>
      </w:r>
      <w:r>
        <w:rPr>
          <w:rFonts w:ascii="Times New Roman" w:cs="Times New Roman" w:eastAsia="Times New Roman" w:hAnsi="Times New Roman"/>
          <w:sz w:val="22"/>
          <w:szCs w:val="22"/>
          <w:color w:val="auto"/>
        </w:rPr>
        <w:t>”) exceeds the applicable threshold set forth below in the second column in the table below (each, a “</w:t>
      </w:r>
      <w:r>
        <w:rPr>
          <w:rFonts w:ascii="Times New Roman" w:cs="Times New Roman" w:eastAsia="Times New Roman" w:hAnsi="Times New Roman"/>
          <w:sz w:val="22"/>
          <w:szCs w:val="22"/>
          <w:u w:val="single" w:color="auto"/>
          <w:color w:val="auto"/>
        </w:rPr>
        <w:t>Milestone Return Threshold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Measurement Period</w:t>
            </w: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Milestone Return Threshold</w:t>
            </w:r>
          </w:p>
        </w:tc>
        <w:tc>
          <w:tcPr>
            <w:tcW w:w="2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37"/>
        </w:trPr>
        <w:tc>
          <w:tcPr>
            <w:tcW w:w="38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38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8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tcPr>
          <w:p>
            <w:pPr>
              <w:jc w:val="right"/>
              <w:ind w:right="3232"/>
              <w:spacing w:after="0"/>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top w:val="single" w:sz="8" w:color="auto"/>
              <w:bottom w:val="single" w:sz="8" w:color="auto"/>
              <w:right w:val="single" w:sz="8" w:color="auto"/>
            </w:tcBorders>
          </w:tcPr>
          <w:p>
            <w:pPr>
              <w:jc w:val="right"/>
              <w:ind w:right="2752"/>
              <w:spacing w:after="0"/>
              <w:rPr>
                <w:sz w:val="20"/>
                <w:szCs w:val="20"/>
                <w:color w:val="auto"/>
              </w:rPr>
            </w:pPr>
            <w:r>
              <w:rPr>
                <w:rFonts w:ascii="Times New Roman" w:cs="Times New Roman" w:eastAsia="Times New Roman" w:hAnsi="Times New Roman"/>
                <w:sz w:val="22"/>
                <w:szCs w:val="22"/>
                <w:color w:val="auto"/>
                <w:w w:val="96"/>
              </w:rPr>
              <w:t>[***]</w:t>
            </w:r>
          </w:p>
        </w:tc>
        <w:tc>
          <w:tcPr>
            <w:tcW w:w="2760" w:type="dxa"/>
            <w:vAlign w:val="bottom"/>
            <w:tcBorders>
              <w:top w:val="single" w:sz="8" w:color="auto"/>
              <w:bottom w:val="single" w:sz="8" w:color="auto"/>
              <w:right w:val="single" w:sz="8" w:color="auto"/>
            </w:tcBorders>
          </w:tcPr>
          <w:p>
            <w:pPr>
              <w:jc w:val="right"/>
              <w:ind w:right="2172"/>
              <w:spacing w:after="0"/>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3840" w:type="dxa"/>
            <w:vAlign w:val="bottom"/>
            <w:tcBorders>
              <w:left w:val="single" w:sz="8" w:color="auto"/>
              <w:bottom w:val="single" w:sz="8" w:color="auto"/>
              <w:right w:val="single" w:sz="8" w:color="auto"/>
            </w:tcBorders>
          </w:tcPr>
          <w:p>
            <w:pPr>
              <w:jc w:val="right"/>
              <w:ind w:right="32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7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760" w:type="dxa"/>
            <w:vAlign w:val="bottom"/>
            <w:tcBorders>
              <w:bottom w:val="single" w:sz="8" w:color="auto"/>
              <w:right w:val="single" w:sz="8" w:color="auto"/>
            </w:tcBorders>
          </w:tcPr>
          <w:p>
            <w:pPr>
              <w:jc w:val="right"/>
              <w:ind w:right="2172"/>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3840" w:type="dxa"/>
            <w:vAlign w:val="bottom"/>
            <w:tcBorders>
              <w:left w:val="single" w:sz="8" w:color="auto"/>
              <w:bottom w:val="single" w:sz="8" w:color="auto"/>
              <w:right w:val="single" w:sz="8" w:color="auto"/>
            </w:tcBorders>
          </w:tcPr>
          <w:p>
            <w:pPr>
              <w:jc w:val="right"/>
              <w:ind w:right="32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7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760" w:type="dxa"/>
            <w:vAlign w:val="bottom"/>
            <w:tcBorders>
              <w:bottom w:val="single" w:sz="8" w:color="auto"/>
              <w:right w:val="single" w:sz="8" w:color="auto"/>
            </w:tcBorders>
          </w:tcPr>
          <w:p>
            <w:pPr>
              <w:jc w:val="right"/>
              <w:ind w:right="2172"/>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6"/>
        </w:trPr>
        <w:tc>
          <w:tcPr>
            <w:tcW w:w="3840" w:type="dxa"/>
            <w:vAlign w:val="bottom"/>
            <w:tcBorders>
              <w:left w:val="single" w:sz="8" w:color="auto"/>
              <w:bottom w:val="single" w:sz="8" w:color="auto"/>
              <w:right w:val="single" w:sz="8" w:color="auto"/>
            </w:tcBorders>
          </w:tcPr>
          <w:p>
            <w:pPr>
              <w:jc w:val="right"/>
              <w:ind w:right="32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Borders>
              <w:bottom w:val="single" w:sz="8" w:color="auto"/>
              <w:right w:val="single" w:sz="8" w:color="auto"/>
            </w:tcBorders>
          </w:tcPr>
          <w:p>
            <w:pPr>
              <w:jc w:val="right"/>
              <w:ind w:right="2752"/>
              <w:spacing w:after="0" w:line="237" w:lineRule="exact"/>
              <w:rPr>
                <w:sz w:val="20"/>
                <w:szCs w:val="20"/>
                <w:color w:val="auto"/>
              </w:rPr>
            </w:pPr>
            <w:r>
              <w:rPr>
                <w:rFonts w:ascii="Times New Roman" w:cs="Times New Roman" w:eastAsia="Times New Roman" w:hAnsi="Times New Roman"/>
                <w:sz w:val="22"/>
                <w:szCs w:val="22"/>
                <w:color w:val="auto"/>
                <w:w w:val="96"/>
              </w:rPr>
              <w:t>[***]</w:t>
            </w:r>
          </w:p>
        </w:tc>
        <w:tc>
          <w:tcPr>
            <w:tcW w:w="2760" w:type="dxa"/>
            <w:vAlign w:val="bottom"/>
            <w:tcBorders>
              <w:bottom w:val="single" w:sz="8" w:color="auto"/>
              <w:right w:val="single" w:sz="8" w:color="auto"/>
            </w:tcBorders>
          </w:tcPr>
          <w:p>
            <w:pPr>
              <w:jc w:val="right"/>
              <w:ind w:right="2172"/>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200" w:lineRule="exact"/>
        <w:rPr>
          <w:sz w:val="20"/>
          <w:szCs w:val="20"/>
          <w:color w:val="auto"/>
        </w:rPr>
      </w:pPr>
    </w:p>
    <w:p>
      <w:pPr>
        <w:spacing w:after="0" w:line="20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 For example, [***]. For the avoidance of doubt, however, no Milestone Payment shall be paid by the Purchaser to the Seller more than once.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Mutually Agreed</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right="140" w:firstLine="1304"/>
        <w:spacing w:after="0" w:line="244"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matters (i) related solely to the Purchased Royalty Interest or (ii) that would reasonably be expected to result in a Material Adverse Effect, the Seller shall take, or refrain from taking, such reasonable actions in respect of each such matter as are reasonably requested by the Purchaser;</w:t>
      </w:r>
    </w:p>
    <w:p>
      <w:pPr>
        <w:spacing w:after="0" w:line="173" w:lineRule="exact"/>
        <w:rPr>
          <w:rFonts w:ascii="Times New Roman" w:cs="Times New Roman" w:eastAsia="Times New Roman" w:hAnsi="Times New Roman"/>
          <w:sz w:val="22"/>
          <w:szCs w:val="22"/>
          <w:color w:val="auto"/>
        </w:rPr>
      </w:pPr>
    </w:p>
    <w:p>
      <w:pPr>
        <w:ind w:right="80" w:firstLine="1304"/>
        <w:spacing w:after="0" w:line="255" w:lineRule="auto"/>
        <w:tabs>
          <w:tab w:leader="none" w:pos="19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matters (i) [***] (ii) [***] (iii) (A) that are not related [***] to the Purchased Royalty Interest and (B) that would not reasonably be expected to result in a Material Adverse Effect, the Seller shall have the right to take, or refrain from taking, such actions (in each case, to the extent required or permitted under the License Agreement) in respect of each such matter as the Seller, acting reasonably, deems appropriate; and</w:t>
      </w:r>
    </w:p>
    <w:p>
      <w:pPr>
        <w:spacing w:after="0" w:line="161" w:lineRule="exact"/>
        <w:rPr>
          <w:rFonts w:ascii="Times New Roman" w:cs="Times New Roman" w:eastAsia="Times New Roman" w:hAnsi="Times New Roman"/>
          <w:sz w:val="21"/>
          <w:szCs w:val="21"/>
          <w:color w:val="auto"/>
        </w:rPr>
      </w:pPr>
    </w:p>
    <w:p>
      <w:pPr>
        <w:ind w:right="160" w:firstLine="1304"/>
        <w:spacing w:after="0" w:line="244"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or (ii) for all other matters under the License Agreement that do not meet the criteria set forth in clauses (a) or (b) above, the Seller shall take, or refrain from taking, actions in respect of each such matter as the Seller and the Purchaser, each acting reasonably, mutually agree.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Arrangement</w:t>
      </w:r>
      <w:r>
        <w:rPr>
          <w:rFonts w:ascii="Times New Roman" w:cs="Times New Roman" w:eastAsia="Times New Roman" w:hAnsi="Times New Roman"/>
          <w:sz w:val="22"/>
          <w:szCs w:val="22"/>
          <w:color w:val="auto"/>
        </w:rPr>
        <w:t>” has the meaning set 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5.8.</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Component</w:t>
      </w:r>
      <w:r>
        <w:rPr>
          <w:rFonts w:ascii="Times New Roman" w:cs="Times New Roman" w:eastAsia="Times New Roman" w:hAnsi="Times New Roman"/>
          <w:sz w:val="22"/>
          <w:szCs w:val="22"/>
          <w:color w:val="auto"/>
        </w:rPr>
        <w:t>” has the meaning set forth in Section 1.46 of the License Agreement.</w:t>
      </w:r>
    </w:p>
    <w:p>
      <w:pPr>
        <w:spacing w:after="0" w:line="206"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Linkage</w:t>
      </w:r>
      <w:r>
        <w:rPr>
          <w:rFonts w:ascii="Times New Roman" w:cs="Times New Roman" w:eastAsia="Times New Roman" w:hAnsi="Times New Roman"/>
          <w:sz w:val="22"/>
          <w:szCs w:val="22"/>
          <w:color w:val="auto"/>
        </w:rPr>
        <w:t>” means foreign equivalents of the FDA publication Approved Drug Products with Therapeutic Equivalence Evaluations, as may be amended from time to time.</w:t>
      </w:r>
    </w:p>
    <w:p>
      <w:pPr>
        <w:spacing w:after="0" w:line="158"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Office</w:t>
      </w:r>
      <w:r>
        <w:rPr>
          <w:rFonts w:ascii="Times New Roman" w:cs="Times New Roman" w:eastAsia="Times New Roman" w:hAnsi="Times New Roman"/>
          <w:sz w:val="22"/>
          <w:szCs w:val="22"/>
          <w:color w:val="auto"/>
        </w:rPr>
        <w:t>” means the applicable patent office, including the United States Patent and Trademark Office and any comparable foreign patent office.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Section 1.157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Reduction</w:t>
      </w:r>
      <w:r>
        <w:rPr>
          <w:rFonts w:ascii="Times New Roman" w:cs="Times New Roman" w:eastAsia="Times New Roman" w:hAnsi="Times New Roman"/>
          <w:sz w:val="22"/>
          <w:szCs w:val="22"/>
          <w:color w:val="auto"/>
        </w:rPr>
        <w:t>” means any [***].</w:t>
      </w:r>
    </w:p>
    <w:p>
      <w:pPr>
        <w:spacing w:after="0" w:line="20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spacing w:after="0" w:line="173"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means any amounts actually recovered by the Seller as a result of any settlement or resolution of any actions, suits, proceedings, claims or disputes related to the Purchased Royalty Interest, except for any amounts that are used to reimburse or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565" w:right="979" w:bottom="1440" w:gutter="0" w:footer="0" w:header="0"/>
        </w:sectPr>
      </w:pPr>
    </w:p>
    <w:bookmarkStart w:id="117" w:name="page118"/>
    <w:bookmarkEnd w:id="117"/>
    <w:p>
      <w:pPr>
        <w:ind w:right="740"/>
        <w:spacing w:after="0" w:line="258" w:lineRule="auto"/>
        <w:rPr>
          <w:sz w:val="20"/>
          <w:szCs w:val="20"/>
          <w:color w:val="auto"/>
        </w:rPr>
      </w:pPr>
      <w:r>
        <w:rPr>
          <w:rFonts w:ascii="Times New Roman" w:cs="Times New Roman" w:eastAsia="Times New Roman" w:hAnsi="Times New Roman"/>
          <w:sz w:val="22"/>
          <w:szCs w:val="22"/>
          <w:color w:val="auto"/>
        </w:rPr>
        <w:t>Licensee for costs, expenses, legal fees or other fees relating to such actions, suits, proceedings, claims or disputes.</w:t>
      </w:r>
    </w:p>
    <w:p>
      <w:pPr>
        <w:spacing w:after="0" w:line="15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Purchased Royalty Interest</w:t>
      </w:r>
      <w:r>
        <w:rPr>
          <w:rFonts w:ascii="Times New Roman" w:cs="Times New Roman" w:eastAsia="Times New Roman" w:hAnsi="Times New Roman"/>
          <w:sz w:val="21"/>
          <w:szCs w:val="21"/>
          <w:color w:val="auto"/>
        </w:rPr>
        <w:t>” means, for the period [***] and thereafter during the term of this Agreement, all of the Seller’s right, title and interest in and to: (a) all payments payable to the Seller by Licensee under Section 8.7(a) and Section 8.7(b) of the License Agreement with respect to Roche Net Sales of the Royalty Product in the Roche Territory (including amounts treated as Roche Net Sales pursuant to Section 9.4(d)(i)(A) of the License Agreement), after giving effect to all Permitted Reductions applicable thereto; (b) and all payments payable to the Seller by Licensee under Section 8.7(f) of the License Agreement with respect to Compulsory Sublicense Compensation in respect of sales of the Royalty Product in the Roche Territory; (c) any payments payable to the Seller under the License Agreement in lieu of such payments described in clause (a) and (b); and</w:t>
      </w:r>
    </w:p>
    <w:p>
      <w:pPr>
        <w:spacing w:after="0" w:line="4" w:lineRule="exact"/>
        <w:rPr>
          <w:sz w:val="20"/>
          <w:szCs w:val="20"/>
          <w:color w:val="auto"/>
        </w:rPr>
      </w:pPr>
    </w:p>
    <w:p>
      <w:pPr>
        <w:ind w:right="660" w:firstLine="8"/>
        <w:spacing w:after="0" w:line="237" w:lineRule="auto"/>
        <w:tabs>
          <w:tab w:leader="none" w:pos="3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payments made by Licensee under Section 8.14 of the License Agreement in respect of the payments described in clauses (a), (b) and (c).</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Account</w:t>
      </w:r>
      <w:r>
        <w:rPr>
          <w:rFonts w:ascii="Times New Roman" w:cs="Times New Roman" w:eastAsia="Times New Roman" w:hAnsi="Times New Roman"/>
          <w:sz w:val="22"/>
          <w:szCs w:val="22"/>
          <w:color w:val="auto"/>
        </w:rPr>
        <w:t xml:space="preserve">” means the account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or such other account as may be designated by the Purchaser in writing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Indemnified Party</w:t>
      </w:r>
      <w:r>
        <w:rPr>
          <w:rFonts w:ascii="Times New Roman" w:cs="Times New Roman" w:eastAsia="Times New Roman" w:hAnsi="Times New Roman"/>
          <w:sz w:val="22"/>
          <w:szCs w:val="22"/>
          <w:color w:val="auto"/>
        </w:rPr>
        <w:t>” has the meaning set 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Product</w:t>
      </w:r>
      <w:r>
        <w:rPr>
          <w:rFonts w:ascii="Times New Roman" w:cs="Times New Roman" w:eastAsia="Times New Roman" w:hAnsi="Times New Roman"/>
          <w:sz w:val="22"/>
          <w:szCs w:val="22"/>
          <w:color w:val="auto"/>
        </w:rPr>
        <w:t>” has the meaning set forth in Section 1.186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Roche Net Sales</w:t>
      </w:r>
      <w:r>
        <w:rPr>
          <w:rFonts w:ascii="Times New Roman" w:cs="Times New Roman" w:eastAsia="Times New Roman" w:hAnsi="Times New Roman"/>
          <w:sz w:val="22"/>
          <w:szCs w:val="22"/>
          <w:color w:val="auto"/>
        </w:rPr>
        <w:t>” has the meaning set forth in Section 1.197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Roche Patents</w:t>
      </w:r>
      <w:r>
        <w:rPr>
          <w:rFonts w:ascii="Times New Roman" w:cs="Times New Roman" w:eastAsia="Times New Roman" w:hAnsi="Times New Roman"/>
          <w:sz w:val="22"/>
          <w:szCs w:val="22"/>
          <w:color w:val="auto"/>
        </w:rPr>
        <w:t>” has the meaning set forth in Section 1.199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Roche Technology</w:t>
      </w:r>
      <w:r>
        <w:rPr>
          <w:rFonts w:ascii="Times New Roman" w:cs="Times New Roman" w:eastAsia="Times New Roman" w:hAnsi="Times New Roman"/>
          <w:sz w:val="22"/>
          <w:szCs w:val="22"/>
          <w:color w:val="auto"/>
        </w:rPr>
        <w:t>” has the meaning set forth in Section 1.200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Roche Territory</w:t>
      </w:r>
      <w:r>
        <w:rPr>
          <w:rFonts w:ascii="Times New Roman" w:cs="Times New Roman" w:eastAsia="Times New Roman" w:hAnsi="Times New Roman"/>
          <w:sz w:val="22"/>
          <w:szCs w:val="22"/>
          <w:color w:val="auto"/>
        </w:rPr>
        <w:t>” has the meaning set forth in Section 1.201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Product</w:t>
      </w:r>
      <w:r>
        <w:rPr>
          <w:rFonts w:ascii="Times New Roman" w:cs="Times New Roman" w:eastAsia="Times New Roman" w:hAnsi="Times New Roman"/>
          <w:sz w:val="22"/>
          <w:szCs w:val="22"/>
          <w:color w:val="auto"/>
        </w:rPr>
        <w:t>” means, individually or collectively as the context requires, the [***].</w:t>
      </w:r>
    </w:p>
    <w:p>
      <w:pPr>
        <w:spacing w:after="0" w:line="206"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Reports</w:t>
      </w:r>
      <w:r>
        <w:rPr>
          <w:rFonts w:ascii="Times New Roman" w:cs="Times New Roman" w:eastAsia="Times New Roman" w:hAnsi="Times New Roman"/>
          <w:sz w:val="22"/>
          <w:szCs w:val="22"/>
          <w:color w:val="auto"/>
        </w:rPr>
        <w:t>” means, (a) with respect to the first and second month of each Calendar Quarter, the report required to be prepared and delivered by Licensee to the Seller pursuant to Section 8.8(a) of the License Agreement to the extent actually received by the Seller, and (b) with respect to each Calendar Quarter, the report required to be prepared and delivered by Licensee to the Seller pursuant to Section 8.8(b) of the License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Product BPM Patents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Product Joint Patents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Product Patents</w:t>
      </w:r>
      <w:r>
        <w:rPr>
          <w:rFonts w:ascii="Times New Roman" w:cs="Times New Roman" w:eastAsia="Times New Roman" w:hAnsi="Times New Roman"/>
          <w:sz w:val="22"/>
          <w:szCs w:val="22"/>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22"/>
          <w:szCs w:val="22"/>
          <w:u w:val="single" w:color="auto"/>
          <w:color w:val="auto"/>
        </w:rPr>
        <w:t>“Royalty Product Roche Patents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Generation Compound</w:t>
      </w:r>
      <w:r>
        <w:rPr>
          <w:rFonts w:ascii="Times New Roman" w:cs="Times New Roman" w:eastAsia="Times New Roman" w:hAnsi="Times New Roman"/>
          <w:sz w:val="22"/>
          <w:szCs w:val="22"/>
          <w:color w:val="auto"/>
        </w:rPr>
        <w:t>” has the meaning set forth in Section 1.206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right="7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Account</w:t>
      </w:r>
      <w:r>
        <w:rPr>
          <w:rFonts w:ascii="Times New Roman" w:cs="Times New Roman" w:eastAsia="Times New Roman" w:hAnsi="Times New Roman"/>
          <w:sz w:val="22"/>
          <w:szCs w:val="22"/>
          <w:color w:val="auto"/>
        </w:rPr>
        <w:t xml:space="preserve">” means the account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or such other account as may be designated by the Seller in writing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has the meaning set 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means any right of set-off, counterclaim, credit, reduction or deduction by contract or otherwise, other than a Permitted Reduction.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Territory</w:t>
      </w:r>
      <w:r>
        <w:rPr>
          <w:rFonts w:ascii="Times New Roman" w:cs="Times New Roman" w:eastAsia="Times New Roman" w:hAnsi="Times New Roman"/>
          <w:sz w:val="22"/>
          <w:szCs w:val="22"/>
          <w:color w:val="auto"/>
        </w:rPr>
        <w:t>” has the meaning set forth in Section 1.214 of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Shortfall Amount</w:t>
      </w:r>
      <w:r>
        <w:rPr>
          <w:rFonts w:ascii="Times New Roman" w:cs="Times New Roman" w:eastAsia="Times New Roman" w:hAnsi="Times New Roman"/>
          <w:sz w:val="22"/>
          <w:szCs w:val="22"/>
          <w:color w:val="auto"/>
        </w:rPr>
        <w:t>” has the meaning set 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5.4(c).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Terminated Region</w:t>
      </w:r>
      <w:r>
        <w:rPr>
          <w:rFonts w:ascii="Times New Roman" w:cs="Times New Roman" w:eastAsia="Times New Roman" w:hAnsi="Times New Roman"/>
          <w:sz w:val="22"/>
          <w:szCs w:val="22"/>
          <w:color w:val="auto"/>
        </w:rPr>
        <w:t>” has the meaning set forth in Section 1.224 of the License Agreement.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Bill of Sale, the Common Interest and Joint Privilege Agreement, the Licensee Consent, and the Licensee Instruction.</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each territory thereof and the District of Columbia.</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Unless the context otherwise requires, in this Agreement:</w:t>
      </w:r>
    </w:p>
    <w:p>
      <w:pPr>
        <w:spacing w:after="0" w:line="206" w:lineRule="exact"/>
        <w:rPr>
          <w:sz w:val="20"/>
          <w:szCs w:val="20"/>
          <w:color w:val="auto"/>
        </w:rPr>
      </w:pPr>
    </w:p>
    <w:p>
      <w:pPr>
        <w:ind w:right="80" w:firstLine="1304"/>
        <w:spacing w:after="0" w:line="258"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and an accounting term not otherwise defined has the meaning assigned to it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19" w:name="page120"/>
    <w:bookmarkEnd w:id="119"/>
    <w:p>
      <w:pPr>
        <w:ind w:left="1960" w:hanging="656"/>
        <w:spacing w:after="0"/>
        <w:tabs>
          <w:tab w:leader="none" w:pos="1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all terms that are defined in the UCC shall have the meanings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stated in the UCC;</w:t>
      </w:r>
    </w:p>
    <w:p>
      <w:pPr>
        <w:spacing w:after="0" w:line="182" w:lineRule="exact"/>
        <w:rPr>
          <w:rFonts w:ascii="Times New Roman" w:cs="Times New Roman" w:eastAsia="Times New Roman" w:hAnsi="Times New Roman"/>
          <w:sz w:val="22"/>
          <w:szCs w:val="22"/>
          <w:color w:val="auto"/>
        </w:rPr>
      </w:pPr>
    </w:p>
    <w:p>
      <w:pPr>
        <w:ind w:right="240" w:firstLine="1304"/>
        <w:spacing w:after="0" w:line="258"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the masculine, feminine or neuter gender shall mean and include the correlative words of other genders;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shall apply equally to the singular and plural forms of the terms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defined;</w:t>
      </w:r>
    </w:p>
    <w:p>
      <w:pPr>
        <w:spacing w:after="0" w:line="182" w:lineRule="exact"/>
        <w:rPr>
          <w:rFonts w:ascii="Times New Roman" w:cs="Times New Roman" w:eastAsia="Times New Roman" w:hAnsi="Times New Roman"/>
          <w:sz w:val="22"/>
          <w:szCs w:val="22"/>
          <w:color w:val="auto"/>
        </w:rPr>
      </w:pPr>
    </w:p>
    <w:p>
      <w:pPr>
        <w:ind w:right="120" w:firstLine="1304"/>
        <w:spacing w:after="0" w:line="258"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“either” and “or” are not exclusive, and “include”, “including” and similar terms shall be construed as if followed by the phrase “without limitation”;</w:t>
      </w:r>
    </w:p>
    <w:p>
      <w:pPr>
        <w:spacing w:after="0" w:line="158" w:lineRule="exact"/>
        <w:rPr>
          <w:rFonts w:ascii="Times New Roman" w:cs="Times New Roman" w:eastAsia="Times New Roman" w:hAnsi="Times New Roman"/>
          <w:sz w:val="22"/>
          <w:szCs w:val="22"/>
          <w:color w:val="auto"/>
        </w:rPr>
      </w:pPr>
    </w:p>
    <w:p>
      <w:pPr>
        <w:ind w:right="120" w:firstLine="1304"/>
        <w:spacing w:after="0" w:line="258"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Law shall include such Law as from time to time in effect, including any amendment, modification, codification, replacement or reenactment thereof or any substitution therefor;</w:t>
      </w:r>
    </w:p>
    <w:p>
      <w:pPr>
        <w:spacing w:after="0" w:line="158" w:lineRule="exact"/>
        <w:rPr>
          <w:rFonts w:ascii="Times New Roman" w:cs="Times New Roman" w:eastAsia="Times New Roman" w:hAnsi="Times New Roman"/>
          <w:sz w:val="22"/>
          <w:szCs w:val="22"/>
          <w:color w:val="auto"/>
        </w:rPr>
      </w:pPr>
    </w:p>
    <w:p>
      <w:pPr>
        <w:ind w:right="40" w:firstLine="1304"/>
        <w:spacing w:after="0" w:line="239"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shall be construed to include such Person’s successors and permitted assigns (subject to any restrictions on assignment, transfer or delegation set forth herein or in any of the other Transaction Documents), and any reference to a Person in a particular capacity excludes such Person in other capacities;</w:t>
      </w:r>
    </w:p>
    <w:p>
      <w:pPr>
        <w:spacing w:after="0" w:line="180"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“extent” in the phrase “to the extent” means the degree to which a subject or other thing extends, and such phrase does not mean simply “if;”</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 “will” shall be construed to have the same meaning and effect as the word “shall”;</w:t>
      </w:r>
    </w:p>
    <w:p>
      <w:pPr>
        <w:spacing w:after="0" w:line="217" w:lineRule="exact"/>
        <w:rPr>
          <w:rFonts w:ascii="Times New Roman" w:cs="Times New Roman" w:eastAsia="Times New Roman" w:hAnsi="Times New Roman"/>
          <w:sz w:val="21"/>
          <w:szCs w:val="21"/>
          <w:color w:val="auto"/>
        </w:rPr>
      </w:pPr>
    </w:p>
    <w:p>
      <w:pPr>
        <w:ind w:right="160" w:firstLine="1304"/>
        <w:spacing w:after="0" w:line="239"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“hereunder” and similar terms when used in this Agreement shall refer to this Agreement as a whole and not to any particular provision hereof, and Article, Section and Exhibit references herein are references to Articles and Sections of, and Exhibits to, this Agreement unless otherwise specified;</w:t>
      </w:r>
    </w:p>
    <w:p>
      <w:pPr>
        <w:spacing w:after="0" w:line="180" w:lineRule="exact"/>
        <w:rPr>
          <w:rFonts w:ascii="Times New Roman" w:cs="Times New Roman" w:eastAsia="Times New Roman" w:hAnsi="Times New Roman"/>
          <w:sz w:val="22"/>
          <w:szCs w:val="22"/>
          <w:color w:val="auto"/>
        </w:rPr>
      </w:pPr>
    </w:p>
    <w:p>
      <w:pPr>
        <w:ind w:right="340" w:firstLine="1304"/>
        <w:spacing w:after="0" w:line="282" w:lineRule="auto"/>
        <w:tabs>
          <w:tab w:leader="none" w:pos="194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a period of time from a specified date to a later specified date, the word “from” means “from and including” and each of the words “to” and “until” means “to but excluding”;</w:t>
      </w:r>
    </w:p>
    <w:p>
      <w:pPr>
        <w:spacing w:after="0" w:line="134"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States; and</w:t>
      </w:r>
    </w:p>
    <w:p>
      <w:pPr>
        <w:spacing w:after="0" w:line="182" w:lineRule="exact"/>
        <w:rPr>
          <w:rFonts w:ascii="Times New Roman" w:cs="Times New Roman" w:eastAsia="Times New Roman" w:hAnsi="Times New Roman"/>
          <w:sz w:val="22"/>
          <w:szCs w:val="22"/>
          <w:color w:val="auto"/>
        </w:rPr>
      </w:pPr>
    </w:p>
    <w:p>
      <w:pPr>
        <w:ind w:right="200" w:firstLine="1304"/>
        <w:spacing w:after="0" w:line="239"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PURCHASE AND SALE OF THE Purchased Royalty Interest</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Purchase and Sale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304"/>
        <w:spacing w:after="0" w:line="255" w:lineRule="auto"/>
        <w:tabs>
          <w:tab w:leader="none" w:pos="19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terms and subject to the conditions of this Agreement, at the Closing, the Seller shall sell, contribute, assign, transfer and convey to the Purchaser, and the Purchaser shall purchase, acquire and accept from the Seller, all of the Seller’s right, title and interest in and to the Purchased Royalty Interest, free and clear of any and all Liens, other than those Liens created in favor of the Purchaser by the Transaction Documents.</w:t>
      </w:r>
    </w:p>
    <w:p>
      <w:pPr>
        <w:spacing w:after="0" w:line="161" w:lineRule="exact"/>
        <w:rPr>
          <w:rFonts w:ascii="Times New Roman" w:cs="Times New Roman" w:eastAsia="Times New Roman" w:hAnsi="Times New Roman"/>
          <w:sz w:val="21"/>
          <w:szCs w:val="21"/>
          <w:color w:val="auto"/>
        </w:rPr>
      </w:pPr>
    </w:p>
    <w:p>
      <w:pPr>
        <w:ind w:firstLine="1304"/>
        <w:spacing w:after="0" w:line="243" w:lineRule="auto"/>
        <w:tabs>
          <w:tab w:leader="none" w:pos="19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of the parties hereto that the sale, transfer, assignment and conveyance contemplated by this Agreement be, and is, a true, complete, absolute and irrevocable sale, transfer, assignment and conveyance by the Seller to the Purchaser of all of the Seller’s right, title and interest in and to the Purchased Royalty Interest. Neither the Seller nor the Purchaser intends the transactions contemplated by this Agreement to be, or for any purpose characterized as, a loan from the Purchaser to the Seller or a pledge, a security interest, a financing transaction or a borrowing. Each of the Seller and the Purchaser hereby waives, to the maximum extent permitted by applicable Law, any right to contest or otherwise assert that this Agreement does not constitute a true, complete, absolute and irrevocable sale, transfer, assignment and conveyance by the Seller to the Purchaser of all of the Seller’s right, title and interest in and to the Purchased Royalty Interest under applicable Law, which waiver shall, to the maximum extent permitted by applicable Law, be enforceable against the Seller in any bankruptcy or insolvency proceeding relating to the Seller. Accordingly, the Seller shall treat the sale, transfer, assignment and conveyance of the Purchased Royalty Interest as a sale of an “account” or a “payment intangible” (as appropriate) in accordance with the UCC, and the Seller hereby authorizes the Purchaser to file financing statements (and continuation statements with respect to such financing statements when applicable) naming the Seller as the seller and the Purchaser as the buyer in respect of the Purchased Royalty Interest. Not in derogation of the foregoing statement of the intent of the parties hereto in this regard, and for the purposes of providing additional assurance to the Purchaser in the event that, despite the intent of the parties hereto, the sale, transfer, assignment and conveyance contemplated hereby is hereafter held not to be a sale, the Seller does hereby grant to the Purchaser, as security for the payment of amounts to the Purchaser equal to the Purchased Royalty Interest as it becomes due and payable, a security interest in and to all right, title and interest of the Seller, in, to and under the Purchased Royalty Interest and any “proceeds” (as such term is defined in the UCC) thereof, and the Seller does hereby authorize the Purchaser, from and after the Closing, to file such financing statements (and continuation statements with respect to such financing statements when applicable) in such manner and such jurisdictions as are necessary or appropriate to perfect such security interest.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The purchase price to be paid in full consideration for the sale,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contribution, assignment, transfer and conveyance of the Purchased Royalty Interest is the sum of (a)</w:t>
      </w:r>
    </w:p>
    <w:p>
      <w:pPr>
        <w:spacing w:after="0" w:line="230" w:lineRule="auto"/>
        <w:rPr>
          <w:sz w:val="20"/>
          <w:szCs w:val="20"/>
          <w:color w:val="auto"/>
        </w:rPr>
      </w:pPr>
      <w:r>
        <w:rPr>
          <w:rFonts w:ascii="Times New Roman" w:cs="Times New Roman" w:eastAsia="Times New Roman" w:hAnsi="Times New Roman"/>
          <w:sz w:val="22"/>
          <w:szCs w:val="22"/>
          <w:color w:val="auto"/>
        </w:rPr>
        <w:t>$175,000,000 (the “</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which the Purchaser shall pay to the Seller at the Closing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immediately available funds by wire transfer to the Seller Account, and (b) the Milestone Payments, to the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payments become due and payable in accordance with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28" w:right="1059" w:bottom="1440" w:gutter="0" w:footer="0" w:header="0"/>
        </w:sectPr>
      </w:pPr>
    </w:p>
    <w:bookmarkStart w:id="121" w:name="page122"/>
    <w:bookmarkEnd w:id="121"/>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No Assumed Obligations</w:t>
      </w:r>
      <w:r>
        <w:rPr>
          <w:rFonts w:ascii="Times New Roman" w:cs="Times New Roman" w:eastAsia="Times New Roman" w:hAnsi="Times New Roman"/>
          <w:sz w:val="22"/>
          <w:szCs w:val="22"/>
          <w:color w:val="auto"/>
        </w:rPr>
        <w:t>. Notwithstanding any provision in this Agreement or any other writing to the contrary, the Purchaser is purchasing, acquiring and accepting only the Purchased Royalty Interest and is not assuming any liability or obligation of the Seller or any of the Seller’s Affiliates of whatever nature, whether presently in existence or arising or asserted hereafter (including any liability or obligation of the Seller under the License Agreement). All such liabilities and obligations shall be retained by and remain liabilities and obligations of the Seller or the Seller’s Affiliates, as the case may be.</w:t>
      </w:r>
    </w:p>
    <w:p>
      <w:pPr>
        <w:spacing w:after="0" w:line="181"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The Purchaser does not, by purchase, acquisition or acceptance of the right, title or interest granted hereunder or otherwise pursuant to any of the Transaction Documents, purchase, acquire or accept any assets or contract rights of the Seller, including under the License Agreement, other than as specifically set forth herein in respect of the Purchased Royalty Interest.</w:t>
      </w:r>
    </w:p>
    <w:p>
      <w:pPr>
        <w:spacing w:after="0" w:line="180"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 Upon each Milestone Measurement Date, if the amount of the Purchased Royalty Interest received by the Purchaser in respect of Roche Net Sales during the applicable Milestone Measurement Period has met or exceeded an applicable Milestone Return Threshold (as set forth in the Royalty Report applicable to such Milestone Measurement Date and previously delivered Royalty Reports) and the Milestone Payment payable upon meeting or exceeding such Milestone Return Threshold has not previously been paid by the Purchaser to the Seller, the Purchaser shall pay such Milestone Payment to the Seller within</w:t>
      </w:r>
    </w:p>
    <w:p>
      <w:pPr>
        <w:spacing w:after="0" w:line="3" w:lineRule="exact"/>
        <w:rPr>
          <w:sz w:val="20"/>
          <w:szCs w:val="20"/>
          <w:color w:val="auto"/>
        </w:rPr>
      </w:pPr>
    </w:p>
    <w:p>
      <w:pPr>
        <w:ind w:right="200" w:firstLine="8"/>
        <w:spacing w:after="0" w:line="237" w:lineRule="auto"/>
        <w:tabs>
          <w:tab w:leader="none" w:pos="52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such Milestone Measurement Date in immediately available funds by wire transfer to the Seller Account.</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SELLER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Except as set forth on, or disclosed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the Seller hereby represents and warrants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 as of the date hereof as follows:</w:t>
      </w:r>
    </w:p>
    <w:p>
      <w:pPr>
        <w:spacing w:after="0" w:line="18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Existence; Organization</w:t>
      </w:r>
      <w:r>
        <w:rPr>
          <w:rFonts w:ascii="Times New Roman" w:cs="Times New Roman" w:eastAsia="Times New Roman" w:hAnsi="Times New Roman"/>
          <w:sz w:val="22"/>
          <w:szCs w:val="22"/>
          <w:color w:val="auto"/>
        </w:rPr>
        <w:t>. The Seller is a corporation duly organized, validly existing and in good standing under the Laws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8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Seller of the Transaction Documents and the consummation of the transactions contemplated thereby do not contravene or conflict with, or constitute a breach of or default under any provision of (a)the organizational documents of the Seller, (b) the License Agreement, (c) any Law or Judgment applicable to the Seller, or (d) any contract (other than the License Agreement) to which the Seller is a party or by which the Seller is bound, except, in the case of clauses (c) and (d), for such breaches or defaults that, individually or in the aggregate, would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122" w:name="page123"/>
    <w:bookmarkEnd w:id="122"/>
    <w:p>
      <w:pPr>
        <w:ind w:right="40"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Authorization; Enforceability</w:t>
      </w:r>
      <w:r>
        <w:rPr>
          <w:rFonts w:ascii="Times New Roman" w:cs="Times New Roman" w:eastAsia="Times New Roman" w:hAnsi="Times New Roman"/>
          <w:sz w:val="21"/>
          <w:szCs w:val="21"/>
          <w:color w:val="auto"/>
        </w:rPr>
        <w:t>. The Seller has all necessary corporate power and authority to execute and deliver, and perform its obligations under, the Transaction Documents and to consummate the transactions contemplated thereby. The execution and delivery of each of the Transaction Documents and the performance by the Seller of its obligations thereunder, and the consummation of the transactions contemplated thereby, have been duly authorized by the Seller. Each of the Transaction Documents has been duly executed and delivered by the Seller and constitutes the legal, valid and binding obligation of the Seller, enforceable against the Seller in accordance with its terms, except as may be limited by general principles of equity (regardless of whether considered in a proceeding at Law or in equity), by applicable bankruptcy, insolvency, reorganization, moratorium or similar Laws affecting creditors’ rights generally, and principles of public policy.</w:t>
      </w:r>
    </w:p>
    <w:p>
      <w:pPr>
        <w:spacing w:after="0" w:line="175"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The Seller has good, valid and marketable title to the Purchased Royalty Interest, free and clear of all Liens. Upon payment of the Closing Purchase Price by the Purchaser, the Purchaser will have acquired, subject to the terms and conditions set forth in this Agreement, good, valid and marketable title to the Purchased Royalty Interest, free and clear of all Liens (other than those contemplated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2.1(b)).</w:t>
      </w:r>
    </w:p>
    <w:p>
      <w:pPr>
        <w:spacing w:after="0" w:line="17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Governmental and Third Party Authorizations</w:t>
      </w:r>
      <w:r>
        <w:rPr>
          <w:rFonts w:ascii="Times New Roman" w:cs="Times New Roman" w:eastAsia="Times New Roman" w:hAnsi="Times New Roman"/>
          <w:sz w:val="22"/>
          <w:szCs w:val="22"/>
          <w:color w:val="auto"/>
        </w:rPr>
        <w:t xml:space="preserve">. The execution, delivery and performance by the Seller of the Transaction Documents, and the consummation of any of the transactions contemplated thereby, do not require any consent, approval, license, order, authorization or declaration from, notice to, action or registration by or filing with any Governmental Authority or any other Person, except for the (a) a Current Report on Form 8-K by the Seller with the U.S. Securities and Exchange Commission, (b) the UCC financing statements contemplated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2.1(b), (c) those previously obtained, including the Licensee Consent and (d) such consents, the failure of which to be obtained or made, would not reasonably be expected to have a Material Adverse Effect.</w:t>
      </w:r>
    </w:p>
    <w:p>
      <w:pPr>
        <w:spacing w:after="0" w:line="178"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action, suit, proceeding or investigation before any Governmental Authority, court or arbitrator is pending, or, to the Knowledge of the Seller, threatened, against the Seller that, individually or in the aggregate, would reasonably be expected to result in a Material Adverse Effect.</w:t>
      </w:r>
    </w:p>
    <w:p>
      <w:pPr>
        <w:spacing w:after="0" w:line="173" w:lineRule="exact"/>
        <w:rPr>
          <w:sz w:val="20"/>
          <w:szCs w:val="20"/>
          <w:color w:val="auto"/>
        </w:rPr>
      </w:pPr>
    </w:p>
    <w:p>
      <w:pPr>
        <w:ind w:right="4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No Brokers’ Fees</w:t>
      </w:r>
      <w:r>
        <w:rPr>
          <w:rFonts w:ascii="Times New Roman" w:cs="Times New Roman" w:eastAsia="Times New Roman" w:hAnsi="Times New Roman"/>
          <w:sz w:val="22"/>
          <w:szCs w:val="22"/>
          <w:color w:val="auto"/>
        </w:rPr>
        <w:t>. The Seller has not taken any action that would entitle any person or entity other than Cowen and Company, LLC to any commission or broker’s fee in connection with the transactions contemplated by this Agreement.</w:t>
      </w:r>
    </w:p>
    <w:p>
      <w:pPr>
        <w:spacing w:after="0" w:line="17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Seller (a) has not violated, nor is it in violation of, has not been given notice of any violation of, and, to the Knowledge of the Seller, is not under investigation with respect to nor has it been threatened to be charged with, any violation of, any applicable Law or any Judgment, permit or license granted, issued or entered by any Governmental Authority and (b) is not subject to any Judgment issued or entered by any Governmental Authority; in each case (a) and (b), that would reasonably be expected to have a Material Adverse Effect.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123" w:name="page124"/>
    <w:bookmarkEnd w:id="123"/>
    <w:p>
      <w:pPr>
        <w:ind w:left="-20" w:firstLine="1304"/>
        <w:spacing w:after="0" w:line="248" w:lineRule="auto"/>
        <w:tabs>
          <w:tab w:leader="none" w:pos="192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sets forth an accurate and complete list of all Patents within the Royalty Product BPM Patents, the Royalty Product Joint Patents and, to the Knowledge the Seller, Royalty Product Roche Patents, in each case existing as of the date hereof (such Patents listed on Exhibit G, the “</w:t>
      </w:r>
      <w:r>
        <w:rPr>
          <w:rFonts w:ascii="Times New Roman" w:cs="Times New Roman" w:eastAsia="Times New Roman" w:hAnsi="Times New Roman"/>
          <w:sz w:val="21"/>
          <w:szCs w:val="21"/>
          <w:u w:val="single" w:color="auto"/>
          <w:color w:val="auto"/>
        </w:rPr>
        <w:t>Listed Royalty Product Patents</w:t>
      </w:r>
      <w:r>
        <w:rPr>
          <w:rFonts w:ascii="Times New Roman" w:cs="Times New Roman" w:eastAsia="Times New Roman" w:hAnsi="Times New Roman"/>
          <w:sz w:val="21"/>
          <w:szCs w:val="21"/>
          <w:color w:val="auto"/>
        </w:rPr>
        <w:t xml:space="preserve">”), including for each such Patent the Seller has listed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(i) the jurisdiction in which such Patent is pending, allowed, granted or issued, (ii) the patent number or patent serial number and the issue or filing dates of such Patent, and (iii) the owner of such Patents that are Royalty Product BPM Patents or Royalty Product Joint Patents and, to the Knowledge of Seller, the owner of such Patents that are Royalty Product Roche Patents.</w:t>
      </w:r>
    </w:p>
    <w:p>
      <w:pPr>
        <w:spacing w:after="0" w:line="170" w:lineRule="exact"/>
        <w:rPr>
          <w:rFonts w:ascii="Times New Roman" w:cs="Times New Roman" w:eastAsia="Times New Roman" w:hAnsi="Times New Roman"/>
          <w:sz w:val="21"/>
          <w:szCs w:val="21"/>
          <w:color w:val="auto"/>
        </w:rPr>
      </w:pPr>
    </w:p>
    <w:p>
      <w:pPr>
        <w:ind w:left="-20" w:right="20" w:firstLine="1304"/>
        <w:spacing w:after="0" w:line="236" w:lineRule="auto"/>
        <w:tabs>
          <w:tab w:leader="none" w:pos="192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Seller is the sole owner of, and has the sole interest in, all of the Royalty Product BPM Patents contained in the Listed Royalty Product Patents. To the Knowledge of the Seller, Licensee is the sole owner of, and has the sole interest in, all of the Royalty Product Roche Patents. To the Knowledge of the Seller, the Seller and Licensee collectively are the sole owners of, and collectively have the sole interest in, the Royalty Product Joint Patents. The Seller is the sole owner of, and has the sole interest in, its undivided half interest in each of the Royalty Product Joint Patents.</w:t>
      </w:r>
    </w:p>
    <w:p>
      <w:pPr>
        <w:spacing w:after="0" w:line="181" w:lineRule="exact"/>
        <w:rPr>
          <w:rFonts w:ascii="Times New Roman" w:cs="Times New Roman" w:eastAsia="Times New Roman" w:hAnsi="Times New Roman"/>
          <w:sz w:val="22"/>
          <w:szCs w:val="22"/>
          <w:color w:val="auto"/>
        </w:rPr>
      </w:pPr>
    </w:p>
    <w:p>
      <w:pPr>
        <w:ind w:left="-20" w:right="140" w:firstLine="1304"/>
        <w:spacing w:after="0" w:line="244" w:lineRule="auto"/>
        <w:tabs>
          <w:tab w:leader="none" w:pos="192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required issuance, maintenance and renewal fees for the Royalty Product BPM Patents contained in the Listed Royalty Product Patents, and, to the Knowledge of the Seller, the Royalty Product Roche Patents and the Royalty Product Joint Patents contained in the Listed Royalty Product Patents, have been timely paid. To the Knowledge of the Seller, all issued Royalty Product Patents are enforceable and valid. No Royalty Product BPM Patents, and, to the Knowledge of the Seller, no Royalty Product Roche Patents and no Royalty Product Joint Patents, have lapsed or expired or been abandoned, terminated or cancelled, except for any such Patents abandoned pursuant to the exercise of reasonable judgment and in the ordinary course of business. Each individual associated with the filing and prosecution of the Royalty Product BPM Patents owned in whole by Seller, and to the Knowledge of Seller, each individual associated with the filing and prosecution of the Royalty Product BPM Patents owned in part by Seller, the Royalty Product Roche Patents and the Royalty Product Joint Patents, including, in each case, the named inventors of all such Royalty Product Patents, has complied in all material respects with all applicable duties of candor and good faith in dealing with any Patent Office, including any duty to disclose to any Patent Office all information known by such inventors to be material to the patentability of each Royalty Product Patent (including any relevant prior art), in each case, in those jurisdictions in the Roche Territory where such duties exist. To the Knowledge of the Seller, there is no Person who is or claims to be an inventor under any of the Royalty Product Roche Patents who is not a named inventor thereof.</w:t>
      </w:r>
    </w:p>
    <w:p>
      <w:pPr>
        <w:spacing w:after="0" w:line="175" w:lineRule="exact"/>
        <w:rPr>
          <w:rFonts w:ascii="Times New Roman" w:cs="Times New Roman" w:eastAsia="Times New Roman" w:hAnsi="Times New Roman"/>
          <w:sz w:val="21"/>
          <w:szCs w:val="21"/>
          <w:color w:val="auto"/>
        </w:rPr>
      </w:pPr>
    </w:p>
    <w:p>
      <w:pPr>
        <w:ind w:left="-20" w:right="60" w:firstLine="1304"/>
        <w:spacing w:after="0" w:line="235" w:lineRule="auto"/>
        <w:tabs>
          <w:tab w:leader="none" w:pos="192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There is no pending or, to the Knowledge of the Seller, threatened opposition, interference, reexamination,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post-grant review, injunction, claim, suit, action, citation, summon, subpoena, complaint, arbitration, mediation, demand, decree or other dispute, disagreement, proceeding or claim (each,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to which Seller is a party or, to the Knowledge of the Seller, to which Roche is a party, and (ii) to the Knowledge of the Seller, there is no pending or threatened hearing, inquiry or investigation (by the International Trade Commission or any other Governmental Authority) or any other Proceeding (collectively (i) and (ii),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(A) challenging the validity, enforceability, inventorship or ownership of any of the Royalty Product Patents or (B) that would reasonably be expected to give rise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28" w:right="999" w:bottom="1440" w:gutter="0" w:footer="0" w:header="0"/>
        </w:sectPr>
      </w:pPr>
    </w:p>
    <w:bookmarkStart w:id="124" w:name="page125"/>
    <w:bookmarkEnd w:id="124"/>
    <w:p>
      <w:pPr>
        <w:ind w:right="100"/>
        <w:spacing w:after="0" w:line="247" w:lineRule="auto"/>
        <w:rPr>
          <w:sz w:val="20"/>
          <w:szCs w:val="20"/>
          <w:color w:val="auto"/>
        </w:rPr>
      </w:pPr>
      <w:r>
        <w:rPr>
          <w:rFonts w:ascii="Times New Roman" w:cs="Times New Roman" w:eastAsia="Times New Roman" w:hAnsi="Times New Roman"/>
          <w:sz w:val="21"/>
          <w:szCs w:val="21"/>
          <w:color w:val="auto"/>
        </w:rPr>
        <w:t>Set-Off against the payments due to the Seller under the License Agreement with respect to the Royalty Product. The Seller has not received, nor delivered, any notice under Section 9.5 of the License Agreement with respect to any Royalty Product Patent. The Royalty Product Patents owned in whole or in part by the Seller, and, to the Knowledge of the Seller, the other Royalty Product Patents, are not subject to any outstanding injunction, Judgment, order, decree, ruling, settlement or other final disposition of a Dispute. The Seller with respect to the Royalty Product BPM Patents or the Royalty Product Joint Patents, and to the Knowledge of the Seller, Licensee with respect to the Royalty Product Roche Patents, has not received any written legal advice that alleges that any issued patent within such Royalty Product Patents is invalid or unenforceable.</w:t>
      </w:r>
    </w:p>
    <w:p>
      <w:pPr>
        <w:spacing w:after="0" w:line="172" w:lineRule="exact"/>
        <w:rPr>
          <w:sz w:val="20"/>
          <w:szCs w:val="20"/>
          <w:color w:val="auto"/>
        </w:rPr>
      </w:pPr>
    </w:p>
    <w:p>
      <w:pPr>
        <w:ind w:firstLine="1304"/>
        <w:spacing w:after="0" w:line="246" w:lineRule="auto"/>
        <w:tabs>
          <w:tab w:leader="none" w:pos="194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pending or, to the Knowledge of the Seller, threatened action, suit or proceeding that claims that the discovery, development, manufacture, use, marketing, sale, offer for sale, importation or distribution of the Royalty Product has infringed or misappropriated or will infringe or misappropriate any Patent or other intellectual property rights of any other Person (collectively, “Infringement Disputes”) to which the Seller is a party nor, to the Knowledge of the Seller, to which Roche is a party. The Seller has not received, during the</w:t>
      </w:r>
    </w:p>
    <w:p>
      <w:pPr>
        <w:spacing w:after="0" w:line="1" w:lineRule="exact"/>
        <w:rPr>
          <w:rFonts w:ascii="Times New Roman" w:cs="Times New Roman" w:eastAsia="Times New Roman" w:hAnsi="Times New Roman"/>
          <w:sz w:val="21"/>
          <w:szCs w:val="21"/>
          <w:color w:val="auto"/>
        </w:rPr>
      </w:pPr>
    </w:p>
    <w:p>
      <w:pPr>
        <w:ind w:right="1040" w:firstLine="8"/>
        <w:spacing w:after="0" w:line="237" w:lineRule="auto"/>
        <w:tabs>
          <w:tab w:leader="none" w:pos="52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prior to the date hereof, any written notice asserting or claiming any such infringement or misappropriation in respect of the Royalty Product.</w:t>
      </w:r>
    </w:p>
    <w:p>
      <w:pPr>
        <w:spacing w:after="0" w:line="178" w:lineRule="exact"/>
        <w:rPr>
          <w:rFonts w:ascii="Times New Roman" w:cs="Times New Roman" w:eastAsia="Times New Roman" w:hAnsi="Times New Roman"/>
          <w:sz w:val="22"/>
          <w:szCs w:val="22"/>
          <w:color w:val="auto"/>
        </w:rPr>
      </w:pPr>
    </w:p>
    <w:p>
      <w:pPr>
        <w:ind w:right="20" w:firstLine="1304"/>
        <w:spacing w:after="0" w:line="248" w:lineRule="auto"/>
        <w:tabs>
          <w:tab w:leader="none" w:pos="194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Seller, (i) the discovery and development of the Royalty Product did not and does not constitute and (ii) the manufacture, use, marketing, sale, offer for sale, importation or distribution of the Royalty Product in the Roche Territory has not and will not constitute, in the case of each of (i) and (ii), an infringement of any issued Patent or misappropriation of other intellectual property rights of any other Person. [***] neither the Seller nor, to the Knowledge of the Seller, Licensee, has in-licensed any Patents or other intellectual property rights of any other Person covering the manufacture, use, marketing, sale, offer for sale, importation or distribution of the Royalty Product, including pursuant to Section 7.7 of the License Agreement.</w:t>
      </w:r>
    </w:p>
    <w:p>
      <w:pPr>
        <w:spacing w:after="0" w:line="170" w:lineRule="exact"/>
        <w:rPr>
          <w:rFonts w:ascii="Times New Roman" w:cs="Times New Roman" w:eastAsia="Times New Roman" w:hAnsi="Times New Roman"/>
          <w:sz w:val="21"/>
          <w:szCs w:val="21"/>
          <w:color w:val="auto"/>
        </w:rPr>
      </w:pPr>
    </w:p>
    <w:p>
      <w:pPr>
        <w:ind w:right="280" w:firstLine="1304"/>
        <w:spacing w:after="0" w:line="258"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3.9(g), to the Knowledge of the Seller, no third party has infringed, or is infringing, any of the Royalty Product Patents.</w:t>
      </w:r>
    </w:p>
    <w:p>
      <w:pPr>
        <w:spacing w:after="0" w:line="158" w:lineRule="exact"/>
        <w:rPr>
          <w:rFonts w:ascii="Times New Roman" w:cs="Times New Roman" w:eastAsia="Times New Roman" w:hAnsi="Times New Roman"/>
          <w:sz w:val="22"/>
          <w:szCs w:val="22"/>
          <w:color w:val="auto"/>
        </w:rPr>
      </w:pPr>
    </w:p>
    <w:p>
      <w:pPr>
        <w:ind w:right="200" w:firstLine="1304"/>
        <w:spacing w:after="0" w:line="238"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Patents and other intellectual property rights licensed (or sublicensed or optioned, as the case may be) by Seller to Licensee under the License Agreement constitutes all of the Patents and other intellectual property rights owned by or licensed (with the right to sublicense) to the Seller or any of the Seller’s Affiliates that is necessary for the discovery, development, manufacture, use, marketing, sale, offer for sale, importation or distribution of the Royalty Product in the Roche Territory.</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8"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True, correct and complete copies of the License Agreement, and the Supply Agreement are attached hereto as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H-2</w:t>
      </w:r>
      <w:r>
        <w:rPr>
          <w:rFonts w:ascii="Times New Roman" w:cs="Times New Roman" w:eastAsia="Times New Roman" w:hAnsi="Times New Roman"/>
          <w:sz w:val="22"/>
          <w:szCs w:val="22"/>
          <w:color w:val="auto"/>
        </w:rPr>
        <w:t>, respectively. [***]</w:t>
      </w:r>
    </w:p>
    <w:p>
      <w:pPr>
        <w:spacing w:after="0" w:line="158" w:lineRule="exact"/>
        <w:rPr>
          <w:rFonts w:ascii="Times New Roman" w:cs="Times New Roman" w:eastAsia="Times New Roman" w:hAnsi="Times New Roman"/>
          <w:sz w:val="22"/>
          <w:szCs w:val="22"/>
          <w:color w:val="auto"/>
        </w:rPr>
      </w:pPr>
    </w:p>
    <w:p>
      <w:pPr>
        <w:ind w:right="240" w:firstLine="1304"/>
        <w:spacing w:after="0" w:line="244"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received any notice from the Licensee, nor has the Seller granted any consent, under Section‎ 7.3(a)(i) of the License Agreement. To the Knowledge of Seller, there are no licenses or sublicenses entered into by Licensee (or any predecessor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25" w:name="page126"/>
    <w:bookmarkEnd w:id="125"/>
    <w:p>
      <w:pPr>
        <w:ind w:right="100"/>
        <w:spacing w:after="0" w:line="258" w:lineRule="auto"/>
        <w:rPr>
          <w:sz w:val="20"/>
          <w:szCs w:val="20"/>
          <w:color w:val="auto"/>
        </w:rPr>
      </w:pPr>
      <w:r>
        <w:rPr>
          <w:rFonts w:ascii="Times New Roman" w:cs="Times New Roman" w:eastAsia="Times New Roman" w:hAnsi="Times New Roman"/>
          <w:sz w:val="22"/>
          <w:szCs w:val="22"/>
          <w:color w:val="auto"/>
        </w:rPr>
        <w:t>Affiliate thereof) or any other Person in respect of Licensee’s rights and obligations under the License Agreement related to the Roche Territory.</w:t>
      </w:r>
    </w:p>
    <w:p>
      <w:pPr>
        <w:spacing w:after="0" w:line="158" w:lineRule="exact"/>
        <w:rPr>
          <w:sz w:val="20"/>
          <w:szCs w:val="20"/>
          <w:color w:val="auto"/>
        </w:rPr>
      </w:pPr>
    </w:p>
    <w:p>
      <w:pPr>
        <w:ind w:firstLine="1304"/>
        <w:spacing w:after="0" w:line="234"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Agreement is in full force and effect and is the legal, valid and binding obligation of the Seller and Licensee, enforceable against the Seller and Licensee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The Seller has not received any written notice from Licensee challenging the validity or enforceability of the License Agreement or the obligation of Licensee to pay the Purchased Royalty Interest thereunder. Immediately following the consummation of the transactions contemplated by this Agreement, the License Agreement will continue to be legal, valid, binding, enforceable, and in full force and effect on the terms thereof except for as modified by the Licensee Consent and the Licensee Instruction.</w:t>
      </w:r>
    </w:p>
    <w:p>
      <w:pPr>
        <w:spacing w:after="0" w:line="179" w:lineRule="exact"/>
        <w:rPr>
          <w:rFonts w:ascii="Times New Roman" w:cs="Times New Roman" w:eastAsia="Times New Roman" w:hAnsi="Times New Roman"/>
          <w:sz w:val="22"/>
          <w:szCs w:val="22"/>
          <w:color w:val="auto"/>
        </w:rPr>
      </w:pPr>
    </w:p>
    <w:p>
      <w:pPr>
        <w:ind w:right="80" w:firstLine="1304"/>
        <w:spacing w:after="0" w:line="236"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Seller has not breached, violated or defaulted in any material respect, nor is it in breach or violation of or in default, in each case, in any material respect, under the License Agreement, and (ii) to the Knowledge of Seller, Licensee has not breached, violated or defaulted in any material respect, nor is it in breach or violation of or in default, in each case, in any material respect, under the License Agreement. To the Knowledge of the Seller, no event has occurred that, with notice or passage of time or both, would constitute such a material breach, violation or default.</w:t>
      </w:r>
    </w:p>
    <w:p>
      <w:pPr>
        <w:spacing w:after="0" w:line="181" w:lineRule="exact"/>
        <w:rPr>
          <w:rFonts w:ascii="Times New Roman" w:cs="Times New Roman" w:eastAsia="Times New Roman" w:hAnsi="Times New Roman"/>
          <w:sz w:val="22"/>
          <w:szCs w:val="22"/>
          <w:color w:val="auto"/>
        </w:rPr>
      </w:pPr>
    </w:p>
    <w:p>
      <w:pPr>
        <w:ind w:right="40" w:firstLine="1304"/>
        <w:spacing w:after="0" w:line="235"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 has not granted any waiver of or released Licensee, in whole or in part, from any of its material obligations under the License Agreement that relate to the Development and Commercialization of the Royalty Product in the Roche Territory or the Purchased Royalty Interest, and (ii) has not granted any waiver of, or released Licensee, in whole or in part, from any other of its obligations under the License Agreement except for such waivers and releases that would not reasonably be expected to have a Material Adverse Effect. The Seller has not received from Licensee any written proposal, and has not, other than pursuant to the Licensee Consent and drafts thereof exchanged between the Seller and Licensee, made any proposal to the Licensee, to amend or waive any provision of the License Agreement.</w:t>
      </w:r>
    </w:p>
    <w:p>
      <w:pPr>
        <w:spacing w:after="0" w:line="178" w:lineRule="exact"/>
        <w:rPr>
          <w:rFonts w:ascii="Times New Roman" w:cs="Times New Roman" w:eastAsia="Times New Roman" w:hAnsi="Times New Roman"/>
          <w:sz w:val="22"/>
          <w:szCs w:val="22"/>
          <w:color w:val="auto"/>
        </w:rPr>
      </w:pPr>
    </w:p>
    <w:p>
      <w:pPr>
        <w:ind w:right="40" w:firstLine="1304"/>
        <w:spacing w:after="0" w:line="247" w:lineRule="auto"/>
        <w:tabs>
          <w:tab w:leader="none" w:pos="19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Seller, no event has occurred that would give the Seller or Licensee the right to terminate the License Agreement or cease paying the Purchased Royalty Interest. The Seller has not received any written notice of an intention by Licensee to terminate or breach the License Agreement, in whole or in part, or challenging the validity or enforceability of the License Agreement or the obligation to pay the Purchased Royalty Interest thereunder, or that the Seller or Licensee is in default of its obligations under the License Agreement. The Seller has no intention of terminating the License Agreement and has not given Licensee any notice of termination of the License Agreement, in whole or in part. To the Knowledge of Seller, Licensee has not committed any default, violation or breach under or of the License Agreement.</w:t>
      </w:r>
    </w:p>
    <w:p>
      <w:pPr>
        <w:spacing w:after="0" w:line="171" w:lineRule="exact"/>
        <w:rPr>
          <w:rFonts w:ascii="Times New Roman" w:cs="Times New Roman" w:eastAsia="Times New Roman" w:hAnsi="Times New Roman"/>
          <w:sz w:val="21"/>
          <w:szCs w:val="21"/>
          <w:color w:val="auto"/>
        </w:rPr>
      </w:pPr>
    </w:p>
    <w:p>
      <w:pPr>
        <w:ind w:right="200" w:firstLine="1304"/>
        <w:spacing w:after="0" w:line="244"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consented to an assignment, delegation or other transfer by Licensee of its rights or obligations under the License Agreement, and the Seller does not have Knowledge of any such assignment, delegation or other transfer or of any grant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6" w:name="page127"/>
    <w:bookmarkEnd w:id="126"/>
    <w:p>
      <w:pPr>
        <w:ind w:right="40"/>
        <w:spacing w:after="0" w:line="255" w:lineRule="auto"/>
        <w:rPr>
          <w:sz w:val="20"/>
          <w:szCs w:val="20"/>
          <w:color w:val="auto"/>
        </w:rPr>
      </w:pPr>
      <w:r>
        <w:rPr>
          <w:rFonts w:ascii="Times New Roman" w:cs="Times New Roman" w:eastAsia="Times New Roman" w:hAnsi="Times New Roman"/>
          <w:sz w:val="21"/>
          <w:szCs w:val="21"/>
          <w:color w:val="auto"/>
        </w:rPr>
        <w:t>Liens upon any of such rights or obligations by Licensee. Except as contemplated by the Transaction Documents or as set forth on Schedule 3.10(g), the Seller has not assigned or in any other way transferred or granted any Liens upon all or any portion of its right, title and interest in the License Agreement, the BPM Technology, any Royalty Product Patents, or any of the Seller’s right, title or interest in and to the Purchased Royalty Interest.</w:t>
      </w:r>
    </w:p>
    <w:p>
      <w:pPr>
        <w:spacing w:after="0" w:line="162"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Seller nor Licensee has made any claim of indemnification under the License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960" w:hanging="656"/>
        <w:spacing w:after="0"/>
        <w:tabs>
          <w:tab w:leader="none" w:pos="19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has not exercised its rights to conduct an audit under Section 8.15 of the License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right="320" w:firstLine="1304"/>
        <w:spacing w:after="0" w:line="258"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the Seller has received all amounts owed to it under the License Agreement, to the extent such amounts have come due.</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known as GAVRETO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(pralsetinib) is a Licensed Product and a Lead Product.</w:t>
      </w:r>
    </w:p>
    <w:p>
      <w:pPr>
        <w:spacing w:after="0" w:line="217" w:lineRule="exact"/>
        <w:rPr>
          <w:rFonts w:ascii="Times New Roman" w:cs="Times New Roman" w:eastAsia="Times New Roman" w:hAnsi="Times New Roman"/>
          <w:sz w:val="21"/>
          <w:szCs w:val="21"/>
          <w:color w:val="auto"/>
        </w:rPr>
      </w:pPr>
    </w:p>
    <w:p>
      <w:pPr>
        <w:ind w:right="120" w:firstLine="1304"/>
        <w:spacing w:after="0" w:line="236"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Licensee has no right of Set-Off under the License Agreement against the Purchased Royalty Interest or any other amounts payable to the Seller under the License Agreement. Licensee has not exercised, and, to the Knowledge of the Seller, has not had the right to exercise, and, to the Knowledge of the Seller, no event or condition exists that, upon notice or passage of time or both, would reasonably be expected to permit Licensee to exercise, any Set-Off against the Purchased Royalty Interest or any other amounts payable to the Seller under the License Agreement.</w:t>
      </w:r>
    </w:p>
    <w:p>
      <w:pPr>
        <w:spacing w:after="0" w:line="181" w:lineRule="exact"/>
        <w:rPr>
          <w:rFonts w:ascii="Times New Roman" w:cs="Times New Roman" w:eastAsia="Times New Roman" w:hAnsi="Times New Roman"/>
          <w:sz w:val="22"/>
          <w:szCs w:val="22"/>
          <w:color w:val="auto"/>
        </w:rPr>
      </w:pPr>
    </w:p>
    <w:p>
      <w:pPr>
        <w:ind w:right="200" w:firstLine="1304"/>
        <w:spacing w:after="0" w:line="244"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received any written notice from, or given any written notice to, Licensee with respect to any infringement or defense of intellectual property pursuant to Section 9.4(a), Section 9.5 or Section 9.6 of the License Agreement.</w:t>
      </w:r>
    </w:p>
    <w:p>
      <w:pPr>
        <w:spacing w:after="0" w:line="173"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UCC Matters</w:t>
      </w:r>
      <w:r>
        <w:rPr>
          <w:rFonts w:ascii="Times New Roman" w:cs="Times New Roman" w:eastAsia="Times New Roman" w:hAnsi="Times New Roman"/>
          <w:sz w:val="21"/>
          <w:szCs w:val="21"/>
          <w:color w:val="auto"/>
        </w:rPr>
        <w:t>. The Seller’s exact legal name is, and for the preceding ten (10) years has been, “Blueprint Medicines Corporation”. The Seller’s principal place of business is, and for the preceding ten</w:t>
      </w:r>
    </w:p>
    <w:p>
      <w:pPr>
        <w:spacing w:after="0" w:line="1" w:lineRule="exact"/>
        <w:rPr>
          <w:sz w:val="20"/>
          <w:szCs w:val="20"/>
          <w:color w:val="auto"/>
        </w:rPr>
      </w:pPr>
    </w:p>
    <w:p>
      <w:pPr>
        <w:ind w:right="80" w:firstLine="8"/>
        <w:spacing w:after="0" w:line="237" w:lineRule="auto"/>
        <w:tabs>
          <w:tab w:leader="none" w:pos="41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has been, located in the Commonwealth of Massachusetts. The Seller’s jurisdiction of organization is, and for the preceding ten (10) years has been, the State of Delaware.</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PURCHASER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Purchaser hereby represents and warrants to the Seller as of the date hereof as follows:</w:t>
      </w:r>
    </w:p>
    <w:p>
      <w:pPr>
        <w:spacing w:after="0" w:line="206"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Purchaser is an Irish collective asset-management vehicle duly organized, validly existing and in good standing under the Laws of Ireland. The Purchaser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28" w:right="1059" w:bottom="1440" w:gutter="0" w:footer="0" w:header="0"/>
        </w:sectPr>
      </w:pPr>
    </w:p>
    <w:bookmarkStart w:id="127" w:name="page128"/>
    <w:bookmarkEnd w:id="127"/>
    <w:p>
      <w:pPr>
        <w:ind w:right="100"/>
        <w:spacing w:after="0" w:line="258" w:lineRule="auto"/>
        <w:rPr>
          <w:sz w:val="20"/>
          <w:szCs w:val="20"/>
          <w:color w:val="auto"/>
        </w:rPr>
      </w:pPr>
      <w:r>
        <w:rPr>
          <w:rFonts w:ascii="Times New Roman" w:cs="Times New Roman" w:eastAsia="Times New Roman" w:hAnsi="Times New Roman"/>
          <w:sz w:val="22"/>
          <w:szCs w:val="22"/>
          <w:color w:val="auto"/>
        </w:rPr>
        <w:t>has not and would not reasonably be expected to have, either individually or in the aggregate, a Material Adverse Effect.</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Purchaser of the Transaction Documents to which the Purchaser is party and the consummation of the transactions contemplated thereby do not contravene or conflict with, or (a) constitute a breach of or default under any provision of the organizational documents of the Purchaser, or (b) constitute a material breach of or material default under any provision of (i) any Law or Judgment applicable to the Purchaser, or (ii) any contract to which the Purchaser is a party or by which the Purchaser is bound.</w:t>
      </w:r>
    </w:p>
    <w:p>
      <w:pPr>
        <w:spacing w:after="0" w:line="18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The Purchaser has all powers and authority to execute and deliver, and perform its obligations under, the Transaction Documents to which it is party and to consummate the transactions contemplated hereby and thereby. The execution and delivery of each of the Transaction Documents to which the Purchaser is party and the performance by the Purchaser of its obligations hereunder and thereunder have been duly authorized by the Purchaser. Each of the Transaction Documents to which the Purchaser is party has been duly executed and delivered by the Purchaser. Each of the Transaction Documents to which the Purchaser is party constitutes the legal, valid and binding obligation of the Purchaser, enforceable against the Purchaser in accordance with its respective terms, subject to applicable bankruptcy, insolvency, reorganization, moratorium or similar applicable Laws affecting creditors’ rights generally, general equitable principles (regardless of whether considered in a proceeding at Law or in equity) and principles of public policy.</w:t>
      </w:r>
    </w:p>
    <w:p>
      <w:pPr>
        <w:spacing w:after="0" w:line="171"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Governmental and Third Party Authorizations</w:t>
      </w:r>
      <w:r>
        <w:rPr>
          <w:rFonts w:ascii="Times New Roman" w:cs="Times New Roman" w:eastAsia="Times New Roman" w:hAnsi="Times New Roman"/>
          <w:sz w:val="22"/>
          <w:szCs w:val="22"/>
          <w:color w:val="auto"/>
        </w:rPr>
        <w:t>. The execution and delivery by the Purchaser of the Transaction Documents to which the Purchaser is party, the performance by the Purchaser of its obligations hereunder and thereunder and the consummation of any of the transactions contemplated hereunder and thereunder do not require any consent, approval, license, order, authorization or declaration from, notice to, action or registration by or filing with any Governmental Authority or any other Person, except as described in ‎Section 3.5.</w:t>
      </w:r>
    </w:p>
    <w:p>
      <w:pPr>
        <w:spacing w:after="0" w:line="181"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action, suit, proceeding or investigation before any Governmental Authority, court or arbitrator is pending, or, to the knowledge of the Purchaser, threatened, to which the Purchaser is a party that, individually or in the aggregate, would reasonably be expected to result in a material adverse effect on the rights or remedies of the Seller under any of the Transaction Documents.</w:t>
      </w:r>
    </w:p>
    <w:p>
      <w:pPr>
        <w:spacing w:after="0" w:line="180"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The Purchaser acknowledges that it has reviewed the License Agreement and such other documents and information relating to, and has had the opportunity to ask such questions of, and to receive answers from, representatives of the Seller concerning, the Royalty Product, the BPM Technology, the License Agreement, the Purchased Royalty Interest, and any other matter relating thereto, in each case, as it deemed necessary to make an informed decision to purchase, acquire and accept the Purchased Royalty Interest in accordance with the terms of this Agreement. Except as specifically set forth in this Article‎ IV and the Disclosure Schedules, the Purchaser acknowledges and agrees that the Seller makes no representation nor extends any warranty, whether express or implied, with respect to the Royalty Product, the BPM Technology, the License Agreement, the Purchased Royalty Interest,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28" w:name="page129"/>
    <w:bookmarkEnd w:id="128"/>
    <w:p>
      <w:pPr>
        <w:ind w:right="80"/>
        <w:spacing w:after="0" w:line="239" w:lineRule="auto"/>
        <w:rPr>
          <w:sz w:val="20"/>
          <w:szCs w:val="20"/>
          <w:color w:val="auto"/>
        </w:rPr>
      </w:pPr>
      <w:r>
        <w:rPr>
          <w:rFonts w:ascii="Times New Roman" w:cs="Times New Roman" w:eastAsia="Times New Roman" w:hAnsi="Times New Roman"/>
          <w:sz w:val="22"/>
          <w:szCs w:val="22"/>
          <w:color w:val="auto"/>
        </w:rPr>
        <w:t>Roche Net Sales of the Royalty Product or any other matter relating thereto. The Purchaser has such knowledge, sophistication and experience in financial and business matters that it is capable of evaluating the risks and merits of purchasing, acquiring and accepting the Purchased Royalty Interest in accordance with the terms of this Agreement.</w:t>
      </w:r>
    </w:p>
    <w:p>
      <w:pPr>
        <w:spacing w:after="0" w:line="180"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Funds Available</w:t>
      </w:r>
      <w:r>
        <w:rPr>
          <w:rFonts w:ascii="Times New Roman" w:cs="Times New Roman" w:eastAsia="Times New Roman" w:hAnsi="Times New Roman"/>
          <w:sz w:val="22"/>
          <w:szCs w:val="22"/>
          <w:color w:val="auto"/>
        </w:rPr>
        <w:t xml:space="preserve">. The Purchaser has sufficient cash on hand to satisfy its obligation to pay the Closing Purchase Price at the Closing and its obligation to pay each Milestone Payment, if and as each Milestone Payment becomes payable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2.5. The Purchaser acknowledges and agrees that its obligations under this Agreement are not contingent on obtaining financing.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182"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Except (a) for a press release previously approved in form and substance by the Seller and the Purchaser or any other public announcement using substantially the same text as such press release and (b) any disclosure required by applicable Law, by the rules and regulations of any securities exchange or market on which any security of such party hereto may be listed or traded or by any Governmental Authority of competent jurisdiction, neither the Purchaser nor the Seller shall, and each party hereto shall cause its Affiliates not to, without the prior written consent of the other party hereto (which consent shall not be unreasonably withheld, delayed or conditioned), issue any press release or make any other public disclosure with respect to this Agreement or any of the other Transaction Documents or any of the transactions contemplated hereby or thereby. The Purchaser acknowledges that it will be necessary for the Seller to file this Agreement with the SEC and to make other public disclosures regarding the terms of this Agreement and payments made under this Agreement in its reports filed with the SEC, and the Seller agrees that it will provide the Purchaser a reasonable opportunity to review and comment on any proposed redactions to the copy of this Agreement to be filed with the SEC, as well as on such other public disclosures made by Seller relating to the Purchaser or this Agreement or the transactions contemplated thereby (e.g., press releases or Current Report on Form 8-K), provided that the Seller shall not be required to provide the Purchaser the opportunity to review and comment on any disclosure substantively identical to any disclosure previously reviewed and commented upon by the Purchaser.</w:t>
      </w:r>
    </w:p>
    <w:p>
      <w:pPr>
        <w:spacing w:after="0" w:line="19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Subject to the terms and conditions of this Agreement, each party hereto shall execute and deliver such other documents, certificates, instruments, agreements and other writings, take such other actions and perform such additional acts under applicable Law as may be reasonably requested by the other party hereto and necessary to implement expeditiously the transactions contemplated by, and to carry out the purposes and intent of the provisions of, this Agreement and the other Transaction Documents, including to (i) perfect the sale, contribution, assignment, transfer, conveyance and granting of the Purchased Royalty Interest to the Purchaser pursuant to this Agreement, (ii) perfect, protect, more fully evidence, vest and maintain in the Purchaser good, valid and marketable rights and interests in and to the Purchased Royalty Interest free and clear of all Liens (other than those Liens created in favor of the Purchaser by the Transaction Documents) and (iii) create, evidence and perfect the Purchaser’s back-up security interest granted pursuant to Section‎ 2.1(b).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29" w:name="page130"/>
    <w:bookmarkEnd w:id="129"/>
    <w:p>
      <w:pPr>
        <w:ind w:left="652"/>
        <w:spacing w:after="0"/>
        <w:tabs>
          <w:tab w:leader="none" w:pos="1931"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Royalty Reports; Notices and Communications from Licensee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52" w:hanging="656"/>
        <w:spacing w:after="0"/>
        <w:tabs>
          <w:tab w:leader="none" w:pos="195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 following the receipt by the Seller from the Licensee of</w:t>
      </w:r>
    </w:p>
    <w:p>
      <w:pPr>
        <w:spacing w:after="0" w:line="14" w:lineRule="exact"/>
        <w:rPr>
          <w:rFonts w:ascii="Times New Roman" w:cs="Times New Roman" w:eastAsia="Times New Roman" w:hAnsi="Times New Roman"/>
          <w:sz w:val="22"/>
          <w:szCs w:val="22"/>
          <w:color w:val="auto"/>
        </w:rPr>
      </w:pPr>
    </w:p>
    <w:p>
      <w:pPr>
        <w:ind w:left="-8" w:right="20" w:firstLine="8"/>
        <w:spacing w:after="0" w:line="231" w:lineRule="auto"/>
        <w:tabs>
          <w:tab w:leader="none" w:pos="28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Royalty Report or (b) any material written notice delivered under the License Agreement that relates to the Purchased Royalty Interest or the Royalty Product in the Roche Territory or that relates to matters that would reasonably be expected (with or without the giving of notice or passage of time, or both) to have a Material Adverse Effect, the Seller shall deliver a true, correct and complete copy of the same to the Purchaser, provided, in the case of each of (a) and (b), that the Seller may redact any information that does not relate to the Purchased Royalty Interest and the Royalty Product in the Roche Territory and would not reasonably be expected (with or without the giving of notice or passage of time, or both) to have a Material Adverse Effect. Except for the Licensee Instruction, the Seller shall not deliver any notice or material written correspondence to the Licensee except as Mutually Agreed. The Seller shall, promptly (and in any event [***]) following the delivery thereof by the Seller to the Licensee, furnish a copy of any material written notice or material written correspondence sent by the Seller to the Licensee relating to the Purchased Royalty Interest, provided that the Seller may redact any information that is not related to the Purchased Royalty Interest and the Royalty Product in the Roche Territory and would not reasonably be expected (with or without the giving of notice or passage of time, or both) to have a Material Adverse Effect.</w:t>
      </w:r>
    </w:p>
    <w:p>
      <w:pPr>
        <w:spacing w:after="0" w:line="18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52"/>
        <w:spacing w:after="0"/>
        <w:tabs>
          <w:tab w:leader="none" w:pos="1931"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Misdirected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 w:firstLine="1304"/>
        <w:spacing w:after="0" w:line="235" w:lineRule="auto"/>
        <w:tabs>
          <w:tab w:leader="none" w:pos="19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the Licensee Instruction, commencing upon the Closing and at all times thereafter during the term of this Agreement, if any portion of the Purchased Royalty Interest is paid to the Seller, then (i) the Seller shall hold such amount in trust for the benefit of the Purchaser in a segregated account, (ii) the Seller shall have no right, title or interest whatsoever in such amount and shall not create or suffer to exist any Lien thereon and (iii) the Seller promptly, and in any event [***] following the receipt by the Seller of such amount, shall remit such amount to the Purchaser Account. The Seller shall notify the Purchaser of such wire transfer and provide reasonable details regarding the Purchased Royalty Interest payment so received by the Seller.</w:t>
      </w:r>
    </w:p>
    <w:p>
      <w:pPr>
        <w:spacing w:after="0" w:line="178" w:lineRule="exact"/>
        <w:rPr>
          <w:rFonts w:ascii="Times New Roman" w:cs="Times New Roman" w:eastAsia="Times New Roman" w:hAnsi="Times New Roman"/>
          <w:sz w:val="22"/>
          <w:szCs w:val="22"/>
          <w:color w:val="auto"/>
        </w:rPr>
      </w:pPr>
    </w:p>
    <w:p>
      <w:pPr>
        <w:ind w:left="-8" w:right="180" w:firstLine="1304"/>
        <w:spacing w:after="0" w:line="246" w:lineRule="auto"/>
        <w:tabs>
          <w:tab w:leader="none" w:pos="193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terms of the Licensee Instruction, commencing upon the Closing and at all time thereafter, if any amount due under the License Agreement that does not constitute the Purchased Royalty Interest is paid to the Purchaser, then (i) the Purchaser shall hold such amount in trust for the benefit of the Seller in a segregated account, (ii) the Purchaser shall have no right, title or interest whatsoever in such amount and shall not create or suffer to exist any Lien thereon and (iii) the Purchaser promptly, and in any event</w:t>
      </w:r>
    </w:p>
    <w:p>
      <w:pPr>
        <w:spacing w:after="0" w:line="1" w:lineRule="exact"/>
        <w:rPr>
          <w:rFonts w:ascii="Times New Roman" w:cs="Times New Roman" w:eastAsia="Times New Roman" w:hAnsi="Times New Roman"/>
          <w:sz w:val="21"/>
          <w:szCs w:val="21"/>
          <w:color w:val="auto"/>
        </w:rPr>
      </w:pPr>
    </w:p>
    <w:p>
      <w:pPr>
        <w:ind w:left="-8" w:right="140" w:firstLine="8"/>
        <w:spacing w:after="0" w:line="235" w:lineRule="auto"/>
        <w:tabs>
          <w:tab w:leader="none" w:pos="51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receipt by the Purchaser of such amount, shall remit such amount to the Seller Account. The Purchaser shall notify the Seller of such wire transfer and provide reasonable details regarding the erroneous payment so received by the Purchaser.</w:t>
      </w:r>
    </w:p>
    <w:p>
      <w:pPr>
        <w:spacing w:after="0" w:line="177" w:lineRule="exact"/>
        <w:rPr>
          <w:rFonts w:ascii="Times New Roman" w:cs="Times New Roman" w:eastAsia="Times New Roman" w:hAnsi="Times New Roman"/>
          <w:sz w:val="22"/>
          <w:szCs w:val="22"/>
          <w:color w:val="auto"/>
        </w:rPr>
      </w:pPr>
    </w:p>
    <w:p>
      <w:pPr>
        <w:ind w:left="-8" w:firstLine="1304"/>
        <w:spacing w:after="0" w:line="244" w:lineRule="auto"/>
        <w:tabs>
          <w:tab w:leader="none" w:pos="193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Purchased Royalty Interest paid for any period commencing on [***] is reduced (other than as a result of a Permitted Reduction) by Licensee in a manner permitted by the License Agreement due to an overestimate by Licensee of Roche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328" w:right="1019" w:bottom="1440" w:gutter="0" w:footer="0" w:header="0"/>
        </w:sectPr>
      </w:pPr>
    </w:p>
    <w:bookmarkStart w:id="130" w:name="page131"/>
    <w:bookmarkEnd w:id="130"/>
    <w:p>
      <w:pPr>
        <w:ind w:right="280"/>
        <w:spacing w:after="0" w:line="239" w:lineRule="auto"/>
        <w:rPr>
          <w:sz w:val="20"/>
          <w:szCs w:val="20"/>
          <w:color w:val="auto"/>
        </w:rPr>
      </w:pPr>
      <w:r>
        <w:rPr>
          <w:rFonts w:ascii="Times New Roman" w:cs="Times New Roman" w:eastAsia="Times New Roman" w:hAnsi="Times New Roman"/>
          <w:sz w:val="22"/>
          <w:szCs w:val="22"/>
          <w:color w:val="auto"/>
        </w:rPr>
        <w:t>[***], then the Seller shall promptly pay the Purchaser the Shortfall Amount. If the Purchased Royalty Interest paid for any period [***] is increased by Licensee in a manner permitted by the License Agreement due to an underestimate by Licensee of Roche Net Sales for any period [***], then the Purchaser shall promptly pay the Seller the Excess Amount.</w:t>
      </w:r>
    </w:p>
    <w:p>
      <w:pPr>
        <w:spacing w:after="0" w:line="180" w:lineRule="exact"/>
        <w:rPr>
          <w:sz w:val="20"/>
          <w:szCs w:val="20"/>
          <w:color w:val="auto"/>
        </w:rPr>
      </w:pPr>
    </w:p>
    <w:p>
      <w:pPr>
        <w:ind w:left="1960" w:hanging="656"/>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late fee of [***] shall accrue on all unpaid amounts on an annualized basis with respect</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sum payable under Section‎ 5.4(a) or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5.4(b) beginning [***] after Seller, in the case of Section</w:t>
      </w:r>
      <w:r>
        <w:rPr>
          <w:rFonts w:ascii="Times New Roman" w:cs="Times New Roman" w:eastAsia="Times New Roman" w:hAnsi="Times New Roman"/>
          <w:sz w:val="22"/>
          <w:szCs w:val="22"/>
          <w:b w:val="1"/>
          <w:bCs w:val="1"/>
          <w:color w:val="auto"/>
        </w:rPr>
        <w: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5.4(a), or Purchaser, in the case of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5.4(b), receives such erroneous payment.</w:t>
      </w:r>
    </w:p>
    <w:p>
      <w:pPr>
        <w:spacing w:after="0" w:line="18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Royalty Set-Offs</w:t>
      </w:r>
      <w:r>
        <w:rPr>
          <w:rFonts w:ascii="Times New Roman" w:cs="Times New Roman" w:eastAsia="Times New Roman" w:hAnsi="Times New Roman"/>
          <w:sz w:val="22"/>
          <w:szCs w:val="22"/>
          <w:color w:val="auto"/>
        </w:rPr>
        <w:t xml:space="preserve">. If Licensee exercises any Set-Off against any payment of the Purchased Royalty Interest (including any Set-Off exercised against any payment of the Purchased Royalty Interest (a) [***], such Set-Off shall not reduce any payment of the Purchased Royalty Interest otherwise payable to the Purchaser, and if such Set-Off reduces any payment of the Purchased Royalty Interest to less than the full amount of the Purchased Royalty Interest, then Seller shall promptly (and in any event [***] following the payment of the Purchased Royalty Interest affected by such Set-Off) make a true-up payment to the Purchaser such that the Purchaser receives the full amount of such Purchased Royalty Interest payments that would have been payable to the Purchaser had such Set-Off not occurred. For all purposes hereunder, any true-up payment made pursuant to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5.5 will be treated as paid with respect to the Purchased Royalty Interest for U.S. federal income tax purposes to the fullest extent permitted by applicable Law. For the avoidance of doubt, this Section 5.5 shall not apply to any deduction or withholding of taxes from payments of the Purchased Royalty Interest, which shall be governed exclusively by Section 5.12.</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Maintenance of License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304"/>
        <w:spacing w:after="0" w:line="243" w:lineRule="auto"/>
        <w:tabs>
          <w:tab w:leader="none" w:pos="194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perform and comply with its material obligations under the License Agreement and shall not take any action or forego any action that would reasonably be expected to constitute a material breach of or default under any provision of the License Agreement related to the Purchased Royalty Interest, related to the Commercialization of the Royalty Product in the Roche Territory, or the breach of which or default under would reasonably be expected (with or without the giving of notice or passage of time, or both) to result in a Material Adverse Effect. The Seller shall not forgive, release or compromise any portion of the Purchased Royalty Interest payable under the License Agreement. The Seller shall not, except as Mutually Agreed, amend, modify, supplement, restate, waive, cancel or terminate (or consent to any amendment, modification, supplement, restatement, waiver, cancellation or termination of), in whole or in part, any provision of or right under the License Agreement. The Seller shall not assign or otherwise transfer, in whole or in part, the License Agreement or any provision thereof or right thereunder without the consent of the Purchaser, except for</w:t>
      </w:r>
    </w:p>
    <w:p>
      <w:pPr>
        <w:spacing w:after="0" w:line="7" w:lineRule="exact"/>
        <w:rPr>
          <w:rFonts w:ascii="Times New Roman" w:cs="Times New Roman" w:eastAsia="Times New Roman" w:hAnsi="Times New Roman"/>
          <w:sz w:val="21"/>
          <w:szCs w:val="21"/>
          <w:color w:val="auto"/>
        </w:rPr>
      </w:pPr>
    </w:p>
    <w:p>
      <w:pPr>
        <w:ind w:left="260" w:hanging="252"/>
        <w:spacing w:after="0" w:line="230" w:lineRule="auto"/>
        <w:tabs>
          <w:tab w:leader="none" w:pos="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that is made in connection with an assignment of this Agreement in accordance with Section‎</w:t>
      </w:r>
    </w:p>
    <w:p>
      <w:pPr>
        <w:ind w:right="8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10.3 and (ii) any assignment, in whole or in part, of the Co-Commercialization Arrangement that would not reasonably be expected (with or without the giving of notice or passage of time, or both) to have a Material Adverse Effect. Subject to the foregoing, promptly, and in any event [***], following receipt by the Seller of any final assignment, amendment, modification, supplement, restatement, waiver, cancellation or termination of the License Agreement, the Seller shall furnish a copy of the same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31" w:name="page132"/>
    <w:bookmarkEnd w:id="131"/>
    <w:p>
      <w:pPr>
        <w:ind w:right="40" w:firstLine="1304"/>
        <w:spacing w:after="0" w:line="236" w:lineRule="auto"/>
        <w:tabs>
          <w:tab w:leader="none" w:pos="194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Seller shall not, (i) without the consent of the Purchaser, exercise any right to terminate, agree with Licensee to terminate, or take or permit any Affiliate or sublicensee to take any action that would reasonably be expected to give Licensee the right to terminate, the License Agreement in its entirety, or (ii) except as Mutually Agreed, exercise any right to terminate, agree with Licensee to terminate, or take or permit any Affiliate or sublicensee to take any action that would reasonably be expected to give Licensee the right to terminate, the License Agreement in part.</w:t>
      </w:r>
    </w:p>
    <w:p>
      <w:pPr>
        <w:spacing w:after="0" w:line="181" w:lineRule="exact"/>
        <w:rPr>
          <w:rFonts w:ascii="Times New Roman" w:cs="Times New Roman" w:eastAsia="Times New Roman" w:hAnsi="Times New Roman"/>
          <w:sz w:val="22"/>
          <w:szCs w:val="22"/>
          <w:color w:val="auto"/>
        </w:rPr>
      </w:pPr>
    </w:p>
    <w:p>
      <w:pPr>
        <w:ind w:right="60" w:firstLine="1304"/>
        <w:spacing w:after="0" w:line="247" w:lineRule="auto"/>
        <w:tabs>
          <w:tab w:leader="none" w:pos="194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not, without the prior written consent of the Purchaser, grant or withhold any consent, exercise or waive any right or option or fail to exercise any right or option in respect of, affecting or relating to the Royalty Product in the Roche Territory or the License Agreement if doing so would (i) reasonably be expected (with or without the giving of notice or passage of time, or both) to have a Material Adverse Effect or</w:t>
      </w:r>
    </w:p>
    <w:p>
      <w:pPr>
        <w:spacing w:after="0" w:line="1" w:lineRule="exact"/>
        <w:rPr>
          <w:rFonts w:ascii="Times New Roman" w:cs="Times New Roman" w:eastAsia="Times New Roman" w:hAnsi="Times New Roman"/>
          <w:sz w:val="21"/>
          <w:szCs w:val="21"/>
          <w:color w:val="auto"/>
        </w:rPr>
      </w:pPr>
    </w:p>
    <w:p>
      <w:pPr>
        <w:ind w:right="320" w:firstLine="8"/>
        <w:spacing w:after="0" w:line="233" w:lineRule="auto"/>
        <w:tabs>
          <w:tab w:leader="none" w:pos="3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 termination, material breach or material default under the License Agreement. The Seller shall not, without the prior written consent of the Purchaser, (A) forgive, release or compromise any amount owed to or becoming owed to the Seller under the License Agreement in respect of the Purchased Royalty Interest or (B) grant or withhold any consent, exercise or waive any right or option or fail to exercise any right or option in respect of, affecting or relating to the Purchased Royalty Interest.</w:t>
      </w:r>
    </w:p>
    <w:p>
      <w:pPr>
        <w:spacing w:after="0" w:line="179" w:lineRule="exact"/>
        <w:rPr>
          <w:rFonts w:ascii="Times New Roman" w:cs="Times New Roman" w:eastAsia="Times New Roman" w:hAnsi="Times New Roman"/>
          <w:sz w:val="22"/>
          <w:szCs w:val="22"/>
          <w:color w:val="auto"/>
        </w:rPr>
      </w:pPr>
    </w:p>
    <w:p>
      <w:pPr>
        <w:ind w:left="1300" w:firstLine="652"/>
        <w:spacing w:after="0" w:line="233" w:lineRule="auto"/>
        <w:tabs>
          <w:tab w:leader="none" w:pos="2596"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(i) receiving notice from Licensee (A) terminating the License Agreement (in whole or in part, except with respect to a termination of solely the Co-Commercialization Arrangement) or (B) alleging (1) any breach of or default under the License Agreement relating to the Purchased Royalty Interest or (2) any other material breach of or default under the License Agreement or (ii) the Seller gaining Knowledge of any fact, circumstance or event that would reasonably be expected to give rise to (1) a breach of or default under the License Agreement relating to the Purchased Royalty Interest or (2) any other breach of or default under the License Agreement that would permit Licensee to terminate the License Agreement (in whole or in part, except with respect to a termination of solely the Co-Commercialization Arrangement), the Seller shall give written notice thereof to the Purchaser. Such notice shall (x) describe in reasonable detail such breach, default or termination event, (y) include a copy of any written notice received from Licensee, and (z) in the case of any such breach or default or alleged breach or default by the Seller, describe in reasonable detail any corrective action the Seller proposes to take in respect of such breach or default.</w:t>
      </w:r>
    </w:p>
    <w:p>
      <w:pPr>
        <w:spacing w:after="0" w:line="179" w:lineRule="exact"/>
        <w:rPr>
          <w:rFonts w:ascii="Times New Roman" w:cs="Times New Roman" w:eastAsia="Times New Roman" w:hAnsi="Times New Roman"/>
          <w:sz w:val="22"/>
          <w:szCs w:val="22"/>
          <w:color w:val="auto"/>
        </w:rPr>
      </w:pPr>
    </w:p>
    <w:p>
      <w:pPr>
        <w:ind w:left="1300" w:right="140" w:firstLine="652"/>
        <w:spacing w:after="0" w:line="235" w:lineRule="auto"/>
        <w:tabs>
          <w:tab w:leader="none" w:pos="2596"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use its commercially reasonable efforts to promptly cure any such breach or default by it under the License Agreement (in such manner as may be Mutually Agreed) and, in any case, shall give written notice to the Purchaser upon curing such breach or default. In connection with any dispute regarding an alleged breach or default that is solely related to the Purchased Royalty Interest or would reasonably be expected (with or without the giving of notice or passage of time, or both) to have a Material Adverse Effect, the Seller shall employ such counsel, reasonably acceptable to the Seller, as the Purchaser may select. The Seller shall pay the costs and expenses associated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2" w:name="page133"/>
    <w:bookmarkEnd w:id="132"/>
    <w:p>
      <w:pPr>
        <w:ind w:left="1300" w:right="20"/>
        <w:spacing w:after="0" w:line="251" w:lineRule="auto"/>
        <w:rPr>
          <w:sz w:val="20"/>
          <w:szCs w:val="20"/>
          <w:color w:val="auto"/>
        </w:rPr>
      </w:pPr>
      <w:r>
        <w:rPr>
          <w:rFonts w:ascii="Times New Roman" w:cs="Times New Roman" w:eastAsia="Times New Roman" w:hAnsi="Times New Roman"/>
          <w:sz w:val="21"/>
          <w:szCs w:val="21"/>
          <w:color w:val="auto"/>
        </w:rPr>
        <w:t xml:space="preserve">actions set forth in this Section 5.6(c)(ii),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costs and expenses (including the reasonable fees and expenses of the Seller’s counsel) shall be borne by the Purchaser to the extent such breach or default or alleged breach or default relates to a matter described in prong (a) or prong (c) of the definition of “Mutually Agreed” and is finally determined to have resulted from a breach of or default under the License Agreement by the Licensee.</w:t>
      </w:r>
    </w:p>
    <w:p>
      <w:pPr>
        <w:spacing w:after="0" w:line="168" w:lineRule="exact"/>
        <w:rPr>
          <w:sz w:val="20"/>
          <w:szCs w:val="20"/>
          <w:color w:val="auto"/>
        </w:rPr>
      </w:pPr>
    </w:p>
    <w:p>
      <w:pPr>
        <w:ind w:left="1300" w:right="260" w:firstLine="652"/>
        <w:spacing w:after="0" w:line="244" w:lineRule="auto"/>
        <w:tabs>
          <w:tab w:leader="none" w:pos="25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waive any obligation of, or grant any consent to, the Licensee under, in respect of or related to the Purchased Royalty Interest without the prior consent of the Purchaser, not to be unreasonably withheld, delayed or conditioned.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Enforcement of License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4" w:lineRule="auto"/>
        <w:tabs>
          <w:tab w:leader="none" w:pos="194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(but in any event within [***]) after the Seller obtains Knowledge of (i) any breach of or default under the License Agreement by Licensee relating to the Purchased Royalty Interest (other than any breach set forth on Schedule 5.7) or that would reasonably be expected (with or without the giving of notice or passage of time, or both) to have a Material Adverse Effect, (ii) any other material breach of or default under the License Agreement by Licensee, or (iii) the existence of any facts, circumstances or events that, alone or together with other facts, circumstances or events, would reasonably be expected (with or without the giving of notice or passage of time, or both) to give rise to any such breach or default of clause (i) or (ii), the Seller shall (A) give written notice thereof to the Purchaser describing in reasonable detail the relevant breach or default, (B) provide to the Purchaser a copy of any written notice of such breach or default of the License Agreement delivered by the Seller to Licensee and (C) proceed, in the case of clause (i), as reasonably instructed by the Purchaser, and in the case of clause (ii) or (iii), as Mutually Agreed, to take action to enforce compliance by Licensee with the relevant provisions of the License Agreement and to exercise any or all of the Seller’s rights and remedies, whether under the License Agreement or by operation of Law, with respect thereto. If such breach or default is solely related to the Purchased Royalty Interest or would reasonably be expected (with or without the giving of notice or passage of time, or both) to have a Material Adverse Effect, the Seller shall employ such counsel reasonably acceptable to the Seller as the Purchaser shall recommend for such purpose.</w:t>
      </w:r>
    </w:p>
    <w:p>
      <w:pPr>
        <w:spacing w:after="0" w:line="175" w:lineRule="exact"/>
        <w:rPr>
          <w:rFonts w:ascii="Times New Roman" w:cs="Times New Roman" w:eastAsia="Times New Roman" w:hAnsi="Times New Roman"/>
          <w:sz w:val="21"/>
          <w:szCs w:val="21"/>
          <w:color w:val="auto"/>
        </w:rPr>
      </w:pPr>
    </w:p>
    <w:p>
      <w:pPr>
        <w:ind w:firstLine="1304"/>
        <w:spacing w:after="0" w:line="249" w:lineRule="auto"/>
        <w:tabs>
          <w:tab w:leader="none" w:pos="194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shall reimburse the Seller for all reasonable out-of-pocket costs and expenses (including the reasonable fees and expenses of the Seller’s counsel) incurred by the Seller, as such costs and expenses are incurred, in connection with any actions taken or exercise of rights and remedies by the Seller at the</w:t>
      </w:r>
    </w:p>
    <w:p>
      <w:pPr>
        <w:spacing w:after="0" w:line="1" w:lineRule="exact"/>
        <w:rPr>
          <w:rFonts w:ascii="Times New Roman" w:cs="Times New Roman" w:eastAsia="Times New Roman" w:hAnsi="Times New Roman"/>
          <w:sz w:val="21"/>
          <w:szCs w:val="21"/>
          <w:color w:val="auto"/>
        </w:rPr>
      </w:pPr>
    </w:p>
    <w:p>
      <w:pPr>
        <w:ind w:right="2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direction of Purchaser pursuant to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5.7(a) that are taken at the direction of the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out-of-pocket costs and expenses (including the reasonable fees and expenses of the Seller’s counsel) shall be borne by the Seller to the extent such breach, default or termination event or alleged breach, default or termination event is finally determined to have resulted from a breach of or default under the License Agreement by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3" w:name="page134"/>
    <w:bookmarkEnd w:id="133"/>
    <w:p>
      <w:pPr>
        <w:ind w:right="40" w:firstLine="1304"/>
        <w:spacing w:after="0" w:line="244" w:lineRule="auto"/>
        <w:tabs>
          <w:tab w:leader="none" w:pos="194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Proceeds resulting from any enforcement of Licensee’s obligations under the License Agreement shall be applied (i) first to reimburse the Seller for any expenses incurred by it in connection with such enforcement and not already reimbursed by Purchaser pursuant to Section‎ 5.7(b) and (ii) second, if such enforcement was undertaken at the direction of Purchaser or was subject to mutual agreement between the Purchaser and the Seller pursuant to Section‎ 5.7(a)(C), to the Purchaser for any expenses incurred by it in connection with such enforcement. The remainder of such Proceeds that are in respect of an unpaid portion of the Purchased Royalty Interest shall be allocated to the Purchaser, with any remaining Proceeds allocated to the Seller. The Seller hereby assigns and, if not presently assignable, agrees to assign to the Purchaser the amount of</w:t>
      </w:r>
    </w:p>
    <w:p>
      <w:pPr>
        <w:spacing w:after="0" w:line="3" w:lineRule="exact"/>
        <w:rPr>
          <w:rFonts w:ascii="Times New Roman" w:cs="Times New Roman" w:eastAsia="Times New Roman" w:hAnsi="Times New Roman"/>
          <w:sz w:val="21"/>
          <w:szCs w:val="21"/>
          <w:color w:val="auto"/>
        </w:rPr>
      </w:pPr>
    </w:p>
    <w:p>
      <w:pPr>
        <w:ind w:right="2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Proceeds due to the Purchaser in accordance with this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5.7(c). For the avoidance of doubt, if such Proceeds are in respect of an unpaid portion of the Purchased Royalty, and the amount of Proceeds remaining after application of the first sentence of this Section‎ 5.7(c) is less than such unpaid portion of the Purchased Royalty Interest, the Seller shall have no obligation to reimburse or make whole the Purchaser for such differential amount.</w:t>
      </w:r>
    </w:p>
    <w:p>
      <w:pPr>
        <w:spacing w:after="0" w:line="179" w:lineRule="exact"/>
        <w:rPr>
          <w:sz w:val="20"/>
          <w:szCs w:val="20"/>
          <w:color w:val="auto"/>
        </w:rPr>
      </w:pPr>
    </w:p>
    <w:p>
      <w:pPr>
        <w:jc w:val="both"/>
        <w:ind w:right="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New Arrangements</w:t>
      </w:r>
      <w:r>
        <w:rPr>
          <w:rFonts w:ascii="Times New Roman" w:cs="Times New Roman" w:eastAsia="Times New Roman" w:hAnsi="Times New Roman"/>
          <w:sz w:val="22"/>
          <w:szCs w:val="22"/>
          <w:color w:val="auto"/>
        </w:rPr>
        <w:t>. Notwithstanding Section‎ 5.6, if the License Agreement is terminated in its entirety or on a Licensed Product-by-Licensed Product basis for the entire Roche Territory or on a country-by-country basis within the Roche Territory, in each case, by the Seller or by Licensee pursuant to Section 13.2 or Section 13.3 of the License Agreement, [***].</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Patent Prosecution; Enforcement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5"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inform the Purchaser following (i) the Seller making a final decision to allow any of the Royalty Product BPM Patents to lapse or become abandoned or to not prosecute any patent applications for any Royalty Product BPM Patents or (ii) the Seller receiving written notice from Licensee pursuant to Section 9.3(d) of the License Agreement of the Licensee’s intention to allow any of the Royalty Product Roche Patents or the Royalty Product Joint Patents to lapse or become abandoned or to not prosecute any patent applications for any Royalty Product Roche Patents or Royalty Product Joint Patents.</w:t>
      </w:r>
    </w:p>
    <w:p>
      <w:pPr>
        <w:spacing w:after="0" w:line="183" w:lineRule="exact"/>
        <w:rPr>
          <w:rFonts w:ascii="Times New Roman" w:cs="Times New Roman" w:eastAsia="Times New Roman" w:hAnsi="Times New Roman"/>
          <w:sz w:val="22"/>
          <w:szCs w:val="22"/>
          <w:color w:val="auto"/>
        </w:rPr>
      </w:pPr>
    </w:p>
    <w:p>
      <w:pPr>
        <w:ind w:right="60" w:firstLine="1304"/>
        <w:spacing w:after="0" w:line="245" w:lineRule="auto"/>
        <w:tabs>
          <w:tab w:leader="none" w:pos="194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promptly (and in any event within [***]) inform the Purchaser: (i) of any infringement by a third party of which Seller gains Knowledge with respect to any of the Royalty Product Patents in the Roche Territory, (ii) of receipt by the Seller of any written notice thereof by Licensee pursuant to Section 9.4(a) of the License Agreement together with providing a copy of such written notice, and (iii) if it receives notice by counterclaim or other means any allegation of invalidity or unenforceability of any of the Royalty Product Patents or otherwise becomes aware of the same as contemplated under Section 9.5 of the License Agreement. As soon as practicable and in any event not less than [***] following such delivery, the Seller shall notify the Purchaser of (A) any material developments in any suit or other action to abate such infringement that are delivered by Licensee to the Seller under Section 9.4(b)(iii) of the License Agreement, together with copies of all pleadings filed in such suit or action, and (B) any material developments in the defense of any such allegation that are delivered by Licensee to the Seller under Section 9.5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4" w:name="page135"/>
    <w:bookmarkEnd w:id="134"/>
    <w:p>
      <w:pPr>
        <w:ind w:firstLine="1304"/>
        <w:spacing w:after="0" w:line="242" w:lineRule="auto"/>
        <w:tabs>
          <w:tab w:leader="none" w:pos="194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or permitted by the License Agreement, the Seller shall act as Mutually Agreed to (i) take any and all actions, and prepare, execute, deliver and file any and all agreements, documents and instruments, that are reasonably necessary to diligently preserve and maintain the applicable Royalty Product Patents, including payment of maintenance fees or annuities, (ii) not disclaim or abandon, or fail to take any action necessary to prevent the disclaimer, termination or abandonment of, any Royalty Product Patent, (iii) diligently enforce the Royalty Product Patents against infringement or interference by any other Person and defend any Royalty Product Patents against any claims of invalidity or unenforceability, in any jurisdiction of the Roche Territory (including by bringing any legal action for infringement or defending any counterclaim of invalidity or action of any other Person for declaratory judgment of non-infringement or non-interference), and (iv) when available in respect of the Royalty Product Patents, obtain issued patents and any corrections, substitutions, reissues and reexaminations thereof and obtain patent term extensions and any other forms of patent term restoration in any country in the Roche Territory. Seller shall be responsible for all out-of-pocket costs and expenses (including the fees and expenses of the Seller’s counsel) incurred by the Seller in connection with the Seller’s actions pursuant to clauses (i) through (iv) of the immediately preceding sentence using counsel of the Seller’s choice reasonably acceptable to the Purchaser;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Seller’s actions under any such clauses (i) through (iv) were taken solely at the direction or request of the Purchaser and not pursuant to the mutual agreement of the Seller and the Purchaser, (A) to the extent Seller is permitted to select counsel under the License Agreement, the Seller shall employ counsel designated by the Purchaser and reasonably acceptable to the Seller and (B) the Purchaser shall promptly on demand reimburse the Seller for all costs and expenses incurred by the Seller in connection with such Seller’s actions pursuant to any such clauses (i) through</w:t>
      </w:r>
    </w:p>
    <w:p>
      <w:pPr>
        <w:spacing w:after="0" w:line="14" w:lineRule="exact"/>
        <w:rPr>
          <w:rFonts w:ascii="Times New Roman" w:cs="Times New Roman" w:eastAsia="Times New Roman" w:hAnsi="Times New Roman"/>
          <w:sz w:val="21"/>
          <w:szCs w:val="21"/>
          <w:color w:val="auto"/>
        </w:rPr>
      </w:pPr>
    </w:p>
    <w:p>
      <w:pPr>
        <w:ind w:firstLine="8"/>
        <w:spacing w:after="0" w:line="233" w:lineRule="auto"/>
        <w:tabs>
          <w:tab w:leader="none" w:pos="36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applicable and for which the Seller is not entitled to reimbursement by Licensee. The Purchaser shall, to the extent permitted under the License Agreement, have the right, at its sole cost and expense, to participate in any meeting, discussion, action, suit or other proceeding relating to the infringement, legality, validity or enforceability of the Royalty Product Patents, including any counterclaim, settlement discussions or meetings. The parties hereto shall enter into the Common Interest and Joint Privilege Agreement at the Closing, [***]</w:t>
      </w:r>
    </w:p>
    <w:p>
      <w:pPr>
        <w:spacing w:after="0" w:line="179"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No Assignment; No Liens</w:t>
      </w:r>
      <w:r>
        <w:rPr>
          <w:rFonts w:ascii="Times New Roman" w:cs="Times New Roman" w:eastAsia="Times New Roman" w:hAnsi="Times New Roman"/>
          <w:sz w:val="22"/>
          <w:szCs w:val="22"/>
          <w:color w:val="auto"/>
        </w:rPr>
        <w:t xml:space="preserve">. Except in connection with a permitted assignment by the Seller in accordance with the provisions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10.3, the Seller shall not dispose of, assign or otherwise transfer, or grant, incur or suffer to exist any Lien on the Purchased Royalty Interest. Except as set forth on Schedule 5.10, the Seller shall not dispose of, assign or otherwise transfer, or grant, incur or suffer to exist any Lien with respect to any of its interest in any portion of the License Agreement, the BPM Technology, or any Royalty Product Patents that could reasonably be expected (with or without the giving of notice or passage of time, or both) to have a Material Adverse Effect.</w:t>
      </w:r>
    </w:p>
    <w:p>
      <w:pPr>
        <w:spacing w:after="0" w:line="183"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Audits</w:t>
      </w:r>
      <w:r>
        <w:rPr>
          <w:rFonts w:ascii="Times New Roman" w:cs="Times New Roman" w:eastAsia="Times New Roman" w:hAnsi="Times New Roman"/>
          <w:sz w:val="21"/>
          <w:szCs w:val="21"/>
          <w:color w:val="auto"/>
        </w:rPr>
        <w:t>. The Seller may and, if requested in writing by the Purchaser, shall, to the extent permitted by Section 8.15 of the License Agreement, provide written notice to Licensee to cause an inspection or audit to determine the correctness of Purchased Royalty Interest payments made under the License Agreement. All of the expenses of any inspection or audit requested by the Purchaser that would otherwise be borne by Seller pursuant to the License Agreement shall instead be borne by Purchaser, including such fees and expenses of any public accounting firm engaged by Seller in connection with such an inspection or audit,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35" w:name="page136"/>
    <w:bookmarkEnd w:id="135"/>
    <w:p>
      <w:pPr>
        <w:spacing w:after="0" w:line="233" w:lineRule="auto"/>
        <w:rPr>
          <w:sz w:val="20"/>
          <w:szCs w:val="20"/>
          <w:color w:val="auto"/>
        </w:rPr>
      </w:pPr>
      <w:r>
        <w:rPr>
          <w:rFonts w:ascii="Times New Roman" w:cs="Times New Roman" w:eastAsia="Times New Roman" w:hAnsi="Times New Roman"/>
          <w:sz w:val="22"/>
          <w:szCs w:val="22"/>
          <w:color w:val="auto"/>
        </w:rPr>
        <w:t>Seller’s reasonable out-of-pocket costs incurred in connection with such inspection or audit. With respect to any inspection or audit requested by the Purchaser, the Seller shall select such public accounting firm as the Purchaser shall recommend for such purpose (as long as such public accounting firm is reasonably acceptable to Licensee as required by Section 8.15 of the License Agreement). Seller will furnish to Purchaser a true, correct and complete copy of any inspection or audit report prepared in connection with such an inspection or audit. If, following the completion of such inspection or audit, Seller is required to reimburse Licensee for overpayment of the Purchased Royalty Interest, then Purchaser shall promptly upon request (and in any event within [***] following such request) reimburse Seller or, at Seller’s request, Licensee on behalf of Seller, the portion of such overpaid amount that was paid to the Purchaser. If, following the completion of such inspection or audit conducted at the request of the Purchaser, Licensee is required to reimburse Seller for the cost of such audit or inspection as required by Section 8.15 of the License Agreement, then Seller shall promptly upon receipt of such reimbursement (and in any event within [***] following such receipt) pay to the Purchaser the full amount of such reimbursement that was paid to the Seller.</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60" w:firstLine="1304"/>
        <w:spacing w:after="0" w:line="249" w:lineRule="auto"/>
        <w:tabs>
          <w:tab w:leader="none" w:pos="194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accounting treatment therefor and unless otherwise required by applicable Law, for all U.S. federal and applicable state and local tax purposes, the Seller and the Purchaser shall treat (i) the Purchaser’s payment of the Closing Purchase Price (pursuant to Section‎ 2.2) and the Purchaser’s</w:t>
      </w:r>
    </w:p>
    <w:p>
      <w:pPr>
        <w:spacing w:after="0" w:line="1" w:lineRule="exact"/>
        <w:rPr>
          <w:rFonts w:ascii="Times New Roman" w:cs="Times New Roman" w:eastAsia="Times New Roman" w:hAnsi="Times New Roman"/>
          <w:sz w:val="21"/>
          <w:szCs w:val="21"/>
          <w:color w:val="auto"/>
        </w:rPr>
      </w:pPr>
    </w:p>
    <w:p>
      <w:pPr>
        <w:ind w:right="20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each Milestone Payment (pursuant to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2.5) as received by the Seller in a taxable sale of the Purchase Royalty Interest and (ii) Purchaser as the recipient of the payments made with respect to the Purchased Royalty Interest. The parties hereto agree not to take any position that is inconsistent with the provisions of this</w:t>
      </w:r>
    </w:p>
    <w:p>
      <w:pPr>
        <w:spacing w:after="0" w:line="1" w:lineRule="exact"/>
        <w:rPr>
          <w:rFonts w:ascii="Times New Roman" w:cs="Times New Roman" w:eastAsia="Times New Roman" w:hAnsi="Times New Roman"/>
          <w:sz w:val="21"/>
          <w:szCs w:val="21"/>
          <w:color w:val="auto"/>
        </w:rPr>
      </w:pPr>
    </w:p>
    <w:p>
      <w:pPr>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5.12(a) on any tax return or in any audit or other tax-related administrative or judicial proceeding unless the other party hereto has consented in writing to such actions or as otherwise required pursuant to a final determination within the meaning of Section 1313(a) of the Code or a corresponding provision of state, local or foreign tax Law. If there is an inquiry by any Governmental Authority of the Seller or the Purchaser related to this</w:t>
      </w:r>
    </w:p>
    <w:p>
      <w:pPr>
        <w:spacing w:after="0" w:line="2"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5.12, the parties hereto shall cooperate with each other in responding to such inquiry in a commercially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reasonable manner consistent with this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5.12.</w:t>
      </w:r>
    </w:p>
    <w:p>
      <w:pPr>
        <w:spacing w:after="0" w:line="182" w:lineRule="exact"/>
        <w:rPr>
          <w:rFonts w:ascii="Times New Roman" w:cs="Times New Roman" w:eastAsia="Times New Roman" w:hAnsi="Times New Roman"/>
          <w:sz w:val="21"/>
          <w:szCs w:val="21"/>
          <w:color w:val="auto"/>
        </w:rPr>
      </w:pPr>
    </w:p>
    <w:p>
      <w:pPr>
        <w:ind w:right="60" w:firstLine="1304"/>
        <w:spacing w:after="0" w:line="239"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Purchaser shall deliver to the Seller a duly completed and valid IRS Form W-8BEN-E certifying that the Purchaser is exempt from U.S. federal withholding tax in respect of all royalty payments, and all payments characterized as “other income”, in each case with respect to the Purchased Royalty Interest.</w:t>
      </w:r>
    </w:p>
    <w:p>
      <w:pPr>
        <w:spacing w:after="0" w:line="180" w:lineRule="exact"/>
        <w:rPr>
          <w:rFonts w:ascii="Times New Roman" w:cs="Times New Roman" w:eastAsia="Times New Roman" w:hAnsi="Times New Roman"/>
          <w:sz w:val="22"/>
          <w:szCs w:val="22"/>
          <w:color w:val="auto"/>
        </w:rPr>
      </w:pPr>
    </w:p>
    <w:p>
      <w:pPr>
        <w:ind w:right="60" w:firstLine="1304"/>
        <w:spacing w:after="0" w:line="235"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the Purchaser under the Transaction Documents shall be made without any deduction or withholding by the Seller for or on account of any tax, unless required by applicable Law. If any applicable Law (as reasonably determined by the Seller) requires the deduction or withholding of any tax by the Seller, then the Seller shall be entitled to make such deduction or withholding in accordance with applicable Law, provided that the Seller shall give the Purchaser prior notice and the opportunity, in good faith, to contest and prevent such deduction or withholding. Any such withheld amounts shall be remitted by the Seller to the relevant taxing authority and shall be treated for all purposes of the Transaction Documents as having been paid to the Purchaser. The Seller shall use commercially reasonable efforts to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6" w:name="page137"/>
    <w:bookmarkEnd w:id="136"/>
    <w:p>
      <w:pPr>
        <w:spacing w:after="0" w:line="238" w:lineRule="auto"/>
        <w:rPr>
          <w:sz w:val="20"/>
          <w:szCs w:val="20"/>
          <w:color w:val="auto"/>
        </w:rPr>
      </w:pPr>
      <w:r>
        <w:rPr>
          <w:rFonts w:ascii="Times New Roman" w:cs="Times New Roman" w:eastAsia="Times New Roman" w:hAnsi="Times New Roman"/>
          <w:sz w:val="22"/>
          <w:szCs w:val="22"/>
          <w:color w:val="auto"/>
        </w:rPr>
        <w:t>or cause to be given to the Purchaser such assistance and such information concerning the reasons for deduction or withholding (including, in reasonable detail, the method of calculation for the deduction or withholding thereof) as may be reasonably necessary to enable the Purchaser to claim exemption therefrom, or credit therefor, or relief (whether at source or by reclaim) therefrom, and, in each case, shall furnish the Purchaser with proper evidence of the taxes deducted or withheld and remitted to the relevant taxing authority.</w:t>
      </w:r>
    </w:p>
    <w:p>
      <w:pPr>
        <w:spacing w:after="0" w:line="177" w:lineRule="exact"/>
        <w:rPr>
          <w:sz w:val="20"/>
          <w:szCs w:val="20"/>
          <w:color w:val="auto"/>
        </w:rPr>
      </w:pPr>
    </w:p>
    <w:p>
      <w:pPr>
        <w:ind w:firstLine="1304"/>
        <w:spacing w:after="0" w:line="246" w:lineRule="auto"/>
        <w:tabs>
          <w:tab w:leader="none" w:pos="194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Section 5.12(c), and provided that the Purchaser has complied with its obligation under Section 5.12(b), the Seller agrees that if the Licensee deducts or withholds any taxes on any payments made to the Purchaser with respect to the Purchased Royalty Interest, and if such deduction or withholding on account of taxes would have applied to such payments had they been made to the Seller, then the Seller shall promptly (and in any event within [***] following the date of the payment affected by such tax deduction or withholding) make a true-up payment to the Purchaser in the amount of the tax deduction or withholding that would have applied had such payment been made to the Seller. For all purposes hereunder, any true-up payment made pursuant to this Section‎ 5.12(d) will be treated as paid with respect to the Purchased Royalty Interest for U.S. federal income tax purposes to the fullest extent permitted by applicable Law.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CLOSING</w:t>
      </w:r>
    </w:p>
    <w:p>
      <w:pPr>
        <w:spacing w:after="0" w:line="182" w:lineRule="exact"/>
        <w:rPr>
          <w:sz w:val="20"/>
          <w:szCs w:val="20"/>
          <w:color w:val="auto"/>
        </w:rPr>
      </w:pPr>
    </w:p>
    <w:p>
      <w:pPr>
        <w:jc w:val="both"/>
        <w:ind w:right="3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transactions contemplated hereby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on the date hereof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via the remote exchange of documents and signatures, or at such other time and location as the parties hereto mutually agree.</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Payment of Closing Purchase Price</w:t>
      </w:r>
      <w:r>
        <w:rPr>
          <w:rFonts w:ascii="Times New Roman" w:cs="Times New Roman" w:eastAsia="Times New Roman" w:hAnsi="Times New Roman"/>
          <w:sz w:val="22"/>
          <w:szCs w:val="22"/>
          <w:color w:val="auto"/>
        </w:rPr>
        <w:t>. At the Closing, the Purchaser shall deliver to the Seller payment of the Closing Purchase Price by wire transfer of immediately available funds to the Seller Account.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Closing Deliverables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1304"/>
        <w:spacing w:after="0" w:line="244"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each of the Seller and the Purchaser shall deliver to the other party hereto a duly executed counterpart to (i) the Bill of Sale, evidencing the sale and assignment to the Purchaser of the Purchased Royalty Interest, and (ii) the Common Interest and Joint Privilege Agreement.</w:t>
      </w:r>
    </w:p>
    <w:p>
      <w:pPr>
        <w:spacing w:after="0" w:line="173" w:lineRule="exact"/>
        <w:rPr>
          <w:rFonts w:ascii="Times New Roman" w:cs="Times New Roman" w:eastAsia="Times New Roman" w:hAnsi="Times New Roman"/>
          <w:sz w:val="22"/>
          <w:szCs w:val="22"/>
          <w:color w:val="auto"/>
        </w:rPr>
      </w:pPr>
    </w:p>
    <w:p>
      <w:pPr>
        <w:ind w:right="40" w:firstLine="1304"/>
        <w:spacing w:after="0" w:line="236"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Seller shall deliver to the Purchaser a certificate of an executive officer of the Seller, dated as of the Closing Date, certifying as to the (i) attached copies of the organizational documents of the Seller and resolutions of the governing body of the Seller authorizing and approving the execution, delivery and performance by the Seller of the Transaction Documents and the transactions contemplated thereby and (ii) the incumbency of the officer or officers of the Seller who have executed and delivered the Transaction Documents, including therein a signature specimen of each such officer or officers.</w:t>
      </w:r>
    </w:p>
    <w:p>
      <w:pPr>
        <w:spacing w:after="0" w:line="181" w:lineRule="exact"/>
        <w:rPr>
          <w:rFonts w:ascii="Times New Roman" w:cs="Times New Roman" w:eastAsia="Times New Roman" w:hAnsi="Times New Roman"/>
          <w:sz w:val="22"/>
          <w:szCs w:val="22"/>
          <w:color w:val="auto"/>
        </w:rPr>
      </w:pPr>
    </w:p>
    <w:p>
      <w:pPr>
        <w:jc w:val="both"/>
        <w:ind w:right="140" w:firstLine="1304"/>
        <w:spacing w:after="0" w:line="244"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Purchaser shall deliver to the Seller a certificate of an executive officer of RP Management, LLC, as the investment manager of the Purchaser, dated as of the Closing Date, certifying as to the incumbency of the officer or officers of 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7" w:name="page138"/>
    <w:bookmarkEnd w:id="137"/>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Management, LLC, as the investment manager of the Purchaser who have executed and delivered the Transaction Documents to which the Purchaser is party, including therein a signature specimen of each such officer or officers.</w:t>
      </w:r>
    </w:p>
    <w:p>
      <w:pPr>
        <w:spacing w:after="0" w:line="135" w:lineRule="exact"/>
        <w:rPr>
          <w:sz w:val="20"/>
          <w:szCs w:val="20"/>
          <w:color w:val="auto"/>
        </w:rPr>
      </w:pPr>
    </w:p>
    <w:p>
      <w:pPr>
        <w:ind w:firstLine="1304"/>
        <w:spacing w:after="0" w:line="258"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Seller shall deliver to the Purchaser a valid, properly executed IRS Form W-9 certifying that the Seller is exempt from U.S. federal withholding tax and “backup” withholding tax.</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 the Purchaser shall deliver to the Seller a duly completed and executed IRS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Form W-8BEN-E pursuant to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5.12(a).</w:t>
      </w:r>
    </w:p>
    <w:p>
      <w:pPr>
        <w:spacing w:after="0" w:line="182"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Seller shall deliver to Licensee a duly executed copy of the Licensee</w:t>
      </w:r>
    </w:p>
    <w:p>
      <w:pPr>
        <w:spacing w:after="0" w:line="14" w:lineRule="exact"/>
        <w:rPr>
          <w:rFonts w:ascii="Times New Roman" w:cs="Times New Roman" w:eastAsia="Times New Roman" w:hAnsi="Times New Roman"/>
          <w:sz w:val="22"/>
          <w:szCs w:val="22"/>
          <w:color w:val="auto"/>
        </w:rPr>
      </w:pPr>
    </w:p>
    <w:p>
      <w:pPr>
        <w:ind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Instruction the IRS Form W-8BEN-E provided by Purchasers pursuant to Section‎ 5.12(b) hereof and shall provide evidence to Purchaser of such delivery.</w:t>
      </w:r>
    </w:p>
    <w:p>
      <w:pPr>
        <w:spacing w:after="0" w:line="17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Seller shall deliver to the Purchaser a duly executed copy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Consent.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182"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Indemnification by the Seller</w:t>
      </w:r>
      <w:r>
        <w:rPr>
          <w:rFonts w:ascii="Times New Roman" w:cs="Times New Roman" w:eastAsia="Times New Roman" w:hAnsi="Times New Roman"/>
          <w:sz w:val="22"/>
          <w:szCs w:val="22"/>
          <w:color w:val="auto"/>
        </w:rPr>
        <w:t>. The Seller agrees to indemnify and hold harmless the Purchaser and its partners, directors, officers, managers, employees or agents (each, a “</w:t>
      </w:r>
      <w:r>
        <w:rPr>
          <w:rFonts w:ascii="Times New Roman" w:cs="Times New Roman" w:eastAsia="Times New Roman" w:hAnsi="Times New Roman"/>
          <w:sz w:val="22"/>
          <w:szCs w:val="22"/>
          <w:u w:val="single" w:color="auto"/>
          <w:color w:val="auto"/>
        </w:rPr>
        <w:t>Purchaser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from and against, and will pay to each Purchaser Indemnified Party the amount of, any and all Losses awarded against or incurred or suffered by such Purchaser Indemnified Party, whether or not involving a Third Party Claim, arising out of [***].</w:t>
      </w:r>
    </w:p>
    <w:p>
      <w:pPr>
        <w:spacing w:after="0" w:line="17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Indemnification by the Purchaser</w:t>
      </w:r>
      <w:r>
        <w:rPr>
          <w:rFonts w:ascii="Times New Roman" w:cs="Times New Roman" w:eastAsia="Times New Roman" w:hAnsi="Times New Roman"/>
          <w:sz w:val="22"/>
          <w:szCs w:val="22"/>
          <w:color w:val="auto"/>
        </w:rPr>
        <w:t>. The Purchaser agrees to indemnify and hold each of the Seller and its Affiliates and any or all of their respective partners, directors, officers, managers, members, employees or agents (each, a “</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harmless from and against, and will pay to each Seller Indemnified Party the amount of, any and all Losses awarded against or incurred or suffered by such Seller Indemnified Party, whether or not involving a Third Party Claim, arising out of [***].</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Procedures for Third 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0" w:firstLine="1304"/>
        <w:spacing w:after="0" w:line="249" w:lineRule="auto"/>
        <w:tabs>
          <w:tab w:leader="none" w:pos="194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claim or demand made by any Person other than the Purchaser or the Seller or their respective Affiliates against a Purchaser Indemnified Party or a Seller Indemnified Party, as applicable (a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 Claim</w:t>
      </w:r>
      <w:r>
        <w:rPr>
          <w:rFonts w:ascii="Times New Roman" w:cs="Times New Roman" w:eastAsia="Times New Roman" w:hAnsi="Times New Roman"/>
          <w:sz w:val="21"/>
          <w:szCs w:val="21"/>
          <w:color w:val="auto"/>
        </w:rPr>
        <w:t>”) shall be brought or alleged against an indemnified party in respect of which indemnity is to be</w:t>
      </w:r>
    </w:p>
    <w:p>
      <w:pPr>
        <w:spacing w:after="0" w:line="1" w:lineRule="exact"/>
        <w:rPr>
          <w:rFonts w:ascii="Times New Roman" w:cs="Times New Roman" w:eastAsia="Times New Roman" w:hAnsi="Times New Roman"/>
          <w:sz w:val="21"/>
          <w:szCs w:val="21"/>
          <w:color w:val="auto"/>
        </w:rPr>
      </w:pPr>
    </w:p>
    <w:p>
      <w:pPr>
        <w:ind w:right="6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sought against an indemnifying party pursuant to Section‎ 7.1 or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7.2, the indemnified party shall, promptly after receipt of notice of the commencement of such Third Party Claim, notify the indemnifying party in writing of the commencement thereof, enclosing a copy of all papers served,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failure to so notify such indemnifying party will not relieve the indemnifying party from any liability that it may have to any</w:t>
      </w:r>
    </w:p>
    <w:p>
      <w:pPr>
        <w:spacing w:after="0" w:line="2" w:lineRule="exact"/>
        <w:rPr>
          <w:rFonts w:ascii="Times New Roman" w:cs="Times New Roman" w:eastAsia="Times New Roman" w:hAnsi="Times New Roman"/>
          <w:sz w:val="21"/>
          <w:szCs w:val="21"/>
          <w:color w:val="auto"/>
        </w:rPr>
      </w:pPr>
    </w:p>
    <w:p>
      <w:pPr>
        <w:ind w:right="3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indemnified party under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 or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 unless, and only to the extent that, the indemnifying party is actually prejudiced by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8" w:name="page139"/>
    <w:bookmarkEnd w:id="138"/>
    <w:p>
      <w:pPr>
        <w:ind w:left="1960" w:hanging="656"/>
        <w:spacing w:after="0"/>
        <w:tabs>
          <w:tab w:leader="none" w:pos="1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Third Party Claim is brought against an indemnified party and it</w:t>
      </w:r>
    </w:p>
    <w:p>
      <w:pPr>
        <w:spacing w:after="0" w:line="14" w:lineRule="exact"/>
        <w:rPr>
          <w:rFonts w:ascii="Times New Roman" w:cs="Times New Roman" w:eastAsia="Times New Roman" w:hAnsi="Times New Roman"/>
          <w:sz w:val="22"/>
          <w:szCs w:val="22"/>
          <w:color w:val="auto"/>
        </w:rPr>
      </w:pPr>
    </w:p>
    <w:p>
      <w:pPr>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notifies the indemnifying party of the commencement thereof in accordance with this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7.3,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subject to clause (c), the indemnifying party will not be liable to such indemnified party under</w:t>
      </w:r>
    </w:p>
    <w:p>
      <w:pPr>
        <w:spacing w:after="0" w:line="3" w:lineRule="exact"/>
        <w:rPr>
          <w:rFonts w:ascii="Times New Roman" w:cs="Times New Roman" w:eastAsia="Times New Roman" w:hAnsi="Times New Roman"/>
          <w:sz w:val="22"/>
          <w:szCs w:val="22"/>
          <w:color w:val="auto"/>
        </w:rPr>
      </w:pPr>
    </w:p>
    <w:p>
      <w:pPr>
        <w:ind w:right="1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Article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VII for any legal or other expenses subsequently incurred by such indemnified party in connection with the defense thereof other than reasonable costs of investigation or out-of-pocket costs related to any requests from, or cooperating with, the indemnifying party.</w:t>
      </w:r>
    </w:p>
    <w:p>
      <w:pPr>
        <w:spacing w:after="0" w:line="177" w:lineRule="exact"/>
        <w:rPr>
          <w:rFonts w:ascii="Times New Roman" w:cs="Times New Roman" w:eastAsia="Times New Roman" w:hAnsi="Times New Roman"/>
          <w:sz w:val="22"/>
          <w:szCs w:val="22"/>
          <w:color w:val="auto"/>
        </w:rPr>
      </w:pPr>
    </w:p>
    <w:p>
      <w:pPr>
        <w:ind w:right="100" w:firstLine="1304"/>
        <w:spacing w:after="0" w:line="243" w:lineRule="auto"/>
        <w:tabs>
          <w:tab w:leader="none" w:pos="194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such Third Party Claim, an indemnified party shall have the right to retain its own counsel, but the reasonable fees and expenses of such counsel shall be at the sole cost and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(iii)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indemnifying party. In each case of clauses (i), (ii) and (iii) the indemnifying party shall reimburse the indemnified party promptly and periodically for the reasonable out-of-pocket costs and expenses of defending against such claim, including reasonable attorneys’ fees and expenses, and the indemnifying party shall remain responsible for any Losses the</w:t>
      </w:r>
    </w:p>
    <w:p>
      <w:pPr>
        <w:spacing w:after="0" w:line="7" w:lineRule="exact"/>
        <w:rPr>
          <w:rFonts w:ascii="Times New Roman" w:cs="Times New Roman" w:eastAsia="Times New Roman" w:hAnsi="Times New Roman"/>
          <w:sz w:val="21"/>
          <w:szCs w:val="21"/>
          <w:color w:val="auto"/>
        </w:rPr>
      </w:pPr>
    </w:p>
    <w:p>
      <w:pPr>
        <w:ind w:right="4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indemnified party may suffer as a result of such claim to the full extent provided in this Article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VII. It is agreed that the indemnifying party shall not, in connection with any Third Party Claim or related proceedings in the same jurisdiction, be liable for the fees and expenses of more than one separate law firm (in addition to local counsel where necessary) for all such indemnified parties.</w:t>
      </w:r>
    </w:p>
    <w:p>
      <w:pPr>
        <w:spacing w:after="0" w:line="177" w:lineRule="exact"/>
        <w:rPr>
          <w:rFonts w:ascii="Times New Roman" w:cs="Times New Roman" w:eastAsia="Times New Roman" w:hAnsi="Times New Roman"/>
          <w:sz w:val="21"/>
          <w:szCs w:val="21"/>
          <w:color w:val="auto"/>
        </w:rPr>
      </w:pPr>
    </w:p>
    <w:p>
      <w:pPr>
        <w:ind w:firstLine="1304"/>
        <w:spacing w:after="0" w:line="245" w:lineRule="auto"/>
        <w:tabs>
          <w:tab w:leader="none" w:pos="194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indemnifying party shall not be liable for any settlement of any Third Party Claim effected without its written consent, but, if settled with such consent or if there be a final judgment for the plaintiff, the indemnifying party agrees to indemnify the indemnified party from and against any Loss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be sought hereunder by such indemnified party, unless such settlement, compromise or discharge, as the case may be, (i) includes an unconditional written release of such indemnified party, in form and substance reasonably satisfactory to the indemnified party, from all liability on claims that are the subject matter of such claim or proceeding, (ii) does not include any statement as to an admission of fault, culpability or failure to act by or on behalf of any indemnified party and (iii) does not impose any continuing material obligation or restrictions on any indemnified party.</w:t>
      </w:r>
    </w:p>
    <w:p>
      <w:pPr>
        <w:spacing w:after="0" w:line="177"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Other Claims</w:t>
      </w:r>
      <w:r>
        <w:rPr>
          <w:rFonts w:ascii="Times New Roman" w:cs="Times New Roman" w:eastAsia="Times New Roman" w:hAnsi="Times New Roman"/>
          <w:sz w:val="22"/>
          <w:szCs w:val="22"/>
          <w:color w:val="auto"/>
        </w:rPr>
        <w:t>. A claim by an indemnified party under this Article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VII for any matter not involving a Third Party Claim and in respect of which such indemnified party would be entitled to indemnification hereunder may be made by delivering, in good faith,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39" w:name="page140"/>
    <w:bookmarkEnd w:id="139"/>
    <w:p>
      <w:pPr>
        <w:ind w:right="60"/>
        <w:spacing w:after="0" w:line="235" w:lineRule="auto"/>
        <w:rPr>
          <w:sz w:val="20"/>
          <w:szCs w:val="20"/>
          <w:color w:val="auto"/>
        </w:rPr>
      </w:pPr>
      <w:r>
        <w:rPr>
          <w:rFonts w:ascii="Times New Roman" w:cs="Times New Roman" w:eastAsia="Times New Roman" w:hAnsi="Times New Roman"/>
          <w:sz w:val="22"/>
          <w:szCs w:val="22"/>
          <w:color w:val="auto"/>
        </w:rPr>
        <w:t xml:space="preserve">written notice of demand to the indemnifying party, which notice shall contain (a) a description and the amount of any Losses incurred or suffered or reasonably expected to be incurred or suffered by the indemnified party, (b) a statement that the indemnified party is entitled to indemnification under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Article VII for such Losses and a reasonable explanation of the basis therefor, and (c) a demand for payment in the amount of such Losses;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so notify such indemnifying party will not relieve the indemnifying party from any</w:t>
      </w:r>
    </w:p>
    <w:p>
      <w:pPr>
        <w:ind w:right="80"/>
        <w:spacing w:after="0" w:line="233" w:lineRule="auto"/>
        <w:rPr>
          <w:sz w:val="20"/>
          <w:szCs w:val="20"/>
          <w:color w:val="auto"/>
        </w:rPr>
      </w:pPr>
      <w:r>
        <w:rPr>
          <w:rFonts w:ascii="Times New Roman" w:cs="Times New Roman" w:eastAsia="Times New Roman" w:hAnsi="Times New Roman"/>
          <w:sz w:val="22"/>
          <w:szCs w:val="22"/>
          <w:color w:val="auto"/>
        </w:rPr>
        <w:t>liability that it may have to any indemnified party under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 or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 unless, and only to the extent that, the indemnifying party is actually prejudiced by such failure. For all purposes of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7.4, the Seller shall be entitled to deliver such notice of demand to the Purchaser on behalf of the Seller Indemnified Parties, and the Purchaser shall be entitled to deliver such notice of demand to the Seller on behalf of the Purchaser Indemnified Parties.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Time Limitations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304"/>
        <w:spacing w:after="0" w:line="236"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liability under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 with respect to any breach of any representation or warranty made by the Seller in any of the Transaction Documents or certificates delivered by the Seller to the Purchaser in writing pursuant to this Agreement, only if, on or prior to the date that is [***] after the Closing Date, the Purchaser notifies the Seller of a claim in respect of such breach, specifying the factual basis of such claim in reasonable detail (other than [***],‎ as to which a claim may be made at any time until the date that is [***] after the termination of this Agreement).</w:t>
      </w:r>
    </w:p>
    <w:p>
      <w:pPr>
        <w:spacing w:after="0" w:line="181" w:lineRule="exact"/>
        <w:rPr>
          <w:rFonts w:ascii="Times New Roman" w:cs="Times New Roman" w:eastAsia="Times New Roman" w:hAnsi="Times New Roman"/>
          <w:sz w:val="22"/>
          <w:szCs w:val="22"/>
          <w:color w:val="auto"/>
        </w:rPr>
      </w:pPr>
    </w:p>
    <w:p>
      <w:pPr>
        <w:ind w:right="180" w:firstLine="1304"/>
        <w:spacing w:after="0" w:line="247" w:lineRule="auto"/>
        <w:tabs>
          <w:tab w:leader="none" w:pos="194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shall have liability under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7.2 with respect to any breach of any representation or warranty made by the Purchaser in any of the Transaction Documents or any certificate delivered by the Purchaser to the Seller in writing pursuant to this Agreement, only if, on or prior to the date that is [***] after the Closing Date, the Seller notifies the Purchaser of a claim in respect of such breach, specifying</w:t>
      </w:r>
    </w:p>
    <w:p>
      <w:pPr>
        <w:spacing w:after="0" w:line="1" w:lineRule="exact"/>
        <w:rPr>
          <w:rFonts w:ascii="Times New Roman" w:cs="Times New Roman" w:eastAsia="Times New Roman" w:hAnsi="Times New Roman"/>
          <w:sz w:val="21"/>
          <w:szCs w:val="21"/>
          <w:color w:val="auto"/>
        </w:rPr>
      </w:pPr>
    </w:p>
    <w:p>
      <w:pPr>
        <w:ind w:right="26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factual basis of such claim in reasonable detail (other than Section‎ 4.1,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4.2,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4.3, and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4.4 as to which a claim may be made at any time until the date that is [***] after the termination of this Agreement).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 No party hereto shall be liable for any consequential (including</w:t>
      </w:r>
    </w:p>
    <w:p>
      <w:pPr>
        <w:spacing w:after="0" w:line="1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lost profits), punitive, special, indirect or incidental damages under this Article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VII (and no claim for indemnification hereunder shall be asserted) as a result of any breach or violation of any covenant or agreement of such party (including under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Article VII) in or pursuant to this Agreement. Notwithstanding the foregoing, the Purchaser shall be entitled to make indemnification claims, in accordance with the procedures set forth in this</w:t>
      </w:r>
    </w:p>
    <w:p>
      <w:pPr>
        <w:spacing w:after="0" w:line="232" w:lineRule="auto"/>
        <w:rPr>
          <w:sz w:val="20"/>
          <w:szCs w:val="20"/>
          <w:color w:val="auto"/>
        </w:rPr>
      </w:pPr>
      <w:r>
        <w:rPr>
          <w:rFonts w:ascii="Times New Roman" w:cs="Times New Roman" w:eastAsia="Times New Roman" w:hAnsi="Times New Roman"/>
          <w:sz w:val="22"/>
          <w:szCs w:val="22"/>
          <w:color w:val="auto"/>
        </w:rPr>
        <w:t>Article‎ VII, for Losses that include any portion of the Purchased Royalty Interest that the Purchaser was entitled</w:t>
      </w:r>
    </w:p>
    <w:p>
      <w:pPr>
        <w:spacing w:after="0" w:line="231" w:lineRule="auto"/>
        <w:rPr>
          <w:sz w:val="20"/>
          <w:szCs w:val="20"/>
          <w:color w:val="auto"/>
        </w:rPr>
      </w:pPr>
      <w:r>
        <w:rPr>
          <w:rFonts w:ascii="Times New Roman" w:cs="Times New Roman" w:eastAsia="Times New Roman" w:hAnsi="Times New Roman"/>
          <w:sz w:val="22"/>
          <w:szCs w:val="22"/>
          <w:color w:val="auto"/>
        </w:rPr>
        <w:t>to receive but did not receive timely or at all due to any indemnifiable events under this Agreement, and such</w:t>
      </w:r>
    </w:p>
    <w:p>
      <w:pPr>
        <w:spacing w:after="0"/>
        <w:rPr>
          <w:sz w:val="20"/>
          <w:szCs w:val="20"/>
          <w:color w:val="auto"/>
        </w:rPr>
      </w:pPr>
      <w:r>
        <w:rPr>
          <w:rFonts w:ascii="Times New Roman" w:cs="Times New Roman" w:eastAsia="Times New Roman" w:hAnsi="Times New Roman"/>
          <w:sz w:val="21"/>
          <w:szCs w:val="21"/>
          <w:color w:val="auto"/>
        </w:rPr>
        <w:t>portion of the Purchased Royalty Interest shall not be deemed consequential, punitive, special, indirect, incidental</w:t>
      </w:r>
    </w:p>
    <w:p>
      <w:pPr>
        <w:spacing w:after="0" w:line="231" w:lineRule="auto"/>
        <w:rPr>
          <w:sz w:val="20"/>
          <w:szCs w:val="20"/>
          <w:color w:val="auto"/>
        </w:rPr>
      </w:pPr>
      <w:r>
        <w:rPr>
          <w:rFonts w:ascii="Times New Roman" w:cs="Times New Roman" w:eastAsia="Times New Roman" w:hAnsi="Times New Roman"/>
          <w:sz w:val="22"/>
          <w:szCs w:val="22"/>
          <w:color w:val="auto"/>
        </w:rPr>
        <w:t>damages or lost profits for any purpose of this Agreement. Other than with respect to any fraud, willful</w:t>
      </w:r>
    </w:p>
    <w:p>
      <w:pPr>
        <w:spacing w:after="0" w:line="231" w:lineRule="auto"/>
        <w:rPr>
          <w:sz w:val="20"/>
          <w:szCs w:val="20"/>
          <w:color w:val="auto"/>
        </w:rPr>
      </w:pPr>
      <w:r>
        <w:rPr>
          <w:rFonts w:ascii="Times New Roman" w:cs="Times New Roman" w:eastAsia="Times New Roman" w:hAnsi="Times New Roman"/>
          <w:sz w:val="22"/>
          <w:szCs w:val="22"/>
          <w:color w:val="auto"/>
        </w:rPr>
        <w:t>misconduct, or intentional misrepresentation, (a) in no event shall Seller’s aggregate liability for Losses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7.1(a) or Purchaser’s aggregate liability for Losses under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Section 7.2(a) exceed the Closing Purchase Price</w:t>
      </w:r>
    </w:p>
    <w:p>
      <w:pPr>
        <w:spacing w:after="0" w:line="231" w:lineRule="auto"/>
        <w:rPr>
          <w:sz w:val="20"/>
          <w:szCs w:val="20"/>
          <w:color w:val="auto"/>
        </w:rPr>
      </w:pPr>
      <w:r>
        <w:rPr>
          <w:rFonts w:ascii="Times New Roman" w:cs="Times New Roman" w:eastAsia="Times New Roman" w:hAnsi="Times New Roman"/>
          <w:sz w:val="22"/>
          <w:szCs w:val="22"/>
          <w:color w:val="auto"/>
        </w:rPr>
        <w:t>less the Purchased Royalty Interest payments actually received by the Purchaser following the [***] of the date</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hereof, and (b) Seller shall not have any liability for Losses under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 (a) and the Purchaser shall not have any liability for Losses under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7.2(a)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40" w:name="page141"/>
    <w:bookmarkEnd w:id="140"/>
    <w:p>
      <w:pPr>
        <w:ind w:right="120"/>
        <w:spacing w:after="0" w:line="244" w:lineRule="auto"/>
        <w:rPr>
          <w:sz w:val="20"/>
          <w:szCs w:val="20"/>
          <w:color w:val="auto"/>
        </w:rPr>
      </w:pPr>
      <w:r>
        <w:rPr>
          <w:rFonts w:ascii="Times New Roman" w:cs="Times New Roman" w:eastAsia="Times New Roman" w:hAnsi="Times New Roman"/>
          <w:sz w:val="22"/>
          <w:szCs w:val="22"/>
          <w:color w:val="auto"/>
        </w:rPr>
        <w:t>unless and until the aggregate amount of all Losses incurred by the indemnified party [***], in which event the indemnifying party shall be liable for Losses including such amount. For the avoidance of doubt, the Seller shall have no liability to Purchaser for any Permitted Reduction or Credit Event.</w:t>
      </w:r>
    </w:p>
    <w:p>
      <w:pPr>
        <w:spacing w:after="0" w:line="17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ARTICLE VIII. Except in the case of fraud or intentional misrepresentation, and except as set forth in Section‎ 10.1, the indemnification afforded by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Article VII shall be the sole and exclusive remedy for any and all Losses awarded against or incurred or suffered by a party hereto in connection with the transactions contemplated by the Transaction Documents, including with respect to any breach of any representation or warranty made by a party hereto in any of the Transaction Documents or any certificate delivered by a party hereto to the other party hereto in writing pursuant to this Agreement or any breach of or default under any covenant or agreement by a party hereto pursuant to any Transaction Document.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CONFIDENTIALITY</w:t>
      </w:r>
    </w:p>
    <w:p>
      <w:pPr>
        <w:spacing w:after="0" w:line="18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Except as provided in this Article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VIII or otherwise agreed in writing by the parties hereto, the parties hereto agree that, during the term of the License Agreement and until the [***] of the date of termination of the License Agreement (provided that if this Agreement has been terminated prior to the earlier of the License Agreement, the Seller shall provide notice of the date of termination of the License Agreement to the Purchaser), each party (the “</w:t>
      </w:r>
      <w:r>
        <w:rPr>
          <w:rFonts w:ascii="Times New Roman" w:cs="Times New Roman" w:eastAsia="Times New Roman" w:hAnsi="Times New Roman"/>
          <w:sz w:val="21"/>
          <w:szCs w:val="21"/>
          <w:u w:val="single" w:color="auto"/>
          <w:color w:val="auto"/>
        </w:rPr>
        <w:t>Receiving Party</w:t>
      </w:r>
      <w:r>
        <w:rPr>
          <w:rFonts w:ascii="Times New Roman" w:cs="Times New Roman" w:eastAsia="Times New Roman" w:hAnsi="Times New Roman"/>
          <w:sz w:val="21"/>
          <w:szCs w:val="21"/>
          <w:color w:val="auto"/>
        </w:rPr>
        <w:t>”) shall keep confidential, and shall not publish or otherwise disclose and shall not use for any purpose other than as provided for in this Agreement (which includes the exercise of any rights or the performance of any obligations hereunder), any information (whether written or oral, or in electronic or other form) furnished to it by or on behalf of the other party (the “</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pursuant to the Existing Confidentiality Agreement (as defined below) or this Agreement (such information,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of the Disclosing Party), except for that portion of such information that:</w:t>
      </w:r>
    </w:p>
    <w:p>
      <w:pPr>
        <w:spacing w:after="0" w:line="171" w:lineRule="exact"/>
        <w:rPr>
          <w:sz w:val="20"/>
          <w:szCs w:val="20"/>
          <w:color w:val="auto"/>
        </w:rPr>
      </w:pPr>
    </w:p>
    <w:p>
      <w:pPr>
        <w:ind w:firstLine="1304"/>
        <w:spacing w:after="0" w:line="238"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in the Receiving Party’s or its Affiliates’ possession on a non-confidential basis prior to its disclosure to it by the Disclosing Party, as evidenced by written records (provided, if such information was disclosed to the Receiving Party on a non-confidential basis by a party that is not the Disclosing Party, such party had the right to disclose such information to the Receiving Party without violating any legal, contractual or fiduciary obligation to, any person with respect to such information);</w:t>
      </w:r>
    </w:p>
    <w:p>
      <w:pPr>
        <w:spacing w:after="0" w:line="176" w:lineRule="exact"/>
        <w:rPr>
          <w:rFonts w:ascii="Times New Roman" w:cs="Times New Roman" w:eastAsia="Times New Roman" w:hAnsi="Times New Roman"/>
          <w:sz w:val="22"/>
          <w:szCs w:val="22"/>
          <w:color w:val="auto"/>
        </w:rPr>
      </w:pPr>
    </w:p>
    <w:p>
      <w:pPr>
        <w:ind w:right="220" w:firstLine="1304"/>
        <w:spacing w:after="0" w:line="258"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generally available to the public other than as a result of an act or omission by the Receiving Party or its Affiliates in breach of this Agreement; or</w:t>
      </w:r>
    </w:p>
    <w:p>
      <w:pPr>
        <w:spacing w:after="0" w:line="158" w:lineRule="exact"/>
        <w:rPr>
          <w:rFonts w:ascii="Times New Roman" w:cs="Times New Roman" w:eastAsia="Times New Roman" w:hAnsi="Times New Roman"/>
          <w:sz w:val="22"/>
          <w:szCs w:val="22"/>
          <w:color w:val="auto"/>
        </w:rPr>
      </w:pPr>
    </w:p>
    <w:p>
      <w:pPr>
        <w:jc w:val="both"/>
        <w:ind w:right="160" w:firstLine="1304"/>
        <w:spacing w:after="0" w:line="244"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independently developed by the Receiving Party or any of its Affiliates, as evidenced by written records, without use of or reference to the Confidential Information or in violation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41" w:name="page142"/>
    <w:bookmarkEnd w:id="141"/>
    <w:p>
      <w:pPr>
        <w:ind w:right="280"/>
        <w:spacing w:after="0" w:line="258" w:lineRule="auto"/>
        <w:rPr>
          <w:sz w:val="20"/>
          <w:szCs w:val="20"/>
          <w:color w:val="auto"/>
        </w:rPr>
      </w:pPr>
      <w:r>
        <w:rPr>
          <w:rFonts w:ascii="Times New Roman" w:cs="Times New Roman" w:eastAsia="Times New Roman" w:hAnsi="Times New Roman"/>
          <w:sz w:val="22"/>
          <w:szCs w:val="22"/>
          <w:color w:val="auto"/>
        </w:rPr>
        <w:t>For the avoidance of doubt, but without limiting any disclosures permitted pursuant to Section‎ 5.1, the terms of this Agreement are the Confidential Information of both parties hereto.</w:t>
      </w:r>
    </w:p>
    <w:p>
      <w:pPr>
        <w:spacing w:after="0" w:line="15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Termination of Confidentiality Agreement</w:t>
      </w:r>
      <w:r>
        <w:rPr>
          <w:rFonts w:ascii="Times New Roman" w:cs="Times New Roman" w:eastAsia="Times New Roman" w:hAnsi="Times New Roman"/>
          <w:sz w:val="22"/>
          <w:szCs w:val="22"/>
          <w:color w:val="auto"/>
        </w:rPr>
        <w:t>. Effective upon the date hereof, the Confidentiality Agreement, dated March 23, 2022 (the “</w:t>
      </w:r>
      <w:r>
        <w:rPr>
          <w:rFonts w:ascii="Times New Roman" w:cs="Times New Roman" w:eastAsia="Times New Roman" w:hAnsi="Times New Roman"/>
          <w:sz w:val="22"/>
          <w:szCs w:val="22"/>
          <w:u w:val="single" w:color="auto"/>
          <w:color w:val="auto"/>
        </w:rPr>
        <w:t>Existing Confidentiality Agreement</w:t>
      </w:r>
      <w:r>
        <w:rPr>
          <w:rFonts w:ascii="Times New Roman" w:cs="Times New Roman" w:eastAsia="Times New Roman" w:hAnsi="Times New Roman"/>
          <w:sz w:val="22"/>
          <w:szCs w:val="22"/>
          <w:color w:val="auto"/>
        </w:rPr>
        <w:t>”), between Seller and Purchaser shall terminate and be of no further force or effect, and shall be superseded by the provisions of this ‎Article VIII.</w:t>
      </w:r>
    </w:p>
    <w:p>
      <w:pPr>
        <w:spacing w:after="0" w:line="180"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Required Disclosure</w:t>
      </w:r>
      <w:r>
        <w:rPr>
          <w:rFonts w:ascii="Times New Roman" w:cs="Times New Roman" w:eastAsia="Times New Roman" w:hAnsi="Times New Roman"/>
          <w:sz w:val="22"/>
          <w:szCs w:val="22"/>
          <w:color w:val="auto"/>
        </w:rPr>
        <w:t>. In the event that the Receiving Party or its Affiliates or any of its or its Affiliates’ employees, officers, directors, representatives or agents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are requested by a governmental or regulatory authority or required by applicable Law, regulation or legal process (including the regulations of a stock exchange or governmental or regulatory authority or the order or ruling of a court, administrative agency or other government or regulatory body of competent jurisdiction) to disclose any Confidential Information, the Receiving Party shall promptly, to the extent practicable or permitted by Law, notify the Disclosing Party in writing of such request or requirement so that the Disclosing Party may seek an appropriate protective order or other appropriate remedy (and if the Disclosing Party seeks such an order or other remedy, the Receiving Party will provide such cooperation, at the Disclosing Party’s sole expense, as the Disclosing Party shall reasonably request). If no such protective order or other remedy is sought or obtained and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the Receiving Party or its Affiliates or its or its Affiliates’ Representatives, as the case may be, are required to disclose and will exercise commercially reasonable efforts, at the Disclosing Party’s sole expense, to obtain reliable assurance that confidential treatment will be accorded to that portion of the Confidential Information that is being disclosed. In any event, the Purchaser will not oppose action by the Seller to obtain an appropriate protective order or other reliable assurance that confidential treatment will be accorded the Confidential Information. Notwithstanding the foregoing, notice to the Seller shall not be required where disclosure is made (i) in response to a request by a governmental or regulatory authority having competent jurisdiction over the Purchaser, its Affiliates or its or its Affiliates’ Representatives, as the case may be, or (ii) in connection with a routine examination by a regulatory examiner, where in each case such request or examination does not expressly reference the Seller, its Affiliates, the Purchased Royalty Interest or this Agreement.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Permitted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60" w:firstLine="1304"/>
        <w:spacing w:after="0" w:line="282" w:lineRule="auto"/>
        <w:tabs>
          <w:tab w:leader="none" w:pos="194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Receiving Party may disclose Confidential Information with the prior written consent of the Disclosing Party or to the extent such disclosure is reasonably necessary in the following situations:</w:t>
      </w:r>
    </w:p>
    <w:p>
      <w:pPr>
        <w:spacing w:after="0" w:line="134"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regulatory, tax or customs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42" w:name="page143"/>
    <w:bookmarkEnd w:id="142"/>
    <w:p>
      <w:pPr>
        <w:ind w:left="1300" w:right="60" w:firstLine="652"/>
        <w:spacing w:after="0" w:line="258" w:lineRule="auto"/>
        <w:tabs>
          <w:tab w:leader="none" w:pos="259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audit purposes, provided that each recipient of Confidential Information must be bound by customary obligations of confidentiality and non-use prior to any such disclosure;</w:t>
      </w:r>
    </w:p>
    <w:p>
      <w:pPr>
        <w:spacing w:after="0" w:line="158" w:lineRule="exact"/>
        <w:rPr>
          <w:rFonts w:ascii="Times New Roman" w:cs="Times New Roman" w:eastAsia="Times New Roman" w:hAnsi="Times New Roman"/>
          <w:sz w:val="22"/>
          <w:szCs w:val="22"/>
          <w:color w:val="auto"/>
        </w:rPr>
      </w:pPr>
    </w:p>
    <w:p>
      <w:pPr>
        <w:ind w:left="1300" w:right="140" w:firstLine="652"/>
        <w:spacing w:after="0" w:line="244" w:lineRule="auto"/>
        <w:tabs>
          <w:tab w:leader="none" w:pos="259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to its Affiliates and its and its Affiliates’ Representatives on a need-to-know basis, provided that each recipient of Confidential Information must be bound by customary obligations of confidentiality and non-use prior to any such disclosure;</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with respect to the Seller, to Licensee as required under the License</w:t>
      </w:r>
    </w:p>
    <w:p>
      <w:pPr>
        <w:spacing w:after="0" w:line="14"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left="1300" w:firstLine="652"/>
        <w:spacing w:after="0" w:line="235" w:lineRule="auto"/>
        <w:tabs>
          <w:tab w:leader="none" w:pos="259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to its actual or potential investors and co-investors,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 or</w:t>
      </w:r>
    </w:p>
    <w:p>
      <w:pPr>
        <w:spacing w:after="0" w:line="18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Section‎ 5.1.</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the Receiving Party is required to make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disclosure of the Disclosing Party’s Confidential Information pursuant to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8.4(a)(i) or Section‎ 8.4(a)(ii), it</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comply with the obligations of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8.3.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Termination of Agreement</w:t>
      </w:r>
      <w:r>
        <w:rPr>
          <w:rFonts w:ascii="Times New Roman" w:cs="Times New Roman" w:eastAsia="Times New Roman" w:hAnsi="Times New Roman"/>
          <w:sz w:val="21"/>
          <w:szCs w:val="21"/>
          <w:color w:val="auto"/>
        </w:rPr>
        <w:t>. This Agreement shall continue in full force and effect until</w:t>
      </w:r>
    </w:p>
    <w:p>
      <w:pPr>
        <w:spacing w:after="0" w:line="14" w:lineRule="exact"/>
        <w:rPr>
          <w:sz w:val="20"/>
          <w:szCs w:val="20"/>
          <w:color w:val="auto"/>
        </w:rPr>
      </w:pPr>
    </w:p>
    <w:p>
      <w:pPr>
        <w:ind w:right="60" w:firstLine="8"/>
        <w:spacing w:after="0" w:line="235" w:lineRule="auto"/>
        <w:tabs>
          <w:tab w:leader="none" w:pos="52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such time as Licensee is no longer obligated to make payments of the Purchased Royalty Interest, at which time this Agreement shall automatically terminate, except with respect to any rights that shall have accrued prior to such termination.</w:t>
      </w:r>
    </w:p>
    <w:p>
      <w:pPr>
        <w:spacing w:after="0" w:line="178"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Upon the termination of this Agreement pursuant to Section‎ 9.1 this Agreement shall become void and of no further force and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the provisions of ‎Section 5.1,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Section 5.4(b),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5.4(c) (solely with respect to Section‎ 5.4(b)), ‎Article VII, ‎Article VIII, this</w:t>
      </w:r>
    </w:p>
    <w:p>
      <w:pPr>
        <w:ind w:right="20"/>
        <w:spacing w:after="0" w:line="233" w:lineRule="auto"/>
        <w:rPr>
          <w:sz w:val="20"/>
          <w:szCs w:val="20"/>
          <w:color w:val="auto"/>
        </w:rPr>
      </w:pPr>
      <w:r>
        <w:rPr>
          <w:rFonts w:ascii="Times New Roman" w:cs="Times New Roman" w:eastAsia="Times New Roman" w:hAnsi="Times New Roman"/>
          <w:sz w:val="22"/>
          <w:szCs w:val="22"/>
          <w:color w:val="auto"/>
        </w:rPr>
        <w:t>Section‎ 9.2 and Article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X shall survive such termination and shall remain in full force and effect, (b) if, upon the termination of this Agreement, any payments of the Purchased Royalty Interest are payable to the Purchaser hereunder, this Agreement shall remain in full force and effect until any and all such payments have been made in full, and (except as provided in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9.2) solely for that purpose, and (b) termination shall not relieve either party hereto of liability for any breach of this Agreement that occurs on or prior to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82"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xml:space="preserve">. Each of the parties hereto acknowledges that the other party hereto will have no adequate remedy at Law if any of its obligations are breached, or, in the case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Article VIII, are</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threatened to be breached. Accordingly, notwithstanding Article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VII, each of the parties hereto agrees that, without posting bond or other undertaking, the other party hereto shall be entitled to seek a temporary or permanent injunctive relief to prevent breaches, or, in the case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Article VIII, threatened breaches, of this Agreement and to seek specific performance of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hereto further agrees that, in the event of any action for specific performance in respect of such breach or violation, it shall not assert the defense that a remedy at Law would be inadequate. Such remedy shall not be deemed to be the exclusive remedy for breach of this Agreement but shall be in addition to all other rights and remedies available at Law or equity to the parties hereto.</w:t>
      </w:r>
    </w:p>
    <w:p>
      <w:pPr>
        <w:spacing w:after="0" w:line="17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consents, waivers and other communications hereunder shall be in writing and shall be effective (a) upon receipt when sent via certified mail, return receipt requested, postage prepaid, with such receipt to be effective the date of delivery indicated on the return receipt, (b) upon receipt when sent via email, with such receipt to be effective the date acknowledged by the recipient, (c) upon receipt when sent by a national overnight courier, or (d) on the date personally delivered to an authorized officer of the party to which sent, in all cases of (a), (c) and (d), with a copy emailed to the recipient at the applicable address, addressed to the recipient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Seller,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 Sidney Street</w:t>
      </w:r>
    </w:p>
    <w:p>
      <w:pPr>
        <w:ind w:left="66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Attention: Chief Executive Officer</w:t>
      </w: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Northern Avenue</w:t>
      </w:r>
    </w:p>
    <w:p>
      <w:pPr>
        <w:ind w:left="660"/>
        <w:spacing w:after="0" w:line="230" w:lineRule="auto"/>
        <w:rPr>
          <w:sz w:val="20"/>
          <w:szCs w:val="20"/>
          <w:color w:val="auto"/>
        </w:rPr>
      </w:pPr>
      <w:r>
        <w:rPr>
          <w:rFonts w:ascii="Times New Roman" w:cs="Times New Roman" w:eastAsia="Times New Roman" w:hAnsi="Times New Roman"/>
          <w:sz w:val="22"/>
          <w:szCs w:val="22"/>
          <w:color w:val="auto"/>
        </w:rPr>
        <w:t>Boston, MA 02210</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Attention: Kingsley L. Taft; Danielle Lauzon</w:t>
      </w:r>
    </w:p>
    <w:p>
      <w:pPr>
        <w:ind w:left="660"/>
        <w:spacing w:after="0"/>
        <w:rPr>
          <w:sz w:val="20"/>
          <w:szCs w:val="20"/>
          <w:color w:val="auto"/>
        </w:rPr>
      </w:pPr>
      <w:r>
        <w:rPr>
          <w:rFonts w:ascii="Times New Roman" w:cs="Times New Roman" w:eastAsia="Times New Roman" w:hAnsi="Times New Roman"/>
          <w:sz w:val="22"/>
          <w:szCs w:val="22"/>
          <w:color w:val="auto"/>
        </w:rPr>
        <w:t>Email: [***]; [***]</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Purchaser,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Royalty Pharma Investments 2019 ICAV</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RP Management, LLC</w:t>
      </w:r>
    </w:p>
    <w:p>
      <w:pPr>
        <w:ind w:left="660"/>
        <w:spacing w:after="0"/>
        <w:rPr>
          <w:sz w:val="20"/>
          <w:szCs w:val="20"/>
          <w:color w:val="auto"/>
        </w:rPr>
      </w:pPr>
      <w:r>
        <w:rPr>
          <w:rFonts w:ascii="Times New Roman" w:cs="Times New Roman" w:eastAsia="Times New Roman" w:hAnsi="Times New Roman"/>
          <w:sz w:val="22"/>
          <w:szCs w:val="22"/>
          <w:color w:val="auto"/>
        </w:rPr>
        <w:t>110 E. 59</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George Lloyd</w:t>
      </w: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Gibson, Dunn &amp; Crutcher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555 Mission Street</w:t>
      </w:r>
    </w:p>
    <w:p>
      <w:pPr>
        <w:ind w:left="660"/>
        <w:spacing w:after="0" w:line="230" w:lineRule="auto"/>
        <w:rPr>
          <w:sz w:val="20"/>
          <w:szCs w:val="20"/>
          <w:color w:val="auto"/>
        </w:rPr>
      </w:pPr>
      <w:r>
        <w:rPr>
          <w:rFonts w:ascii="Times New Roman" w:cs="Times New Roman" w:eastAsia="Times New Roman" w:hAnsi="Times New Roman"/>
          <w:sz w:val="22"/>
          <w:szCs w:val="22"/>
          <w:color w:val="auto"/>
        </w:rPr>
        <w:t>San Francisco, CA 94105</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Attention: Ryan Murr &amp; Karen Spindler</w:t>
      </w:r>
    </w:p>
    <w:p>
      <w:pPr>
        <w:ind w:left="660"/>
        <w:spacing w:after="0"/>
        <w:rPr>
          <w:sz w:val="20"/>
          <w:szCs w:val="20"/>
          <w:color w:val="auto"/>
        </w:rPr>
      </w:pPr>
      <w:r>
        <w:rPr>
          <w:rFonts w:ascii="Times New Roman" w:cs="Times New Roman" w:eastAsia="Times New Roman" w:hAnsi="Times New Roman"/>
          <w:sz w:val="22"/>
          <w:szCs w:val="22"/>
          <w:color w:val="auto"/>
        </w:rPr>
        <w:t>Email: [***]; [***]</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Each party hereto may, by notice given in accordance herewith to the other party hereto, designate any further or different address to which subsequent notices, consents, waivers and other communications shall be sent.</w:t>
      </w:r>
    </w:p>
    <w:p>
      <w:pPr>
        <w:spacing w:after="0" w:line="15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The provisions of this Agreement shall be binding upon and inure to the benefit of the parties hereto and their respective successors and permitted assigns. This Agreement, or any rights or obligations hereunder, may not be assigned by the Seller without the prior written consent of the Purchaser;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Seller may assign this Agreement in its entirety to any third party that acquires all or substantially all of the Seller’s business to which this Agreement relates, whether by merger, sale of assets or otherwise, so long as, (a) such assignee acquires all of the Seller’s right, title and interest in and to the BPM Technology, the License Agreement and this Agreement and (b) prior to closing any such transaction, the Seller causes such Person to deliver a writing to the Purchaser in which such Person assumes all of the obligations of the Seller to the Purchaser under this Agreement. This Agreement as a whole may not be assigned by the Purchaser without the prior written consent of the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Purchaser may assign its rights and obligations under this Agreement in its entirety to an Affiliate of the Purchaser or to any third party that acquires all or substantially all the Purchaser’s assets, whether by merger, sale of assets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prior to closing any such transaction, the Purchaser causes such assignee to deliver a writing to the Seller in which such Person assumes all of the obligations of the Purchaser to the Seller under this Agreement and (b) such assignee complies with Section‎ 5.12(b) (replacing “Purchaser” wherever it appears with such assignee and replacing “Closing Date” with the date of such assignment). Notwithstanding the foregoing, the Purchaser may assign its rights but not its obligations under this Agreement without the prior written consent of the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Purchaser promptly notifies the Seller of such assignment, (b) each such assignee complies with Section‎</w:t>
      </w:r>
    </w:p>
    <w:p>
      <w:pPr>
        <w:spacing w:after="0" w:line="1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 xml:space="preserve">5.12(b) (replacing “Purchaser” wherever it appears with such assignee and replacing “Closing Date” with the date that such assignee acquires an interest in the Purchaser’s rights hereunder), and (c) if the Purchaser assigns its right under this Agreement to more than one party, the Licensee shall not be requested or instructed to pay the Purchased Royalty Interest to more than one bank account. Any purported assignment in violation of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10.3 shall be null and void</w:t>
      </w:r>
    </w:p>
    <w:p>
      <w:pPr>
        <w:spacing w:after="0" w:line="17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Independent Nature of Relationship</w:t>
      </w:r>
      <w:r>
        <w:rPr>
          <w:rFonts w:ascii="Times New Roman" w:cs="Times New Roman" w:eastAsia="Times New Roman" w:hAnsi="Times New Roman"/>
          <w:sz w:val="22"/>
          <w:szCs w:val="22"/>
          <w:color w:val="auto"/>
        </w:rPr>
        <w:t>. The relationship between the Seller and the Purchaser is solely that of seller and purchaser, and neither the Seller nor the Purchaser has any fiduciary or other special relationship with the other party hereto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45" w:name="page146"/>
    <w:bookmarkEnd w:id="145"/>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Nothing contained herein or in any other Transaction Document shall be deemed to constitute the Seller and the Purchaser or any other party as a partnership, an association, a joint venture or any other kind of entity or legal form for U.S. federal income tax or other purposes.</w:t>
      </w:r>
    </w:p>
    <w:p>
      <w:pPr>
        <w:spacing w:after="0" w:line="17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Exhibits and Schedules hereto and the other Transaction Documents constitute a complete and exclusive statement of the terms of agreement between the parties hereto, and supersede all prior agreements, understandings and negotiations, both written and oral, between the parties hereto, with respect to the subject matter of this Agreement.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6"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PURCHASE AND SALE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w:t>
      </w:r>
    </w:p>
    <w:p>
      <w:pPr>
        <w:spacing w:after="0" w:line="181" w:lineRule="exact"/>
        <w:rPr>
          <w:rFonts w:ascii="Times New Roman" w:cs="Times New Roman" w:eastAsia="Times New Roman" w:hAnsi="Times New Roman"/>
          <w:sz w:val="22"/>
          <w:szCs w:val="22"/>
          <w:color w:val="auto"/>
        </w:rPr>
      </w:pPr>
    </w:p>
    <w:p>
      <w:pPr>
        <w:ind w:firstLine="1304"/>
        <w:spacing w:after="0" w:line="234"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applicable Law.</w:t>
      </w:r>
    </w:p>
    <w:p>
      <w:pPr>
        <w:spacing w:after="0" w:line="183" w:lineRule="exact"/>
        <w:rPr>
          <w:rFonts w:ascii="Times New Roman" w:cs="Times New Roman" w:eastAsia="Times New Roman" w:hAnsi="Times New Roman"/>
          <w:sz w:val="22"/>
          <w:szCs w:val="22"/>
          <w:color w:val="auto"/>
        </w:rPr>
      </w:pPr>
    </w:p>
    <w:p>
      <w:pPr>
        <w:ind w:right="100" w:firstLine="1304"/>
        <w:spacing w:after="0" w:line="249" w:lineRule="auto"/>
        <w:tabs>
          <w:tab w:leader="none" w:pos="194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Section</w:t>
      </w:r>
      <w:r>
        <w:rPr>
          <w:rFonts w:ascii="Times New Roman" w:cs="Times New Roman" w:eastAsia="Times New Roman" w:hAnsi="Times New Roman"/>
          <w:sz w:val="21"/>
          <w:szCs w:val="21"/>
          <w:b w:val="1"/>
          <w:bCs w:val="1"/>
          <w:color w:val="auto"/>
        </w:rPr>
        <w:t>‎</w:t>
      </w:r>
    </w:p>
    <w:p>
      <w:pPr>
        <w:spacing w:after="0" w:line="1" w:lineRule="exact"/>
        <w:rPr>
          <w:rFonts w:ascii="Times New Roman" w:cs="Times New Roman" w:eastAsia="Times New Roman" w:hAnsi="Times New Roman"/>
          <w:sz w:val="21"/>
          <w:szCs w:val="21"/>
          <w:color w:val="auto"/>
        </w:rPr>
      </w:pPr>
    </w:p>
    <w:p>
      <w:pPr>
        <w:ind w:right="2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10.6(b).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irrevocably consents to service of process in the manner provided</w:t>
      </w:r>
    </w:p>
    <w:p>
      <w:pPr>
        <w:spacing w:after="0" w:line="25" w:lineRule="exact"/>
        <w:rPr>
          <w:rFonts w:ascii="Times New Roman" w:cs="Times New Roman" w:eastAsia="Times New Roman" w:hAnsi="Times New Roman"/>
          <w:sz w:val="21"/>
          <w:szCs w:val="21"/>
          <w:color w:val="auto"/>
        </w:rPr>
      </w:pPr>
    </w:p>
    <w:p>
      <w:pPr>
        <w:ind w:right="6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notices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10.2. Nothing in this Agreement will affect the right of any party hereto to serve process in any other manner permitted by applicable Law. Each of the parties hereto waives personal service of any summons, complaint or other process, which may be made by any other means permitted by New York law.</w:t>
      </w:r>
    </w:p>
    <w:p>
      <w:pPr>
        <w:spacing w:after="0" w:line="17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146" w:name="page147"/>
    <w:bookmarkEnd w:id="146"/>
    <w:p>
      <w:pPr>
        <w:spacing w:after="0" w:line="234" w:lineRule="auto"/>
        <w:rPr>
          <w:sz w:val="20"/>
          <w:szCs w:val="20"/>
          <w:color w:val="auto"/>
        </w:rPr>
      </w:pPr>
      <w:r>
        <w:rPr>
          <w:rFonts w:ascii="Times New Roman" w:cs="Times New Roman" w:eastAsia="Times New Roman" w:hAnsi="Times New Roman"/>
          <w:sz w:val="22"/>
          <w:szCs w:val="22"/>
          <w:color w:val="auto"/>
        </w:rPr>
        <w:t xml:space="preserve">HAVE TO A TRIAL BY JURY IN ANY LEGAL PROCEEDING DIRECTLY OR INDIRECTLY ARISING OUT OF OR RELATING TO THIS PURCHASE AND SALE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PURCHASE AND SALE AGREEMENT BY, AMONG OTHER THINGS, THE MUTUAL WAIVERS AND CERTIFICATIONS IN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10.7.</w:t>
      </w:r>
    </w:p>
    <w:p>
      <w:pPr>
        <w:spacing w:after="0" w:line="18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provisions of this Agreement are held to be invalid, illegal or unenforceable by a court of competent jurisdiction, such invalidity, illegality or unenforceability shall not affect any other provision of this Agreement, which shall remain in full force and effect, and the parties hereto shall replace such invalid, illegal or unenforceable provision with a new provision permitted by applicable Law and having an economic effect as close as possible to the invalid, illegal or unenforceable provision. Any provision of this Agreement held invalid, illegal or unenforceable only in part or degree by a court of competent jurisdiction shall remain in full force and effect to the extent not held invalid, illegal or unenforceable.</w:t>
      </w:r>
    </w:p>
    <w:p>
      <w:pPr>
        <w:spacing w:after="0" w:line="18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Any counterpart may be executed by facsimile or Adobe™ Portable Document Format (PDF) sent by electronic mail or any electronic signature complying with the U.S. Federal ESIGN Act of 2000 will be deemed to be original signatures, will be valid and binding upon the parties, and, upon delivery, will constitute due execution of this Agreement.</w:t>
      </w:r>
    </w:p>
    <w:p>
      <w:pPr>
        <w:spacing w:after="0" w:line="18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Amendments; No Waivers</w:t>
      </w:r>
      <w:r>
        <w:rPr>
          <w:rFonts w:ascii="Times New Roman" w:cs="Times New Roman" w:eastAsia="Times New Roman" w:hAnsi="Times New Roman"/>
          <w:sz w:val="22"/>
          <w:szCs w:val="22"/>
          <w:color w:val="auto"/>
        </w:rPr>
        <w:t>. Neither this Agreement nor any term or provision hereof may be amended, supplemented, restated, waived, changed or modified except with the written consent of the parties hereto. No failure or delay by either party hereto in exercising any right, power or privilege hereunder shall operate as a waiver thereof nor shall any single or partial exercise thereof preclude any other or further exercise thereof or the exercise of any other right, power or privilege. No notice to or demand on either party hereto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spacing w:after="0" w:line="179"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Cumulative Remedies</w:t>
      </w:r>
      <w:r>
        <w:rPr>
          <w:rFonts w:ascii="Times New Roman" w:cs="Times New Roman" w:eastAsia="Times New Roman" w:hAnsi="Times New Roman"/>
          <w:sz w:val="22"/>
          <w:szCs w:val="22"/>
          <w:color w:val="auto"/>
        </w:rPr>
        <w:t>. The remedies herein provided are cumulative and not exclusive of any remedies provided by applicable Law. Without limiting the foregoing, the Seller hereby authorizes the Purchaser, at any time and from time to time, to the fullest extent permitted by applicable Law, to offset any amounts payable by the Purchaser to, 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47" w:name="page148"/>
    <w:bookmarkEnd w:id="147"/>
    <w:p>
      <w:pPr>
        <w:ind w:right="440"/>
        <w:spacing w:after="0" w:line="282" w:lineRule="auto"/>
        <w:rPr>
          <w:sz w:val="20"/>
          <w:szCs w:val="20"/>
          <w:color w:val="auto"/>
        </w:rPr>
      </w:pPr>
      <w:r>
        <w:rPr>
          <w:rFonts w:ascii="Times New Roman" w:cs="Times New Roman" w:eastAsia="Times New Roman" w:hAnsi="Times New Roman"/>
          <w:sz w:val="21"/>
          <w:szCs w:val="21"/>
          <w:color w:val="auto"/>
        </w:rPr>
        <w:t xml:space="preserve">account of, the Seller against any obligations of the Seller to the Purchaser arising in connection with the Transaction Documents (including amounts payable pursuant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Article VII) that are then due and payable.</w:t>
      </w:r>
    </w:p>
    <w:p>
      <w:pPr>
        <w:spacing w:after="0" w:line="13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Table of Contents and Headings</w:t>
      </w:r>
      <w:r>
        <w:rPr>
          <w:rFonts w:ascii="Times New Roman" w:cs="Times New Roman" w:eastAsia="Times New Roman" w:hAnsi="Times New Roman"/>
          <w:sz w:val="22"/>
          <w:szCs w:val="22"/>
          <w:color w:val="auto"/>
        </w:rPr>
        <w:t>. The Table of Contents and headings of the Articles and Sections of this Agreement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328" w:right="1239" w:bottom="1440" w:gutter="0" w:footer="0" w:header="0"/>
        </w:sectPr>
      </w:pPr>
    </w:p>
    <w:bookmarkStart w:id="148" w:name="page149"/>
    <w:bookmarkEnd w:id="14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Agreement to be duly executed by its authorized representative as of the day and year first written above.</w:t>
      </w:r>
    </w:p>
    <w:p>
      <w:pPr>
        <w:spacing w:after="0" w:line="17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33"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10795</wp:posOffset>
            </wp:positionV>
            <wp:extent cx="34118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Kathryn Haviland</w:t>
      </w:r>
    </w:p>
    <w:p>
      <w:pPr>
        <w:ind w:left="45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ROYALTY PHARMA INVESTMENTS 2019 ICAV</w:t>
      </w:r>
    </w:p>
    <w:p>
      <w:pPr>
        <w:spacing w:after="0" w:line="233" w:lineRule="exact"/>
        <w:rPr>
          <w:sz w:val="20"/>
          <w:szCs w:val="20"/>
          <w:color w:val="auto"/>
        </w:rPr>
      </w:pPr>
    </w:p>
    <w:p>
      <w:pPr>
        <w:ind w:left="4540" w:right="40" w:hanging="479"/>
        <w:spacing w:after="0" w:line="258" w:lineRule="auto"/>
        <w:tabs>
          <w:tab w:leader="none" w:pos="4520" w:val="left"/>
        </w:tabs>
        <w:rPr>
          <w:sz w:val="20"/>
          <w:szCs w:val="20"/>
          <w:color w:val="auto"/>
        </w:rPr>
      </w:pPr>
      <w:r>
        <w:rPr>
          <w:rFonts w:ascii="Times New Roman" w:cs="Times New Roman" w:eastAsia="Times New Roman" w:hAnsi="Times New Roman"/>
          <w:sz w:val="22"/>
          <w:szCs w:val="22"/>
          <w:color w:val="auto"/>
        </w:rPr>
        <w:t>By:</w:t>
        <w:tab/>
        <w:t>RP Management, LLC, its Manager and lawfully appointed attorney</w:t>
      </w:r>
    </w:p>
    <w:p>
      <w:pPr>
        <w:spacing w:after="0" w:line="200" w:lineRule="exact"/>
        <w:rPr>
          <w:sz w:val="20"/>
          <w:szCs w:val="20"/>
          <w:color w:val="auto"/>
        </w:rPr>
      </w:pPr>
    </w:p>
    <w:p>
      <w:pPr>
        <w:spacing w:after="0" w:line="228"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George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10795</wp:posOffset>
            </wp:positionV>
            <wp:extent cx="34118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George Lloyd</w:t>
      </w:r>
    </w:p>
    <w:p>
      <w:pPr>
        <w:ind w:left="4540"/>
        <w:spacing w:after="0" w:line="230" w:lineRule="auto"/>
        <w:rPr>
          <w:sz w:val="20"/>
          <w:szCs w:val="20"/>
          <w:color w:val="auto"/>
        </w:rPr>
      </w:pPr>
      <w:r>
        <w:rPr>
          <w:rFonts w:ascii="Times New Roman" w:cs="Times New Roman" w:eastAsia="Times New Roman" w:hAnsi="Times New Roman"/>
          <w:sz w:val="22"/>
          <w:szCs w:val="22"/>
          <w:color w:val="auto"/>
        </w:rPr>
        <w:t>Title: Executive Vice President, Investments</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544" w:right="1199" w:bottom="1440" w:gutter="0" w:footer="0" w:header="0"/>
        </w:sectPr>
      </w:pPr>
    </w:p>
    <w:bookmarkStart w:id="149" w:name="page150"/>
    <w:bookmarkEnd w:id="149"/>
    <w:p>
      <w:pPr>
        <w:ind w:left="880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2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1"/>
          <w:szCs w:val="21"/>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PURCHASE AND SALE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AND AMONG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BLUEPRINT MEDICINES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GARNICH ADJACENT INVESTMENTS S.A.R.L.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VARIOUS OTHER PURCHASERS FROM TIME TO TIME PARTY 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GARNICH ADJACENT INVESTMENTS S.À.R.L.,</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PURCHASER’S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1188720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69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6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Interpretations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38"/>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SALE AND ASSIGNMENT OF THE REVENUE PARTICIPATION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19"/>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Sale and Assignment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Price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Assumed Obligations, Etc.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ARTICLE 3 CLOSING</w:t>
            </w:r>
          </w:p>
        </w:tc>
        <w:tc>
          <w:tcPr>
            <w:tcW w:w="69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19"/>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 of Sale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38"/>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19"/>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Representations and Warranties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Purchaser’s Representations and Warranties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Implied Representations and Warranties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38"/>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CONDITIONS TO CLOSING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9"/>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the Purchasers’ Obligations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Company’s Obligations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ARTICLE 6 COVENANTS</w:t>
            </w:r>
          </w:p>
        </w:tc>
        <w:tc>
          <w:tcPr>
            <w:tcW w:w="69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9"/>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Payments; Revenue Participation; Revenue Payment Details; Repurchase Option;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of Control Payment.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Inspections and Audits of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In-Licenses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Out-Licenses.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Protective Covenants.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6.9</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 Diligence.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Efforts to Consummate Transactions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6.11</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592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9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(continued)</w:t>
            </w:r>
          </w:p>
        </w:tc>
        <w:tc>
          <w:tcPr>
            <w:tcW w:w="17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Interest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Anti-Terrorism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6.15</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9"/>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Indemnity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Claims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Liability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Remedy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7.5</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CONFIDENTIALITY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9"/>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3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ARTICLE 9 TERMINATION</w:t>
            </w:r>
          </w:p>
        </w:tc>
        <w:tc>
          <w:tcPr>
            <w:tcW w:w="59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9"/>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Automatic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PURCHASER’S REPRESENTATIVE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9"/>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Purchaser’s Representative.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and Duties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Immunity.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Purchaser’s Representative Entitled to Act as Purchaser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Purchasers’ Representations, Warranties and Acknowledgment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Purchaser’s Representative.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Agency for Perfection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10.9</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and Other Information; Confidentiality; Disclaimers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9"/>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11.5</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and Waiver.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11.6</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11.7</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11.8</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 LAW</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11.9</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JURISDICTION.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11.10</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11.11</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11.12</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11.13</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2" w:name="page153"/>
    <w:bookmarkEnd w:id="152"/>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Index of Exhibits, Schedules and Annexes</w:t>
      </w:r>
    </w:p>
    <w:p>
      <w:pPr>
        <w:spacing w:after="0" w:line="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Bill of Sale</w:t>
      </w: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Revenue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color w:val="auto"/>
        </w:rPr>
        <w:t>PURCHASE AND SALE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PURCHASE AND SALE AGREEMENT, dated as of June 30, 2022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by and among BLUEPRINT MEDICINES CORPORATION,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GARNICH ADJACENT INVESTMENTS S.À.R.L., the other Purchasers from time to time party hereto, and GARNICH ADJACENT INVESTMENTS S.À.R.L. (“</w:t>
      </w:r>
      <w:r>
        <w:rPr>
          <w:rFonts w:ascii="Times New Roman" w:cs="Times New Roman" w:eastAsia="Times New Roman" w:hAnsi="Times New Roman"/>
          <w:sz w:val="20"/>
          <w:szCs w:val="20"/>
          <w:u w:val="single" w:color="auto"/>
          <w:color w:val="auto"/>
        </w:rPr>
        <w:t>Garnich</w:t>
      </w:r>
      <w:r>
        <w:rPr>
          <w:rFonts w:ascii="Times New Roman" w:cs="Times New Roman" w:eastAsia="Times New Roman" w:hAnsi="Times New Roman"/>
          <w:sz w:val="20"/>
          <w:szCs w:val="20"/>
          <w:color w:val="auto"/>
        </w:rPr>
        <w:t>”), as representative for the Purchasers (in such capacity, “</w:t>
      </w:r>
      <w:r>
        <w:rPr>
          <w:rFonts w:ascii="Times New Roman" w:cs="Times New Roman" w:eastAsia="Times New Roman" w:hAnsi="Times New Roman"/>
          <w:sz w:val="20"/>
          <w:szCs w:val="20"/>
          <w:u w:val="single" w:color="auto"/>
          <w:color w:val="auto"/>
        </w:rPr>
        <w:t>Purchaser’s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Company is in the business of, among other things, developing and Commercializing the Products (as defined below); and</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Purchasers desire to purchase the Revenue Participation Rights (as defined below) from Company in exchange for payment of the Purchase Price (as defined below), and Company desires to sell the Revenue Participation Rights to the Purchasers in exchange for the Purchasers’ payment of the Purchase Price, in each case on the terms and conditions set forth in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representations, warranties, covenants and agreements set forth herein and for good and valuable consideration, the receipt and adequacy of which are hereby acknowledged, Company, the Purchasers and Purchaser’s Representative hereby agree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terms, as used herein, shall have the following meanings: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(a) to vote [***] or more of the securities having ordinary voting power for the election of directors of such Person or (b) to direct or cause the direction of the management and policies of that Person, whether through the ownership of voting securities or capital stock, by contract or otherwise. Notwithstanding anything herein to the contrary, in no event shall Purchaser’s Representative or any Purchaser or any of their Affiliates or Related Funds be considered an “Affiliate” of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defined in the preamble.</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Requirements of Law concerning or relating to bribery or corruption, including, without limitation, the United States Foreign Corrupt Practices Act of 1977,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anti-bribery and anti-corruption laws and regulations of those jurisdictions in which the Purchasers do business.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means any Requirement of Law relating to terrorism or money laundering, including, without limitation, (a) the Money Laundering Control Act of 1986 (i.e., 18 U.S.C. §§ 1956 and 1957), (b) the Currency and Foreign Transactions Reporting Act (31 U.S.C. §§ 5311-5330 and 12 U.S.C. §§ 1818(s), 1820(b) and 1951-1959) (the “Bank Secrecy Act”), (c) the USA PATRIOT Act, (d) the laws, regulations and Executive Orders administered by the United States Department of the Treasury’s Office of Foreign Assets Control (“OFAC”), (e) the Comprehensive Iran Sanctions, Accountability, and Divestment Act of 2010 and implementing regulations by the United States Department of the Treasury,</w:t>
      </w:r>
    </w:p>
    <w:p>
      <w:pPr>
        <w:spacing w:after="0" w:line="1" w:lineRule="exact"/>
        <w:rPr>
          <w:sz w:val="20"/>
          <w:szCs w:val="20"/>
          <w:color w:val="auto"/>
        </w:rPr>
      </w:pPr>
    </w:p>
    <w:p>
      <w:pPr>
        <w:jc w:val="both"/>
        <w:ind w:firstLine="8"/>
        <w:spacing w:after="0" w:line="241" w:lineRule="auto"/>
        <w:tabs>
          <w:tab w:leader="none" w:pos="25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prohibiting or directed against terrorist activities or the financing of terrorist activities (e.g.,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9.75%;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AYVAKIT Franchise Net Sales for the trailing four fiscal quarter period ending on [***] (as determined based upon the financial statements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and the reports delivered pursuant to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but subject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then such percentage will automatically increase to 15.00% [***].</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AYVAKIT</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AYVAKIT Franchise Net Sales</w:t>
      </w:r>
      <w:r>
        <w:rPr>
          <w:rFonts w:ascii="Times New Roman" w:cs="Times New Roman" w:eastAsia="Times New Roman" w:hAnsi="Times New Roman"/>
          <w:sz w:val="20"/>
          <w:szCs w:val="20"/>
          <w:color w:val="auto"/>
        </w:rPr>
        <w:t>” means aggregate worldwide Net Sales of the Products (excluding Net Sales of AYVAKIT in the CStone Territory).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as the meaning specified in the definition of “Anti-Terrorism Laws”.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Person</w:t>
      </w:r>
      <w:r>
        <w:rPr>
          <w:rFonts w:ascii="Times New Roman" w:cs="Times New Roman" w:eastAsia="Times New Roman" w:hAnsi="Times New Roman"/>
          <w:sz w:val="20"/>
          <w:szCs w:val="20"/>
          <w:color w:val="auto"/>
        </w:rPr>
        <w:t>” means any Person: (a) that is publicly identified (i) on the most current list of “Specially Designated Nationals and Blocked Persons” published by OFAC or resides, is organized or chartered, or has a place of business in a country or territory subject to OFAC sanctions or embargo program or (ii) as prohibited from doing business with the United States under the International Emergency Economic Powers Act, the Trading With the Enemy Act, or any other Anti-Terrorism Law; (b) that is owned or controlled by, or that owns or controls, or that is acting for or on behalf of, any Person described in clause (a) above; (c) which any Purchaser is prohibited from dealing or otherwise engaging in any transaction by any Anti-Terrorism Law; and (d) that is affiliated or associated with a Person described in clauses (a), (b), or (c)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BLU-263</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5" w:name="page156"/>
    <w:bookmarkEnd w:id="155"/>
    <w:p>
      <w:pPr>
        <w:jc w:val="both"/>
        <w:spacing w:after="0" w:line="269" w:lineRule="auto"/>
        <w:rPr>
          <w:sz w:val="20"/>
          <w:szCs w:val="20"/>
          <w:color w:val="auto"/>
        </w:rPr>
      </w:pPr>
      <w:r>
        <w:rPr>
          <w:rFonts w:ascii="Times New Roman" w:cs="Times New Roman" w:eastAsia="Times New Roman" w:hAnsi="Times New Roman"/>
          <w:sz w:val="20"/>
          <w:szCs w:val="20"/>
          <w:color w:val="auto"/>
        </w:rPr>
        <w:t>directors of such company or the sole member or the managing member thereof, and (d) with respect to any other Person, the board or committee of such Person serving a similar function.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a Saturday or Sunday or (b) a day on which banking institutions located in New York are permitted or required by applicable law or regulation to remain closed.</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as applied to any Person, any lease of any property by that Person as lessee which, in accordance with GAAP, is required to be accounted for as a capital lease on the balance sheet of that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the accounting for leases as either operating leases or capital leases and the impact of such accounting in accordance with FASB ASC 840, GAAP as in effect on December 31, 2018 shall be applied.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at any time, any of the following occurrences:</w:t>
      </w:r>
    </w:p>
    <w:p>
      <w:pPr>
        <w:spacing w:after="0" w:line="216" w:lineRule="exact"/>
        <w:rPr>
          <w:sz w:val="20"/>
          <w:szCs w:val="20"/>
          <w:color w:val="auto"/>
        </w:rPr>
      </w:pPr>
    </w:p>
    <w:p>
      <w:pPr>
        <w:jc w:val="both"/>
        <w:ind w:firstLine="656"/>
        <w:spacing w:after="0" w:line="243"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(i) shall have acquired beneficial ownership of [***] or more on a fully diluted basis of the voting and/or economic interest in the securities or capital stock of Company or (ii) shall have obtained the power (whether or not exercised) to elect a majority of the members of the Board of Directors (or similar governing body) of Company;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Repurchase Price</w:t>
      </w:r>
      <w:r>
        <w:rPr>
          <w:rFonts w:ascii="Times New Roman" w:cs="Times New Roman" w:eastAsia="Times New Roman" w:hAnsi="Times New Roman"/>
          <w:sz w:val="20"/>
          <w:szCs w:val="20"/>
          <w:color w:val="auto"/>
        </w:rPr>
        <w:t>” means (i) on or before [***] the Purchase Price multiplied by [***], (ii) on or before [***] the Purchase Price multiplied by [***] (iii) [***] the Purchase Price multiplied by [***].</w:t>
      </w:r>
    </w:p>
    <w:p>
      <w:pPr>
        <w:spacing w:after="0" w:line="159" w:lineRule="exact"/>
        <w:rPr>
          <w:sz w:val="20"/>
          <w:szCs w:val="20"/>
          <w:color w:val="auto"/>
        </w:rPr>
      </w:pPr>
    </w:p>
    <w:p>
      <w:pPr>
        <w:ind w:right="4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Clinical Trial</w:t>
      </w:r>
      <w:r>
        <w:rPr>
          <w:rFonts w:ascii="Times New Roman" w:cs="Times New Roman" w:eastAsia="Times New Roman" w:hAnsi="Times New Roman"/>
          <w:sz w:val="20"/>
          <w:szCs w:val="20"/>
          <w:color w:val="auto"/>
        </w:rPr>
        <w:t>” means a clinical trial intended to support the Marketing Approval or Commercialization of any Product.</w:t>
      </w:r>
    </w:p>
    <w:p>
      <w:pPr>
        <w:spacing w:after="0" w:line="15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Clinical Updates</w:t>
      </w:r>
      <w:r>
        <w:rPr>
          <w:rFonts w:ascii="Times New Roman" w:cs="Times New Roman" w:eastAsia="Times New Roman" w:hAnsi="Times New Roman"/>
          <w:sz w:val="20"/>
          <w:szCs w:val="20"/>
          <w:color w:val="auto"/>
        </w:rPr>
        <w:t>” means (a) a summary of any material updates with respect to the Clinical Trials (other than those conducted pursuant to the CStone License that are not a Global Clinical Trial), including the number of patients currently enrolled in each such Clinical Trial, the number of sites conducting each such Clinical Trial, the material progress of each such Clinical Trial, any material modifications to each such Clinical Trial, including any changes to the primary and/or secondary endpoints or changes to the statistical analysis plan or any adverse events in the Clinical Trials, (b) written plans to start new Clinical Trials (other than those conducted pursuant to the CStone License that are not a Global Clinical Trial), and (c) investigator brochures for a Product (other than in respect of Clinical Trials conducted pursuant to the CStone License). Copies of internal presentations or reports of summaries of such material information or developments, and copies of presentations or reports received by the Seller from any Third Party, to the extent such presentations or reports include any applicable information required in the immediately preceding sentence, may constitute Clinical Updates with respect to such applicable information.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CMC</w:t>
      </w:r>
      <w:r>
        <w:rPr>
          <w:rFonts w:ascii="Times New Roman" w:cs="Times New Roman" w:eastAsia="Times New Roman" w:hAnsi="Times New Roman"/>
          <w:sz w:val="20"/>
          <w:szCs w:val="20"/>
          <w:color w:val="auto"/>
        </w:rPr>
        <w:t>” means chemistry, manufacturing and controls with respect to a Product.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 the Products [***] (b) all Product Rights, (c) all other tangible and intangible assets necessary for or material to the research, development, manufacture, use, approval or Commercialization of any Product, and (d) all products and proceeds (as defined in the UCC)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6" w:name="page157"/>
    <w:bookmarkEnd w:id="156"/>
    <w:p>
      <w:pPr>
        <w:spacing w:after="0" w:line="269" w:lineRule="auto"/>
        <w:rPr>
          <w:sz w:val="20"/>
          <w:szCs w:val="20"/>
          <w:color w:val="auto"/>
        </w:rPr>
      </w:pPr>
      <w:r>
        <w:rPr>
          <w:rFonts w:ascii="Times New Roman" w:cs="Times New Roman" w:eastAsia="Times New Roman" w:hAnsi="Times New Roman"/>
          <w:sz w:val="20"/>
          <w:szCs w:val="20"/>
          <w:color w:val="auto"/>
        </w:rPr>
        <w:t>foregoing (including all accounts and payment intangibles (each as defined in the UCC) arising from the sale, license or other disposition of the Products or Product Rights by Company or any Subsidiary) [***].</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Combination Product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304"/>
        <w:spacing w:after="0" w:line="254" w:lineRule="auto"/>
        <w:tabs>
          <w:tab w:leader="none" w:pos="19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pharmaceutical formulation (whether co-formulated or administered together via the same administration route) containing as its active ingredients both a Product and one or more other therapeutically or prophylactically active pharmaceutical or biologic ingredients (each an “</w:t>
      </w:r>
      <w:r>
        <w:rPr>
          <w:rFonts w:ascii="Times New Roman" w:cs="Times New Roman" w:eastAsia="Times New Roman" w:hAnsi="Times New Roman"/>
          <w:sz w:val="20"/>
          <w:szCs w:val="20"/>
          <w:u w:val="single" w:color="auto"/>
          <w:color w:val="auto"/>
        </w:rPr>
        <w:t>Other Component</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ind w:firstLine="1304"/>
        <w:spacing w:after="0" w:line="295" w:lineRule="auto"/>
        <w:tabs>
          <w:tab w:leader="none" w:pos="194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combination therapy comprised of a Product and one or more Other Component(s), whether priced and sold in a single package containing such multiple products, packaged separately but sold together for a single price,</w:t>
      </w:r>
    </w:p>
    <w:p>
      <w:pPr>
        <w:spacing w:after="0" w:line="13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or by equivalent foreign Government Authority on the basis of supranational or national law. All references to Products in this Agreement shall be deemed to include Combination Products.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 Updates</w:t>
      </w:r>
      <w:r>
        <w:rPr>
          <w:rFonts w:ascii="Times New Roman" w:cs="Times New Roman" w:eastAsia="Times New Roman" w:hAnsi="Times New Roman"/>
          <w:sz w:val="19"/>
          <w:szCs w:val="19"/>
          <w:color w:val="auto"/>
        </w:rPr>
        <w:t>” means a summary of material updates with respect to Company’s and its Affiliates’ and any Licensee’s sales and marketing activities (including, without limitation, details on units of Product sold and net price per unit in each jurisdiction and the achievement of any development, sales, regulatory or other milestone event set forth in each Out-License) and, if material, commercial manufacturing matters with respect to a Product. Copies of internal presentations or reports of summaries of such material information or developments, and copies of presentations or reports received by the Seller from any Third Party, to the extent such presentations or reports include any applicable information required in the immediately preceding sentence, may constitute Commercial Updates with respect to such applicable information.</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Commercialization</w:t>
      </w:r>
      <w:r>
        <w:rPr>
          <w:rFonts w:ascii="Times New Roman" w:cs="Times New Roman" w:eastAsia="Times New Roman" w:hAnsi="Times New Roman"/>
          <w:sz w:val="20"/>
          <w:szCs w:val="20"/>
          <w:color w:val="auto"/>
        </w:rPr>
        <w:t>” means any and all activities directed to the distribution, marketing, detailing, promotion, selling and securing of reimbursement of a Product (including the using, importing, selling and offering for sale of such Product), and shall include post-Marketing Approval studies to the extent required by a Regulatory Authority, post-launch marketing, promoting, detailing, distributing, selling such Product, importing, exporting or transporting such Product for sale, and regulatory compliance with respect to the foregoing. When used as a verb, “</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shall mean to engage in Commercialization. Except with respect to post-Marketing Approval studies required by a Regulatory Authority, Commercialization shall not include any activities directed to the research or development (including pre-clinical and clinical development) or manufacture of a Product.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Commercially Reasonable Efforts</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defined in the preamble.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Certificate</w:t>
      </w:r>
      <w:r>
        <w:rPr>
          <w:rFonts w:ascii="Times New Roman" w:cs="Times New Roman" w:eastAsia="Times New Roman" w:hAnsi="Times New Roman"/>
          <w:sz w:val="20"/>
          <w:szCs w:val="20"/>
          <w:color w:val="auto"/>
        </w:rPr>
        <w:t>” is defined in Section‎ 5.1(g).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-10795</wp:posOffset>
            </wp:positionV>
            <wp:extent cx="711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Indemnified Parties</w:t>
      </w:r>
      <w:r>
        <w:rPr>
          <w:rFonts w:ascii="Times New Roman" w:cs="Times New Roman" w:eastAsia="Times New Roman" w:hAnsi="Times New Roman"/>
          <w:sz w:val="20"/>
          <w:szCs w:val="20"/>
          <w:color w:val="auto"/>
        </w:rPr>
        <w:t>” is defined in Section‎ 7.1(b).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-10795</wp:posOffset>
            </wp:positionV>
            <wp:extent cx="711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Partner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4.1(g)(i)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 mortgage, deed of trust, contract, undertaking, agreement, license or other instrument to which that Person is a party or by which it or any of its properties is bound or to which it or any of its properties is subject.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w:t>
      </w:r>
      <w:r>
        <w:rPr>
          <w:rFonts w:ascii="Times New Roman" w:cs="Times New Roman" w:eastAsia="Times New Roman" w:hAnsi="Times New Roman"/>
          <w:sz w:val="20"/>
          <w:szCs w:val="20"/>
          <w:color w:val="auto"/>
        </w:rPr>
        <w:t>” means CStone Pharmaceuticals, a corporation organized under the laws of the Cayman Islands.</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 License</w:t>
      </w:r>
      <w:r>
        <w:rPr>
          <w:rFonts w:ascii="Times New Roman" w:cs="Times New Roman" w:eastAsia="Times New Roman" w:hAnsi="Times New Roman"/>
          <w:sz w:val="20"/>
          <w:szCs w:val="20"/>
          <w:color w:val="auto"/>
        </w:rPr>
        <w:t>” means that certain License and Collaboration Agreement, dated June 1, 2018, by and between Company and CStone, as amended from time to time [***].</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 Territory</w:t>
      </w:r>
      <w:r>
        <w:rPr>
          <w:rFonts w:ascii="Times New Roman" w:cs="Times New Roman" w:eastAsia="Times New Roman" w:hAnsi="Times New Roman"/>
          <w:sz w:val="20"/>
          <w:szCs w:val="20"/>
          <w:color w:val="auto"/>
        </w:rPr>
        <w:t>” means each of (i) the People’s Republic of China, (ii) the Hong Kong Special Administrative Region of the People’s Republic of China, (iii) the Macao Special Administrative Region of the People’s Republic of China, and (iv) Taiwan.</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means customer lists, correspondence, data, submissions and licensing and purchasing histories relating to customers of Company or any Subsidiary, and all other reports, information and documentation collected or maintained by Company or any Subsidiary regarding purchasers of Company products and the visitors to websites owned or controlled by Company or any of its Subsidiaries.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General Data Protection Regulation (and all laws implementing or supplementing it), the California Consumer Privacy Act, and Section 5 of the Federal Trade Commission Act.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Disclosure Schedule</w:t>
      </w:r>
      <w:r>
        <w:rPr>
          <w:rFonts w:ascii="Times New Roman" w:cs="Times New Roman" w:eastAsia="Times New Roman" w:hAnsi="Times New Roman"/>
          <w:sz w:val="20"/>
          <w:szCs w:val="20"/>
          <w:color w:val="auto"/>
        </w:rPr>
        <w:t>” means the Disclosure Schedule, dated as of the date hereof, delivered to Purchaser’s Representative and the Purchasers by Company concurrently with the execution of this Agreement.</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Distributor</w:t>
      </w:r>
      <w:r>
        <w:rPr>
          <w:rFonts w:ascii="Times New Roman" w:cs="Times New Roman" w:eastAsia="Times New Roman" w:hAnsi="Times New Roman"/>
          <w:sz w:val="20"/>
          <w:szCs w:val="20"/>
          <w:color w:val="auto"/>
        </w:rPr>
        <w:t>” means any Third Party that purchases Product in finished form from Company or its Affiliates, or sublicensees that take title to such Product, and distributes such Product directly to customers, but does not develop or manufacture such Product and does not make any royalty, profit-share, or other payment to Company or its Affiliates or sublicensees, other than payment for the purchase of Product for resale.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means the date on which this Agreement becomes effective pursuant to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EMA</w:t>
      </w:r>
      <w:r>
        <w:rPr>
          <w:rFonts w:ascii="Times New Roman" w:cs="Times New Roman" w:eastAsia="Times New Roman" w:hAnsi="Times New Roman"/>
          <w:sz w:val="20"/>
          <w:szCs w:val="20"/>
          <w:color w:val="auto"/>
        </w:rPr>
        <w:t>” means the European Medicines Agency, or any successor agency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Commission</w:t>
      </w:r>
      <w:r>
        <w:rPr>
          <w:rFonts w:ascii="Times New Roman" w:cs="Times New Roman" w:eastAsia="Times New Roman" w:hAnsi="Times New Roman"/>
          <w:sz w:val="20"/>
          <w:szCs w:val="20"/>
          <w:color w:val="auto"/>
        </w:rPr>
        <w:t>” means the European Union (EU) executive arm.</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In-License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4.1(h)(i)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Licenses</w:t>
      </w:r>
      <w:r>
        <w:rPr>
          <w:rFonts w:ascii="Times New Roman" w:cs="Times New Roman" w:eastAsia="Times New Roman" w:hAnsi="Times New Roman"/>
          <w:sz w:val="20"/>
          <w:szCs w:val="20"/>
          <w:color w:val="auto"/>
        </w:rPr>
        <w:t>” means the Existing In-Licenses and the Existing Out-Licenses.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Out-License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4.1(h)(ii)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FD&amp;C Act</w:t>
      </w:r>
      <w:r>
        <w:rPr>
          <w:rFonts w:ascii="Times New Roman" w:cs="Times New Roman" w:eastAsia="Times New Roman" w:hAnsi="Times New Roman"/>
          <w:sz w:val="20"/>
          <w:szCs w:val="20"/>
          <w:color w:val="auto"/>
        </w:rPr>
        <w:t>” means the United States Federal Food, Drug, and Cosmetic Act.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U.S. Food and Drug Administration, or any successor agency thereto.</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 Laws</w:t>
      </w:r>
      <w:r>
        <w:rPr>
          <w:rFonts w:ascii="Times New Roman" w:cs="Times New Roman" w:eastAsia="Times New Roman" w:hAnsi="Times New Roman"/>
          <w:sz w:val="20"/>
          <w:szCs w:val="20"/>
          <w:color w:val="auto"/>
        </w:rPr>
        <w:t>” means all applicable statutes, rules, regulations, standards, guidelines, policies and orders and Requirements of Law administered, implemented, enforced or issued by FDA or any comparable Governmental Authority.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Programs</w:t>
      </w:r>
      <w:r>
        <w:rPr>
          <w:rFonts w:ascii="Times New Roman" w:cs="Times New Roman" w:eastAsia="Times New Roman" w:hAnsi="Times New Roman"/>
          <w:sz w:val="20"/>
          <w:szCs w:val="20"/>
          <w:color w:val="auto"/>
        </w:rPr>
        <w:t>” shall mean the Medicare, Medicaid and TRICARE programs and any other state or federal health care program, as defined in 42 U.S.C. § 1320a-7b(f).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Field Report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Date</w:t>
      </w:r>
      <w:r>
        <w:rPr>
          <w:rFonts w:ascii="Times New Roman" w:cs="Times New Roman" w:eastAsia="Times New Roman" w:hAnsi="Times New Roman"/>
          <w:sz w:val="20"/>
          <w:szCs w:val="20"/>
          <w:color w:val="auto"/>
        </w:rPr>
        <w:t>” means July 22, 2022.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in effect from time to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Garnich</w:t>
      </w:r>
      <w:r>
        <w:rPr>
          <w:rFonts w:ascii="Times New Roman" w:cs="Times New Roman" w:eastAsia="Times New Roman" w:hAnsi="Times New Roman"/>
          <w:sz w:val="20"/>
          <w:szCs w:val="20"/>
          <w:color w:val="auto"/>
        </w:rPr>
        <w:t>” is defined in the preamble.</w:t>
      </w:r>
    </w:p>
    <w:p>
      <w:pPr>
        <w:spacing w:after="0" w:line="21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Clinical Trial</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means a clinical trial for any Product the data from which, at the time of commencement, is intended to be used to obtain Marketing Approval both inside [***] and in any of the following: [***].</w:t>
      </w:r>
    </w:p>
    <w:p>
      <w:pPr>
        <w:spacing w:after="0" w:line="1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or a foreign entity or government. [***].</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Gross Sales</w:t>
      </w:r>
      <w:r>
        <w:rPr>
          <w:rFonts w:ascii="Times New Roman" w:cs="Times New Roman" w:eastAsia="Times New Roman" w:hAnsi="Times New Roman"/>
          <w:sz w:val="20"/>
          <w:szCs w:val="20"/>
          <w:color w:val="auto"/>
        </w:rPr>
        <w:t>” is defined in the definition of “Net Sales”.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Gross-Up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Health Care Program Laws</w:t>
      </w:r>
      <w:r>
        <w:rPr>
          <w:rFonts w:ascii="Times New Roman" w:cs="Times New Roman" w:eastAsia="Times New Roman" w:hAnsi="Times New Roman"/>
          <w:sz w:val="20"/>
          <w:szCs w:val="20"/>
          <w:color w:val="auto"/>
        </w:rPr>
        <w:t>” means collectively, (a) federal Medicare or federal or state Medicaid statutes, (b) Sections 1128, 1128A, 1128B, 1128C, 1128G, and 1877 of the Social Security Act (42 U.S.C. §§ 1320a-7, 1320a-7a, 1320a-7b, 1320a-7c, 1320a-7h and 1395nn), (c) the federal TRICARE statute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59" w:name="page160"/>
    <w:bookmarkEnd w:id="159"/>
    <w:p>
      <w:pPr>
        <w:jc w:val="both"/>
        <w:spacing w:after="0" w:line="242" w:lineRule="auto"/>
        <w:rPr>
          <w:sz w:val="20"/>
          <w:szCs w:val="20"/>
          <w:color w:val="auto"/>
        </w:rPr>
      </w:pPr>
      <w:r>
        <w:rPr>
          <w:rFonts w:ascii="Times New Roman" w:cs="Times New Roman" w:eastAsia="Times New Roman" w:hAnsi="Times New Roman"/>
          <w:sz w:val="20"/>
          <w:szCs w:val="20"/>
          <w:color w:val="auto"/>
        </w:rPr>
        <w:t>U.S.C. § 1071 et seq.), (d) the civil False Claims Act of 1863 (31 U.S.C. § 3729 et seq.), (e) criminal false claims statutes (e.g., 18 U.S.C. §§ 286, 287 and 1001), (f) the Program Fraud Civil Remedies Act of 1986 (31 U.S.C. § 3801 et seq.), (g) criminal fraud provisions under HIPAA, (h) federal and state Requirements of Law related to healthcare, health care professionals or other health care participants, or relationships with health care providers, suppliers, distributors, manufacturers and patients, and the pricing, sale and reimbursement of health care items or services, (i) Requirements of Law regarding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(j) any other Requirements of Law that directly or indirectly govern the health care industry, programs of Governmental Authorities; and (k) each as amended and the regulations promulgated thereunder.</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HIPAA</w:t>
      </w:r>
      <w:r>
        <w:rPr>
          <w:rFonts w:ascii="Times New Roman" w:cs="Times New Roman" w:eastAsia="Times New Roman" w:hAnsi="Times New Roman"/>
          <w:sz w:val="20"/>
          <w:szCs w:val="20"/>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and/or security of patient-identifying health care information, including with respect to notification of breach of privacy or security of such information.</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Improvements</w:t>
      </w:r>
      <w:r>
        <w:rPr>
          <w:rFonts w:ascii="Times New Roman" w:cs="Times New Roman" w:eastAsia="Times New Roman" w:hAnsi="Times New Roman"/>
          <w:sz w:val="20"/>
          <w:szCs w:val="20"/>
          <w:color w:val="auto"/>
        </w:rPr>
        <w:t>” means any improvement, invention or discovery relating to a Product, including the formulation, or the method of manufacture of a Product.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In-License</w:t>
      </w:r>
      <w:r>
        <w:rPr>
          <w:rFonts w:ascii="Times New Roman" w:cs="Times New Roman" w:eastAsia="Times New Roman" w:hAnsi="Times New Roman"/>
          <w:sz w:val="19"/>
          <w:szCs w:val="19"/>
          <w:color w:val="auto"/>
        </w:rPr>
        <w:t>” means any license, settlement agreement or other agreement or arrangement between Company or any of its Affiliates and any Third Party pursuant to which Company or any of its Affiliates obtains a license or a covenant not to sue or similar grant of rights to any Patents or other intellectual property rights of such Third Party that is necessary for or material to the research, development, manufacture, use or Commercialization of a Product, other than the CStone License.</w:t>
      </w:r>
    </w:p>
    <w:p>
      <w:pPr>
        <w:spacing w:after="0" w:line="1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any indebtedness for borrowed money, any obligation evidenced by a note, bond, debenture or similar instrument, or any guarantee of any of the foregoing.</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10.5(d)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Event</w:t>
      </w:r>
      <w:r>
        <w:rPr>
          <w:rFonts w:ascii="Times New Roman" w:cs="Times New Roman" w:eastAsia="Times New Roman" w:hAnsi="Times New Roman"/>
          <w:sz w:val="20"/>
          <w:szCs w:val="20"/>
          <w:color w:val="auto"/>
        </w:rPr>
        <w:t>” means (A) (i) a court of competent jurisdiction shall enter a decree or order for relief in respect of Company or any of its Subsidiaries in an involuntary case under any Debtor Relief Law, which decree or order is not stayed; or any other similar relief shall be granted under any applicable federal or state law; or (ii) an involuntary case shall be commenced against Company or any of its Subsidiaries under any Debtor Relief Law; or a decree or order of a court having jurisdiction in the premises for the appointment of a receiver, administrator, liquidator, sequestrator, trustee, custodian or other officer having similar powers over Company or any of its Subsidiaries, or over all or a substantial part of its property, shall have been entered; or there shall have occurred the involuntary appointment of an interim receiver, administrator, trustee or other custodian of Company or any of its Subsidiaries for all or a substantial part of its property; or a warrant of attachment, execution or similar process shall have been issued against any substantial part of the property of Company or any of its Subsidiaries, and any such event described in this clause (ii) shall continue for [***] without having been dismissed, bonded or discharged; or (B)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0" w:name="page161"/>
    <w:bookmarkEnd w:id="160"/>
    <w:p>
      <w:pPr>
        <w:jc w:val="both"/>
        <w:spacing w:after="0" w:line="242" w:lineRule="auto"/>
        <w:rPr>
          <w:sz w:val="20"/>
          <w:szCs w:val="20"/>
          <w:color w:val="auto"/>
        </w:rPr>
      </w:pPr>
      <w:r>
        <w:rPr>
          <w:rFonts w:ascii="Times New Roman" w:cs="Times New Roman" w:eastAsia="Times New Roman" w:hAnsi="Times New Roman"/>
          <w:sz w:val="20"/>
          <w:szCs w:val="20"/>
          <w:color w:val="auto"/>
        </w:rPr>
        <w:t>Company or any of its Subsidiaries shall have an order for relief entered with respect to it or shall commence a voluntary case under any Debtor Relief Law,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Company or any of its Subsidiaries shall make any assignment for the benefit of creditors; or (ii) Company or any of its Subsidiaries shall be unable, or shall fail generally, or shall admit in writing its inability, to pay its debts as such debts become due; or (C) Company or any Subsidiary shall be insolvent as defined in any Debtor Relief Law, including, without limitation, any statute of the Bankruptcy Code, in the fraudulent conveyance or fraudulent transfer statutes of the State of Delaware or other applicable jurisdiction of organization; or (D) the Board of Directors (or similar governing body) of Company or any of its Subsidiaries shall adopt any resolution or otherwise authorize any action to approve any of the actions referred to in this definition.</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Product Rights</w:t>
      </w:r>
      <w:r>
        <w:rPr>
          <w:rFonts w:ascii="Times New Roman" w:cs="Times New Roman" w:eastAsia="Times New Roman" w:hAnsi="Times New Roman"/>
          <w:sz w:val="20"/>
          <w:szCs w:val="20"/>
          <w:color w:val="auto"/>
        </w:rPr>
        <w:t>” means any and all of the following as they exist throughout the world at any time: (a) the Intellectual Property Rights; (b) rights in registered and unregistered trademarks, service marks, trade names, trade dress, logos, packaging design, slogans and Internet domain names, and registrations and applications for registration of any of the foregoing, in each case, necessary for or material to the research, development, manufacture, use or Commercialization of any or all Products, that are owned, in-licensed, or otherwise subject to a right to use by Company or any of its Affiliates; and (c) any and all other intellectual property rights and/or proprietary rights, whether or not patentable, that are owned, in-licensed otherwise subject to a right to use by Company or any of its Affiliates that are necessary for or material to the research, development, manufacture, use or Commercialization of any or all Products.</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any and all of the following as they exist throughout the world at any time: (a) the Patent Rights and (b) the Know-How Rights.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Updates</w:t>
      </w:r>
      <w:r>
        <w:rPr>
          <w:rFonts w:ascii="Times New Roman" w:cs="Times New Roman" w:eastAsia="Times New Roman" w:hAnsi="Times New Roman"/>
          <w:sz w:val="20"/>
          <w:szCs w:val="20"/>
          <w:color w:val="auto"/>
        </w:rPr>
        <w:t>” means an updated list of the Patent Rights, including any new Patents issued, filed or applied for, amended or supplemented that constitute Patent Rights, or any abandonments or other termination of prosecution with respect to any of the Patent Rights, and any other material information or developments with respect to the Intellectual Property Rights.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shall mean the Senior Lender Intercreditor Agreement dated as of the date hereof among TAO Talents, LLC, as administrative agent under the Senior Secured Credit Facility, and the Purchaser’s Representative, as may be amended, restated, amended and restated, supplemented, replaced or otherwise modified from time to time in accordance with the terms set forth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means any judgment, order, writ, injunction, citation, award or decree of any nature.</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 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1" w:name="page162"/>
    <w:bookmarkEnd w:id="161"/>
    <w:p>
      <w:pPr>
        <w:jc w:val="both"/>
        <w:spacing w:after="0" w:line="269" w:lineRule="auto"/>
        <w:rPr>
          <w:sz w:val="20"/>
          <w:szCs w:val="20"/>
          <w:color w:val="auto"/>
        </w:rPr>
      </w:pPr>
      <w:r>
        <w:rPr>
          <w:rFonts w:ascii="Times New Roman" w:cs="Times New Roman" w:eastAsia="Times New Roman" w:hAnsi="Times New Roman"/>
          <w:sz w:val="20"/>
          <w:szCs w:val="20"/>
          <w:color w:val="auto"/>
        </w:rPr>
        <w:t>and the like, in written, electronic, oral or other tangible or intangible form, patentable or otherwise, which are not generally known.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 Rights</w:t>
      </w:r>
      <w:r>
        <w:rPr>
          <w:rFonts w:ascii="Times New Roman" w:cs="Times New Roman" w:eastAsia="Times New Roman" w:hAnsi="Times New Roman"/>
          <w:sz w:val="20"/>
          <w:szCs w:val="20"/>
          <w:color w:val="auto"/>
        </w:rPr>
        <w:t>” means any and all Know-How that is owned, in-licensed or otherwise subject to a right to use by Company or any of its Affiliates or under which Company or any of its Affiliates is or may become empowered to grant licenses and is necessary for or material to the research, development, manufacture, use or Commercialization of a Product.</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Knowledge of Company</w:t>
      </w:r>
      <w:r>
        <w:rPr>
          <w:rFonts w:ascii="Times New Roman" w:cs="Times New Roman" w:eastAsia="Times New Roman" w:hAnsi="Times New Roman"/>
          <w:sz w:val="20"/>
          <w:szCs w:val="20"/>
          <w:color w:val="auto"/>
        </w:rPr>
        <w:t>” means the actual knowledge, after due inquiry, of the individuals listed on Schedule 1.1 of the Disclosure Schedule (and any replacement of such individual in identical position or having substantially similar responsibility).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Licensee</w:t>
      </w:r>
      <w:r>
        <w:rPr>
          <w:rFonts w:ascii="Times New Roman" w:cs="Times New Roman" w:eastAsia="Times New Roman" w:hAnsi="Times New Roman"/>
          <w:sz w:val="20"/>
          <w:szCs w:val="20"/>
          <w:color w:val="auto"/>
        </w:rPr>
        <w:t>” means, with respect to any Product, a Third Party to whom Company or any Affiliate of Company has granted a license, sublicense or other right to Commercialize such Product, excluding CStone solely in its capacity as a licensee under the CStone License.</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w:t>
      </w:r>
      <w:r>
        <w:rPr>
          <w:rFonts w:ascii="Times New Roman" w:cs="Times New Roman" w:eastAsia="Times New Roman" w:hAnsi="Times New Roman"/>
          <w:sz w:val="20"/>
          <w:szCs w:val="20"/>
          <w:color w:val="auto"/>
        </w:rPr>
        <w:t>” means any and all Judgments, damages, losses, claims, costs, liabilities and expenses, including reasonable fees and out-of-pocket expenses of counsel.</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Purchasers</w:t>
      </w:r>
      <w:r>
        <w:rPr>
          <w:rFonts w:ascii="Times New Roman" w:cs="Times New Roman" w:eastAsia="Times New Roman" w:hAnsi="Times New Roman"/>
          <w:sz w:val="20"/>
          <w:szCs w:val="20"/>
          <w:color w:val="auto"/>
        </w:rPr>
        <w:t>” means Purchasers who hold, in the aggregate, at least 50.1% of the Revenue Participation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Marketing Approval</w:t>
      </w:r>
      <w:r>
        <w:rPr>
          <w:rFonts w:ascii="Times New Roman" w:cs="Times New Roman" w:eastAsia="Times New Roman" w:hAnsi="Times New Roman"/>
          <w:sz w:val="20"/>
          <w:szCs w:val="20"/>
          <w:color w:val="auto"/>
        </w:rPr>
        <w:t>” means, an NDA approved by the FDA, a Marketing Authorization Application approved by the European Commission under the centralized European procedure, or any corresponding non-U.S. or non-EMA application, registration or certification (excluding such applications, registrations or certifications in the CStone Territory) necessary for or material to the marketing of a Product approved by the corresponding Regulatory Authority, including pricing and reimbursement approvals where required.</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an adverse effect in any material respect on the Revenue Participation Rights or the timing, duration or amount of the Revenue Payments, or (b) a material adverse effect on (i) a Product, (ii) any of the Intellectual Property Rights, including Company’s rights in or to any Intellectual Property Rights, (iii) any Marketing Approval of a Product or the timing thereof, (iv) the legality, validity, binding effect, or enforceability against Company of any Transaction Document, (v) the ability of Company to fully and timely perform its obligations under any Transaction Document, (vi) the rights and remedies of Purchaser’s Representative and any Purchaser under any Transaction Document, or (vii) the business operations, properties, assets, condition (financial or otherwise), or liabilities of Company and its Subsidiaries taken as a whole.</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Regulatory Liabilities</w:t>
      </w:r>
      <w:r>
        <w:rPr>
          <w:rFonts w:ascii="Times New Roman" w:cs="Times New Roman" w:eastAsia="Times New Roman" w:hAnsi="Times New Roman"/>
          <w:sz w:val="20"/>
          <w:szCs w:val="20"/>
          <w:color w:val="auto"/>
        </w:rPr>
        <w:t>” means (a)(i) any liabilities arising from the violation of FDA Laws, Public Health Laws, Health Care Program Laws, and other applicable comparable Requirements of Law, or the terms, conditions of or requirements applicable to any Registrations (including costs of actions required under applicable Requirements of Law, including FDA Laws and Health Care Program Laws, or necessary to remedy any violation of any terms or conditions applicable to any Registrations),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but not limited to, withdrawal of approval, recall, revocation, suspension, import detention and seizure of any Product, and</w:t>
      </w:r>
    </w:p>
    <w:p>
      <w:pPr>
        <w:spacing w:after="0" w:line="22" w:lineRule="exact"/>
        <w:rPr>
          <w:sz w:val="20"/>
          <w:szCs w:val="20"/>
          <w:color w:val="auto"/>
        </w:rPr>
      </w:pPr>
    </w:p>
    <w:p>
      <w:pPr>
        <w:ind w:firstLine="8"/>
        <w:spacing w:after="0" w:line="246" w:lineRule="auto"/>
        <w:tabs>
          <w:tab w:leader="none" w:pos="29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 of recurring annual revenues as a result of any loss, suspension or limitation of any Registrations, which, in the case of the foregoing clauses (i) and (ii), exceed [***] individually or in the aggregate, or (b) any Material Adverse Effect.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Return Date</w:t>
      </w:r>
      <w:r>
        <w:rPr>
          <w:rFonts w:ascii="Times New Roman" w:cs="Times New Roman" w:eastAsia="Times New Roman" w:hAnsi="Times New Roman"/>
          <w:sz w:val="20"/>
          <w:szCs w:val="20"/>
          <w:color w:val="auto"/>
        </w:rPr>
        <w:t>” means the latest of the following dates: (a) the date on which the Purchasers have received aggregate Revenue Payments equal to or greater than [***]; (b) the date on which [***] and (c) the date on or after each of the conditions set forth in the preceding clauses (a) and (b) have been satisfied [***].</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NDA</w:t>
      </w:r>
      <w:r>
        <w:rPr>
          <w:rFonts w:ascii="Times New Roman" w:cs="Times New Roman" w:eastAsia="Times New Roman" w:hAnsi="Times New Roman"/>
          <w:sz w:val="20"/>
          <w:szCs w:val="20"/>
          <w:color w:val="auto"/>
        </w:rPr>
        <w:t>” means a New Drug Application submitted to the FDA in the United States in accordance with the FD&amp;C Act with respect to a pharmaceutical product or any analogous application or submission with any comparable Regulatory Authority outside of the United States.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Sales</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is defined in the definition of “Public Health Laws”.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any and all obligations of Company under the Transaction Documents.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specified in the definition of “Anti-Terrorism Laws”.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 Sanctions Programs</w:t>
      </w:r>
      <w:r>
        <w:rPr>
          <w:rFonts w:ascii="Times New Roman" w:cs="Times New Roman" w:eastAsia="Times New Roman" w:hAnsi="Times New Roman"/>
          <w:sz w:val="20"/>
          <w:szCs w:val="20"/>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Component</w:t>
      </w:r>
      <w:r>
        <w:rPr>
          <w:rFonts w:ascii="Times New Roman" w:cs="Times New Roman" w:eastAsia="Times New Roman" w:hAnsi="Times New Roman"/>
          <w:sz w:val="20"/>
          <w:szCs w:val="20"/>
          <w:color w:val="auto"/>
        </w:rPr>
        <w:t>” is defined in the definition of “Combination Products”.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Out-License</w:t>
      </w:r>
      <w:r>
        <w:rPr>
          <w:rFonts w:ascii="Times New Roman" w:cs="Times New Roman" w:eastAsia="Times New Roman" w:hAnsi="Times New Roman"/>
          <w:sz w:val="20"/>
          <w:szCs w:val="20"/>
          <w:color w:val="auto"/>
        </w:rPr>
        <w:t>” means any exclusive or co-exclusive license or sublicense of Intellectual Property Rights by Company or any of its Subsidiaries to a Third Party to market, detail, promote, sell, secure reimbursement of, or otherwise Commercialize the Product; provided, however, that “Out-License” shall not include a license granted for the sole purposing of conduct research of a Product or any license granted to Third Party that is a Distributor, solely in its capacity as a Distributor.</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Rights</w:t>
      </w:r>
      <w:r>
        <w:rPr>
          <w:rFonts w:ascii="Times New Roman" w:cs="Times New Roman" w:eastAsia="Times New Roman" w:hAnsi="Times New Roman"/>
          <w:sz w:val="20"/>
          <w:szCs w:val="20"/>
          <w:color w:val="auto"/>
        </w:rPr>
        <w:t>” means any and all Patents (including any existing or future Patents covering any Improvements) owned, in-licensed or otherwise subject to a right to use by Company or any of its Affiliates or under which Company or any of its Affiliates is or may become empowered to grant licenses necessary for or material to the research, development, manufacture, use, marketing, promotion, sale or distribution of a Product.</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means any and all patents and patent applications existing as of the date of this Agreement and all patent applications filed hereafter,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Intercreditor Agreement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License</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of Product Rights, whether exclusive or non-exclusive, other than Out-Licenses;</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Out-License of any Product Rights that allows the licensee to market, detail, promote, sell, secure reimbursement of or otherwise Commercialize Products solely outside of the United States and its territories; and</w:t>
      </w:r>
    </w:p>
    <w:p>
      <w:pPr>
        <w:spacing w:after="0" w:line="159" w:lineRule="exact"/>
        <w:rPr>
          <w:rFonts w:ascii="Times New Roman" w:cs="Times New Roman" w:eastAsia="Times New Roman" w:hAnsi="Times New Roman"/>
          <w:sz w:val="20"/>
          <w:szCs w:val="20"/>
          <w:color w:val="auto"/>
        </w:rPr>
      </w:pPr>
    </w:p>
    <w:p>
      <w:pPr>
        <w:ind w:firstLine="656"/>
        <w:spacing w:after="0" w:line="295" w:lineRule="auto"/>
        <w:tabs>
          <w:tab w:leader="none" w:pos="1296"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transfer, sponsored research, co-development or similar agreement providing for the research or development of a Product and funding thereof, that does not grant Commercialization rights with respect to such Product;</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each case, any such Permitted License (i) [***] (ii) in the case of Out-Licenses, permits the disclosure of royalty and similar reports to Purchaser’s Representative and the Purchasers in accordance with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and (iii)</w:t>
      </w:r>
    </w:p>
    <w:p>
      <w:pPr>
        <w:spacing w:after="0" w:line="2" w:lineRule="exact"/>
        <w:rPr>
          <w:sz w:val="20"/>
          <w:szCs w:val="20"/>
          <w:color w:val="auto"/>
        </w:rPr>
      </w:pPr>
    </w:p>
    <w:p>
      <w:pPr>
        <w:ind w:left="480" w:hanging="472"/>
        <w:spacing w:after="0"/>
        <w:tabs>
          <w:tab w:leader="none" w:pos="4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ABL Facility</w:t>
      </w:r>
      <w:r>
        <w:rPr>
          <w:rFonts w:ascii="Times New Roman" w:cs="Times New Roman" w:eastAsia="Times New Roman" w:hAnsi="Times New Roman"/>
          <w:sz w:val="20"/>
          <w:szCs w:val="20"/>
          <w:color w:val="auto"/>
        </w:rPr>
        <w:t xml:space="preserve"> ” means Indebtedness of Company or any of its Subsidiaries under one working capital revolving credit facility, in an amount not to exceed [***]; provided that (a) such Indebtedness, if secured, is secured solely by Company’s and its Subsidiaries’ accounts receivable, inventory and segregated cash proceeds of the foregoing, and (b) the holders or lenders thereof have executed and delivered to Purchaser’s Representative an intercreditor agreement reasonably satisfactory to Purchaser’s Representative and the Majority Purchasers (which, for the avoidance of doubt, may provide that such Permitted ABL Facility has priority on the assets securing such Permitted ABL Facility, other than the portion thereof relating to Revenue Payments).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the following:</w:t>
      </w:r>
    </w:p>
    <w:p>
      <w:pPr>
        <w:spacing w:after="0" w:line="216" w:lineRule="exact"/>
        <w:rPr>
          <w:sz w:val="20"/>
          <w:szCs w:val="20"/>
          <w:color w:val="auto"/>
        </w:rPr>
      </w:pPr>
    </w:p>
    <w:p>
      <w:pPr>
        <w:ind w:firstLine="1304"/>
        <w:spacing w:after="0" w:line="26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Purchaser’s Representative for the benefit of the Purchasers and granted pursuant to any Transaction Document;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(other than Liens for Taxes that have priority over Purchaser’s Representative’s Liens) (i) not yet due and payable or (ii) if obligations with respect to such Taxes are being contested in good faith by appropriate proceedings promptly instituted and diligently conducted and reserves required by GAAP have been made;</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incurred in the ordinary course of business for amounts not yet overdue;</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entered into with customers, vendors or suppliers of such Person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Licenses;</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on deposit in one or more accounts maintained by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4" w:name="page165"/>
    <w:bookmarkEnd w:id="164"/>
    <w:p>
      <w:pPr>
        <w:jc w:val="both"/>
        <w:spacing w:after="0" w:line="246" w:lineRule="auto"/>
        <w:rPr>
          <w:sz w:val="20"/>
          <w:szCs w:val="20"/>
          <w:color w:val="auto"/>
        </w:rPr>
      </w:pPr>
      <w:r>
        <w:rPr>
          <w:rFonts w:ascii="Times New Roman" w:cs="Times New Roman" w:eastAsia="Times New Roman" w:hAnsi="Times New Roman"/>
          <w:sz w:val="20"/>
          <w:szCs w:val="20"/>
          <w:color w:val="auto"/>
        </w:rPr>
        <w:t>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provided, that, unless such Liens are non-consensual and arise by operation of law, in no case shall any such Liens secure (either directly or indirectly) the repayment of any Indebtedness;</w:t>
      </w:r>
    </w:p>
    <w:p>
      <w:pPr>
        <w:spacing w:after="0" w:line="185" w:lineRule="exact"/>
        <w:rPr>
          <w:sz w:val="20"/>
          <w:szCs w:val="20"/>
          <w:color w:val="auto"/>
        </w:rPr>
      </w:pPr>
    </w:p>
    <w:p>
      <w:pPr>
        <w:ind w:right="20" w:firstLine="1304"/>
        <w:spacing w:after="0" w:line="269"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4 208 of the UCC in effect in the relevant jurisdiction covering only the items being collected upon;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under (i) the Senior Secured Credit Facility, subject to the Intercreditor Agreement, and (ii) any Indebtedness of Company issued in exchange for, or the net proceeds of which are used to renew, refund, refinance, replace, defease or discharge the Senior Secured Credit Facility, subject to a Permitted Intercreditor Agreement;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or sublicensing of any Intellectual Property Rights in the ordinary course of business which does not materially interfere with the ordinary conduct of the business of Company or any of its Subsidiaries and which is otherwise permitted under this Agreement;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any Permitted ABL Facility;</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 and</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firm, corporation, company, partnership, limited liability company, trust, joint venture, association, estate, trust, Governmental Authority or other entity, enterprise, association or organization.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that identifies or can be used to identify a natural person, including any information defined as “personal data,” “personally identifiable information,” “personal information,” “protected health information,” or “nonpublic personal information” under applicable Data Protection Laws.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 Intellectual Property</w:t>
      </w:r>
      <w:r>
        <w:rPr>
          <w:rFonts w:ascii="Times New Roman" w:cs="Times New Roman" w:eastAsia="Times New Roman" w:hAnsi="Times New Roman"/>
          <w:sz w:val="20"/>
          <w:szCs w:val="20"/>
          <w:color w:val="auto"/>
        </w:rPr>
        <w:t>” means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prime rate published by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from time to time, as the prime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means, individually and collectively, AYVAKIT and BLU-263.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Agreement</w:t>
      </w:r>
      <w:r>
        <w:rPr>
          <w:rFonts w:ascii="Times New Roman" w:cs="Times New Roman" w:eastAsia="Times New Roman" w:hAnsi="Times New Roman"/>
          <w:sz w:val="20"/>
          <w:szCs w:val="20"/>
          <w:color w:val="auto"/>
        </w:rPr>
        <w:t>” means any Out-License and any In-License.</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Rights</w:t>
      </w:r>
      <w:r>
        <w:rPr>
          <w:rFonts w:ascii="Times New Roman" w:cs="Times New Roman" w:eastAsia="Times New Roman" w:hAnsi="Times New Roman"/>
          <w:sz w:val="20"/>
          <w:szCs w:val="20"/>
          <w:color w:val="auto"/>
        </w:rPr>
        <w:t>” means any and all of the following, as they exist throughout the world, to the extent necessary for or material to the research, development, manufacture, use or Commercialization of any Product: (a) Intellectual Property Product Rights, (b) regulatory filings, submissions and approvals, including Marketing Approvals, with or from any Regulatory Authorities with respect to any of the Products, (c) Product Agreements, and (d) other Third Party agreements.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 a Purchaser’s right to receive Revenue Payments, the percentage obtained by dividing (i) such Purchaser’s Revenue Participation Right, by (ii) the aggregate Revenue Participation Rights. As of the Effective Date, each Purchaser’s Pro Rata Share is set forth below such Purchaser’s signature or in an applicable Assignment Agreement.</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Health Laws</w:t>
      </w:r>
      <w:r>
        <w:rPr>
          <w:rFonts w:ascii="Times New Roman" w:cs="Times New Roman" w:eastAsia="Times New Roman" w:hAnsi="Times New Roman"/>
          <w:sz w:val="20"/>
          <w:szCs w:val="20"/>
          <w:color w:val="auto"/>
        </w:rPr>
        <w:t>” means all Requirements of Law relating to the procurement, development, clinical and non-clinical evaluation, product approval or licensure, manufacture, production, analysis, wholesale,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all applicable regulations promulgated by the National Institutes of Health (“</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and codified at Title 42 of the Code of Federal Regulations, and guidance, compliance, guides, and other policies issued by the FDA, the NIH and other comparable governmental authorities, as well as applicable Requirements of Law relating to the licensure of entities that manufacture or distribute drugs, biologics, or other regulated product.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Purchaser’s Representative</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Purchaser’s Representative’s Account</w:t>
      </w:r>
      <w:r>
        <w:rPr>
          <w:rFonts w:ascii="Times New Roman" w:cs="Times New Roman" w:eastAsia="Times New Roman" w:hAnsi="Times New Roman"/>
          <w:sz w:val="20"/>
          <w:szCs w:val="20"/>
          <w:color w:val="auto"/>
        </w:rPr>
        <w:t>” shall mean an account at a bank designated by Purchaser’s Representative from time to time as the account into which Company shall make all payments to Purchaser’s Representative under this Agreement and the other Transaction Documents.</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Purchasers</w:t>
      </w:r>
      <w:r>
        <w:rPr>
          <w:rFonts w:ascii="Times New Roman" w:cs="Times New Roman" w:eastAsia="Times New Roman" w:hAnsi="Times New Roman"/>
          <w:sz w:val="20"/>
          <w:szCs w:val="20"/>
          <w:color w:val="auto"/>
        </w:rPr>
        <w:t xml:space="preserve">” means Garnich Adjacent Investments S.à.r.l. and any other Person that becomes a party hereto as Purchaser pursuant to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other than any Person that ceases to be a party hereto as a Purchaser as a result of any assignment pursuant to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Deadline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shall mean authorizations, approvals, licenses, permits, certificates, registrations, listings, certificates, or exemptions of or issued by any Governmental Authority (including Marketing Approvals, investigational new drug applications, product recertifications, manufacturing approvals and authorizations, pricing and reimbursement approvals, labeling approvals or their foreign equivalent)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6" w:name="page167"/>
    <w:bookmarkEnd w:id="166"/>
    <w:p>
      <w:pPr>
        <w:jc w:val="both"/>
        <w:spacing w:after="0" w:line="269" w:lineRule="auto"/>
        <w:rPr>
          <w:sz w:val="20"/>
          <w:szCs w:val="20"/>
          <w:color w:val="auto"/>
        </w:rPr>
      </w:pPr>
      <w:r>
        <w:rPr>
          <w:rFonts w:ascii="Times New Roman" w:cs="Times New Roman" w:eastAsia="Times New Roman" w:hAnsi="Times New Roman"/>
          <w:sz w:val="20"/>
          <w:szCs w:val="20"/>
          <w:color w:val="auto"/>
        </w:rPr>
        <w:t>are required for the research, development, manufacture, commercialization, distribution, marketing, storage, transportation, pricing, Governmental Authority reimbursement, use and sale of Products.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Action</w:t>
      </w:r>
      <w:r>
        <w:rPr>
          <w:rFonts w:ascii="Times New Roman" w:cs="Times New Roman" w:eastAsia="Times New Roman" w:hAnsi="Times New Roman"/>
          <w:sz w:val="20"/>
          <w:szCs w:val="20"/>
          <w:color w:val="auto"/>
        </w:rPr>
        <w:t>” 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the NIH or a comparable Governmental Authority in any other regulatory jurisdiction, including any inspectional observations recorded on a Form FDA 483, any Establishment Inspection Report, and any written request from FDA or equivalent supranational or foreign Regulatory Authority for a regulatory meeting.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means any national or supranational Governmental Authority, including the FDA, the European Commission, the EMA or such equivalent regulatory authority, or any successor agency thereto, that has responsibility in granting a Marketing Approval.</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Updates</w:t>
      </w:r>
      <w:r>
        <w:rPr>
          <w:rFonts w:ascii="Times New Roman" w:cs="Times New Roman" w:eastAsia="Times New Roman" w:hAnsi="Times New Roman"/>
          <w:sz w:val="20"/>
          <w:szCs w:val="20"/>
          <w:color w:val="auto"/>
        </w:rPr>
        <w:t>” means a summary of any and all material information and developments that materially impact a Product with respect to any regulatory approvals, filings or submissions made to the FDA, EMA (or, to the extent the EMA is not applicable, the Regulatory Authority for Germany, the United Kingdom, France, Spain and Italy) and the Regulatory Authority for Japan. Copies of internal presentations or reports of summaries of such material information or developments, and copies of presentations or reports received by Company from any Third Party, to the extent such presentations or reports include any applicable information required in the immediately preceding sentence, may constitute Regulatory Updates with respect to such applicable information.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is defined in the definition of “Net Sales”.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Representative</w:t>
      </w:r>
      <w:r>
        <w:rPr>
          <w:rFonts w:ascii="Times New Roman" w:cs="Times New Roman" w:eastAsia="Times New Roman" w:hAnsi="Times New Roman"/>
          <w:sz w:val="19"/>
          <w:szCs w:val="19"/>
          <w:color w:val="auto"/>
        </w:rPr>
        <w:t>” means, with respect to any Person, (a) any direct or indirect member or partner of such Person and</w:t>
      </w:r>
    </w:p>
    <w:p>
      <w:pPr>
        <w:spacing w:after="0" w:line="33" w:lineRule="exact"/>
        <w:rPr>
          <w:sz w:val="20"/>
          <w:szCs w:val="20"/>
          <w:color w:val="auto"/>
        </w:rPr>
      </w:pPr>
    </w:p>
    <w:p>
      <w:pPr>
        <w:jc w:val="both"/>
        <w:ind w:firstLine="8"/>
        <w:spacing w:after="0" w:line="242" w:lineRule="auto"/>
        <w:tabs>
          <w:tab w:leader="none" w:pos="28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Repurchase Option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Repurchase Option Closing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Repurchase Price</w:t>
      </w:r>
      <w:r>
        <w:rPr>
          <w:rFonts w:ascii="Times New Roman" w:cs="Times New Roman" w:eastAsia="Times New Roman" w:hAnsi="Times New Roman"/>
          <w:sz w:val="20"/>
          <w:szCs w:val="20"/>
          <w:color w:val="auto"/>
        </w:rPr>
        <w:t>” means an amount equal to (i) on or before [***] the Purchase Price multiplied by [***] (ii) on or before [***] the Purchase Price multiplied by [***] (iii) after [***] the Purchase Price multiplied by [***].</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7" w:name="page168"/>
    <w:bookmarkEnd w:id="167"/>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License</w:t>
      </w:r>
      <w:r>
        <w:rPr>
          <w:rFonts w:ascii="Times New Roman" w:cs="Times New Roman" w:eastAsia="Times New Roman" w:hAnsi="Times New Roman"/>
          <w:sz w:val="20"/>
          <w:szCs w:val="20"/>
          <w:color w:val="auto"/>
        </w:rPr>
        <w:t>” means any Product Agreement that (i) cannot be collaterally assigned to secure the Obligations or otherwise contains provisions that restrict or penalize the granting of a security interest in or Lien on such Product Agreement or the related Intellectual Property Rights and/or (ii) restricts the ability of Company or its Subsidiary (as the case may be) to assign such Product Agreement to the applicable purchaser upon the sale or other disposition of all or substantially all of the assets to which such Product Agreement relates (other than customary provisions requiring the assumption by the applicable purchaser of all obligations under such Product Agreement).</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Participation Rights</w:t>
      </w:r>
      <w:r>
        <w:rPr>
          <w:rFonts w:ascii="Times New Roman" w:cs="Times New Roman" w:eastAsia="Times New Roman" w:hAnsi="Times New Roman"/>
          <w:sz w:val="20"/>
          <w:szCs w:val="20"/>
          <w:color w:val="auto"/>
        </w:rPr>
        <w:t>” means the Purchasers’ rights to receive the Revenue Payments on account of Net Sales of Products on or after the Funding Date and prior to the Revenue Payment Termination Date. Each Purchaser’s Pro Rata Share of the Revenue Participation Rights shall be referred to herein as such Purchaser’s “</w:t>
      </w:r>
      <w:r>
        <w:rPr>
          <w:rFonts w:ascii="Times New Roman" w:cs="Times New Roman" w:eastAsia="Times New Roman" w:hAnsi="Times New Roman"/>
          <w:sz w:val="20"/>
          <w:szCs w:val="20"/>
          <w:u w:val="single" w:color="auto"/>
          <w:color w:val="auto"/>
        </w:rPr>
        <w:t>Revenue Participation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Payment Cap</w:t>
      </w:r>
      <w:r>
        <w:rPr>
          <w:rFonts w:ascii="Times New Roman" w:cs="Times New Roman" w:eastAsia="Times New Roman" w:hAnsi="Times New Roman"/>
          <w:sz w:val="20"/>
          <w:szCs w:val="20"/>
          <w:color w:val="auto"/>
        </w:rPr>
        <w:t xml:space="preserve">” means an amount equal to (i) prior to or on [***] the Purchase Price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1.45, or (ii) after [***] the Purchase Price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1.85.</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Payment Termination Date</w:t>
      </w:r>
      <w:r>
        <w:rPr>
          <w:rFonts w:ascii="Times New Roman" w:cs="Times New Roman" w:eastAsia="Times New Roman" w:hAnsi="Times New Roman"/>
          <w:sz w:val="20"/>
          <w:szCs w:val="20"/>
          <w:color w:val="auto"/>
        </w:rPr>
        <w:t>” means the earlier of (i) the date [***] or (ii) the date [***].</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Payments</w:t>
      </w:r>
      <w:r>
        <w:rPr>
          <w:rFonts w:ascii="Times New Roman" w:cs="Times New Roman" w:eastAsia="Times New Roman" w:hAnsi="Times New Roman"/>
          <w:sz w:val="20"/>
          <w:szCs w:val="20"/>
          <w:color w:val="auto"/>
        </w:rPr>
        <w:t xml:space="preserve">” means, for each calendar quarter, an amount payable to the Purchasers equal to the amount of AYVAKIT Franchise Net Sales during such calendar quarter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Revenue Rate.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Rate</w:t>
      </w:r>
      <w:r>
        <w:rPr>
          <w:rFonts w:ascii="Times New Roman" w:cs="Times New Roman" w:eastAsia="Times New Roman" w:hAnsi="Times New Roman"/>
          <w:sz w:val="20"/>
          <w:szCs w:val="20"/>
          <w:color w:val="auto"/>
        </w:rPr>
        <w:t>” means the applicable percentage based upon the portion of the corresponding AYVAKIT Franchise Net Sales in a calendar year as set forth in the chart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980" w:type="dxa"/>
            <w:vAlign w:val="bottom"/>
            <w:tcBorders>
              <w:top w:val="single" w:sz="8" w:color="auto"/>
              <w:left w:val="single" w:sz="8" w:color="auto"/>
              <w:right w:val="single" w:sz="8" w:color="auto"/>
            </w:tcBorders>
            <w:gridSpan w:val="2"/>
          </w:tcPr>
          <w:p>
            <w:pPr>
              <w:ind w:left="240"/>
              <w:spacing w:after="0" w:line="216" w:lineRule="exact"/>
              <w:rPr>
                <w:sz w:val="20"/>
                <w:szCs w:val="20"/>
                <w:color w:val="auto"/>
              </w:rPr>
            </w:pPr>
            <w:r>
              <w:rPr>
                <w:rFonts w:ascii="Times New Roman" w:cs="Times New Roman" w:eastAsia="Times New Roman" w:hAnsi="Times New Roman"/>
                <w:sz w:val="20"/>
                <w:szCs w:val="20"/>
                <w:b w:val="1"/>
                <w:bCs w:val="1"/>
                <w:color w:val="auto"/>
              </w:rPr>
              <w:t>Payment Tiers based on Annual AYVAKIT Franchise</w:t>
            </w:r>
          </w:p>
        </w:tc>
        <w:tc>
          <w:tcPr>
            <w:tcW w:w="49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Revenue Rate Applicable to Each Net Sales Tier</w:t>
            </w:r>
          </w:p>
        </w:tc>
      </w:tr>
      <w:tr>
        <w:trPr>
          <w:trHeight w:val="262"/>
        </w:trPr>
        <w:tc>
          <w:tcPr>
            <w:tcW w:w="400" w:type="dxa"/>
            <w:vAlign w:val="bottom"/>
            <w:tcBorders>
              <w:left w:val="single" w:sz="8" w:color="auto"/>
            </w:tcBorders>
          </w:tcPr>
          <w:p>
            <w:pPr>
              <w:spacing w:after="0"/>
              <w:rPr>
                <w:sz w:val="22"/>
                <w:szCs w:val="22"/>
                <w:color w:val="auto"/>
              </w:rPr>
            </w:pPr>
          </w:p>
        </w:tc>
        <w:tc>
          <w:tcPr>
            <w:tcW w:w="45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4940" w:type="dxa"/>
            <w:vAlign w:val="bottom"/>
            <w:tcBorders>
              <w:right w:val="single" w:sz="8" w:color="auto"/>
            </w:tcBorders>
          </w:tcPr>
          <w:p>
            <w:pPr>
              <w:spacing w:after="0"/>
              <w:rPr>
                <w:sz w:val="22"/>
                <w:szCs w:val="22"/>
                <w:color w:val="auto"/>
              </w:rPr>
            </w:pPr>
          </w:p>
        </w:tc>
      </w:tr>
      <w:tr>
        <w:trPr>
          <w:trHeight w:val="102"/>
        </w:trPr>
        <w:tc>
          <w:tcPr>
            <w:tcW w:w="400" w:type="dxa"/>
            <w:vAlign w:val="bottom"/>
            <w:tcBorders>
              <w:left w:val="single" w:sz="8" w:color="auto"/>
              <w:bottom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r>
      <w:tr>
        <w:trPr>
          <w:trHeight w:val="200"/>
        </w:trPr>
        <w:tc>
          <w:tcPr>
            <w:tcW w:w="40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A.</w:t>
            </w:r>
          </w:p>
        </w:tc>
        <w:tc>
          <w:tcPr>
            <w:tcW w:w="45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Annual AYVAKIT Franchise Net Sales of up to and</w:t>
            </w:r>
          </w:p>
        </w:tc>
        <w:tc>
          <w:tcPr>
            <w:tcW w:w="49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Applicable Percentage (as defined in this Agreement)</w:t>
            </w:r>
          </w:p>
        </w:tc>
      </w:tr>
      <w:tr>
        <w:trPr>
          <w:trHeight w:val="258"/>
        </w:trPr>
        <w:tc>
          <w:tcPr>
            <w:tcW w:w="400" w:type="dxa"/>
            <w:vAlign w:val="bottom"/>
            <w:tcBorders>
              <w:left w:val="single" w:sz="8" w:color="auto"/>
            </w:tcBorders>
          </w:tcPr>
          <w:p>
            <w:pPr>
              <w:spacing w:after="0"/>
              <w:rPr>
                <w:sz w:val="22"/>
                <w:szCs w:val="22"/>
                <w:color w:val="auto"/>
              </w:rPr>
            </w:pPr>
          </w:p>
        </w:tc>
        <w:tc>
          <w:tcPr>
            <w:tcW w:w="4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including $900,000,000</w:t>
            </w:r>
          </w:p>
        </w:tc>
        <w:tc>
          <w:tcPr>
            <w:tcW w:w="4940" w:type="dxa"/>
            <w:vAlign w:val="bottom"/>
            <w:tcBorders>
              <w:right w:val="single" w:sz="8" w:color="auto"/>
            </w:tcBorders>
          </w:tcPr>
          <w:p>
            <w:pPr>
              <w:spacing w:after="0"/>
              <w:rPr>
                <w:sz w:val="22"/>
                <w:szCs w:val="22"/>
                <w:color w:val="auto"/>
              </w:rPr>
            </w:pPr>
          </w:p>
        </w:tc>
      </w:tr>
      <w:tr>
        <w:trPr>
          <w:trHeight w:val="102"/>
        </w:trPr>
        <w:tc>
          <w:tcPr>
            <w:tcW w:w="400" w:type="dxa"/>
            <w:vAlign w:val="bottom"/>
            <w:tcBorders>
              <w:left w:val="single" w:sz="8" w:color="auto"/>
              <w:bottom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r>
      <w:tr>
        <w:trPr>
          <w:trHeight w:val="200"/>
        </w:trPr>
        <w:tc>
          <w:tcPr>
            <w:tcW w:w="40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B.</w:t>
            </w:r>
          </w:p>
        </w:tc>
        <w:tc>
          <w:tcPr>
            <w:tcW w:w="45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Annual AYVAKIT Franchise Net Sales exceeding</w:t>
            </w:r>
          </w:p>
        </w:tc>
        <w:tc>
          <w:tcPr>
            <w:tcW w:w="49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0%</w:t>
            </w:r>
          </w:p>
        </w:tc>
      </w:tr>
      <w:tr>
        <w:trPr>
          <w:trHeight w:val="258"/>
        </w:trPr>
        <w:tc>
          <w:tcPr>
            <w:tcW w:w="400" w:type="dxa"/>
            <w:vAlign w:val="bottom"/>
            <w:tcBorders>
              <w:left w:val="single" w:sz="8" w:color="auto"/>
            </w:tcBorders>
          </w:tcPr>
          <w:p>
            <w:pPr>
              <w:spacing w:after="0"/>
              <w:rPr>
                <w:sz w:val="22"/>
                <w:szCs w:val="22"/>
                <w:color w:val="auto"/>
              </w:rPr>
            </w:pPr>
          </w:p>
        </w:tc>
        <w:tc>
          <w:tcPr>
            <w:tcW w:w="4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$900,000,000</w:t>
            </w:r>
          </w:p>
        </w:tc>
        <w:tc>
          <w:tcPr>
            <w:tcW w:w="4940" w:type="dxa"/>
            <w:vAlign w:val="bottom"/>
            <w:tcBorders>
              <w:right w:val="single" w:sz="8" w:color="auto"/>
            </w:tcBorders>
          </w:tcPr>
          <w:p>
            <w:pPr>
              <w:spacing w:after="0"/>
              <w:rPr>
                <w:sz w:val="22"/>
                <w:szCs w:val="22"/>
                <w:color w:val="auto"/>
              </w:rPr>
            </w:pPr>
          </w:p>
        </w:tc>
      </w:tr>
      <w:tr>
        <w:trPr>
          <w:trHeight w:val="102"/>
        </w:trPr>
        <w:tc>
          <w:tcPr>
            <w:tcW w:w="400" w:type="dxa"/>
            <w:vAlign w:val="bottom"/>
            <w:tcBorders>
              <w:left w:val="single" w:sz="8" w:color="auto"/>
              <w:bottom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r>
    </w:tbl>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Monetization Transaction</w:t>
      </w:r>
      <w:r>
        <w:rPr>
          <w:rFonts w:ascii="Times New Roman" w:cs="Times New Roman" w:eastAsia="Times New Roman" w:hAnsi="Times New Roman"/>
          <w:sz w:val="20"/>
          <w:szCs w:val="20"/>
          <w:color w:val="auto"/>
        </w:rPr>
        <w:t>” means any monetization transaction involving the sale, transfer, option or collateralization of (i) any monetary payments (contingent or otherwise) payable to Company or its Subsidiaries by a counterparty under an Out-License, or (ii) any right to receive revenues or other income from the sale of any Product, in each case whether in whole or in part, including but not limited to sales of royalty streams, royalty bonds and other royalty financings, synthetic royalty and revenue interest transactions (including but not limited to clinical trial funding arrangements), and hybrid monetization transactions.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Safety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4.1(g)(v)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Agreement between Company and Purchaser’s Representative providing for, among other things, the grant by Company in favor of Purchaser’s Representative, for the benefit of the Secured Parties, of a lien on and security interest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8" w:name="page169"/>
    <w:bookmarkEnd w:id="168"/>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the Security Agreement and all other instruments, documents and agreements delivered by Company pursuant to this Agreement or any of the other Transaction Documents in order to grant to Purchaser’s Representative, for the benefit of the Purchasers, a Lien on any real, personal or mixed property of Company as security for the Obligations, in each case, as such Security Documents may be amended or otherwise modified from time to time.</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Credit Facility</w:t>
      </w:r>
      <w:r>
        <w:rPr>
          <w:rFonts w:ascii="Times New Roman" w:cs="Times New Roman" w:eastAsia="Times New Roman" w:hAnsi="Times New Roman"/>
          <w:sz w:val="20"/>
          <w:szCs w:val="20"/>
          <w:color w:val="auto"/>
        </w:rPr>
        <w:t>” means that certain Financing Agreement, dated as of June 30, 2022, by and among Company, as borrower, certain Subsidiaries of Company, as guarantors, the various Lenders (as defined therein) from time to time party thereto, and TAO Talents, LLC, as administrative agent (as amended, amended and restated, supplemented, refinanced, replaced or otherwise modified from time to time in accordance with the terms of the Intercreditor Agreement).</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determining the percentage of ownership interests of any Person controlled by another Person, no ownership interest in the nature of a “qualifying share” of the former Person shall be deemed to be outstanding. When used herein, “Subsidiary” shall mean a Subsidiary of Company unless otherwise specified.</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that is not Company or Company’s Affiliates.</w:t>
      </w:r>
    </w:p>
    <w:p>
      <w:pPr>
        <w:spacing w:after="0" w:line="216"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means, collectively, this Agreement, the Security Documents, the Intercreditor Agreement and any other Permitted Intercreditor Agreement(s), and any related ancillary documents or agreements (provided, for the avoidance of doubt, that any documents related to the Senior Secured Credit Facility other than the Intercreditor Agreement shall not be Transaction Documents).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provided, that, if, with respect to any financing statement or by reason of any provisions of applicable law, the perfection or the effect of perfection or non-perfection of the security interest or any portion thereof granted pursuant to any Transaction Document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Certain Interpretations</w:t>
      </w:r>
      <w:r>
        <w:rPr>
          <w:rFonts w:ascii="Times New Roman" w:cs="Times New Roman" w:eastAsia="Times New Roman" w:hAnsi="Times New Roman"/>
          <w:sz w:val="20"/>
          <w:szCs w:val="20"/>
          <w:color w:val="auto"/>
        </w:rPr>
        <w:t>. Except where expressly stated otherwise in this Agreement, the following rules of interpretation apply to this Agreement:</w:t>
      </w:r>
    </w:p>
    <w:p>
      <w:pPr>
        <w:spacing w:after="0" w:line="159" w:lineRule="exact"/>
        <w:rPr>
          <w:sz w:val="20"/>
          <w:szCs w:val="20"/>
          <w:color w:val="auto"/>
        </w:rPr>
      </w:pPr>
    </w:p>
    <w:p>
      <w:pPr>
        <w:ind w:firstLine="1304"/>
        <w:spacing w:after="0" w:line="269" w:lineRule="auto"/>
        <w:tabs>
          <w:tab w:leader="none" w:pos="19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and “or” are not exclusive and “include,” “includes” and “including” are not limiting and shall be deemed to be followed by the words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69" w:name="page170"/>
    <w:bookmarkEnd w:id="169"/>
    <w:p>
      <w:pPr>
        <w:ind w:right="20" w:firstLine="1304"/>
        <w:spacing w:after="0" w:line="269"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“extent” in the phrase “to the extent” means the degree to which a subject or other thing extends, and such phrase does not mean simply “if”;</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 “hereto,” “herein” and “hereunder” and words of similar import when used in this Agreement refer to this Agreement as a whole and not to any particular provision of this Agreement;</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Person are also to its permitted successors and assigns;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are applicable to the singular as well as the plural forms of such terms;</w:t>
      </w:r>
    </w:p>
    <w:p>
      <w:pPr>
        <w:spacing w:after="0" w:line="215"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 “Article”, “Section” or “Exhibit” refer to an Article or Section of, or an Exhibit to, this Agreement, and references to a “Schedule” refer to the corresponding part of the Disclosure Schedule;</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 or otherwise to dollar amounts refer to the lawful currency of the United States;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PURCHASE, SALE AND ASSIGNMENT OF THE REVENUE PARTICIPATION RIGHTS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Purchase, Sale and Assignment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5" w:lineRule="auto"/>
        <w:tabs>
          <w:tab w:leader="none" w:pos="19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Funding Date and upon the terms and subject to the conditions of this Agreement, Company shall sell, transfer, assign and convey to the Purchasers, without recourse (except as expressly provided herein), and the Purchasers shall purchase, acquire and accept from Company, the Revenue Participation Rights, free and clear of all Liens. Immediately upon the sale to the Purchasers by Company of the Revenue Participation Rights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all of Company’s right, title and interest in and to the Revenue Participation Rights and the Revenue Payments shall terminate, and all such right, title and interest shall vest in the Purchasers.</w:t>
      </w:r>
    </w:p>
    <w:p>
      <w:pPr>
        <w:spacing w:after="0" w:line="184"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intention of the parties hereto that the sale, transfer, assignment and conveyance contemplated by this Agreement be, and is, a true, complete, absolute and irrevocable sale, transfer, assignment and conveyance by Company to the Purchasers of all of Company’s right, title and interest in and to the Revenue Participation Rights. Neither Company nor the Purchasers intend the transactions contemplated by this Agreement to be, or for any legal or regulatory purpose characterized as, a loan from the Purchasers to Company. It is the intention of the parties hereto that the beneficial interest in and title to the Revenue Participation Rights and the Revenue Payments and any “proceeds” (as such term is defined in the UCC) thereof shall not be part of Company’s estate in the event of the filing of a petition by or against Company under any Debtor Relief Law. Each of Company, Purchaser’s Representative and the Purchasers hereby waives, to the maximum extent permitted by applicable law, any right to contest or otherwise assert that this Agreement does not constitute a true, complete, absolute and irrevocable sale, transfer, assignment and conveyance by Company to the Purchasers of all of Company’s right, title and interest in and to the Revenue Participation Rights under applicable law, which waiver shall, to the maximum extent permitted by applicable law, be enforceable against Company in any bankruptcy or insolvency proceeding relating to Company. Accordingly, Company shall treat the sale,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0" w:name="page171"/>
    <w:bookmarkEnd w:id="170"/>
    <w:p>
      <w:pPr>
        <w:jc w:val="both"/>
        <w:spacing w:after="0" w:line="241" w:lineRule="auto"/>
        <w:rPr>
          <w:sz w:val="20"/>
          <w:szCs w:val="20"/>
          <w:color w:val="auto"/>
        </w:rPr>
      </w:pPr>
      <w:r>
        <w:rPr>
          <w:rFonts w:ascii="Times New Roman" w:cs="Times New Roman" w:eastAsia="Times New Roman" w:hAnsi="Times New Roman"/>
          <w:sz w:val="20"/>
          <w:szCs w:val="20"/>
          <w:color w:val="auto"/>
        </w:rPr>
        <w:t>assignment and conveyance of the Revenue Participation Rights as a sale of an “account” or a “payment intangible” (as appropriate) in accordance with the UCC, and Company hereby authorizes Purchaser’s Representative, on behalf of and for the benefit of the Purchasers, to file financing statements (and continuation statements with respect to such financing statements when applicable) naming Company as the debtor and Purchaser’s Representative, on behalf of and for the benefit of the Purchasers, as the secured party in respect to the Revenue Participation Rights. Not in derogation of the foregoing statement of the intent of the parties hereto in this regard, and for the purposes of providing additional assurance to the Purchasers, (a) on the Effective Date, pursuant to the terms of the Security Agreement, Company will grant to Purchaser’s Representative, on behalf of and for the benefit of the Purchasers, as security for the obligations of Company hereunder, a first priority security interest in and to all right, title and interest in, to and under the Collateral, and (b) in the event that, despite the intent of the parties hereto, the sale, transfer, assignment and conveyance contemplated hereby is hereafter held not to be a sale, Company does hereby grant to Purchaser’s Representative, on behalf of and for the benefit of the Purchasers, as security for the Obligations, a security interest in and to all right, title and interest in, to and under the Revenue Participation Rights and the Revenue Payments, and Company does hereby authorize Purchaser’s Representative, on behalf of and for the benefit of the Purchasers, from and after the Effective Date, to file such financing statements (and continuation statements with respect to such financing statements when applicable) naming Company as the debtor and Purchaser’s Representative as the secured party, and in such manner and such jurisdictions as are necessary or appropriate to perfect, or maintain the perfection of, such security interest.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On the Funding Date and upon the terms and subject to the conditions of this Agreement, the purchase price to be paid as consideration to Company for the sale, transfer, assignment and conveyance of the Revenue Participation Rights to the Purchasers is $250,000,000 in cash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No Assumed Obligations, Etc.</w:t>
      </w:r>
      <w:r>
        <w:rPr>
          <w:rFonts w:ascii="Times New Roman" w:cs="Times New Roman" w:eastAsia="Times New Roman" w:hAnsi="Times New Roman"/>
          <w:sz w:val="20"/>
          <w:szCs w:val="20"/>
          <w:color w:val="auto"/>
        </w:rPr>
        <w:t xml:space="preserve"> Notwithstanding any provision in this Agreement to the contrary, the Purchasers are only agreeing, on the terms and conditions set forth in this Agreement, to purchase, acquire and accept the Revenue Participation Rights and are not assuming any liability or obligation of Company of whatever nature, whether presently in existence or arising or asserted hereafter.</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xml:space="preserve"> The Purchasers shall be entitled to deduct and withhold from any consideration otherwise payable to any Person pursuant to this Agreement such amounts as it is required to deduct and withhold under the applicable tax law from such payment; provided that the Purchaser’s Representative shall cooperate with Company to reduce or eliminate such proposed withholding. To the extent that such amounts are so withheld, such withheld amounts shall be treated for all purposes of this Agreement as having been paid to the applicable person in respect to which such deduction and withholding was made, and the Purchaser’s Representative shall furnish Company with proper evidence of the taxes withheld and deducted and remitted to the relevant taxing authority. The parties hereto agree that all payments under this Agreement are exclusive of VAT and VAT will be added to the payments if and where applicable according to local applicable law. The parties hereto agree that the Purchase Price is exempt from VAT in Luxembourg. To the extent any Governmental Authority, including Luxembourg tax authorities, attempts to charge VAT on the Purchase Price and/or on the Revenue Payments, VAT (including any penalty and interest assessed by any Governmental Authority) shall be paid by the Purchasers to Company in addition to the Purchase Price unless the Purchasers are obliged by the applicable law to account for VAT directly to the relevant Governmental Authority. The supplier shall deliver to the recipient of the supply subject to VAT an invoice complying with the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CLOSING</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 Closing</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the signing of this Agreement and the other Transaction Documents on the Effective Date shall take place remotely via the exchange of documents and signatures on the date hereof, subject to the satisfaction or waiver of the conditions set forth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Payment of Purchase Price</w:t>
      </w:r>
      <w:r>
        <w:rPr>
          <w:rFonts w:ascii="Times New Roman" w:cs="Times New Roman" w:eastAsia="Times New Roman" w:hAnsi="Times New Roman"/>
          <w:sz w:val="20"/>
          <w:szCs w:val="20"/>
          <w:color w:val="auto"/>
        </w:rPr>
        <w:t xml:space="preserve">(a) . On the Funding Date, subject to the satisfaction or waiver of the condition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the Purchasers shall deliver (or cause to be delivered) payment of the Purchase Price to Company by electronic funds transfer or wire transfer of immediately available funds to one or more accounts specified by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Bill of Sale</w:t>
      </w:r>
      <w:r>
        <w:rPr>
          <w:rFonts w:ascii="Times New Roman" w:cs="Times New Roman" w:eastAsia="Times New Roman" w:hAnsi="Times New Roman"/>
          <w:sz w:val="20"/>
          <w:szCs w:val="20"/>
          <w:color w:val="auto"/>
        </w:rPr>
        <w:t xml:space="preserve">. On the Funding Date, upon confirmation of the receipt of the Purchase Price, Company shall deliver to each Purchaser a duly executed bill of sale evidencing the sale, transfer, assignment and conveyance of such Purchaser’s Revenue Participation Right in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Company’s Representations and Warranties</w:t>
      </w:r>
      <w:r>
        <w:rPr>
          <w:rFonts w:ascii="Times New Roman" w:cs="Times New Roman" w:eastAsia="Times New Roman" w:hAnsi="Times New Roman"/>
          <w:sz w:val="20"/>
          <w:szCs w:val="20"/>
          <w:color w:val="auto"/>
        </w:rPr>
        <w:t>. Except as set forth on the Disclosure Schedules attached hereto, Company represents and warrants to the Purchasers that as of the date hereof:</w:t>
      </w:r>
    </w:p>
    <w:p>
      <w:pPr>
        <w:spacing w:after="0" w:line="159" w:lineRule="exact"/>
        <w:rPr>
          <w:sz w:val="20"/>
          <w:szCs w:val="20"/>
          <w:color w:val="auto"/>
        </w:rPr>
      </w:pPr>
    </w:p>
    <w:p>
      <w:pPr>
        <w:jc w:val="both"/>
        <w:ind w:firstLine="1304"/>
        <w:spacing w:after="0" w:line="245" w:lineRule="auto"/>
        <w:tabs>
          <w:tab w:leader="none" w:pos="194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Good Standing</w:t>
      </w:r>
      <w:r>
        <w:rPr>
          <w:rFonts w:ascii="Times New Roman" w:cs="Times New Roman" w:eastAsia="Times New Roman" w:hAnsi="Times New Roman"/>
          <w:sz w:val="20"/>
          <w:szCs w:val="20"/>
          <w:color w:val="auto"/>
        </w:rPr>
        <w:t>. Company is a corporation duly incorporated, validly existing and in good standing under the laws of the State of Delaware. Company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Company has all requisite corporate power and authority to execute, deliver and perform its obligations under the Transaction Documents. The execution, delivery and performance of the Transaction Documents, and the consummation of the transactions contemplated hereby, have been duly authorized by all necessary corporate action on the part of Company.</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The Transaction Documents have been duly executed and delivered by an authorized officer of Company and constitute the valid and binding obligation of Company, enforceable against Company in accordance with their terms, except as may be limited by applicable Debtor Relief Laws or by general principles of equity (whether considered in a proceeding in equity or at law).</w:t>
      </w:r>
    </w:p>
    <w:p>
      <w:pPr>
        <w:spacing w:after="0" w:line="179" w:lineRule="exact"/>
        <w:rPr>
          <w:rFonts w:ascii="Times New Roman" w:cs="Times New Roman" w:eastAsia="Times New Roman" w:hAnsi="Times New Roman"/>
          <w:sz w:val="20"/>
          <w:szCs w:val="20"/>
          <w:color w:val="auto"/>
        </w:rPr>
      </w:pPr>
    </w:p>
    <w:p>
      <w:pPr>
        <w:jc w:val="both"/>
        <w:ind w:firstLine="1304"/>
        <w:spacing w:after="0" w:line="264" w:lineRule="auto"/>
        <w:tabs>
          <w:tab w:leader="none" w:pos="19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delivery and performance by Company of this Agreement and the other Transaction Documents and the consummation of the transactions contemplated hereby and thereby do not and will not</w:t>
      </w:r>
    </w:p>
    <w:p>
      <w:pPr>
        <w:jc w:val="both"/>
        <w:ind w:firstLine="8"/>
        <w:spacing w:after="0" w:line="241" w:lineRule="auto"/>
        <w:tabs>
          <w:tab w:leader="none" w:pos="26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or conflict with the certificate of incorporation or bylaws of Company, (ii) contravene or conflict with or constitute a material default under any binding upon or applicable to Company or the Revenue Participation Rights, except as would not reasonably be expected to have a Material Adverse Effect, or (iii) contravene or conflict with or constitute a material default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any material agreement or Judgment binding upon or applicable to Company or the Revenue Participation Rights.</w:t>
      </w:r>
    </w:p>
    <w:p>
      <w:pPr>
        <w:spacing w:after="0" w:line="216" w:lineRule="exact"/>
        <w:rPr>
          <w:sz w:val="20"/>
          <w:szCs w:val="20"/>
          <w:color w:val="auto"/>
        </w:rPr>
      </w:pPr>
    </w:p>
    <w:p>
      <w:pPr>
        <w:jc w:val="both"/>
        <w:ind w:firstLine="1304"/>
        <w:spacing w:after="0" w:line="245" w:lineRule="auto"/>
        <w:tabs>
          <w:tab w:leader="none" w:pos="19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Except for the consents that have been obtained on or prior to the Effective Date, UCC financing statements, or any filings required by the federal securities laws or stock exchange rules, no consent, approval, license, order, authorization, registration, declaration or filing with or of any Governmental Authority or other Person is required to be done or obtained by Company in connection with (i) the execution and delivery by Company of the Transaction Documents, (ii) the performance by Company of its obligations under the Transaction Documents or (iii) the consummation by Company of any of the transactions contemplated by the Transaction Documents.</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Neither Company nor any of its Subsidiaries is a party to, and has not received any written notice of, any action, suit, investigation or proceeding pending before any Governmental Authority and, to the Knowledge of Company, no such action, suit, investigation or proceeding has been threatened against Company, that, individually or in the aggregate, has had or would, if determined adversely, reasonably be expected to have a Material Adverse Effect.</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Compliance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tabs>
          <w:tab w:leader="none" w:pos="259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Company and its Subsidiaries have all Registrations from the FDA, comparable supranational or foreign counterparts or any other Governmental Authority required to conduct their respective businesses as currently conducted with respect to the Products, except where the failure to have all such Registrations would not reasonably be expected to, individually or in the aggregate, result in Material Regulatory Liabilities. Each of such Registrations is valid and subsisting in full force and effect, except where the failure to do so would not reasonably be expected to, individually or in the aggregate, result in Material Regulatory Liabilities. To the Knowledge of Company, neither FDA nor any other applicable Governmental Authority is considering limiting, suspending, or revoking such Registrations or changing the scope of the marketing authorization or the labeling of any Products under such Registrations. To the Knowledge of Company, there is no false or materially misleading information or significant omission in any Product application or other notification, submission or report to the FDA or any other applicable Governmental Authority that was not corrected by subsequent submission, and all such applications, notifications, submissions and reports provided by Company and its Subsidiaries were true, complete, and correct in all material respects as of the date of submission to FDA or any other applicable Governmental Authority (and any material updates, changes, corrections or modification to such applications, submissions, information or data required under applicable laws or regulations have been submitted to the necessary Regulatory Authorities). Company and its Subsidiaries have not failed to fulfill and perform their obligations which are due under each such Registration, and no event has occurred or condition or state of facts exists which would constitute a breach or default under any such Registration, in each case that would reasonably be expected to cause the revocation, termination or suspension or material limitation of any such Registration, including but not limited to any form of clinical hold order. To the Knowledge of Company, any Third Party that develops, researches, manufactures, Commercializes, distributes, sells or markets Products pursuant to an agreement with Company or its Subsidiaries (each, a “</w:t>
      </w:r>
      <w:r>
        <w:rPr>
          <w:rFonts w:ascii="Times New Roman" w:cs="Times New Roman" w:eastAsia="Times New Roman" w:hAnsi="Times New Roman"/>
          <w:sz w:val="20"/>
          <w:szCs w:val="20"/>
          <w:u w:val="single" w:color="auto"/>
          <w:color w:val="auto"/>
        </w:rPr>
        <w:t>Company Partner</w:t>
      </w:r>
      <w:r>
        <w:rPr>
          <w:rFonts w:ascii="Times New Roman" w:cs="Times New Roman" w:eastAsia="Times New Roman" w:hAnsi="Times New Roman"/>
          <w:sz w:val="20"/>
          <w:szCs w:val="20"/>
          <w:color w:val="auto"/>
        </w:rPr>
        <w:t>”) is in compliance with all Registrations from the FDA and any other applicable Governmental Authority insofar as they pertain to Products, and each such Company Partner is, and since [***] has been, in compliance with applicable Public Health Laws, except where the failure to so be in compliance would not reasonably be expected to, individually or in the aggregate, result in Material Regulatory Liabilities. Company is not required to give notice to, make any filing with, or obtain any consent from any Governmental Authority at any time prior to the Effective Date in connection with the execution and delivery of this Agreement or other Transaction Documents, or the consummation by Company of the transactions contemplated hereby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3" w:name="page174"/>
    <w:bookmarkEnd w:id="173"/>
    <w:p>
      <w:pPr>
        <w:jc w:val="both"/>
        <w:ind w:firstLine="1952"/>
        <w:spacing w:after="0" w:line="254" w:lineRule="auto"/>
        <w:tabs>
          <w:tab w:leader="none" w:pos="259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has been in compliance, with all Public Health Laws, except to the extent that any such non-compliance, individually or in the aggregate, could not reasonably be expected to result in Material Regulatory Liabilities.</w:t>
      </w:r>
    </w:p>
    <w:p>
      <w:pPr>
        <w:spacing w:after="0" w:line="174"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all Products designed, developed, investigated, manufactured, prepared, assembled, packaged, tested, labeled, distributed, sold, marketed or delivered by or on behalf of Company or any of its Subsidiaries, that are subject to the jurisdiction of the FDA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 the Knowledge of Company,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None of the Products has been the subject of any products liability or warranty action against Company or its Subsidiaries or any non-legal claim for clinical trial compensation by trial participants.</w:t>
      </w:r>
    </w:p>
    <w:p>
      <w:pPr>
        <w:spacing w:after="0" w:line="187"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Company nor any of its Subsidiaries is currently subject to any material obligation arising pursuant to a Regulatory Action and, to the Knowledge of Company, no such material obligation or Regulatory Action has been threatened by a Governmental Authority in writing. Without limiting the foregoing, neither Company nor any of its Subsidiaries has since [***] received any written notice or communication from the FDA, comparable foreign counterparts or any other Governmental Authority alleging material non-compliance with any Public Health Law or comparable foreign laws.</w:t>
      </w:r>
    </w:p>
    <w:p>
      <w:pPr>
        <w:spacing w:after="0" w:line="184" w:lineRule="exact"/>
        <w:rPr>
          <w:rFonts w:ascii="Times New Roman" w:cs="Times New Roman" w:eastAsia="Times New Roman" w:hAnsi="Times New Roman"/>
          <w:sz w:val="20"/>
          <w:szCs w:val="20"/>
          <w:color w:val="auto"/>
        </w:rPr>
      </w:pPr>
    </w:p>
    <w:p>
      <w:pPr>
        <w:jc w:val="both"/>
        <w:ind w:firstLine="1952"/>
        <w:spacing w:after="0" w:line="255" w:lineRule="auto"/>
        <w:tabs>
          <w:tab w:leader="none" w:pos="259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Neither Company nor any of its Subsidiaries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and (ii) to the Knowledge of Company, no Company Partner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or other Governmental Authority relating to such Company Partner’s work for Company or such Subsidiary. There have been no recalls, field notifications, field corrections, market withdrawals or replacements, detentions, warnings, “dear doctor” letters, investigator notices, safety alerts or other notice of action relating to an actual or potential lack of safety, efficacy, or regulatory compliance of any Products (“</w:t>
      </w:r>
      <w:r>
        <w:rPr>
          <w:rFonts w:ascii="Times New Roman" w:cs="Times New Roman" w:eastAsia="Times New Roman" w:hAnsi="Times New Roman"/>
          <w:sz w:val="19"/>
          <w:szCs w:val="19"/>
          <w:u w:val="single" w:color="auto"/>
          <w:color w:val="auto"/>
        </w:rPr>
        <w:t>Safety Notices</w:t>
      </w:r>
      <w:r>
        <w:rPr>
          <w:rFonts w:ascii="Times New Roman" w:cs="Times New Roman" w:eastAsia="Times New Roman" w:hAnsi="Times New Roman"/>
          <w:sz w:val="19"/>
          <w:szCs w:val="19"/>
          <w:color w:val="auto"/>
        </w:rPr>
        <w:t>”) or clinical hold orders issued by the FDA with respect to an ongoing or anticipated clinical trial of any Product. To the Knowledge of Company, as of the date hereof there exist no facts or circumstances that are reasonably likely to result in (x) a Safety Notice, (y) a material change in labeling of any Product, or (z) a termination or suspension of research, testing, manufacturing, distribution, or commercialization of any Product.</w:t>
      </w:r>
    </w:p>
    <w:p>
      <w:pPr>
        <w:spacing w:after="0" w:line="179"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has provided to the Purchasers prior to the date hereof in a data room available to the Purchasers true and correct copies or summaries of all material written communications sent or received by Company and any of its Affiliates to or from any Regulatory Authorities that relate to each Product since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4" w:name="page175"/>
    <w:bookmarkEnd w:id="174"/>
    <w:p>
      <w:pPr>
        <w:ind w:left="1960" w:hanging="656"/>
        <w:spacing w:after="0"/>
        <w:tabs>
          <w:tab w:leader="none" w:pos="19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In-Licenses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4.1(h)(i)</w:t>
      </w:r>
      <w:r>
        <w:rPr>
          <w:rFonts w:ascii="Times New Roman" w:cs="Times New Roman" w:eastAsia="Times New Roman" w:hAnsi="Times New Roman"/>
          <w:sz w:val="20"/>
          <w:szCs w:val="20"/>
          <w:color w:val="auto"/>
        </w:rPr>
        <w:t xml:space="preserve"> of the Disclosure Schedule, there are no In-Licenses (any In-License set forth on </w:t>
      </w:r>
      <w:r>
        <w:rPr>
          <w:rFonts w:ascii="Times New Roman" w:cs="Times New Roman" w:eastAsia="Times New Roman" w:hAnsi="Times New Roman"/>
          <w:sz w:val="20"/>
          <w:szCs w:val="20"/>
          <w:u w:val="single" w:color="auto"/>
          <w:color w:val="auto"/>
        </w:rPr>
        <w:t>Schedule 4.1(h)(i)</w:t>
      </w:r>
      <w:r>
        <w:rPr>
          <w:rFonts w:ascii="Times New Roman" w:cs="Times New Roman" w:eastAsia="Times New Roman" w:hAnsi="Times New Roman"/>
          <w:sz w:val="20"/>
          <w:szCs w:val="20"/>
          <w:color w:val="auto"/>
        </w:rPr>
        <w:t xml:space="preserve"> of the Disclosure Schedule, an “</w:t>
      </w:r>
      <w:r>
        <w:rPr>
          <w:rFonts w:ascii="Times New Roman" w:cs="Times New Roman" w:eastAsia="Times New Roman" w:hAnsi="Times New Roman"/>
          <w:sz w:val="20"/>
          <w:szCs w:val="20"/>
          <w:u w:val="single" w:color="auto"/>
          <w:color w:val="auto"/>
        </w:rPr>
        <w:t>Existing In-License</w:t>
      </w:r>
      <w:r>
        <w:rPr>
          <w:rFonts w:ascii="Times New Roman" w:cs="Times New Roman" w:eastAsia="Times New Roman" w:hAnsi="Times New Roman"/>
          <w:sz w:val="20"/>
          <w:szCs w:val="20"/>
          <w:color w:val="auto"/>
        </w:rPr>
        <w:t xml:space="preserve">”). A true, correct and complete copy of each Existing In-License has been provided to the Purchasers by Company in a data room available to the Purchasers. Except as set forth on </w:t>
      </w:r>
      <w:r>
        <w:rPr>
          <w:rFonts w:ascii="Times New Roman" w:cs="Times New Roman" w:eastAsia="Times New Roman" w:hAnsi="Times New Roman"/>
          <w:sz w:val="20"/>
          <w:szCs w:val="20"/>
          <w:u w:val="single" w:color="auto"/>
          <w:color w:val="auto"/>
        </w:rPr>
        <w:t>Schedule 4.1(h)(i)</w:t>
      </w:r>
      <w:r>
        <w:rPr>
          <w:rFonts w:ascii="Times New Roman" w:cs="Times New Roman" w:eastAsia="Times New Roman" w:hAnsi="Times New Roman"/>
          <w:sz w:val="20"/>
          <w:szCs w:val="20"/>
          <w:color w:val="auto"/>
        </w:rPr>
        <w:t xml:space="preserve"> of the Disclosure Schedule, neither Company nor the respective counterparty thereto has made or entered into any amendment, supplement or modification to, or granted any waiver under any provision of any Existing In-License.</w:t>
      </w:r>
    </w:p>
    <w:p>
      <w:pPr>
        <w:spacing w:after="0" w:line="184"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Out-Licenses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4.1(h)(ii)</w:t>
      </w:r>
      <w:r>
        <w:rPr>
          <w:rFonts w:ascii="Times New Roman" w:cs="Times New Roman" w:eastAsia="Times New Roman" w:hAnsi="Times New Roman"/>
          <w:sz w:val="20"/>
          <w:szCs w:val="20"/>
          <w:color w:val="auto"/>
        </w:rPr>
        <w:t xml:space="preserve"> of the Disclosure Schedule, there are no Out-Licenses (any Out-License set forth on </w:t>
      </w:r>
      <w:r>
        <w:rPr>
          <w:rFonts w:ascii="Times New Roman" w:cs="Times New Roman" w:eastAsia="Times New Roman" w:hAnsi="Times New Roman"/>
          <w:sz w:val="20"/>
          <w:szCs w:val="20"/>
          <w:u w:val="single" w:color="auto"/>
          <w:color w:val="auto"/>
        </w:rPr>
        <w:t>Schedule 4.1(h)(ii)</w:t>
      </w:r>
      <w:r>
        <w:rPr>
          <w:rFonts w:ascii="Times New Roman" w:cs="Times New Roman" w:eastAsia="Times New Roman" w:hAnsi="Times New Roman"/>
          <w:sz w:val="20"/>
          <w:szCs w:val="20"/>
          <w:color w:val="auto"/>
        </w:rPr>
        <w:t xml:space="preserve"> of the Disclosure Schedule, an “</w:t>
      </w:r>
      <w:r>
        <w:rPr>
          <w:rFonts w:ascii="Times New Roman" w:cs="Times New Roman" w:eastAsia="Times New Roman" w:hAnsi="Times New Roman"/>
          <w:sz w:val="20"/>
          <w:szCs w:val="20"/>
          <w:u w:val="single" w:color="auto"/>
          <w:color w:val="auto"/>
        </w:rPr>
        <w:t>Existing Out-License</w:t>
      </w:r>
      <w:r>
        <w:rPr>
          <w:rFonts w:ascii="Times New Roman" w:cs="Times New Roman" w:eastAsia="Times New Roman" w:hAnsi="Times New Roman"/>
          <w:sz w:val="20"/>
          <w:szCs w:val="20"/>
          <w:color w:val="auto"/>
        </w:rPr>
        <w:t xml:space="preserve">”). A true, correct and complete copy of each Existing Out-License has been provided to the Purchasers by Company in a data room available to the Purchasers. Except as set forth on </w:t>
      </w:r>
      <w:r>
        <w:rPr>
          <w:rFonts w:ascii="Times New Roman" w:cs="Times New Roman" w:eastAsia="Times New Roman" w:hAnsi="Times New Roman"/>
          <w:sz w:val="20"/>
          <w:szCs w:val="20"/>
          <w:u w:val="single" w:color="auto"/>
          <w:color w:val="auto"/>
        </w:rPr>
        <w:t>Schedule 4.1(h)(ii)</w:t>
      </w:r>
      <w:r>
        <w:rPr>
          <w:rFonts w:ascii="Times New Roman" w:cs="Times New Roman" w:eastAsia="Times New Roman" w:hAnsi="Times New Roman"/>
          <w:sz w:val="20"/>
          <w:szCs w:val="20"/>
          <w:color w:val="auto"/>
        </w:rPr>
        <w:t xml:space="preserve"> of the Disclosure Schedule, neither Company nor the respective counterparty thereto has made or entered into any amendment, supplement or modification to, or granted any waiver under any provision of any Existing Out-License.</w:t>
      </w:r>
    </w:p>
    <w:p>
      <w:pPr>
        <w:spacing w:after="0" w:line="18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 and Enforceability of In-Licenses and Out-Licenses</w:t>
      </w:r>
      <w:r>
        <w:rPr>
          <w:rFonts w:ascii="Times New Roman" w:cs="Times New Roman" w:eastAsia="Times New Roman" w:hAnsi="Times New Roman"/>
          <w:sz w:val="20"/>
          <w:szCs w:val="20"/>
          <w:color w:val="auto"/>
        </w:rPr>
        <w:t>. Each Existing In-License and Existing Out-License is a valid and binding obligation of Company and, to the Knowledge of Company, the counterparty thereto. To the Knowledge of Company, each Existing In-License and Existing Out-License is enforceable against each counterparty thereto in accordance with its terms except as may be limited by applicable Debtor Relief Laws or by general principles of equity (whether considered in a proceeding in equity or at law). Company has not received any written notice in connection with any Existing In-License or Existing Out-License challenging the validity, enforceability or interpretation of any provision of such agreement.</w:t>
      </w:r>
    </w:p>
    <w:p>
      <w:pPr>
        <w:spacing w:after="0" w:line="18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Termination</w:t>
      </w:r>
      <w:r>
        <w:rPr>
          <w:rFonts w:ascii="Times New Roman" w:cs="Times New Roman" w:eastAsia="Times New Roman" w:hAnsi="Times New Roman"/>
          <w:sz w:val="20"/>
          <w:szCs w:val="20"/>
          <w:color w:val="auto"/>
        </w:rPr>
        <w:t>. Company has not (A) given notice to a counterparty of the termination of any Existing In-License or Existing Out-License (whether in whole or in part) or any notice to a counterparty expressing any intention or desire to terminate any Existing In-License or Existing Out-License or (B) received from a counterparty thereto any written notice of termination of any Existing In-License or Existing Out-License (whether in whole or in part) or any written notice from a counterparty expressing any intention or desire to terminate any Existing In-License or Existing Out-License.</w:t>
      </w:r>
    </w:p>
    <w:p>
      <w:pPr>
        <w:spacing w:after="0" w:line="18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Breaches or Defaults</w:t>
      </w:r>
      <w:r>
        <w:rPr>
          <w:rFonts w:ascii="Times New Roman" w:cs="Times New Roman" w:eastAsia="Times New Roman" w:hAnsi="Times New Roman"/>
          <w:sz w:val="20"/>
          <w:szCs w:val="20"/>
          <w:color w:val="auto"/>
        </w:rPr>
        <w:t>. There is and has been no material breach or default under any provision of any Existing In-License or Existing Out-License either by Company or, to the Knowledge of Company, by the respective counterparty (or any predecessor thereof) thereto, and there is no event that upon notice or the passage of time, or both, would reasonably be expected to give rise to any material breach or default either by Company or, to the Knowledge of Company, by the respective counterparty to such agreement.</w:t>
      </w:r>
    </w:p>
    <w:p>
      <w:pPr>
        <w:spacing w:after="0" w:line="18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Made</w:t>
      </w:r>
      <w:r>
        <w:rPr>
          <w:rFonts w:ascii="Times New Roman" w:cs="Times New Roman" w:eastAsia="Times New Roman" w:hAnsi="Times New Roman"/>
          <w:sz w:val="20"/>
          <w:szCs w:val="20"/>
          <w:color w:val="auto"/>
        </w:rPr>
        <w:t>. The respective counterparty of each Existing Out-License has made all payments to Company required under each Existing Out-License as of the date hereof. Company has made all payments to the respective counterparty required under each Existing In-License as of the date hereof.</w:t>
      </w:r>
    </w:p>
    <w:p>
      <w:pPr>
        <w:spacing w:after="0" w:line="174"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Assignments</w:t>
      </w:r>
      <w:r>
        <w:rPr>
          <w:rFonts w:ascii="Times New Roman" w:cs="Times New Roman" w:eastAsia="Times New Roman" w:hAnsi="Times New Roman"/>
          <w:sz w:val="20"/>
          <w:szCs w:val="20"/>
          <w:color w:val="auto"/>
        </w:rPr>
        <w:t>. Company has not consented to any assignment by the counterparty to any Existing In-License or Existing Out-License of any of its rights or obligations under any such Existing In-License or Existing Out-License and, to the Knowledge of Company, the counterparty has not assigned any of its rights or obligations under any such Existing In-License or Existing Out-License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5" w:name="page176"/>
    <w:bookmarkEnd w:id="175"/>
    <w:p>
      <w:pPr>
        <w:jc w:val="both"/>
        <w:ind w:firstLine="1952"/>
        <w:spacing w:after="0" w:line="254" w:lineRule="auto"/>
        <w:tabs>
          <w:tab w:leader="none" w:pos="259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Indemnification Claims</w:t>
      </w:r>
      <w:r>
        <w:rPr>
          <w:rFonts w:ascii="Times New Roman" w:cs="Times New Roman" w:eastAsia="Times New Roman" w:hAnsi="Times New Roman"/>
          <w:sz w:val="20"/>
          <w:szCs w:val="20"/>
          <w:color w:val="auto"/>
        </w:rPr>
        <w:t>. Company has not notified any Person of any claims for indemnification under any Existing In-License or Existing Out-License nor has Company received any claims for indemnification under any Existing In-License or Existing Out-License.</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Infringement</w:t>
      </w:r>
      <w:r>
        <w:rPr>
          <w:rFonts w:ascii="Times New Roman" w:cs="Times New Roman" w:eastAsia="Times New Roman" w:hAnsi="Times New Roman"/>
          <w:sz w:val="20"/>
          <w:szCs w:val="20"/>
          <w:color w:val="auto"/>
        </w:rPr>
        <w:t>. Neither Company nor any of its Subsidiaries has received any written notice from, or given any written notice to, any counterparty to any Existing In-License or Existing Out-License regarding any infringement of any rights licensed thereunder.</w:t>
      </w:r>
    </w:p>
    <w:p>
      <w:pPr>
        <w:spacing w:after="0" w:line="17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Liens; Title to Revenue Participation Rights; Subordination</w:t>
      </w:r>
      <w:r>
        <w:rPr>
          <w:rFonts w:ascii="Times New Roman" w:cs="Times New Roman" w:eastAsia="Times New Roman" w:hAnsi="Times New Roman"/>
          <w:sz w:val="20"/>
          <w:szCs w:val="20"/>
          <w:color w:val="auto"/>
        </w:rPr>
        <w:t>. The Collateral is not subject to any Lien, except for a Permitted Lien. Upon the funding of the Purchase Price, the Purchasers will have acquired, subject to the terms and conditions set forth in this Agreement, good and marketable title to the Revenue Participation Right, free and clear of all Liens. Except pursuant to the Intercreditor Agreement or any Permitted Intercreditor Agreement as in effect from time to time, the claims and rights of the Purchasers created by any Transaction Document in and to the Revenue Participation Rights are not and shall not be contractually subordinated in right of payment to any creditor of Company or any other Person.</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All Products have, since [***], been manufactured, transported, stored and handled in all material respects by Company and its Licensees in accordance with applicable law and with good manufacturing practices. Since [***], neither Company nor any Affiliate of Company has experienced any significant failures in the manufacturing or supply of any Product that, individually or in the aggregate, have had or would reasonably be expected to result in, if such failure occurred again, a Material Adverse Effect. [***].</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Company, each of Company and its Subsidiaries own, or hold valid licenses in, all intellectual property rights that are necessary to the conduct of its business as currently conducted and proposed to be conducted with respect to the Products, including the discovery, development, manufacture, use and Commercialization of the Products. Except as set forth in </w:t>
      </w:r>
      <w:r>
        <w:rPr>
          <w:rFonts w:ascii="Times New Roman" w:cs="Times New Roman" w:eastAsia="Times New Roman" w:hAnsi="Times New Roman"/>
          <w:sz w:val="20"/>
          <w:szCs w:val="20"/>
          <w:u w:val="single" w:color="auto"/>
          <w:color w:val="auto"/>
        </w:rPr>
        <w:t>Schedule 4.1(k)(i)</w:t>
      </w:r>
      <w:r>
        <w:rPr>
          <w:rFonts w:ascii="Times New Roman" w:cs="Times New Roman" w:eastAsia="Times New Roman" w:hAnsi="Times New Roman"/>
          <w:sz w:val="20"/>
          <w:szCs w:val="20"/>
          <w:color w:val="auto"/>
        </w:rPr>
        <w:t xml:space="preserve"> of the Disclosure Schedule, and except for the Existing Licenses (as defined below), Company has the exclusive right and license to develop, manufacture, use and Commercialize the Products.</w:t>
      </w:r>
    </w:p>
    <w:p>
      <w:pPr>
        <w:spacing w:after="0" w:line="184"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4.1(k)(ii)</w:t>
      </w:r>
      <w:r>
        <w:rPr>
          <w:rFonts w:ascii="Times New Roman" w:cs="Times New Roman" w:eastAsia="Times New Roman" w:hAnsi="Times New Roman"/>
          <w:sz w:val="20"/>
          <w:szCs w:val="20"/>
          <w:color w:val="auto"/>
        </w:rPr>
        <w:t xml:space="preserve"> of the Disclosure Schedule sets forth a true, correct and complete listing, including the owner and registration or application number, of all of Intellectual Property Product Rights that are U.S. (federal or state) and foreign [***] (i) Patents (such Patents, the “</w:t>
      </w:r>
      <w:r>
        <w:rPr>
          <w:rFonts w:ascii="Times New Roman" w:cs="Times New Roman" w:eastAsia="Times New Roman" w:hAnsi="Times New Roman"/>
          <w:sz w:val="20"/>
          <w:szCs w:val="20"/>
          <w:u w:val="single" w:color="auto"/>
          <w:color w:val="auto"/>
        </w:rPr>
        <w:t>Existing Patent Rights</w:t>
      </w:r>
      <w:r>
        <w:rPr>
          <w:rFonts w:ascii="Times New Roman" w:cs="Times New Roman" w:eastAsia="Times New Roman" w:hAnsi="Times New Roman"/>
          <w:sz w:val="20"/>
          <w:szCs w:val="20"/>
          <w:color w:val="auto"/>
        </w:rPr>
        <w:t xml:space="preserve">”), and identifies the owner of each such patent/application, (ii) registered trademarks and trademark applications, (iii) registered copyrights and copyright applications, (iv) domain names, and (v) any other form of registered Intellectual Property Product Rights. Except as identified in </w:t>
      </w:r>
      <w:r>
        <w:rPr>
          <w:rFonts w:ascii="Times New Roman" w:cs="Times New Roman" w:eastAsia="Times New Roman" w:hAnsi="Times New Roman"/>
          <w:sz w:val="20"/>
          <w:szCs w:val="20"/>
          <w:u w:val="single" w:color="auto"/>
          <w:color w:val="auto"/>
        </w:rPr>
        <w:t>Schedule 4.1(k)</w:t>
      </w:r>
      <w:r>
        <w:rPr>
          <w:rFonts w:ascii="Times New Roman" w:cs="Times New Roman" w:eastAsia="Times New Roman" w:hAnsi="Times New Roman"/>
          <w:sz w:val="20"/>
          <w:szCs w:val="20"/>
          <w:color w:val="auto"/>
        </w:rPr>
        <w:t xml:space="preserve"> of the Disclosure Schedule, Company is the sole and exclusive owner of the Existing Patent Rights. Schedule 4.1(k) of the Disclosure Schedule specifies as to each listed patent or patent application the jurisdictions by or in which each such patent has issued as a patent or such patent application has been filed, including the respective patent or application numbers.</w:t>
      </w:r>
    </w:p>
    <w:p>
      <w:pPr>
        <w:spacing w:after="0" w:line="18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Company nor any of its Subsidiaries is a party to any pending, and neither Company nor any of its Subsidiaries has received written notice of any threat of any, litigation, interference, reexamination, opposition,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that challenges the legality, scope, validity, enforceability, infringement, ownership, inventorship or other rights with respect to any of the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Product Rights. To the Knowledge of Company, there are no facts that could provide a reasonable basis for such a claim.</w:t>
      </w:r>
    </w:p>
    <w:p>
      <w:pPr>
        <w:spacing w:after="0" w:line="216" w:lineRule="exact"/>
        <w:rPr>
          <w:sz w:val="20"/>
          <w:szCs w:val="20"/>
          <w:color w:val="auto"/>
        </w:rPr>
      </w:pPr>
    </w:p>
    <w:p>
      <w:pPr>
        <w:jc w:val="both"/>
        <w:ind w:firstLine="1952"/>
        <w:spacing w:after="0" w:line="244" w:lineRule="auto"/>
        <w:tabs>
          <w:tab w:leader="none" w:pos="259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Company nor any of its Subsidiaries is a party to any past or pending, and neither Company nor any of its Subsidiaries has received written notice of any threat of any, and to the Knowledge of Company and its Subsidiaries, no event has occurred or circumstance exists that (with or without notice or lapse of time, or both) would reasonably be expected to give rise to or serve as a basis for any, action, suit, or proceeding, or any investigation or claim by any Person that claims or alleges that the discovery, development, manufacture, use or Commercialization of any Product, once marketed, does or could infringe on any Patent or other intellectual property rights of any other Person or constitute misappropriation of any other Person’s trade secrets or other intellectual property rights.</w:t>
      </w:r>
    </w:p>
    <w:p>
      <w:pPr>
        <w:spacing w:after="0" w:line="18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Company, all of the issued patents within the Existing Patent Rights are valid and enforceable. Except as set forth on Schedule 4.1(k)(ii), all of the Existing Patent Rights are subsisting and none has lapsed or been abandoned, cancelled or expired, other than the abandonment of any patent application in Company’s reasonable business judgment during the ordinary course of business.</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has taken all reasonable steps to maintain such registration or applications in the Existing Patent Rights, including timely filing fees and responses.</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1"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individual associated with the filing and prosecution of the Existing Patent Rights, including the named inventors, has complied in all material respects with all applicable duties of candor and good faith in dealing with any patent office, including the USPTO, in those jurisdictions where such duties exist.</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in </w:t>
      </w:r>
      <w:r>
        <w:rPr>
          <w:rFonts w:ascii="Times New Roman" w:cs="Times New Roman" w:eastAsia="Times New Roman" w:hAnsi="Times New Roman"/>
          <w:sz w:val="20"/>
          <w:szCs w:val="20"/>
          <w:u w:val="single" w:color="auto"/>
          <w:color w:val="auto"/>
        </w:rPr>
        <w:t>Schedule 4.1(k)(vii)</w:t>
      </w:r>
      <w:r>
        <w:rPr>
          <w:rFonts w:ascii="Times New Roman" w:cs="Times New Roman" w:eastAsia="Times New Roman" w:hAnsi="Times New Roman"/>
          <w:sz w:val="20"/>
          <w:szCs w:val="20"/>
          <w:color w:val="auto"/>
        </w:rPr>
        <w:t xml:space="preserve"> of the Disclosure Schedule, neither Company nor its Subsidiaries has entered into any Contractual Obligation (i) creating a lien, charge, security interest or other encumbrance on, or relating to or affecting the Intellectual Property Rights or any of its royalties on, or proceeds from, sales of the Product, (ii) pursuant to which Company or its Subsidiaries has sold, transferred, assigned or pledged to any Person royalties on, or proceeds from, sales of the Product, or (iii) providing for milestone payments or similar development-, commercialization- or intellectual property-related payments to any Person applicable (or that with further development and commercialization may become applicable) to the Product.</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No Insolvency Event has occurred in respect of Company or any of its Subsidiaries. Neither Company nor any Subsidiary has no plan or intention of, and neither Company nor any Subsidiary has received any notice that any other Person has any plan or intention of, filing, making, or obtaining any petition, notice, order, or resolution as specified in the definition of Insolvency Event or of seeking the appointment of a receiver, trustee, custodian, or similar fiduciary. Company is solvent and has sufficient assets and capital to carry on its business as currently conducted and to perform its obligations hereunder.</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On the Effective Date, and upon filing, registration and perfection of the Security Documents within the time periods required by applicable law, Purchaser’s Representative, on behalf of and for the benefit of the Purchasers, will have a valid first priority security interest in and to all right, title and interest in, to and under the Collateral subject to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7" w:name="page178"/>
    <w:bookmarkEnd w:id="177"/>
    <w:p>
      <w:pPr>
        <w:jc w:val="both"/>
        <w:ind w:firstLine="1304"/>
        <w:spacing w:after="0" w:line="254"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Related Representation and Warranties</w:t>
      </w:r>
      <w:r>
        <w:rPr>
          <w:rFonts w:ascii="Times New Roman" w:cs="Times New Roman" w:eastAsia="Times New Roman" w:hAnsi="Times New Roman"/>
          <w:sz w:val="20"/>
          <w:szCs w:val="20"/>
          <w:color w:val="auto"/>
        </w:rPr>
        <w:t>. Company’s exact legal name is, and for the immediately preceding five (5) years has been, “Blueprint Medicines Corporation.” Company is, and for the prior five (5) years has been, incorporated in the state of Delaware.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 Fees</w:t>
      </w:r>
      <w:r>
        <w:rPr>
          <w:rFonts w:ascii="Times New Roman" w:cs="Times New Roman" w:eastAsia="Times New Roman" w:hAnsi="Times New Roman"/>
          <w:sz w:val="20"/>
          <w:szCs w:val="20"/>
          <w:color w:val="auto"/>
        </w:rPr>
        <w:t>. Except for Cowen and Company, there is no investment banker, broker, finder, financial advisor or other intermediary who has been retained by or is authorized to act on behalf of Company who might be entitled to any fee or commission in connection with the transactions contemplated by this Agreement.</w:t>
      </w:r>
    </w:p>
    <w:p>
      <w:pPr>
        <w:spacing w:after="0" w:line="174"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44"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 and FCPA</w:t>
      </w:r>
      <w:r>
        <w:rPr>
          <w:rFonts w:ascii="Times New Roman" w:cs="Times New Roman" w:eastAsia="Times New Roman" w:hAnsi="Times New Roman"/>
          <w:sz w:val="19"/>
          <w:szCs w:val="19"/>
          <w:color w:val="auto"/>
        </w:rPr>
        <w:t>. To the extent applicable to the research, development, manufacture, and Commercialization of the Products, Company and each of its Subsidiaries is in material compliance with (a) the laws, regulations and Executive Orders administered by OFAC, and (b) the Bank Secrecy Act, as amended by the Uniting and Strengthening America by Providing Appropriate Tools Required to Intercept and Obstruct Terrorism (USA PATRIOT Act ) of 2001 (the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Neither Company, any of its Subsidiaries, nor any of their officers, directors, employees, agents [***] or shareholders acting on such Persons’ behalf shall use the portion of the Purchase Price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19"/>
          <w:szCs w:val="19"/>
          <w:u w:val="single" w:color="auto"/>
          <w:color w:val="auto"/>
        </w:rPr>
        <w:t>FCPA</w:t>
      </w:r>
      <w:r>
        <w:rPr>
          <w:rFonts w:ascii="Times New Roman" w:cs="Times New Roman" w:eastAsia="Times New Roman" w:hAnsi="Times New Roman"/>
          <w:sz w:val="19"/>
          <w:szCs w:val="19"/>
          <w:color w:val="auto"/>
        </w:rPr>
        <w:t>”). None of Company, its Subsidiaries nor any of their respective Affiliates is in violation of any Anti-Terrorism Law or engages in or conspires to engage in any transaction that evades or avoids, or has the purpose of evading or avoiding, or attempts to violate, any of the Anti-Terrorism Laws. None of Company, any of its Subsidiaries nor any of their respective Affiliates, nor their respective agents [***] acting or benefiting in any capacity in connection with this Agreement or the transactions contemplated hereunder, is a Blocked Person. None of Company, any of its Subsidiaries, nor any of their agents [***] acting in any capacity in connection with this Agreement or the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 [***].</w:t>
      </w:r>
    </w:p>
    <w:p>
      <w:pPr>
        <w:spacing w:after="0" w:line="173"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 Contracts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4.1(q)</w:t>
      </w:r>
      <w:r>
        <w:rPr>
          <w:rFonts w:ascii="Times New Roman" w:cs="Times New Roman" w:eastAsia="Times New Roman" w:hAnsi="Times New Roman"/>
          <w:sz w:val="20"/>
          <w:szCs w:val="20"/>
          <w:color w:val="auto"/>
        </w:rPr>
        <w:t xml:space="preserve"> of the Disclosure Schedule as of the Effective Date, neither Company nor any of its Subsidiaries is a party to any contract or agreement with any Governmental Authority and none of Company’s or such Subsidiary’s accounts receivables or other rights to receive payment are subject to the Federal Assignment of Claims Act (31 U.S.C. Section 3727) or any similar state, county or municipal law.</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Healthcare Regulatory Laws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Company and its Subsidiaries is operating, and since [***] has been operating in material compliance with applicable Health Care Program Laws.</w:t>
      </w:r>
    </w:p>
    <w:p>
      <w:pPr>
        <w:spacing w:after="0" w:line="159"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Company and its Subsidiaries, nor, to the Knowledge of Company, any officer, director, managing employee or agent (as those terms are defined in 42 C.F.R. § 1001.1001) thereof, is a party to, or bound by, any Regulatory Action, including without limitation, any written order, individual integrity agreement, corporate integrity agreement, deferred or non-prosecution agreement or other written agreement with any Governmental Authority concerning their compliance with Health Care Program Laws.</w:t>
      </w:r>
    </w:p>
    <w:p>
      <w:pPr>
        <w:spacing w:after="0" w:line="184"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Company and its Subsidiaries, nor any officer, director, managing employee or agent (as those terms are defined in 42 C.F.R. § 1001.1001) thereof, nor to the Knowledge of Company, any Company Partner: (A) has been, since [***], charged with or convicted of any criminal offense relating to the delivery of an item or service under any federal health care program; (B) has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8" w:name="page179"/>
    <w:bookmarkEnd w:id="178"/>
    <w:p>
      <w:pPr>
        <w:jc w:val="both"/>
        <w:spacing w:after="0" w:line="243" w:lineRule="auto"/>
        <w:rPr>
          <w:sz w:val="20"/>
          <w:szCs w:val="20"/>
          <w:color w:val="auto"/>
        </w:rPr>
      </w:pPr>
      <w:r>
        <w:rPr>
          <w:rFonts w:ascii="Times New Roman" w:cs="Times New Roman" w:eastAsia="Times New Roman" w:hAnsi="Times New Roman"/>
          <w:sz w:val="20"/>
          <w:szCs w:val="20"/>
          <w:color w:val="auto"/>
        </w:rPr>
        <w:t>since [***], a civil monetary penalty assessed against it, him or her under Section 1128A of the Social Security Act; (C) has been listed on the U.S. General Services Administration published list of parties excluded from federal procurement programs and non-procurement programs; or (D) to the Knowledge of Company, is the target or subject of any current or potential suit, claim, action, proceeding, arbitration, mediation, inquiry, subpoena or investigation relating to any of the foregoing or any federal health care program-related offense, or which could result in the imposition of material penalties or the debarment, suspension or exclusion from participation in any federal health care program. None of Company and its Subsidiaries, nor any officer, director, managing employee or agent [***] (as those terms are defined in 42 C.F.R. § 1001.1001) thereof, nor any Company Partner, has been debarred, excluded, disqualified or suspended from participation in any federal health care program or under any FDA Laws (including 21 U.S.C. § 335a).</w:t>
      </w:r>
    </w:p>
    <w:p>
      <w:pPr>
        <w:spacing w:after="0" w:line="186" w:lineRule="exact"/>
        <w:rPr>
          <w:sz w:val="20"/>
          <w:szCs w:val="20"/>
          <w:color w:val="auto"/>
        </w:rPr>
      </w:pPr>
    </w:p>
    <w:p>
      <w:pPr>
        <w:jc w:val="both"/>
        <w:ind w:firstLine="1952"/>
        <w:spacing w:after="0" w:line="266" w:lineRule="auto"/>
        <w:tabs>
          <w:tab w:leader="none" w:pos="2592"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Company and its Subsidiaries, nor any officer, director, managing employee or agent [***] (as those terms are defined in 42 C.F.R. § 1001.1001) thereof, nor to the Knowledge of Company, any Company Partner, has, since [***], violated or engaged in any activity that is in violation of any Health Care Program Laws or cause for false claims liability, civil penalties or mandatory or permissive exclusion from any federal health care program.</w:t>
      </w:r>
    </w:p>
    <w:p>
      <w:pPr>
        <w:spacing w:after="0" w:line="165"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Company, no person has filed or has threatened to file against Company or any of its Subsidiaries, an action relating to any FDA Law, Public Health Law or Health Care Program Law under any whistleblower statute, including without limitation, the False Claims Act of 1863 (31 U.S.C. § 3729 et seq.).</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Each of Company and its Subsidiaries is operating, and since [***] has been operating in material compliance with applicable Data Protection Laws. To ensure compliance with the Data Protection Laws, Company and its Subsidiaries have in place and materially comply with their policies and procedures relating to data privacy and security and the collection, retention, protection, and use of Personal Information. Each of Company and its Subsidiaries has adopted and published privacy notices and policies that accurately describe in all material respects the privacy practices of Company or such Subsidiary (as applicable), to any website, mobile application or other electronic platform and complied with those notices and policies (collectively, with each of Company and each of its Subsidiaries’ internal privacy policies, the “</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The execution, delivery and performance of this Agreement complies and will comply with all Data Protection Laws and Company’s and each Subsidiary’s Privacy Policies in each case in all material respects. Neither Company nor any Subsidiary, nor to the Knowledge of Company, any Third Party acting on behalf of Company or any Subsidiary, has experienced any incidences in which Personal Information was or may have been stolen or improperly accessed, including any breach of security or other loss, unauthorized access, use or disclosure of Personal Information in the possession, custody or control of Company or any of its Subsidiaries or any Third Party acting on behalf of Company or any Subsidiary. Neither Company nor any Subsidiary, nor, to the Knowledge of Company, any Third Party acting on behalf of Company or any Subsidiary, has received any: (i) written, or to the Knowledge of Company, oral inquiry or complaint alleging noncompliance with Data Protection Laws; (ii) written or, to the Knowledge of Company, oral claim for compensation for loss or unauthorized collection, processing or disclosure of Data or other Personal Information; or (iii) written or, to the Knowledge of Company, oral notification of an application for rectification, erasure or destruction of Data or other Personal Information that is still outstanding.</w:t>
      </w:r>
    </w:p>
    <w:p>
      <w:pPr>
        <w:spacing w:after="0" w:line="18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 representation or warranty of Company contained in any Transaction Document or in any other documents, certificates or statements made or furnished to the Purchasers by or on behalf of Company or any of its Subsidiaries for use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79" w:name="page180"/>
    <w:bookmarkEnd w:id="179"/>
    <w:p>
      <w:pPr>
        <w:spacing w:after="0" w:line="269" w:lineRule="auto"/>
        <w:rPr>
          <w:sz w:val="20"/>
          <w:szCs w:val="20"/>
          <w:color w:val="auto"/>
        </w:rPr>
      </w:pPr>
      <w:r>
        <w:rPr>
          <w:rFonts w:ascii="Times New Roman" w:cs="Times New Roman" w:eastAsia="Times New Roman" w:hAnsi="Times New Roman"/>
          <w:sz w:val="20"/>
          <w:szCs w:val="20"/>
          <w:color w:val="auto"/>
        </w:rPr>
        <w:t>contemplated hereby contains any untrue statement of a material fact or omits to state a material fact necessary in order to make the statements contained herein or therein not misleading in light of the circumstances in which the same were made.</w:t>
      </w:r>
    </w:p>
    <w:p>
      <w:pPr>
        <w:spacing w:after="0" w:line="159" w:lineRule="exact"/>
        <w:rPr>
          <w:sz w:val="20"/>
          <w:szCs w:val="20"/>
          <w:color w:val="auto"/>
        </w:rPr>
      </w:pPr>
    </w:p>
    <w:p>
      <w:pPr>
        <w:jc w:val="both"/>
        <w:ind w:firstLine="1304"/>
        <w:spacing w:after="0" w:line="244"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All federal Tax returns and all other material Tax returns and reports of Company and its Subsidiaries required to be filed by or with respect to any of them have been timely filed, and all federal Taxes and all other material Taxes due and payable upon Company and its Subsidiaries and upon or with respect to their respective properties, assets, income, businesses and franchises which are due and payable have been paid when due and payable, except for Taxes that are being contested in good faith by appropriate proceedings diligently conducted and for which adequate reserves are being maintained in accordance with GAAP. There is no pending or, to the knowledge of Company, proposed Tax assessment, deficiency, audit or other proceeding against Company or any of its Subsidiaries.</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20"/>
          <w:szCs w:val="20"/>
          <w:u w:val="single" w:color="auto"/>
          <w:color w:val="auto"/>
        </w:rPr>
        <w:t>Purchaser’s Representations and Warranties</w:t>
      </w:r>
      <w:r>
        <w:rPr>
          <w:rFonts w:ascii="Times New Roman" w:cs="Times New Roman" w:eastAsia="Times New Roman" w:hAnsi="Times New Roman"/>
          <w:sz w:val="20"/>
          <w:szCs w:val="20"/>
          <w:color w:val="auto"/>
        </w:rPr>
        <w:t>. Each Purchaser hereby represents and warrants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that as of the date hereof:</w:t>
      </w:r>
    </w:p>
    <w:p>
      <w:pPr>
        <w:spacing w:after="0" w:line="194" w:lineRule="exact"/>
        <w:rPr>
          <w:sz w:val="20"/>
          <w:szCs w:val="20"/>
          <w:color w:val="auto"/>
        </w:rPr>
      </w:pPr>
    </w:p>
    <w:p>
      <w:pPr>
        <w:ind w:firstLine="1304"/>
        <w:spacing w:after="0" w:line="269" w:lineRule="auto"/>
        <w:tabs>
          <w:tab w:leader="none" w:pos="194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Good Standing</w:t>
      </w:r>
      <w:r>
        <w:rPr>
          <w:rFonts w:ascii="Times New Roman" w:cs="Times New Roman" w:eastAsia="Times New Roman" w:hAnsi="Times New Roman"/>
          <w:sz w:val="20"/>
          <w:szCs w:val="20"/>
          <w:color w:val="auto"/>
        </w:rPr>
        <w:t>. Such Purchaser is a duly formed and validly existing under the laws of its jurisdiction of organization.</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Such Purchaser has the requisite trust right, power and authority to execute, deliver and perform its obligations under this Agreement. The execution, delivery and performance of this Agreement, and the consummation of the transactions contemplated hereby, have been duly authorized by all necessary action on the part of such Purchaser.</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has been duly executed and delivered by an authorized person of the owner trustee of such Purchaser and constitutes the valid and binding obligation of such Purchaser, enforceable against such Purchaser in accordance with its terms, except as may be limited by applicable Debtor Relief Laws or by general principles of equity (whether considered in a proceeding in equity or at law).</w:t>
      </w:r>
    </w:p>
    <w:p>
      <w:pPr>
        <w:spacing w:after="0" w:line="179"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by such Purchaser of this Agreement do not and will not (i) contravene or conflict with the organizational documents of such Purchaser, (ii) contravene or conflict with or constitute a default under any material provision of any law binding upon or applicable to such Purchaser or</w:t>
      </w:r>
    </w:p>
    <w:p>
      <w:pPr>
        <w:ind w:firstLine="8"/>
        <w:spacing w:after="0" w:line="246" w:lineRule="auto"/>
        <w:tabs>
          <w:tab w:leader="none" w:pos="35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or conflict with or constitute a default under any material contract or other material agreement or Judgment binding upon or applicable to such Purchaser.</w:t>
      </w:r>
    </w:p>
    <w:p>
      <w:pPr>
        <w:spacing w:after="0" w:line="181"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Except for any filings required by the federal securities laws or stock exchange rules, no consent, approval, license, order, authorization, registration, declaration or filing with or of any Governmental Authority or other Person is required to be done or obtained by such Purchaser in connection with (i) the execution and delivery by such Purchaser of this Agreement, (ii) the performance by such Purchaser of its obligations under this Agreement or (iii) the consummation by such Purchaser of any of the transactions contemplated by this Agreement.</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Financing</w:t>
      </w:r>
      <w:r>
        <w:rPr>
          <w:rFonts w:ascii="Times New Roman" w:cs="Times New Roman" w:eastAsia="Times New Roman" w:hAnsi="Times New Roman"/>
          <w:sz w:val="20"/>
          <w:szCs w:val="20"/>
          <w:color w:val="auto"/>
        </w:rPr>
        <w:t>. Such Purchaser has sufficient cash to pay the Purchase Price on the Funding Date. Such Purchaser acknowledges that its obligations under this Agreement are not contingent on obtaining financing.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No Implied Representations and Warranties</w:t>
      </w:r>
      <w:r>
        <w:rPr>
          <w:rFonts w:ascii="Times New Roman" w:cs="Times New Roman" w:eastAsia="Times New Roman" w:hAnsi="Times New Roman"/>
          <w:sz w:val="20"/>
          <w:szCs w:val="20"/>
          <w:color w:val="auto"/>
        </w:rPr>
        <w:t>. Each Purchaser acknowledges and agrees that, other than the express representations and warranties of Company specifically contained herein and in the other Transaction Documents, (a) there are no representations or warranties of Company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0" w:name="page181"/>
    <w:bookmarkEnd w:id="18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expressed or implied with respect to the Collateral or the Revenue Participation Rights or the Revenue Payments and that such Purchaser does not rely on, and shall have no remedies in respect of, any representation or warranty not specifically set forth in this Agreement or the other Transaction Documents, and all other representations and warranties are hereby expressly disclaimed, and (b) nothing contained herein guarantees that sales of the Products or the aggregate Revenue Payments due to such Purchaser will achieve any specific amounts (it being understood and agreed that nothing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limit in any way Company’s obligations under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Notwithstanding the foregoing, claims for fraud, gross negligence, or willful misconduct shall not be waived or limited in any way by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Except for the Revenue Participation Rights, the security interests provided to Purchaser’s Representative and the Purchasers pursuant to the Transaction Documents, and the Purchasers’ rights under </w:t>
      </w:r>
      <w:r>
        <w:rPr>
          <w:rFonts w:ascii="Times New Roman" w:cs="Times New Roman" w:eastAsia="Times New Roman" w:hAnsi="Times New Roman"/>
          <w:sz w:val="20"/>
          <w:szCs w:val="20"/>
          <w:u w:val="single" w:color="auto"/>
          <w:color w:val="auto"/>
        </w:rPr>
        <w:t>Section 6.4(d)</w:t>
      </w:r>
      <w:r>
        <w:rPr>
          <w:rFonts w:ascii="Times New Roman" w:cs="Times New Roman" w:eastAsia="Times New Roman" w:hAnsi="Times New Roman"/>
          <w:sz w:val="20"/>
          <w:szCs w:val="20"/>
          <w:color w:val="auto"/>
        </w:rPr>
        <w:t>, each Purchaser further acknowledges and agrees that no licenses or assignments under any assets (including the Patent Rights or any other intellectual property) of Company and its Affiliates are granted pursuant to this Agreement, including by implication, estoppel, exhaustion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TO CLOSING</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Conditions to the Purchasers’ Obligations</w:t>
      </w:r>
      <w:r>
        <w:rPr>
          <w:rFonts w:ascii="Times New Roman" w:cs="Times New Roman" w:eastAsia="Times New Roman" w:hAnsi="Times New Roman"/>
          <w:sz w:val="20"/>
          <w:szCs w:val="20"/>
          <w:color w:val="auto"/>
        </w:rPr>
        <w:t>. The effectiveness of this Agreement on the Effective Date, and the Purchasers’ obligation to pay the Purchase Price on the Funding Date, is subject to the satisfaction or waiver, at or prior to the Effective Date and on the Funding Date, as applicable, of each of the following conditions precedent:</w:t>
      </w:r>
    </w:p>
    <w:p>
      <w:pPr>
        <w:spacing w:after="0" w:line="174" w:lineRule="exact"/>
        <w:rPr>
          <w:sz w:val="20"/>
          <w:szCs w:val="20"/>
          <w:color w:val="auto"/>
        </w:rPr>
      </w:pPr>
    </w:p>
    <w:p>
      <w:pPr>
        <w:jc w:val="both"/>
        <w:ind w:firstLine="1304"/>
        <w:spacing w:after="0" w:line="246" w:lineRule="auto"/>
        <w:tabs>
          <w:tab w:leader="none" w:pos="19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have performed and complied in all material respects with all agreements, covenants, obligations and conditions required to be performed and complied with by it under this Agreement and the other Transaction Documents at or prior to each of the Effective Date and the Funding Date, and on each such date the Purchasers shall have received a certificate executed by a duly authorized officer of Company on behalf of Company to the effect of the foregoing.</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Company contained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have been true and correct in all material respects as of the Effective Date and as of the Funding Date, respectively, except to the extent any such representation or warranty expressly speaks as of a particular date, in which case it shall be true and correct in all material respects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Effective Date, Funding Date or such other date, as applicable. The Purchasers shall have received a certificate executed by an authorized officer of Company on each of the Effective Date and the Funding Date certifying on behalf of Company to the effect of the foregoing.</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or events shall have occurred, or be reasonably likely to occur, that, individually or in the aggregate, have had or would reasonably be expected to result in (or, with the giving of notice, the passage of time or otherwise, would result in) a Material Adverse Effect. The Purchasers shall have received a certificate executed by a duly authorized officer of Company on each of the Effective Date and the Funding Date certifying on behalf of Company to the effect of the foregoing.</w:t>
      </w:r>
    </w:p>
    <w:p>
      <w:pPr>
        <w:spacing w:after="0" w:line="184" w:lineRule="exact"/>
        <w:rPr>
          <w:rFonts w:ascii="Times New Roman" w:cs="Times New Roman" w:eastAsia="Times New Roman" w:hAnsi="Times New Roman"/>
          <w:sz w:val="20"/>
          <w:szCs w:val="20"/>
          <w:color w:val="auto"/>
        </w:rPr>
      </w:pPr>
    </w:p>
    <w:p>
      <w:pPr>
        <w:ind w:left="60" w:right="20" w:firstLine="1244"/>
        <w:spacing w:after="0" w:line="269" w:lineRule="auto"/>
        <w:tabs>
          <w:tab w:leader="none" w:pos="195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issued and be in effect any Judgment of any Governmental Authority enjoining, preventing or restricting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1" w:name="page182"/>
    <w:bookmarkEnd w:id="181"/>
    <w:p>
      <w:pPr>
        <w:jc w:val="both"/>
        <w:ind w:firstLine="1304"/>
        <w:spacing w:after="0" w:line="246"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instituted or be pending any action or proceeding by any Governmental Authority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Purchasers’ purchase of the Revenue Participation Rights.</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have delivered to the Purchasers a legal opinion of Goodwin Procter LLP, as counsel to Company, in form and substance satisfactory to the Purchasers.</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shall have received a certificate of the Secretary or an Assistant Secretary of Company, dated the Effective Date, certifying as to (i) the incumbency of each officer of Company executing this Agreement and (ii) the attached thereto copies of (A) Company’s certificate of incorporation, (B) bylaws, and (C) resolutions adopted by Company’s Board of Directors authorizing the execution and delivery by Company of this Agreement and the consummation by Company of the transactions contemplated hereby (the “</w:t>
      </w:r>
      <w:r>
        <w:rPr>
          <w:rFonts w:ascii="Times New Roman" w:cs="Times New Roman" w:eastAsia="Times New Roman" w:hAnsi="Times New Roman"/>
          <w:sz w:val="20"/>
          <w:szCs w:val="20"/>
          <w:u w:val="single" w:color="auto"/>
          <w:color w:val="auto"/>
        </w:rPr>
        <w:t>Company Certificate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the Effective Date, Company shall have confirmed it has scheduled delivery to Purchaser’s Representative of a USB containing copies of all documents uploaded to the [***] data room related to the transactions contemplated by this Agreement, as of the date hereof, maintained by Company and made available to the Purchasers, including all documents referred to in </w:t>
      </w:r>
      <w:r>
        <w:rPr>
          <w:rFonts w:ascii="Times New Roman" w:cs="Times New Roman" w:eastAsia="Times New Roman" w:hAnsi="Times New Roman"/>
          <w:sz w:val="20"/>
          <w:szCs w:val="20"/>
          <w:u w:val="single" w:color="auto"/>
          <w:color w:val="auto"/>
        </w:rPr>
        <w:t>Section 4.1(g)(vi)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4.1(h)(ii)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Conditions to Company’s Obligations</w:t>
      </w:r>
      <w:r>
        <w:rPr>
          <w:rFonts w:ascii="Times New Roman" w:cs="Times New Roman" w:eastAsia="Times New Roman" w:hAnsi="Times New Roman"/>
          <w:sz w:val="20"/>
          <w:szCs w:val="20"/>
          <w:color w:val="auto"/>
        </w:rPr>
        <w:t>. The obligations of Company to consummate the transactions contemplated hereunder are subject to the satisfaction or waiver, at or prior to the Effective Date and on the Funding Date, as applicable, of each of the following conditions precedent:</w:t>
      </w:r>
    </w:p>
    <w:p>
      <w:pPr>
        <w:spacing w:after="0" w:line="174" w:lineRule="exact"/>
        <w:rPr>
          <w:sz w:val="20"/>
          <w:szCs w:val="20"/>
          <w:color w:val="auto"/>
        </w:rPr>
      </w:pPr>
    </w:p>
    <w:p>
      <w:pPr>
        <w:jc w:val="both"/>
        <w:ind w:right="20" w:firstLine="1304"/>
        <w:spacing w:after="0" w:line="254"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shall have performed and complied in all material respects with all agreements, covenants, obligations and conditions required to be performed and complied with by it under this Agreement at or prior to the Effective Date and the Funding Date.</w:t>
      </w:r>
    </w:p>
    <w:p>
      <w:pPr>
        <w:spacing w:after="0" w:line="17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Purchasers contained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shall have been true and correct in all material respects as of the Effective Date and the Funding Date, respectively, except to the extent any such representation or warranty expressly speaks as of a particular date, in which case it shall be true and correct in all material respects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Effective Date, Funding Date or such other date, as applicable.</w:t>
      </w:r>
    </w:p>
    <w:p>
      <w:pPr>
        <w:spacing w:after="0" w:line="185" w:lineRule="exact"/>
        <w:rPr>
          <w:rFonts w:ascii="Times New Roman" w:cs="Times New Roman" w:eastAsia="Times New Roman" w:hAnsi="Times New Roman"/>
          <w:sz w:val="20"/>
          <w:szCs w:val="20"/>
          <w:color w:val="auto"/>
        </w:rPr>
      </w:pPr>
    </w:p>
    <w:p>
      <w:pPr>
        <w:ind w:left="60" w:right="20" w:firstLine="1244"/>
        <w:spacing w:after="0" w:line="269" w:lineRule="auto"/>
        <w:tabs>
          <w:tab w:leader="none" w:pos="195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issued and be in effect any Judgment of any Governmental Authority enjoining, preventing or restricting the consummation of the transactions contemplated by this Agreement.</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instituted or be pending any action or proceeding by any Governmental Authority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Purchasers’ purchase of the Revenue Participation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color w:val="auto"/>
        </w:rPr>
        <w:t>ARTICLE 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From and after the date hereof and until the Revenue Payment Termination Date, Company shall deliver to Purchaser’s Representative:</w:t>
      </w:r>
    </w:p>
    <w:p>
      <w:pPr>
        <w:spacing w:after="0" w:line="159" w:lineRule="exact"/>
        <w:rPr>
          <w:sz w:val="20"/>
          <w:szCs w:val="20"/>
          <w:color w:val="auto"/>
        </w:rPr>
      </w:pPr>
    </w:p>
    <w:p>
      <w:pPr>
        <w:jc w:val="both"/>
        <w:ind w:firstLine="1304"/>
        <w:spacing w:after="0" w:line="244" w:lineRule="auto"/>
        <w:tabs>
          <w:tab w:leader="none" w:pos="194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Within [***] after the end of each fiscal quarter of each fiscal year (excluding the fourth fiscal quarter), the consolidated balance sheets of Company and its Subsidiaries as at the end of such fiscal quarter and the related consolidated statements of income, stockholders’ equity and cash flows of Company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(which obligation may be satisfied through the public filing of such financial statements with the SEC).</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xml:space="preserve"> Within [***] after the end of each fiscal year, the consolidated balance sheets of Company and its Subsidiaries as at the end of such fiscal year and the related consolidated statements of income, stockholders’ equity and cash flows of Company and its Subsidiaries for such fiscal year, setting forth in each case in comparative form the corresponding figures for the previous fiscal year, in reasonable detail (which obligation may be satisfied through the public filing of such financial statements with the SEC).</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Report.</w:t>
      </w:r>
      <w:r>
        <w:rPr>
          <w:rFonts w:ascii="Times New Roman" w:cs="Times New Roman" w:eastAsia="Times New Roman" w:hAnsi="Times New Roman"/>
          <w:sz w:val="20"/>
          <w:szCs w:val="20"/>
          <w:color w:val="auto"/>
        </w:rPr>
        <w:t xml:space="preserve"> Within [***] after the end of the first three fiscal quarters of each fiscal year and</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5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end of the end of the fourth quarter of each fiscal year (the “</w:t>
      </w:r>
      <w:r>
        <w:rPr>
          <w:rFonts w:ascii="Times New Roman" w:cs="Times New Roman" w:eastAsia="Times New Roman" w:hAnsi="Times New Roman"/>
          <w:sz w:val="20"/>
          <w:szCs w:val="20"/>
          <w:u w:val="single" w:color="auto"/>
          <w:color w:val="auto"/>
        </w:rPr>
        <w:t>Quarterly Deadline</w:t>
      </w:r>
      <w:r>
        <w:rPr>
          <w:rFonts w:ascii="Times New Roman" w:cs="Times New Roman" w:eastAsia="Times New Roman" w:hAnsi="Times New Roman"/>
          <w:sz w:val="20"/>
          <w:szCs w:val="20"/>
          <w:color w:val="auto"/>
        </w:rPr>
        <w:t>”), a reasonably detailed quarterly report setting forth, with respect to such same period, (i) the Clinical Updates, (ii) the Commercial Updates, (iii) the Regulatory Updates, (iv) the Intellectual Property Updates and (v) any material CMC updates (the “</w:t>
      </w:r>
      <w:r>
        <w:rPr>
          <w:rFonts w:ascii="Times New Roman" w:cs="Times New Roman" w:eastAsia="Times New Roman" w:hAnsi="Times New Roman"/>
          <w:sz w:val="20"/>
          <w:szCs w:val="20"/>
          <w:u w:val="single" w:color="auto"/>
          <w:color w:val="auto"/>
        </w:rPr>
        <w:t>Quarterly Report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Quarterly Reports may exclude information that pertains solely to [***]. Company shall prepare and maintain and shall cause its Affiliates and shall use Commercially Reasonable Efforts to cause its Licensees to prepare and maintain reasonably complete and accurate records of the information to be disclosed in each Quarterly Report. All Quarterly Report, and the Confidential Information contained therein, shall be the Confidential Information of Company and subject to the obligations of confidentiality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Purchaser Meetings.</w:t>
      </w:r>
      <w:r>
        <w:rPr>
          <w:rFonts w:ascii="Times New Roman" w:cs="Times New Roman" w:eastAsia="Times New Roman" w:hAnsi="Times New Roman"/>
          <w:sz w:val="20"/>
          <w:szCs w:val="20"/>
          <w:color w:val="auto"/>
        </w:rPr>
        <w:t xml:space="preserve"> Company will, upon the reasonable request of Purchaser’s Representative or the Majority Purchasers, participate in a telephonic or videoconference meeting of Purchaser’s Representative and Purchasers (i) within [***] following delivery to the Purchaser’s Representative of the Quarterly Report and (ii) at such other times as may be agreed to by Company and Purchaser’s Representative from time to time.</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Revenue Payments; Revenue Participation; Revenue Payment Details; Repurchase Option; 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 Control Payment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304"/>
        <w:spacing w:after="0" w:line="244" w:lineRule="auto"/>
        <w:tabs>
          <w:tab w:leader="none" w:pos="19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 and until the Revenue Payment Termination Date, Company shall pay to the Purchasers, without any setoff or offset (subject, in each case,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the Revenue Payment for each calendar quarter on the Quarterly Deadline, provided that for any Net Sales made by a Licensee for which payment is received by Company [***] prior to the Quarterly Deadline, such payment to the Purchasers will be paid with the following calendar quarter’s Revenue Payment. A late fee of [***] will accrue on all unpaid amounts with respect to any Revenue Payment from the date such obligation was due. The imposition and payment of a late fee shall not constitute a waiver of the Purchasers’ rights with respect to such payment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3" w:name="page184"/>
    <w:bookmarkEnd w:id="183"/>
    <w:p>
      <w:pPr>
        <w:jc w:val="both"/>
        <w:ind w:firstLine="1304"/>
        <w:spacing w:after="0" w:line="256" w:lineRule="auto"/>
        <w:tabs>
          <w:tab w:leader="none" w:pos="19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and after the Effective Date and until the Revenue Payment Termination Date, Company shall deliver to Purchasers a report for each calendar quarter on the Quarterly Deadline, in substantially the form attached to this Agreement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setting forth in reasonable detail with respect to each Product, (i) Gross Sales and Net Sales for the applicable calendar quarter and calendar year to date, on a country-by-country basis (including a detailed break-down of all permitted deductions from Gross Sales used to determine Net Sales and any Net Sales described in </w:t>
      </w:r>
      <w:r>
        <w:rPr>
          <w:rFonts w:ascii="Times New Roman" w:cs="Times New Roman" w:eastAsia="Times New Roman" w:hAnsi="Times New Roman"/>
          <w:sz w:val="19"/>
          <w:szCs w:val="19"/>
          <w:u w:val="single" w:color="auto"/>
          <w:color w:val="auto"/>
        </w:rPr>
        <w:t>Section 6.4(d)</w:t>
      </w:r>
      <w:r>
        <w:rPr>
          <w:rFonts w:ascii="Times New Roman" w:cs="Times New Roman" w:eastAsia="Times New Roman" w:hAnsi="Times New Roman"/>
          <w:sz w:val="19"/>
          <w:szCs w:val="19"/>
          <w:color w:val="auto"/>
        </w:rPr>
        <w:t>), and (ii)</w:t>
      </w:r>
    </w:p>
    <w:p>
      <w:pPr>
        <w:spacing w:after="0" w:line="4" w:lineRule="exact"/>
        <w:rPr>
          <w:rFonts w:ascii="Times New Roman" w:cs="Times New Roman" w:eastAsia="Times New Roman" w:hAnsi="Times New Roman"/>
          <w:sz w:val="19"/>
          <w:szCs w:val="19"/>
          <w:color w:val="auto"/>
        </w:rPr>
      </w:pPr>
    </w:p>
    <w:p>
      <w:pPr>
        <w:jc w:val="both"/>
        <w:ind w:firstLine="8"/>
        <w:spacing w:after="0"/>
        <w:tabs>
          <w:tab w:leader="none" w:pos="33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calculation of the Revenue Payment payable to the Purchasers for the applicable calendar quarter, identifying, on a country-by-country basis, the number of units of each Product sold by Company, its Affiliates and each Licensee and (B) foreign currency exchange rates used (which shall be rates of exchange determined in a manner consistent with Company’s method for calculating rates of exchange in the preparation of Company’s annual financial statements in accordance with accounting principles generally accepted in the United States);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for any reports received by Company with respect to Product Net Sales by Licensees [***] prior to the Quarterly Deadline, Company shall deliver to the Purchasers the relevant information from such reports in the following calendar quarter’s report.</w:t>
      </w:r>
    </w:p>
    <w:p>
      <w:pPr>
        <w:spacing w:after="0" w:line="190"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required to be made by either party under this Agreement shall be made in U.S. dollars via electronic funds transfer or wire transfer of immediately available funds. Payments required to be made by Purchasers shall be made to such bank account as Company shall designate in writing prior to the date of such payment. Payments required to be made by Company shall be made to Purchaser’s Representative’s Account, and Purchaser’s Representative shall promptly distribute to each Purchaser, according to such Purchaser’s written instructions, such Purchaser’s applicable Pro Rata Share of all such payments so received by Purchaser’s Representative.</w:t>
      </w:r>
    </w:p>
    <w:p>
      <w:pPr>
        <w:spacing w:after="0" w:line="184"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 Company shall have the right, but not the obligation (the “</w:t>
      </w:r>
      <w:r>
        <w:rPr>
          <w:rFonts w:ascii="Times New Roman" w:cs="Times New Roman" w:eastAsia="Times New Roman" w:hAnsi="Times New Roman"/>
          <w:sz w:val="20"/>
          <w:szCs w:val="20"/>
          <w:u w:val="single" w:color="auto"/>
          <w:color w:val="auto"/>
        </w:rPr>
        <w:t>Repurchase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exercisable upon [***] written notice to Purchaser’s Representative, to repurchase the Revenue Participation Rights from the Purchasers for a price equal to the Repurchase Price. In order to exercise the Repurchase Option, Company shall deliver written notice to Purchaser’s Representative of its election to so repurchase the Revenue Participation Rights not [***] prior to the proposed closing date (the “</w:t>
      </w:r>
      <w:r>
        <w:rPr>
          <w:rFonts w:ascii="Times New Roman" w:cs="Times New Roman" w:eastAsia="Times New Roman" w:hAnsi="Times New Roman"/>
          <w:sz w:val="20"/>
          <w:szCs w:val="20"/>
          <w:u w:val="single" w:color="auto"/>
          <w:color w:val="auto"/>
        </w:rPr>
        <w:t>Repurchase Option Closing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notice may state that it is conditioned upon the effectiveness of any financing transaction or one or more other events specified therein (including the occurrence of a Change of Control), in which case such notice may be revoked by Company (by notice to Purchaser’s Representative on or prior to the specified effective date) if such condition is not satisfied. On the Repurchase Option Closing Date, Company shall repurchase from each Purchaser its Revenue Participation Right at the Repurchase Price in cash, the payment of which shall be made by wire transfer of immediately available funds to Purchaser’s Representative for the account of the Purchasers. Immediately upon exercise by Company of the Repurchase Option and the payment by Company to the Purchasers of the Repurchase Price, each Purchaser shall be deemed to have automatically assigned to Company all right, title, and interest in and to its Revenue Participation Right.</w:t>
      </w:r>
    </w:p>
    <w:p>
      <w:pPr>
        <w:spacing w:after="0" w:line="197"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of Control of Company prior to the Revenue Payment Termination Date, Company shall provide the Purchasers with [***] advance written notice (or written notice as soon as practicable, if [***] advance notice is not practicable) of such Change of Control, and prior to or simultaneous with the consummation of such Change of Control, pay to the Purchasers an amount equal to the Change of Control Repurchase Price on the date of such Change of Control (the “</w:t>
      </w:r>
      <w:r>
        <w:rPr>
          <w:rFonts w:ascii="Times New Roman" w:cs="Times New Roman" w:eastAsia="Times New Roman" w:hAnsi="Times New Roman"/>
          <w:sz w:val="20"/>
          <w:szCs w:val="20"/>
          <w:u w:val="single" w:color="auto"/>
          <w:color w:val="auto"/>
        </w:rPr>
        <w:t>Change of Control Payment</w:t>
      </w:r>
      <w:r>
        <w:rPr>
          <w:rFonts w:ascii="Times New Roman" w:cs="Times New Roman" w:eastAsia="Times New Roman" w:hAnsi="Times New Roman"/>
          <w:sz w:val="20"/>
          <w:szCs w:val="20"/>
          <w:color w:val="auto"/>
        </w:rPr>
        <w:t xml:space="preserve">”). Upon consummation of a Change of Control and receipt by the Purchasers of the Change of Control Payment, this Agreement will terminate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Inspections and Audits of Company</w:t>
      </w:r>
      <w:r>
        <w:rPr>
          <w:rFonts w:ascii="Times New Roman" w:cs="Times New Roman" w:eastAsia="Times New Roman" w:hAnsi="Times New Roman"/>
          <w:sz w:val="20"/>
          <w:szCs w:val="20"/>
          <w:color w:val="auto"/>
        </w:rPr>
        <w:t>. Following [***] the Revenue Payment Termination Date, upon at least [***] written notice and during normal business hours, no more frequently than [***], the Purchasers may cause an inspection and/or audit by an independent public accounting firm reasonably acceptable to Company to be made of Company’s books of account for the [***]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4" w:name="page185"/>
    <w:bookmarkEnd w:id="184"/>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audit for the purpose of determining the correctness of Revenue Payments made under this Agreement. Upon the Purchasers’ reasonable request, no more frequently than [***] while any Out-License remains in effect, Company shall use Commercially Reasonable Efforts to exercise any rights it may have under any Out-License relating to a Product to cause an inspection and/or audit by an independent public accounting firm to be made of the books of account of any counterparty thereto for the purpose of determining the correctness of Revenue Payments made under this Agreement. All of the out-of-pocket expenses of any inspection or audit requested by the Purchasers hereunder (including the fees and expenses of such independent public accounting firm designated for such purpose) shall be borne solely by the Purchasers, unless the independent public accounting firm determines that Revenue Payments previously paid during the period of the audit were underpaid by an amount [***] of the Revenue Payments actually paid during such period, in which case such expenses shall be borne by Company. Any such accounting firm shall not disclose the confidential information of Company or any such Licensee relating to a Product to the Purchasers, except to the extent such disclosure is necessary to determine the correctness of Revenue Payments or otherwise would be included in a Report. All information obtained by the Purchasers as a result of any such inspection or audit shall be Confidential Information subject to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If any audit discloses any underpayments by Company to the Purchasers, then such underpayment, shall be paid by Company to the Purchasers within</w:t>
      </w:r>
    </w:p>
    <w:p>
      <w:pPr>
        <w:spacing w:after="0" w:line="11" w:lineRule="exact"/>
        <w:rPr>
          <w:sz w:val="20"/>
          <w:szCs w:val="20"/>
          <w:color w:val="auto"/>
        </w:rPr>
      </w:pPr>
    </w:p>
    <w:p>
      <w:pPr>
        <w:jc w:val="both"/>
        <w:ind w:firstLine="8"/>
        <w:spacing w:after="0" w:line="258" w:lineRule="auto"/>
        <w:tabs>
          <w:tab w:leader="none" w:pos="48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it being so disclosed. If any audit discloses any overpayments by Company to the Purchasers, then Company shall have the right to credit the amount of the overpayment against each subsequent quarterly Revenue Payment due to the Purchasers until the overpayment has been fully applied. If the overpayment is not fully applied prior to the final quarterly Revenue Payment due hereunder, the Purchasers shall promptly refund an amount equal to any such remaining overpayment.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6.4</w:t>
      </w:r>
      <w:r>
        <w:rPr>
          <w:sz w:val="20"/>
          <w:szCs w:val="20"/>
          <w:color w:val="auto"/>
        </w:rPr>
        <w:tab/>
      </w:r>
      <w:r>
        <w:rPr>
          <w:rFonts w:ascii="Times New Roman" w:cs="Times New Roman" w:eastAsia="Times New Roman" w:hAnsi="Times New Roman"/>
          <w:sz w:val="19"/>
          <w:szCs w:val="19"/>
          <w:u w:val="single" w:color="auto"/>
          <w:color w:val="auto"/>
        </w:rPr>
        <w:t>Intellectual Property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5" w:lineRule="auto"/>
        <w:tabs>
          <w:tab w:leader="none" w:pos="1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Company shall provide to the Purchasers a copy of any written notice received by Company from a Third Party alleging or claiming that the making, having made, using, importing, offering for sale or selling of a Product infringes or misappropriates any Patents or other intellectual property rights of such Third Party, together with, to the extent permitted in any applicable confidentiality obligations owed to Third Parties, copies of material correspondence sent or received by Company related thereto, as soon as practicable and in any event not more than [***] following such delivery or receipt.</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promptly inform the Purchasers of any infringement by a Third Party of any Patent Right of which Company gains Knowledge, [***]. Without limiting the foregoing, to the extent permitted under any obligations of confidentiality owed to Third Parties, Company shall provide to the Purchasers a copy of any written notice of any suspected infringement of any Patent Rights delivered or received by Company, [***], as well as copies of material correspondence related thereto, as soon as practicable and in any event not more than [***] following such delivery or receipt. Company shall use Commercially Reasonable Efforts to diligently enforce and defend, or, to the extent Company does not have the right to do so under any applicable Out-License, exercise its rights to cause applicable Licensees to enforce and defend, any Patent Rights, other than those to which Company has a nonexclusive license and [***], including by bringing any legal action for infringement or defending any counterclaim of invalidity or unenforceability or action of a Third Party for declaratory judgment of non-infringement or non-interference.</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hereof and until the Revenue Payment Termination Date, within [***] of initiating, or permitting a Licensee to initiate, an enforcement action regarding any suspected infringement by a Third Party of any Patent Right [***] or defending any counterclaim of invalidity or unenforceability or action of a Third Party for declaratory judgment of non-infringement or non-interference [***], Company shall provide the Purchasers with written notice of such action, to the extent permitted under any obligations of confidentiality owed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5" w:name="page186"/>
    <w:bookmarkEnd w:id="185"/>
    <w:p>
      <w:pPr>
        <w:jc w:val="both"/>
        <w:ind w:firstLine="1304"/>
        <w:spacing w:after="0" w:line="243" w:lineRule="auto"/>
        <w:tabs>
          <w:tab w:leader="none" w:pos="194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recovers monetary damages from a Third Party in an action brought for such Third Party’s infringement of any Patent Rights relating to a Product, [***], where such damages, whether in the form of judgment or settlement, are awarded for such infringement of such Patent Rights, (i) such recovery will be allocated first to the reimbursement of any expenses incurred by Company (or any party to an In-License or Permitted License of such Patent Rights entitled to such reimbursement under any such In-License or Permitted License) in bringing such action (including all reasonable attorney’s fees), (ii) any remaining amounts will be reduced, if applicable, to comply with allocation of recovered damages with licensors of such Patent Rights required under any In-Licenses or Permitted License of such Patent Rights under any such In-License or Permitted License, if any, and (iii) any residual amount of such damages after application of (i) and (ii) will be treated as Net Sales with respect to the applicable Product.</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6.5</w:t>
      </w:r>
      <w:r>
        <w:rPr>
          <w:sz w:val="20"/>
          <w:szCs w:val="20"/>
          <w:color w:val="auto"/>
        </w:rPr>
        <w:tab/>
      </w:r>
      <w:r>
        <w:rPr>
          <w:rFonts w:ascii="Times New Roman" w:cs="Times New Roman" w:eastAsia="Times New Roman" w:hAnsi="Times New Roman"/>
          <w:sz w:val="19"/>
          <w:szCs w:val="19"/>
          <w:u w:val="single" w:color="auto"/>
          <w:color w:val="auto"/>
        </w:rPr>
        <w:t>In-Licenses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4" w:lineRule="auto"/>
        <w:tabs>
          <w:tab w:leader="none" w:pos="19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promptly (and in any event within [***]) provide the Purchasers with (i) executed copies of any In-License entered into by Company or its Affiliates, and (ii) executed copies of each amendment, supplement, modification or written waiver of any provision of any In-License.</w:t>
      </w:r>
    </w:p>
    <w:p>
      <w:pPr>
        <w:spacing w:after="0" w:line="174"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 after receipt of any written notice from a counterparty to any In-License or its Affiliates of an alleged material breach under any In-License, Company shall provide Purchaser’s Representative and the Purchasers a copy thereof, to the extent permitted under any obligations of confidentiality owed to Third Parties. Company shall use its Commercially Reasonable Efforts to cure any material breaches by it under any In-License and shall give written notice to the Purchasers upon curing any such breach. Company shall provide the Purchasers with written notice following Company gaining Knowledge of a counterparty’s material breach of its obligations under any In-License. Company shall not terminate any In-License without providing the Purchasers prior written notice. Promptly, and in any event within [***] following Company’s notice to a counterparty to any In-License of an alleged breach by such counterparty under any such In-License, Company shall provide the Purchasers a copy thereof.</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19"/>
          <w:szCs w:val="19"/>
          <w:u w:val="single" w:color="auto"/>
          <w:color w:val="auto"/>
        </w:rPr>
        <w:t>Out-Licenses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4" w:lineRule="auto"/>
        <w:tabs>
          <w:tab w:leader="none" w:pos="19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promptly (and in any event within [***] of any relevant event) provide the Purchasers with (i) executed copies of each Out-License, (ii) executed copies of each amendment, supplement, modification or written waiver of any material provision of an Out-License (excluding, in the case of the preceding clauses (i) and (ii), agreements with manufacturers, distributors, contract sales forces and other Commercialization vendors solely for the manufacture, distribution, contract sales, or other services on behalf of Company or its Subsidiaries and any agreements, in each case, [***]), and (iii) copies of any and all royalty and similar reports delivered to Company pursuant to an Out-Licenses (other than pursuant to the CStone License).</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shall include in all Out-Licenses it enters into after the date hereof provisions permitting Company to audit such Licensee and shall use commercially reasonable efforts to include terms and conditions consistent in all material respects with the Purchasers’ rights to audit Company set forth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6" w:name="page187"/>
    <w:bookmarkEnd w:id="186"/>
    <w:p>
      <w:pPr>
        <w:jc w:val="both"/>
        <w:ind w:firstLine="1304"/>
        <w:spacing w:after="0" w:line="254"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provide the Purchasers written notice of a Licensee’s material breach of its obligations under any Out-License, [***], promptly (and in any event within [***] of Company gaining Knowledge of such breach).</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provide the Purchasers with written notice promptly (and in any event within [***]) following the termination of any Out-License.</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use commercially reasonable efforts to ensure that all Product Agreements entered into after the date hereof permit the disclosure of information to be provided thereunder to Purchaser’s Representative and the Purchasers, any purchaser or prospective purchaser in a foreclosure or other transfer of all or any portion of the Collateral (subject to customary confidentiality obligations).</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Protective Covenants</w:t>
      </w:r>
      <w:r>
        <w:rPr>
          <w:rFonts w:ascii="Times New Roman" w:cs="Times New Roman" w:eastAsia="Times New Roman" w:hAnsi="Times New Roman"/>
          <w:sz w:val="20"/>
          <w:szCs w:val="20"/>
          <w:color w:val="auto"/>
        </w:rPr>
        <w:t>. Company shall not, and shall not permit any Subsidiary to, without the prior written consent of Purchaser Representative:</w:t>
      </w:r>
    </w:p>
    <w:p>
      <w:pPr>
        <w:spacing w:after="0" w:line="159" w:lineRule="exact"/>
        <w:rPr>
          <w:sz w:val="20"/>
          <w:szCs w:val="20"/>
          <w:color w:val="auto"/>
        </w:rPr>
      </w:pPr>
    </w:p>
    <w:p>
      <w:pPr>
        <w:ind w:firstLine="1304"/>
        <w:spacing w:after="0" w:line="269"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forgive, release or compromise any amount owed to Company or its Subsidiaries or its Affiliates that would constitute the Revenue Payments, other than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permit to exist any Restricted License;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permit to exist any Out-License, except Permitted Licenses;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Minimum Return Date, directly or indirectly create, incur, assume or permit to exist any Lien on or with respect to any Collateral, or file or permit the filing of, or permit to remain in effect, any financing statement or other similar notice of any Lien with respect to any Collateral, except Permitted Liens; or</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Royalty Monetization Transaction, other than a Royalty Monetization Transaction in respect of payments owed to Company under the CStone License, with respect to the Collateral or any Product or Product Rights.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6.8</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6.9</w:t>
      </w:r>
      <w:r>
        <w:rPr>
          <w:sz w:val="20"/>
          <w:szCs w:val="20"/>
          <w:color w:val="auto"/>
        </w:rPr>
        <w:tab/>
      </w:r>
      <w:r>
        <w:rPr>
          <w:rFonts w:ascii="Times New Roman" w:cs="Times New Roman" w:eastAsia="Times New Roman" w:hAnsi="Times New Roman"/>
          <w:sz w:val="19"/>
          <w:szCs w:val="19"/>
          <w:u w:val="single" w:color="auto"/>
          <w:color w:val="auto"/>
        </w:rPr>
        <w:t>Use of Proceeds; Diligence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4" w:lineRule="auto"/>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paid by the Purchasers to Company under this Agreement will be used by Company for activities related to research, preclinical development, clinical development, Marketing Approval, and/or Commercialization of the Products, with any excess funds to be used for working capital and general corporate purposes.</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use Commercially Reasonable Efforts [***].</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Efforts to Consummate Transactions</w:t>
      </w:r>
      <w:r>
        <w:rPr>
          <w:rFonts w:ascii="Times New Roman" w:cs="Times New Roman" w:eastAsia="Times New Roman" w:hAnsi="Times New Roman"/>
          <w:sz w:val="20"/>
          <w:szCs w:val="20"/>
          <w:color w:val="auto"/>
        </w:rPr>
        <w:t>. Subject to the terms and conditions of this Agreement, each of Company and the Purchasers will use their commercially reasonable efforts to take, or cause to be taken, all actions and to do, or cause to be done, all things reasonably necessary under applicable law to consummate the transactions contemplated by this Agreement. Each of Purchaser’s Representative, the Purchasers and Company agrees to execute and deliver such other documents, certificates, agreements and other writings and to take such other actions as may be reasonably necessary in order to consummate or implement expeditiously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7" w:name="page188"/>
    <w:bookmarkEnd w:id="187"/>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After the Effective Date, Company and the Purchasers agree to execute and deliver such other documents, certificates, agreements and other writings and to take such other actions as may be reasonably necessary in order to give effect to the transactions contemplated by this Agreement.</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Security Interest</w:t>
      </w:r>
      <w:r>
        <w:rPr>
          <w:rFonts w:ascii="Times New Roman" w:cs="Times New Roman" w:eastAsia="Times New Roman" w:hAnsi="Times New Roman"/>
          <w:sz w:val="20"/>
          <w:szCs w:val="20"/>
          <w:color w:val="auto"/>
        </w:rPr>
        <w:t>. Notwithstanding anything herein to the contrary, Company shall not enter into any contracts or arrangement or otherwise knowingly take any action or knowingly fail to act in a manner that would, individually or in the aggregate, reasonably be expected to materially and adversely affect the Purchasers’ interest in the Revenue Participation Rights or the security interests granted hereunder or under the other Transaction Documents.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6.13</w:t>
      </w:r>
      <w:r>
        <w:rPr>
          <w:sz w:val="20"/>
          <w:szCs w:val="20"/>
          <w:color w:val="auto"/>
        </w:rPr>
        <w:tab/>
      </w:r>
      <w:r>
        <w:rPr>
          <w:rFonts w:ascii="Times New Roman" w:cs="Times New Roman" w:eastAsia="Times New Roman" w:hAnsi="Times New Roman"/>
          <w:sz w:val="19"/>
          <w:szCs w:val="19"/>
          <w:u w:val="single" w:color="auto"/>
          <w:color w:val="auto"/>
        </w:rPr>
        <w:t>Certain Tax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accounting treatment therefor and unless otherwise required by applicable Law, for all U.S. federal and applicable state and local tax purposes, Company and the Purchasers shall treat the Purchasers’ payment of the Purchase Price as received by Company in a taxable sale of the Revenue Participation Rights and not as an equity or debt interest in Company. The parties hereto agree not to take any position that is inconsistent with the provisions of this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on any tax return or in any audit or other tax-related administrative or judicial proceeding unless otherwise required by applicable Law. If there is an inquiry by any Governmental Authority of the Seller or the Purchasers related to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the parties hereto shall cooperate with each other in responding to such inquiry in a commercially reasonable manner consistent with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will, and will cause each of its Subsidiaries to, file all Tax returns required to be filed by or with respect to Company or any 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which has or may become a Lien against any of the Collateral, such contest proceedings conclusively operate to stay imposition of any penalty, fine or Lien resulting from the non-payment thereof. Company will not, nor will it permit any of its Subsidiaries to file or consent to the filing of any consolidated income tax return with any Person (other than Company or its Subsidiaries).</w:t>
      </w:r>
    </w:p>
    <w:p>
      <w:pPr>
        <w:spacing w:after="0" w:line="189"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payments by Company to the Purchasers shall be made without deduction or withholding for any Taxes, except as required by applicable law. If any applicable law requires the deduction or withholding of any Tax from any such payment by Company (a “</w:t>
      </w:r>
      <w:r>
        <w:rPr>
          <w:rFonts w:ascii="Times New Roman" w:cs="Times New Roman" w:eastAsia="Times New Roman" w:hAnsi="Times New Roman"/>
          <w:sz w:val="19"/>
          <w:szCs w:val="19"/>
          <w:u w:val="single" w:color="auto"/>
          <w:color w:val="auto"/>
        </w:rPr>
        <w:t>Withholding Payment</w:t>
      </w:r>
      <w:r>
        <w:rPr>
          <w:rFonts w:ascii="Times New Roman" w:cs="Times New Roman" w:eastAsia="Times New Roman" w:hAnsi="Times New Roman"/>
          <w:sz w:val="19"/>
          <w:szCs w:val="19"/>
          <w:color w:val="auto"/>
        </w:rPr>
        <w:t xml:space="preserve">”), then Company shall be entitled to withhold and deduct (or cause to be withheld and deducted) from any amount payable under this Agreement to the Purchasers any Tax that it is required to withhold and deduct under applicable law and shall timely pay the full amount deducted or withheld to the relevant governmental authority in accordance with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payable by Company to the Purchasers shall be increased as necessary so that after such deduction or withholding has been made (including such deductions and withholdings applicable to additional sums payable under this Paragraph), the Purchasers receive an amount equal to the sum they would have received had no such deduction or withholding been made (such additional amount, the “</w:t>
      </w:r>
      <w:r>
        <w:rPr>
          <w:rFonts w:ascii="Times New Roman" w:cs="Times New Roman" w:eastAsia="Times New Roman" w:hAnsi="Times New Roman"/>
          <w:sz w:val="19"/>
          <w:szCs w:val="19"/>
          <w:u w:val="single" w:color="auto"/>
          <w:color w:val="auto"/>
        </w:rPr>
        <w:t>Gross-Up Amount</w:t>
      </w:r>
      <w:r>
        <w:rPr>
          <w:rFonts w:ascii="Times New Roman" w:cs="Times New Roman" w:eastAsia="Times New Roman" w:hAnsi="Times New Roman"/>
          <w:sz w:val="19"/>
          <w:szCs w:val="19"/>
          <w:color w:val="auto"/>
        </w:rPr>
        <w:t xml:space="preserve">”); provided further that if a Withholding Payment is required as a result of (i) an assignment pursuant to </w:t>
      </w:r>
      <w:r>
        <w:rPr>
          <w:rFonts w:ascii="Times New Roman" w:cs="Times New Roman" w:eastAsia="Times New Roman" w:hAnsi="Times New Roman"/>
          <w:sz w:val="19"/>
          <w:szCs w:val="19"/>
          <w:u w:val="single" w:color="auto"/>
          <w:color w:val="auto"/>
        </w:rPr>
        <w:t>Section 11.4</w:t>
      </w:r>
      <w:r>
        <w:rPr>
          <w:rFonts w:ascii="Times New Roman" w:cs="Times New Roman" w:eastAsia="Times New Roman" w:hAnsi="Times New Roman"/>
          <w:sz w:val="19"/>
          <w:szCs w:val="19"/>
          <w:color w:val="auto"/>
        </w:rPr>
        <w:t xml:space="preserve"> after the Effective Date or (ii) a Purchaser’s failure to provide an IRS Withholding Form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6.13(d)</w:t>
      </w:r>
      <w:r>
        <w:rPr>
          <w:rFonts w:ascii="Times New Roman" w:cs="Times New Roman" w:eastAsia="Times New Roman" w:hAnsi="Times New Roman"/>
          <w:sz w:val="19"/>
          <w:szCs w:val="19"/>
          <w:color w:val="auto"/>
        </w:rPr>
        <w:t>, then, in each case, Company shall not be obligated to pay the relevant Purchaser the Gross-Up Amount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8" w:name="page189"/>
    <w:bookmarkEnd w:id="188"/>
    <w:p>
      <w:pPr>
        <w:jc w:val="both"/>
        <w:spacing w:after="0" w:line="243" w:lineRule="auto"/>
        <w:rPr>
          <w:sz w:val="20"/>
          <w:szCs w:val="20"/>
          <w:color w:val="auto"/>
        </w:rPr>
      </w:pPr>
      <w:r>
        <w:rPr>
          <w:rFonts w:ascii="Times New Roman" w:cs="Times New Roman" w:eastAsia="Times New Roman" w:hAnsi="Times New Roman"/>
          <w:sz w:val="20"/>
          <w:szCs w:val="20"/>
          <w:color w:val="auto"/>
        </w:rPr>
        <w:t>to such Withholding Payment except in the case of an assignment to the extent a Gross-Up Amount was payable immediately prior to such assignment. In the case of any Withholding Payment, Company shall furnish the Purchaser’s Representative with proper evidence of the taxes withheld and deducted and remitted to the relevant taxing authority. Company shall not take any position (including in any Tax return, filing or similar Tax matter or in any contract, license, sale, or similar agreement) that would require any Person making payments to Company to treat the Purchasers as the recipients of such payments for Tax purposes. Company shall not provide any forms submitted to Company by Purchasers pursuant to Section 6.13(d) to any to any Third-Party (other than the IRS in connection with any applicable Tax audit, inquiry, or investigation of Company). Company and the Purchasers shall cooperate and use commercially reasonable efforts to reduce or eliminate any Withholding Payments in respect of payments made under this Agreement.</w:t>
      </w:r>
    </w:p>
    <w:p>
      <w:pPr>
        <w:spacing w:after="0" w:line="186" w:lineRule="exact"/>
        <w:rPr>
          <w:sz w:val="20"/>
          <w:szCs w:val="20"/>
          <w:color w:val="auto"/>
        </w:rPr>
      </w:pPr>
    </w:p>
    <w:p>
      <w:pPr>
        <w:jc w:val="both"/>
        <w:ind w:firstLine="1304"/>
        <w:spacing w:after="0" w:line="242"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the Effective Date, the Purchaser’s Representative shall deliver one of the following with respect to each of the Purchasers: (i) IRS Form W-9, (ii) IRS Form W-8BEN-E claiming treaty benefits under a double taxation treaty in a manner qualifying for a zero percent (0%) withholding rate with respect to each of “royalties,” “interest,” and “other income,” (iii) IRS Form W-8IMY to which the forms set forth in the preceding (i) and (ii) are attached, or (iv) other applicable IRS Form W-8 that indicates no Withholding Payment is required (or, in each case, any successor or other applicable form prescribed by the U.S. Internal Revenue Service) (in each case ((i) through (iv)), the “IRS Withholding Form”). The Purchaser’s Representative, from time to time after the Effective Date, whenever there is an assignment to a new Purchaser pursuant to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or there is a lapse in time (or change in circumstances) that renders the prior IRS Withholding Form provided hereunder obsolete or inaccurate in any respect, shall promptly deliver to Company a new and duly executed IRS Withholding Form of the relevant Purchaser.</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Effective Date, Company shall deliver to the Purchaser’s Representative a duly executed IRS Form W-9. Company, from time to time after the Effective Date, whenever there is a lapse in time (or change in circumstances) that renders such IRS Form W-9 provided hereunder obsolete or inaccurate in any respect, shall promptly deliver to the Purchaser’s Representative a new and duly Executed IRS Form W-9 (or other successor or other applicable form prescribed by the U.S. Internal Revenue Service) of Company.</w:t>
      </w:r>
    </w:p>
    <w:p>
      <w:pPr>
        <w:spacing w:after="0" w:line="185" w:lineRule="exact"/>
        <w:rPr>
          <w:sz w:val="20"/>
          <w:szCs w:val="20"/>
          <w:color w:val="auto"/>
        </w:rPr>
      </w:pPr>
    </w:p>
    <w:p>
      <w:pPr>
        <w:jc w:val="center"/>
        <w:ind w:right="-39"/>
        <w:spacing w:after="0"/>
        <w:tabs>
          <w:tab w:leader="none" w:pos="30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Neither Company, nor any of its Subsidiaries or Affiliates [***] shall:</w:t>
      </w:r>
    </w:p>
    <w:p>
      <w:pPr>
        <w:spacing w:after="0" w:line="216" w:lineRule="exact"/>
        <w:rPr>
          <w:sz w:val="20"/>
          <w:szCs w:val="20"/>
          <w:color w:val="auto"/>
        </w:rPr>
      </w:pPr>
    </w:p>
    <w:p>
      <w:pPr>
        <w:ind w:right="20" w:firstLine="1304"/>
        <w:spacing w:after="0" w:line="269" w:lineRule="auto"/>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any business or engage in any transaction or dealing with any Blocked Person, including the making or receiving any contribution of funds, goods or services to or for the benefit of any Blocked Person;</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 in, or otherwise engage in any transaction relating to, any property or interests in property blocked pursuant to the OFAC Sanctions Programs; or</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or conspire to engage in any transaction that evades or avoids, or has the purpose of evading or avoiding, or attempts to violate, any of the prohibitions set forth in the OFAC Sanctions Programs, the USA PATRIOT Act or any other Anti-Terrorism Law.</w:t>
      </w:r>
    </w:p>
    <w:p>
      <w:pPr>
        <w:spacing w:after="0" w:line="174"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 xml:space="preserve">Company shall deliver to the Purchaser Representative any certification reasonably requested from time to time by the Purchaser Representative, confirming Company’s compliance with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Company shall not use, nor permit any of its Subsidiaries to use, directly or indirectly, any of the proceeds of the Purchase Price for the purpose of an offer,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89" w:name="page190"/>
    <w:bookmarkEnd w:id="189"/>
    <w:p>
      <w:pPr>
        <w:spacing w:after="0" w:line="269" w:lineRule="auto"/>
        <w:rPr>
          <w:sz w:val="20"/>
          <w:szCs w:val="20"/>
          <w:color w:val="auto"/>
        </w:rPr>
      </w:pPr>
      <w:r>
        <w:rPr>
          <w:rFonts w:ascii="Times New Roman" w:cs="Times New Roman" w:eastAsia="Times New Roman" w:hAnsi="Times New Roman"/>
          <w:sz w:val="20"/>
          <w:szCs w:val="20"/>
          <w:color w:val="auto"/>
        </w:rPr>
        <w:t>promise to pay, or authorization of the payment or giving of money, or anything else of value, to any Person in violation of any Anti-Corruption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INDEMNIFICATION</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General Indemnity</w:t>
      </w:r>
      <w:r>
        <w:rPr>
          <w:rFonts w:ascii="Times New Roman" w:cs="Times New Roman" w:eastAsia="Times New Roman" w:hAnsi="Times New Roman"/>
          <w:sz w:val="19"/>
          <w:szCs w:val="19"/>
          <w:color w:val="auto"/>
        </w:rPr>
        <w:t>. From and after the Effective Date:</w:t>
      </w:r>
    </w:p>
    <w:p>
      <w:pPr>
        <w:spacing w:after="0" w:line="216" w:lineRule="exact"/>
        <w:rPr>
          <w:sz w:val="20"/>
          <w:szCs w:val="20"/>
          <w:color w:val="auto"/>
        </w:rPr>
      </w:pPr>
    </w:p>
    <w:p>
      <w:pPr>
        <w:jc w:val="both"/>
        <w:ind w:firstLine="1304"/>
        <w:spacing w:after="0" w:line="249" w:lineRule="auto"/>
        <w:tabs>
          <w:tab w:leader="none" w:pos="194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hereby agrees to indemnify, defend and hold harmless Purchaser’s Representative, the Purchasers and their respective Affiliates and its and their directors, managers, trustees, officers, agents and employees (the “</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from, against and in respect of all Losses suffered or incurred by the Purchaser Indemnified Parties to the extent arising out of or resulting from [***]; and</w:t>
      </w:r>
    </w:p>
    <w:p>
      <w:pPr>
        <w:spacing w:after="0" w:line="179" w:lineRule="exact"/>
        <w:rPr>
          <w:rFonts w:ascii="Times New Roman" w:cs="Times New Roman" w:eastAsia="Times New Roman" w:hAnsi="Times New Roman"/>
          <w:sz w:val="20"/>
          <w:szCs w:val="20"/>
          <w:color w:val="auto"/>
        </w:rPr>
      </w:pPr>
    </w:p>
    <w:p>
      <w:pPr>
        <w:jc w:val="both"/>
        <w:ind w:firstLine="1304"/>
        <w:spacing w:after="0" w:line="274" w:lineRule="auto"/>
        <w:tabs>
          <w:tab w:leader="none" w:pos="194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Purchaser hereby agrees to indemnify, defend and hold harmless Company and its Affiliates and its and their directors, officers, agents and employees (the “</w:t>
      </w:r>
      <w:r>
        <w:rPr>
          <w:rFonts w:ascii="Times New Roman" w:cs="Times New Roman" w:eastAsia="Times New Roman" w:hAnsi="Times New Roman"/>
          <w:sz w:val="19"/>
          <w:szCs w:val="19"/>
          <w:u w:val="single" w:color="auto"/>
          <w:color w:val="auto"/>
        </w:rPr>
        <w:t>Company Indemnified Parties</w:t>
      </w:r>
      <w:r>
        <w:rPr>
          <w:rFonts w:ascii="Times New Roman" w:cs="Times New Roman" w:eastAsia="Times New Roman" w:hAnsi="Times New Roman"/>
          <w:sz w:val="19"/>
          <w:szCs w:val="19"/>
          <w:color w:val="auto"/>
        </w:rPr>
        <w:t>”) from, against and in respect of all Losses suffered or incurred by Company Indemnified Parties to the extent arising out of or resulting from [***].</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Notice of Claims</w:t>
      </w:r>
      <w:r>
        <w:rPr>
          <w:rFonts w:ascii="Times New Roman" w:cs="Times New Roman" w:eastAsia="Times New Roman" w:hAnsi="Times New Roman"/>
          <w:sz w:val="20"/>
          <w:szCs w:val="20"/>
          <w:color w:val="auto"/>
        </w:rPr>
        <w:t>. If either a Purchaser Indemnified Party, on the one hand, or a Company Indemnified Party, on the other hand (such Purchaser Indemnified Party on the one hand and such Company Indemnified Party on the other hand being hereinafter referred to as an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xml:space="preserve">”), has suffered or incurred any Losses for which indemnification may be sought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the Indemnified Party shall so notify the other party from whom indemnification is sought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limit the obligation of the Indemnifying Party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except to the extent such Indemnifying Party is actually prejudiced thereby.</w:t>
      </w:r>
    </w:p>
    <w:p>
      <w:pPr>
        <w:spacing w:after="0" w:line="19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xml:space="preserve">(a) . Except for claims arising from a breach of confidentiality obligations under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or in cases of fraud, gross negligence or willful misconduct, no party hereto shall be liable for any lost profits or consequential, punitive, special, indirect or incidental damages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no claim for indemnification hereunder shall be asserted) as a result of any breach or violation of any covenant or agreement of such party (including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in or pursuant to this Agreement. Notwithstanding the foregoing, the Purchaser Indemnified Parties shall be entitled to make indemnification claims, in accordance with Article 7, for Losses that include any portion of the Revenue Payments that the Purchasers were entitled to receive but did not receive timely or at all due to any indemnifiable events under this Agreement, and such portion of the Revenue Payments shall not be deemed consequential, punitive, special, indirect, incidental damages or lost profits for any purpose of this Agreement. Other than with respect to any fraud or willful misconduct, (a) [***] and (b) Company shall not have any liability for Losses under Section 7.1(a) unless and until the aggregate amount of all Losses incurred by the Purchaser Indemnified Parties equals or exceeds [***], in which case Company shall be liable for Losses including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0" w:name="page191"/>
    <w:bookmarkEnd w:id="190"/>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 from and after Effective Date, the rights of the parties hereto pursuant to (and subject to the conditions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Effective Date, any other claim or action in respect of any such breach. Notwithstanding the foregoing, claims for fraud, gross negligence, or willful misconduct shall not be waived or limited in any way by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Tax Treatment of Indemnification Payments</w:t>
      </w:r>
      <w:r>
        <w:rPr>
          <w:rFonts w:ascii="Times New Roman" w:cs="Times New Roman" w:eastAsia="Times New Roman" w:hAnsi="Times New Roman"/>
          <w:sz w:val="20"/>
          <w:szCs w:val="20"/>
          <w:color w:val="auto"/>
        </w:rPr>
        <w:t xml:space="preserve">. For all purposes hereunder, any indemnification payments made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will be treated as an adjustment to the Purchase Price for tax purposes to the fullest extent permitted by applicable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CONFIDENTIALITY</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Except as provided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or otherwise agreed in writing by the parties, the parties hereto agree that, during the term of this Agreement and for [***] thereafter, each party (the “</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pursuant to this Agreement (such information,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of the Disclosing Party), except for that portion of such information that:</w:t>
      </w:r>
    </w:p>
    <w:p>
      <w:pPr>
        <w:spacing w:after="0" w:line="200" w:lineRule="exact"/>
        <w:rPr>
          <w:sz w:val="20"/>
          <w:szCs w:val="20"/>
          <w:color w:val="auto"/>
        </w:rPr>
      </w:pPr>
    </w:p>
    <w:p>
      <w:pPr>
        <w:spacing w:after="0" w:line="220" w:lineRule="exact"/>
        <w:rPr>
          <w:sz w:val="20"/>
          <w:szCs w:val="20"/>
          <w:color w:val="auto"/>
        </w:rPr>
      </w:pPr>
    </w:p>
    <w:p>
      <w:pPr>
        <w:ind w:firstLine="1304"/>
        <w:spacing w:after="0" w:line="269"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already known to the Receiving Party, other than under an obligation of confidentiality, at the time of disclosure by the Disclosing Party;</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generally available to the public or otherwise part of the public domain at the time of its disclosure to the Receiving Party;</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became generally available to the public or otherwise part of the public domain after its disclosure and other than through any act or omission of the Receiving Party in breach of this Agreement or any other agreement;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independently developed by the Receiving Party or any of its Affiliates, as evidenced by written records, without the use of or reference of the Confidential Information; or</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disclosed to the Receiving Party on a non-confidential basis by a Third Party without obligations of confidentiality with respect thereto.</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8.2</w:t>
      </w:r>
      <w:r>
        <w:rPr>
          <w:sz w:val="20"/>
          <w:szCs w:val="20"/>
          <w:color w:val="auto"/>
        </w:rPr>
        <w:tab/>
      </w:r>
      <w:r>
        <w:rPr>
          <w:rFonts w:ascii="Times New Roman" w:cs="Times New Roman" w:eastAsia="Times New Roman" w:hAnsi="Times New Roman"/>
          <w:sz w:val="19"/>
          <w:szCs w:val="19"/>
          <w:u w:val="single" w:color="auto"/>
          <w:color w:val="auto"/>
        </w:rPr>
        <w:t>Authorized Disclosure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304"/>
        <w:spacing w:after="0" w:line="269" w:lineRule="auto"/>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may disclose Confidential Information to the extent such disclosure is reasonably necessary in the following situations:</w:t>
      </w:r>
    </w:p>
    <w:p>
      <w:pPr>
        <w:spacing w:after="0" w:line="159"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disclosures of such information to such Person’s Affiliates and to their agents, advisors, directors, officers, and shareholders (and to other persons authorized by a Purchaser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1" w:name="page192"/>
    <w:bookmarkEnd w:id="191"/>
    <w:p>
      <w:pPr>
        <w:spacing w:after="0" w:line="269" w:lineRule="auto"/>
        <w:rPr>
          <w:sz w:val="20"/>
          <w:szCs w:val="20"/>
          <w:color w:val="auto"/>
        </w:rPr>
      </w:pPr>
      <w:r>
        <w:rPr>
          <w:rFonts w:ascii="Times New Roman" w:cs="Times New Roman" w:eastAsia="Times New Roman" w:hAnsi="Times New Roman"/>
          <w:sz w:val="20"/>
          <w:szCs w:val="20"/>
          <w:color w:val="auto"/>
        </w:rPr>
        <w:t xml:space="preserve">Purchaser’s Representative to organize, present or disseminate such information in connection with disclosures otherwise made in accordance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2600" w:hanging="648"/>
        <w:spacing w:after="0"/>
        <w:tabs>
          <w:tab w:leader="none" w:pos="26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to any rating agency when required by it;</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prosecuting or defending litigation;</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applicable laws and regulations, including regulations promulgated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exchanges;</w:t>
      </w:r>
    </w:p>
    <w:p>
      <w:pPr>
        <w:spacing w:after="0" w:line="194" w:lineRule="exact"/>
        <w:rPr>
          <w:sz w:val="20"/>
          <w:szCs w:val="20"/>
          <w:color w:val="auto"/>
        </w:rPr>
      </w:pPr>
    </w:p>
    <w:p>
      <w:pPr>
        <w:ind w:left="2600" w:hanging="648"/>
        <w:spacing w:after="0"/>
        <w:tabs>
          <w:tab w:leader="none" w:pos="2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a valid order of a court of competent jurisdiction or other Governmental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194" w:lineRule="exact"/>
        <w:rPr>
          <w:sz w:val="20"/>
          <w:szCs w:val="20"/>
          <w:color w:val="auto"/>
        </w:rPr>
      </w:pPr>
    </w:p>
    <w:p>
      <w:pPr>
        <w:ind w:left="2600" w:hanging="648"/>
        <w:spacing w:after="0"/>
        <w:tabs>
          <w:tab w:leader="none" w:pos="26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regulatory, Tax or customs purposes;</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audit purposes, provided that each recipient of Confidential Information must be bound by customary and reasonable obligations of confidentiality and non-use prior to any such disclosure;</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prior written consent of the Disclosing Party;</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to its actual and potential investors and financing sources, or potential partners, collaborators or acquirers, and their respective accountants, financial advisors and other professional representatives, provided, that each recipient of Confidential Information must be bound by customary obligations of confidentiality and non-use prior to any such disclosure;</w:t>
      </w:r>
    </w:p>
    <w:p>
      <w:pPr>
        <w:spacing w:after="0" w:line="179"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disclosures of such information by the Purchaser Representative or any Purchaser to any actual or potential investors, members, and partners of Purchaser Representative or any Purchaser or their Affiliates, provided, that such disclosure shall be made only to the extent customarily required to consummate or perform its obligations under such investment or to satisfy its disclosure obligations to such members and partners, and that each recipient of Confidential Information must be bound by customary obligations of confidentiality and non-use prior to any such disclosure;</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is reasonably required in connection with a permitted assignment or participation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and</w:t>
      </w:r>
    </w:p>
    <w:p>
      <w:pPr>
        <w:spacing w:after="0" w:line="193"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unless specifically prohibited by applicable law or court order, each party shall make reasonable efforts to notify the other party of any request by any Governmental Authority or representative thereof (with respect to any Purchaser, other than any such request in connection with any examination of the financial condition or other routine examination of such Purchaser by such Governmental Authority) for disclosure of any such non-public information prior to disclosure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2" w:name="page193"/>
    <w:bookmarkEnd w:id="192"/>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Effective Date, Purchaser’s Representative and any Purchaser may, at its own expense, issue news releases and publish “tombstone” advertisements and other announcements relating to this transaction in newspapers, trade journals and other appropriate media (which may include use of logos of Company) (collectively, “</w:t>
      </w:r>
      <w:r>
        <w:rPr>
          <w:rFonts w:ascii="Times New Roman" w:cs="Times New Roman" w:eastAsia="Times New Roman" w:hAnsi="Times New Roman"/>
          <w:sz w:val="20"/>
          <w:szCs w:val="20"/>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Announcements</w:t>
      </w:r>
      <w:r>
        <w:rPr>
          <w:rFonts w:ascii="Times New Roman" w:cs="Times New Roman" w:eastAsia="Times New Roman" w:hAnsi="Times New Roman"/>
          <w:sz w:val="20"/>
          <w:szCs w:val="20"/>
          <w:color w:val="auto"/>
        </w:rPr>
        <w:t>”). Neither Company nor its Affiliates shall issue any Trade Announcement or disclose the name of any Purchaser’s Representative or any Purchaser except (A) disclosures required by applicable law, regulation, rule (including stock exchange and SEC rules) or legal process or (B) with the prior approval of Purchaser’s Representative and such Purchaser.</w:t>
      </w:r>
    </w:p>
    <w:p>
      <w:pPr>
        <w:spacing w:after="0" w:line="193" w:lineRule="exact"/>
        <w:rPr>
          <w:sz w:val="20"/>
          <w:szCs w:val="20"/>
          <w:color w:val="auto"/>
        </w:rPr>
      </w:pPr>
    </w:p>
    <w:p>
      <w:pPr>
        <w:jc w:val="both"/>
        <w:ind w:firstLine="1304"/>
        <w:spacing w:after="0" w:line="242" w:lineRule="auto"/>
        <w:tabs>
          <w:tab w:leader="none" w:pos="194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Receiving Party is required are required to make a disclosure of the Disclosing Party’s Confidential Information pursuant to Section 8.2(a)(i), (iv), (v) or (vi) (other than by Company in its reports filed or furnished to the SEC or any registration statement filed with the SEC), it will, except where impracticable, give reasonable advance notice to the Disclosing Party of such disclosure and use reasonable efforts to secure confidential treatment of such information. The Purchasers and the Purchaser’s Representative acknowledge that it will be necessary for Company to file this Agreement with the SEC and to make other public disclosures regarding the terms of this Agreement and payments made under this Agreement in its reports filed with the SEC and any registration statement it may file with the SEC, and Company will provide the Purchaser’s Representative a reasonable opportunity to review and comment on (and request) any proposed redactions to the copy of this Agreement filed with the SEC as well as on such other public disclosures, provided that Company shall not be required to provide Purchaser’s Representative the opportunity to review and comment on any disclosure substantively identical to any disclosure previously reviewed and commented upon by Purchaser’s Representative (except for disclosure of any previously redacted information).</w:t>
      </w:r>
    </w:p>
    <w:p>
      <w:pPr>
        <w:spacing w:after="0" w:line="187"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set forth in this Agreement, materials and documentation relating to Company’s Intellectual Property Rights may be only disclosed to or accessed by Purchaser’s Representative, the Purchasers and their attorneys and auditors, without further disclosure to any other Representative of any such Person. In any event, the Purchasers shall not file any patent application based upon or using the Confidential Information of Company provided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TERMINATION</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Mutual Termination</w:t>
      </w:r>
      <w:r>
        <w:rPr>
          <w:rFonts w:ascii="Times New Roman" w:cs="Times New Roman" w:eastAsia="Times New Roman" w:hAnsi="Times New Roman"/>
          <w:sz w:val="20"/>
          <w:szCs w:val="20"/>
          <w:color w:val="auto"/>
        </w:rPr>
        <w:t>. This Agreement may be terminated by mutual written agreement of the Purchasers and Company.</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Automatic Termination</w:t>
      </w:r>
      <w:r>
        <w:rPr>
          <w:rFonts w:ascii="Times New Roman" w:cs="Times New Roman" w:eastAsia="Times New Roman" w:hAnsi="Times New Roman"/>
          <w:sz w:val="20"/>
          <w:szCs w:val="20"/>
          <w:color w:val="auto"/>
        </w:rPr>
        <w:t xml:space="preserve">. Unless earlier terminated as provided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following the Effective Date, this Agreement shall continue in full force and effect until [***] after the Revenue Payment Termination Date, at which point this Agreement shall automatically terminate, except with respect to any rights that shall have accrued prior to such termination. In addition,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3" w:name="page194"/>
    <w:bookmarkEnd w:id="193"/>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anything to the contrary herein, either Company or the Purchasers may terminate this Agreement in the event the Purchase Price has not been funded by August 5, 2022 (other than due to a breach or failure of such party to comply with the provisions of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the following provisions shall survive termination of this Agreement: (c)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(Inspections and Audits of Company) (for [***] following termination of this Agreement)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(Indemnification),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(Confidentiality) (for the time period stated therein),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(Survival) and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(Miscellaneous). Termination of the Agreement shall not relieve any party of liability in respect of breaches under this Agreement by any party on or prior to termination.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10</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PURCHASER’S REPRESENTATIVE</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Appointment of Purchaser’s Representative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5"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Garnich is hereby appointed Purchaser’s Representative hereunder and under the other Transaction Documents and each Purchaser hereby authorizes Garnich, in such capacity, to act as its agent in accordance with the terms hereof and the other Transaction Documents to perform, exercise and enforce any and all other rights and remedies of the Purchasers with respect to Company, the Revenue Payments, the Obligations or otherwise related to any of same to the extent reasonably incidental to the exercise by Purchaser’s Representative of the rights and remedies specifically authorized to be exercised by Purchaser’s Representative by the terms of this Agreement or any other Transaction Document.</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Representative hereby agrees to act upon the express conditions contained herein and the other Transaction Documents, as applicable. The provisions of this Article 10 are solely for the benefit of Purchaser’s Representative and Purchasers and neither Company nor any of its Subsidiaries shall have any rights as a third party beneficiary of any of the provisions thereof. In performing its functions and duties hereunder, Purchaser’s Representative shall act solely as an independent agent of the Purchasers and does not assume and shall not be deemed to have assumed any obligation towards or relationship of agency or trust with or for Company or any of its Subsidiaries.</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Powers and Duties</w:t>
      </w:r>
      <w:r>
        <w:rPr>
          <w:rFonts w:ascii="Times New Roman" w:cs="Times New Roman" w:eastAsia="Times New Roman" w:hAnsi="Times New Roman"/>
          <w:sz w:val="20"/>
          <w:szCs w:val="20"/>
          <w:color w:val="auto"/>
        </w:rPr>
        <w:t>. Each Purchaser irrevocably authorizes Purchaser’s Representative to take such action on such Purchaser’s behalf and to exercise such powers, rights and remedies hereunder and under the other Transaction Documents as are specifically delegated or granted to Purchaser’s Representative by the terms hereof and thereof, together with such powers, rights and remedies as are reasonably incidental thereto. Purchaser’s Representative shall have only those duties and responsibilities that are expressly specified herein and the other Transaction Documents. Purchaser’s Representative may exercise such powers, rights and remedies and perform such duties by or through its agents or employees Purchaser’s Representative shall not have, by reason hereof or any of the other Transaction Documents, a fiduciary relationship in respect of any Purchaser; and nothing herein or any of the other Transaction Documents, expressed or implied, is intended to or shall be so construed as to impose upon Purchaser’s Representative any obligations in respect hereof or any of the other Transaction Documents except as expressly set forth herein or therein.</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General Immunity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4" w:lineRule="auto"/>
        <w:tabs>
          <w:tab w:leader="none" w:pos="19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Responsibility for Certain Matters</w:t>
      </w:r>
      <w:r>
        <w:rPr>
          <w:rFonts w:ascii="Times New Roman" w:cs="Times New Roman" w:eastAsia="Times New Roman" w:hAnsi="Times New Roman"/>
          <w:sz w:val="20"/>
          <w:szCs w:val="20"/>
          <w:color w:val="auto"/>
        </w:rPr>
        <w:t>. Purchaser’s Representative shall not be responsible to any Purchaser for the execution, effectiveness, genuineness, validity, enforceability, collectability or sufficiency hereof or any other Transaction Document or for any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4" w:name="page195"/>
    <w:bookmarkEnd w:id="194"/>
    <w:p>
      <w:pPr>
        <w:jc w:val="both"/>
        <w:spacing w:after="0" w:line="242" w:lineRule="auto"/>
        <w:rPr>
          <w:sz w:val="20"/>
          <w:szCs w:val="20"/>
          <w:color w:val="auto"/>
        </w:rPr>
      </w:pPr>
      <w:r>
        <w:rPr>
          <w:rFonts w:ascii="Times New Roman" w:cs="Times New Roman" w:eastAsia="Times New Roman" w:hAnsi="Times New Roman"/>
          <w:sz w:val="20"/>
          <w:szCs w:val="20"/>
          <w:color w:val="auto"/>
        </w:rPr>
        <w:t>warranties, recitals or statements made herein or therein or made in any written or oral statements or in any financial or other statements, instruments, reports or certificates or any other documents furnished or made by Purchaser’s Representative to the Purchasers or by or on behalf of Company or any of its Subsidiaries to Purchaser’s Representative or any Purchaser in connection with the Transaction Documents and the transactions contemplated thereby or for the financial condition or business affairs of Company or any of its Subsidiaries or any other Person liable for the payment of any Revenue Payments or other Secured Obligations, nor shall Purchaser’s Representative be required to ascertain or inquire as to the performance or observance of any of the terms, conditions, provisions, covenants or agreements contained in any of the Transaction Documents or as to the use of the proceeds of the Purchase Price [***] or other breach of this Agreement or the other Transaction Documents or to make any disclosures with respect to the foregoing. Anything contained herein to the contrary notwithstanding, Purchaser’s Representative shall not have any liability arising from confirmations of the amount of outstanding Revenue Payments or the component amounts thereof.</w:t>
      </w:r>
    </w:p>
    <w:p>
      <w:pPr>
        <w:spacing w:after="0" w:line="190" w:lineRule="exact"/>
        <w:rPr>
          <w:sz w:val="20"/>
          <w:szCs w:val="20"/>
          <w:color w:val="auto"/>
        </w:rPr>
      </w:pPr>
    </w:p>
    <w:p>
      <w:pPr>
        <w:jc w:val="both"/>
        <w:ind w:firstLine="1304"/>
        <w:spacing w:after="0" w:line="241" w:lineRule="auto"/>
        <w:tabs>
          <w:tab w:leader="none" w:pos="194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Neither Purchaser’s Representative nor any of its officers, partners, directors, employees or agents shall be liable to Purchasers for any action taken or omitted by Purchaser’s Representative under or in connection with any of the Transaction Documents except to the extent caused by Purchaser’s Representative’s gross negligence or willful misconduct, as determined by a court of competent jurisdiction in a final, non-appealable order. Purchaser’s Representative shall be entitled to refrain from any act or the taking of any action (including the failure to take an action) in connection herewith or any of the other Transaction Documents or from the exercise of any power, discretion or authority vested in it hereunder or thereunder unless and until Purchaser’s Representative shall have received instructions in respect thereof from the Majority Purchasers and, upon receipt of such instructions from the Majority Purchasers, Purchaser’s Representative shall be entitled to act or (where so instructed) refrain from acting, or to exercise such power, discretion or authority, in accordance with such instructions. Without prejudice to the generality of the foregoing, (i) Purchaser’s Representative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Company and its Subsidiaries), accountants, experts and other professional advisors selected by it; and (ii) no Purchaser shall have any right of action whatsoever against Purchaser’s Representative as a result of Purchaser’s Representative acting or (where so instructed) refraining from acting hereunder or any of the other Transaction Documents in accordance with the instructions of Majority Purchasers.</w:t>
      </w:r>
    </w:p>
    <w:p>
      <w:pPr>
        <w:spacing w:after="0" w:line="19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Purchaser’s Representative shall not be deemed to have knowledge or notice of</w:t>
      </w:r>
    </w:p>
    <w:p>
      <w:pPr>
        <w:spacing w:after="0" w:line="21"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other breach of this Agreement or the other Transaction Documents, [***].</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Purchaser’s Representative Entitled to Act as Purchaser</w:t>
      </w:r>
      <w:r>
        <w:rPr>
          <w:rFonts w:ascii="Times New Roman" w:cs="Times New Roman" w:eastAsia="Times New Roman" w:hAnsi="Times New Roman"/>
          <w:sz w:val="20"/>
          <w:szCs w:val="20"/>
          <w:color w:val="auto"/>
        </w:rPr>
        <w:t>. The agency hereby created shall in no way impair or affect any of the rights and powers of, or impose any duties or obligations upon, Purchaser’s Representative in its individual capacity as a Purchaser hereunder. With respect to its participation in this Agreement and the other Transaction Documents as a Purchaser, Purchaser’s Representative shall have the same rights and powers hereunder as any other Purchaser and may exercise the same as if it were not performing the duties and functions delegated to it hereunder, and the term “Purchaser” shall, unless the context clearly otherwise indicates, include Purchaser’s Representative in its individual capacity. Purchaser’s Representative and its Affiliates may accept deposits from, lend money to, own securities of, and generally engage in any kind of banking, trust, financial advisory or other business with Company or any of its Affiliates as if it were not performing the duties specified herein, and may accept fees and other consideration from Company for services in connection herewith and otherwise without having to account for the same to the Purchasers.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Purchasers’ Representations, Warranties and Acknowledgment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5" w:name="page196"/>
    <w:bookmarkEnd w:id="195"/>
    <w:p>
      <w:pPr>
        <w:jc w:val="both"/>
        <w:ind w:firstLine="1304"/>
        <w:spacing w:after="0" w:line="243" w:lineRule="auto"/>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Purchaser represents and warrants to Purchaser’s Representative that it has made its own independent investigation of the financial condition and affairs of Company and its Subsidiaries in connection with the entry into this Agreement, the other Transaction Documents and the transactions contemplated hereunder and thereunder and that it has made and shall continue to make its own appraisal of the condition (financial and otherwise) of Company and its Subsidiaries. Purchaser’s Representative shall not have any duty or responsibility, either initially or on a continuing basis, to make any such investigation or any such appraisal on behalf of Purchasers or to provide any Purchaser with any credit or other information with respect thereto, whether coming into its possession before paying the Purchase Price or at any time or times thereafter, and Purchaser’s Representative shall not have any responsibility with respect to the accuracy of or the completeness of any information provided to Purchasers.</w:t>
      </w:r>
    </w:p>
    <w:p>
      <w:pPr>
        <w:spacing w:after="0" w:line="18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Purchaser, by delivering its signature page to this Agreement and funding its Purchase Price on the Funding Date, shall be deemed to have acknowledged receipt of, and consented to and approved, each Transaction Document and each other document required to be approved by Purchaser’s Representative, Majority Purchasers or Purchasers, as applicable on the Effective Date and Funding Date, as applicable.</w:t>
      </w:r>
    </w:p>
    <w:p>
      <w:pPr>
        <w:spacing w:after="0" w:line="17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Purchaser (i) represents and warrants to Purchaser’s Representative that as of the Effective Date neither such Purchaser nor its Affiliates or Related Funds owns or controls, or owns or controls any Person owning or controlling, any trade debt, indebtedness or capital stock of Company or any of its Subsidiaries (other than any Indebtedness under the Senior Secured Credit Agreement) and (ii) covenants and agrees with Purchaser’s Representative that from and after the Effective Date neither such Purchaser nor its Affiliates and Related Funds shall purchase any such trade debt, indebtedness or capital stock described in the preceding clause (i) without the prior written consent of Purchaser’s Representative.</w:t>
      </w:r>
    </w:p>
    <w:p>
      <w:pPr>
        <w:spacing w:after="0" w:line="185"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Indemnity</w:t>
      </w:r>
      <w:r>
        <w:rPr>
          <w:rFonts w:ascii="Times New Roman" w:cs="Times New Roman" w:eastAsia="Times New Roman" w:hAnsi="Times New Roman"/>
          <w:sz w:val="20"/>
          <w:szCs w:val="20"/>
          <w:color w:val="auto"/>
        </w:rPr>
        <w:t>. EACH PURCHASER, IN PROPORTION TO ITS PRO RATA SHARE, SEVERALLY AGREES TO INDEMNIFY PURCHASER’S REPRESENTATIVE, ITS AFFILIATES AND ITS RESPECTIVE OFFICERS, PARTNERS, DIRECTORS, TRUSTEES, EMPLOYEES AND AGENTS OF PURCHASER’S REPRESENTATIVE (EACH, AN “</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TO THE EXTENT THAT SUCH INDEMNITEE AGENT PARTY SHALL NOT HAVE BEEN REIMBURSED BY COMPANY OR A SUBSIDIARY OF COMPANY,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 REMEDIES OR PERFORMING ITS DUTIES HEREUNDER OR UNDER THE OTHER TRANSACTION DOCUMENTS OR OTHERWISE IN ITS CAPACITY AS SUCH INDEMNITEE AGENT PARTY IN ANY WAY RELATING TO OR ARISING OUT OF THIS AGREEMENT OR THE OTHER TRANSACTION DOCUMENTS, IN ALL CASES, WHETHER OR NOT CAUSED BY OR ARISING, IN WHOLE OR IN PART, OUT OF THE COMPARATIVE, CONTRIBUTORY, OR SOLE NEGLIGENCE OF SUCH INDEMNITEE AGENT PARTY; PROVIDED, NO PURCHASER 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6" w:name="page197"/>
    <w:bookmarkEnd w:id="196"/>
    <w:p>
      <w:pPr>
        <w:jc w:val="both"/>
        <w:spacing w:after="0" w:line="259" w:lineRule="auto"/>
        <w:rPr>
          <w:sz w:val="20"/>
          <w:szCs w:val="20"/>
          <w:color w:val="auto"/>
        </w:rPr>
      </w:pPr>
      <w:r>
        <w:rPr>
          <w:rFonts w:ascii="Times New Roman" w:cs="Times New Roman" w:eastAsia="Times New Roman" w:hAnsi="Times New Roman"/>
          <w:sz w:val="19"/>
          <w:szCs w:val="19"/>
          <w:color w:val="auto"/>
        </w:rPr>
        <w:t>ADDITIONAL INDEMNITY IS FURNISHED; PROVIDED, IN NO EVENT SHALL THIS SENTENCE REQUIRE ANY PURCHASER TO INDEMNIFY ANY INDEMNITEE AGENT PARTY AGAINST ANY LIABILITY, OBLIGATION, LOSS, DAMAGE, PENALTY, ACTION, JUDGMENT, SUIT, COST, EXPENSE OR DISBURSEMENT IN EXCESS OF SUCH PURCHASER’S PRO RATA SHARE THEREOF; AND PROVIDED FURTHER, THIS SENTENCE SHALL NOT BE DEEMED TO REQUIRE ANY PURCHASER TO INDEMNIFY ANY INDEMNITEE AGENT PARTY AGAINST ANY LIABILITY, OBLIGATION, LOSS, DAMAGE, PENALTY, ACTION, JUDGMENT, SUIT, COST, EXPENSE OR DISBURSEMENT DESCRIBED IN THE PROVISO IN THE IMMEDIATELY PRECEDING SENTENCE.</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Successor Purchaser’s Representative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1"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Representative may resign at any time by giving [***] (or such shorter period as shall be agreed by the Majority Purchasers) prior written notice thereof to the Purchasers and Company. Upon any such notice of resignation, the Majority Purchasers shall have the right, upon [***] notice to Company, to appoint a successor Purchaser’s Representative. If no successor shall have been so appointed by the Majority Purchasers and shall have accepted such appointment within [***] after the retiring Purchaser’s Representative gives notice of its resignation, then the retiring Purchaser’s Representative may, on behalf of the Purchasers appoint a successor Purchaser’s Representative from among the Purchasers. Upon the acceptance of any appointment as Purchaser’s Representative hereunder by a successor Purchaser’s Representative that successor Purchaser’s Representative shall thereupon succeed to and become vested with all the rights, powers, privileges and duties of the retiring Purchaser’s Representative, and the retiring Purchaser’s Representative shall promptly (i) transfer to such successor Purchaser’s Representative all sums, securities or capital stock and other items of Collateral held under the Security Documents, together with all records and other documents necessary or appropriate in connection with the performance of the duties of the successor Purchaser’s Representative under the Transaction Documents, and (ii) execute and deliver to such successor Purchaser’s Representative such amendments to financing statements, and take such other actions, as may be necessary or appropriate in connection with the assignment to such successor Purchaser’s Representative of the security interests created under the Security Documents, whereupon such retiring Purchaser’s Representative shall be discharged from its duties and obligations hereunder. After any retiring Purchaser’s Representative’s resignation hereunder as Purchaser’s Representative, the provisions of this Article 10 shall inure to its benefit as to any actions taken or omitted to be taken by it while it was Purchaser’s Representative hereunder.</w:t>
      </w:r>
    </w:p>
    <w:p>
      <w:pPr>
        <w:spacing w:after="0" w:line="190"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Purchaser’s Representative may assign its rights and duties as Purchaser’s Representative, as applicable, hereunder to an Affiliate of Garnich without the prior written consent of, or prior written notice to, Company or the Purchasers;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and the Purchasers may deem and treat such assigning Purchaser’s Representative as Purchaser’s Representative for all purposes hereof, unless and until such assigning Purchaser’s Representative provides written notice to Company and the Purchasers of such assignment. Upon such assignment such Affiliate shall succeed to and become vested with all rights, powers, privileges and duties as Purchaser’s Representative hereunder and under the other Transaction Documents.</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Purchaser’s Representative may perform any and all of its duties and exercise its rights and powers under this Agreement or under any other Transaction Document by or through any one or more sub-agents appointed by Purchaser’s Representative. Purchaser’s Representative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apply to any of the Affiliates of Purchaser’s Representative and shall apply to their respective activities in connection with the syndication of the credit facilities provided for herein as well as activities as Purchaser’s Representative. All of the rights, benefits and privileges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7" w:name="page198"/>
    <w:bookmarkEnd w:id="19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exculpatory and indemnification provisions) of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Purchaser’s Representative,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Company, its Subsidiaries or Affiliates and the Purchasers, (ii) such rights, benefits and privileges (including exculpatory rights and rights to indemnification) shall not be modified or amended without the consent of such sub-agent, and (iii) such sub-agent shall only have obligations to Purchaser’s Representative and not to any of Company, and of its Subsidiaries or Affiliates, any Purchaser or any other Person and no such Persons shall have the rights, directly or indirectly, as a third party beneficiary or otherwise, against such sub-agent.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1"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Purchaser’s Representative under Security Documents</w:t>
      </w:r>
      <w:r>
        <w:rPr>
          <w:rFonts w:ascii="Times New Roman" w:cs="Times New Roman" w:eastAsia="Times New Roman" w:hAnsi="Times New Roman"/>
          <w:sz w:val="20"/>
          <w:szCs w:val="20"/>
          <w:color w:val="auto"/>
        </w:rPr>
        <w:t>. Each Purchaser hereby further authorizes Purchaser’s Representative, on behalf of and for the benefit of the Purchasers, to be the agent for and representative of the Purchasers with respect to the Collateral, the Security Documents and any guaranty of the Obligations. Without further written consent or authorization from Purchasers, Purchaser’s Representative (i) may execute any documents or instruments necessary to release any Lien encumbering any item of Collateral that is the subject of a sale or other transfer of assets to which the Purchasers have unanimously consented in writing, and (ii) shall (A) enter into the Intercreditor Agreement, (B) enter into an intercreditor agreement, in form and substance satisfactory to Purchaser’s Representative in its sole discretion, with respect to any Indebtedness of Company issued in exchange for, or the net proceeds of which are used to renew, refund, refinance, replace, defease or discharge the Senior Secured Credit Facility, (C) enter into an intercreditor agreement as provided in the definition of Permitted ABL Facility (such intercreditor agreements referenced in this clause (ii), each a “</w:t>
      </w:r>
      <w:r>
        <w:rPr>
          <w:rFonts w:ascii="Times New Roman" w:cs="Times New Roman" w:eastAsia="Times New Roman" w:hAnsi="Times New Roman"/>
          <w:sz w:val="20"/>
          <w:szCs w:val="20"/>
          <w:u w:val="single" w:color="auto"/>
          <w:color w:val="auto"/>
        </w:rPr>
        <w:t>Permitted Intercreditor Agreement</w:t>
      </w:r>
      <w:r>
        <w:rPr>
          <w:rFonts w:ascii="Times New Roman" w:cs="Times New Roman" w:eastAsia="Times New Roman" w:hAnsi="Times New Roman"/>
          <w:sz w:val="20"/>
          <w:szCs w:val="20"/>
          <w:color w:val="auto"/>
        </w:rPr>
        <w:t>”), and (D) if requested by Company, enter into customary non-disturbance agreements, in form and substance reasonably satisfactory to Purchaser’s Representative, in connection with the entry by Company or any of its Subsidiaries into a Permitted License.</w:t>
      </w:r>
    </w:p>
    <w:p>
      <w:pPr>
        <w:spacing w:after="0" w:line="197"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4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to Realize on Collateral</w:t>
      </w:r>
      <w:r>
        <w:rPr>
          <w:rFonts w:ascii="Times New Roman" w:cs="Times New Roman" w:eastAsia="Times New Roman" w:hAnsi="Times New Roman"/>
          <w:sz w:val="19"/>
          <w:szCs w:val="19"/>
          <w:color w:val="auto"/>
        </w:rPr>
        <w:t>. Anything contained in any of the Transaction Documents to the contrary notwithstanding, Company, Purchaser’s Representative and each Purchaser hereby agree that (i) no Purchaser shall have any right individually to realize upon any of the Collateral or to enforce any guaranty of the Obligations, it being understood and agreed that all powers, rights and remedies hereunder may be exercised solely by Purchaser’s Representative, on behalf of Purchasers in accordance with the terms hereof and all powers, rights and remedies under the Security Documents may be exercised solely by Purchaser’s Representative, and (ii) in the event of a foreclosure by Purchaser’s Representative on any of the Collateral pursuant to a public or private sale or any sale of the Collateral in a case under the Bankruptcy Code, Purchaser’s Representative or any Purchaser may be the purchaser of any or all of such Collateral at any such sale and Purchaser’s Representative, as agent for and representative of Secured Parties (as defined in the Security Agreement) (but not any Purchaser or Purchasers in its or their respective individual capacities unless Majority Purchasers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Purchaser’s Representative at such sale.</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Agency for Perfection</w:t>
      </w:r>
      <w:r>
        <w:rPr>
          <w:rFonts w:ascii="Times New Roman" w:cs="Times New Roman" w:eastAsia="Times New Roman" w:hAnsi="Times New Roman"/>
          <w:sz w:val="20"/>
          <w:szCs w:val="20"/>
          <w:color w:val="auto"/>
        </w:rPr>
        <w:t>. Purchaser’s Representative and each Purchaser hereby appoints each other Purchaser as agent and bailee for the purpose of perfecting the security interests 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8" w:name="page199"/>
    <w:bookmarkEnd w:id="198"/>
    <w:p>
      <w:pPr>
        <w:jc w:val="both"/>
        <w:spacing w:after="0" w:line="242" w:lineRule="auto"/>
        <w:rPr>
          <w:sz w:val="20"/>
          <w:szCs w:val="20"/>
          <w:color w:val="auto"/>
        </w:rPr>
      </w:pPr>
      <w:r>
        <w:rPr>
          <w:rFonts w:ascii="Times New Roman" w:cs="Times New Roman" w:eastAsia="Times New Roman" w:hAnsi="Times New Roman"/>
          <w:sz w:val="20"/>
          <w:szCs w:val="20"/>
          <w:color w:val="auto"/>
        </w:rPr>
        <w:t>liens upon the Collateral in assets which, in accordance with Article 9 of the UCC, can be perfected only by possession or control (or where the security interest of a secured party with possession or control has priority over the security interest of another secured party) and Purchaser’s Representative and each Purchaser hereby acknowledges that it holds possession of or otherwise controls any such Collateral for the benefit of the Purchasers as secured party. Should any Purchaser obtain possession or control of any such Collateral, such Purchaser shall notify Purchaser’s Representative thereof, and, promptly upon Purchaser’s Representative’s request therefore shall deliver such Collateral to Purchaser’s Representative or in accordance with Purchaser’s Representative’s instructions. In addition, Purchaser’s Representative shall also have the power and authority hereunder to appoint such other sub-agents as may be necessary or required under applicable state law or otherwise to perform its duties and enforce its rights with respect to the Collateral and under the Transaction Documents. Company by its execution and delivery of this Agreement hereby consents to the foregoing.</w:t>
      </w:r>
    </w:p>
    <w:p>
      <w:pPr>
        <w:spacing w:after="0" w:line="192" w:lineRule="exact"/>
        <w:rPr>
          <w:sz w:val="20"/>
          <w:szCs w:val="20"/>
          <w:color w:val="auto"/>
        </w:rPr>
      </w:pPr>
    </w:p>
    <w:p>
      <w:pPr>
        <w:ind w:left="660"/>
        <w:spacing w:after="0"/>
        <w:tabs>
          <w:tab w:leader="none" w:pos="1940" w:val="left"/>
          <w:tab w:leader="none" w:pos="7360" w:val="left"/>
        </w:tabs>
        <w:rPr>
          <w:sz w:val="20"/>
          <w:szCs w:val="20"/>
          <w:color w:val="auto"/>
        </w:rPr>
      </w:pPr>
      <w:r>
        <w:rPr>
          <w:rFonts w:ascii="Times New Roman" w:cs="Times New Roman" w:eastAsia="Times New Roman" w:hAnsi="Times New Roman"/>
          <w:sz w:val="20"/>
          <w:szCs w:val="20"/>
          <w:color w:val="auto"/>
        </w:rPr>
        <w:t>Section 10.9</w:t>
      </w:r>
      <w:r>
        <w:rPr>
          <w:sz w:val="20"/>
          <w:szCs w:val="20"/>
          <w:color w:val="auto"/>
        </w:rPr>
        <w:tab/>
      </w:r>
      <w:r>
        <w:rPr>
          <w:rFonts w:ascii="Times New Roman" w:cs="Times New Roman" w:eastAsia="Times New Roman" w:hAnsi="Times New Roman"/>
          <w:sz w:val="20"/>
          <w:szCs w:val="20"/>
          <w:u w:val="single" w:color="auto"/>
          <w:color w:val="auto"/>
        </w:rPr>
        <w:t>Reports and Other Information; Confidentiality; Disclaimers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By becoming a party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each Purchaser:</w:t>
      </w:r>
    </w:p>
    <w:p>
      <w:pPr>
        <w:spacing w:after="0" w:line="194" w:lineRule="exact"/>
        <w:rPr>
          <w:sz w:val="20"/>
          <w:szCs w:val="20"/>
          <w:color w:val="auto"/>
        </w:rPr>
      </w:pPr>
    </w:p>
    <w:p>
      <w:pPr>
        <w:jc w:val="both"/>
        <w:ind w:firstLine="1304"/>
        <w:spacing w:after="0" w:line="249"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Purchaser’s Representative furnish such Purchaser or Purchaser’s Representative, promptly after it becomes available, a copy of each field audit or examination report with respect to Company or its Subsidiaries (each a “</w:t>
      </w:r>
      <w:r>
        <w:rPr>
          <w:rFonts w:ascii="Times New Roman" w:cs="Times New Roman" w:eastAsia="Times New Roman" w:hAnsi="Times New Roman"/>
          <w:sz w:val="20"/>
          <w:szCs w:val="20"/>
          <w:u w:val="single" w:color="auto"/>
          <w:color w:val="auto"/>
        </w:rPr>
        <w:t>Field Report</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Field Reports</w:t>
      </w:r>
      <w:r>
        <w:rPr>
          <w:rFonts w:ascii="Times New Roman" w:cs="Times New Roman" w:eastAsia="Times New Roman" w:hAnsi="Times New Roman"/>
          <w:sz w:val="20"/>
          <w:szCs w:val="20"/>
          <w:color w:val="auto"/>
        </w:rPr>
        <w:t>”) prepared by or at the request of Purchaser’s Representative, and Purchaser’s Representative shall so furnish each Purchaser with such Field Reports,</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Purchaser’s Representative does not (i) make any representation or warranty as to the accuracy of any Field Report, and (ii) shall not be liable for any information contained in any Field Report,</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Field Reports are not comprehensive audits or examinations, that Purchaser’s Representative or other party performing any audit or examination will inspect only specific information regarding Company and its Subsidiaries and will rely significantly upon Company’s and its Subsidiaries’ books and records, as well as on representations of such Person’s personnel,</w:t>
      </w:r>
    </w:p>
    <w:p>
      <w:pPr>
        <w:spacing w:after="0" w:line="179" w:lineRule="exact"/>
        <w:rPr>
          <w:rFonts w:ascii="Times New Roman" w:cs="Times New Roman" w:eastAsia="Times New Roman" w:hAnsi="Times New Roman"/>
          <w:sz w:val="20"/>
          <w:szCs w:val="20"/>
          <w:color w:val="auto"/>
        </w:rPr>
      </w:pPr>
    </w:p>
    <w:p>
      <w:pPr>
        <w:jc w:val="both"/>
        <w:ind w:right="20" w:firstLine="1304"/>
        <w:spacing w:after="0" w:line="254"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Field Reports and other material, non-public information regarding Company and its Subsidiaries and their operations, assets, and existing and contemplated business plans in a confidential manner in accordance with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Purchaser’s Representative and any other Purchaser preparing a Field Report harmless from any action the indemnifying Purchaser may take or fail to take or any conclusion the indemnifying Purchaser may reach or draw from any Field Report in connection with any loans or other credit accommodations that the indemnifying Purchaser has made or may make to Company, or the indemnifying Purchaser’s participation in, or the indemnifying Purchaser’s purchase of, Revenue Participation Rights, and (ii) to pay and protect, and indemnify, defend and hold Purchaser’s Representative, and any such other Purchaser preparing a Field Report harmless from and against, the claims, actions, proceedings, damages, costs, expenses, and other amounts (including, attorneys’ fees and costs) incurred by Purchaser’s Representative and any such other Purchaser or agent preparing a Field Report as the direct or indirect result of any third parties who might obtain all or part of any Field Report through the indemnifying Purchaser or Purchaser’s Representative</w:t>
      </w:r>
    </w:p>
    <w:p>
      <w:pPr>
        <w:spacing w:after="0" w:line="192"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In addition to the foregoing: (x) any Purchaser may from time to time request of Purchaser’s Representative in writing that Purchaser’s Representative provide to such Purchaser a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199" w:name="page200"/>
    <w:bookmarkEnd w:id="199"/>
    <w:p>
      <w:pPr>
        <w:jc w:val="both"/>
        <w:spacing w:after="0" w:line="242" w:lineRule="auto"/>
        <w:rPr>
          <w:sz w:val="20"/>
          <w:szCs w:val="20"/>
          <w:color w:val="auto"/>
        </w:rPr>
      </w:pPr>
      <w:r>
        <w:rPr>
          <w:rFonts w:ascii="Times New Roman" w:cs="Times New Roman" w:eastAsia="Times New Roman" w:hAnsi="Times New Roman"/>
          <w:sz w:val="20"/>
          <w:szCs w:val="20"/>
          <w:color w:val="auto"/>
        </w:rPr>
        <w:t>any report or document provided by Company or its Subsidiaries to Purchaser’s Representative that has not been contemporaneously provided by Company or such Subsidiary to such Purchaser, and, upon receipt of such request, Purchaser’s Representative promptly shall provide a copy of same to such Purchaser, (y) to the extent that Purchaser’s Representative is entitled, under any provision of the Transaction Documents, to request additional reports or information from Company or its Subsidiaries, any Purchaser may, from time to time, reasonably request Purchaser’s Representative to exercise such right as specified in such Purchaser’s notice to Purchaser’s Representative, whereupon Purchaser’s Representative promptly shall request of Company the additional reports or information reasonably specified by such Purchaser, and, upon receipt thereof from Company or such Subsidiary, Purchaser’s Representative promptly shall provide a copy of same to such Purchaser, and (z) any time that Purchaser’s Representative renders to Company a statement regarding the Revenue Payments, Purchaser’s Representative shall send a copy of such statement to each Purchaser.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4"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Unless otherwise specifically provided herein, any notice or other communication herein required or permitted to be given to Company, Purchaser’s Representative or any Purchaser shall be sent to such Person’s address as set forth on its signature page hereto. Each notice hereunder shall be in writing and may be personally served or sent by United States mail or courier service and shall be deemed to have been given when delivered in person or by courier service and signed for against receipt thereof, or [***] after depositing it in the United States mail with postage prepaid and properly addressed;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notice to Purchaser’s Representative shall be effective until received by Purchaser’s Representative.</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Purchaser’s Representative and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Notices and other communications to the Purchasers hereunder may be delivered or furnished by electronic communication (including e-mail and Internet or intranet websites) pursuant to procedures approved by Purchaser’s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Purchaser if such Purchaser has notified Purchaser’s Representative that it is incapable of receiving notices under such Article by electronic communication.</w:t>
      </w:r>
    </w:p>
    <w:p>
      <w:pPr>
        <w:spacing w:after="0" w:line="18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Purchaser’s Representative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0" w:name="page201"/>
    <w:bookmarkEnd w:id="20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xml:space="preserve">. Whether or not the transactions contemplated hereby shall be consummated, Company agrees to pay promptly following its receipt from Purchaser Representative of an invoice therefor (a) all of Purchaser’s Representative’s actual and reasonable costs and expenses of preparation, negotiation, execution and administration of the Transaction Documents and any consents, amendments, waivers or other modifications thereto; (b) all the reasonable fees, expenses and disbursements of counsel to Purchaser’s Representative in connection with the negotiation, preparation, execution and administration of the Transaction Documents and any consents, amendments, waivers or other modifications thereto and any other documents or matters requested by Company; (c) all the actual costs and reasonable expenses of creating and perfecting Liens in favor of Purchaser’s Representative, for the benefit of the Purchasers, including filing and recording fees, expenses and taxes, stamp or documentary taxes within [***], search fees, title insurance premiums and reasonable fees, expenses and disbursements of counsel to Purchaser’s Representative; (d) all other actual and reasonable costs and expenses incurred by Purchaser’s Representative in connection with the negotiation, preparation and execution of the Transaction Documents and any consents, amendments, waivers or other modifications thereto and the transactions contemplated thereby; and (e) [***]. Notwithstanding the foregoing, the amount obligated to be paid by Company pursuant to clauses (a) and (b)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together with all costs and expenses payable by Company and its Subsidiaries related to the Senior Secured Credit Facility and any related transactions with Purchaser’s Representative, the Purchasers and/or their Affiliates prior to the Effective Date, shall not exceed [***] without the prior written consent of Company.</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11.4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Except as forth in the immediately succeeding sentence, Company may not assign in whole or in part this Agreement, any of its rights or obligations hereunder, or any of its rights in a Product, including any Product Rights, to any Person without the Purchasers’ prior written consent. Notwithstanding the foregoing, Company may assign its rights in a Product, including any Product Rights, to a Subsidiary of Company in connection with the transfer of all or substantially all of Company’s business or assets related to a Product to such Subsidiary and only if prior to or concurrently with any such transfer, (x) Company causes such Subsidiary to deliver to Purchaser’s Representative and the Purchasers a guaranty of all of the obligations of Company under this Agreement and the other Transaction Documents, and</w:t>
      </w:r>
    </w:p>
    <w:p>
      <w:pPr>
        <w:spacing w:after="0" w:line="4" w:lineRule="exact"/>
        <w:rPr>
          <w:sz w:val="20"/>
          <w:szCs w:val="20"/>
          <w:color w:val="auto"/>
        </w:rPr>
      </w:pPr>
    </w:p>
    <w:p>
      <w:pPr>
        <w:jc w:val="both"/>
        <w:ind w:firstLine="8"/>
        <w:spacing w:after="0"/>
        <w:tabs>
          <w:tab w:leader="none" w:pos="291"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 with such assignment, such Subsidiary grants to Purchaser’s Representative, on behalf of and for the benefit of the Purchasers, first priority Liens on the Collateral under the Security Documents and such Liens are perfected and registered at all applicable registries in all applicable jurisdictions (subject to the terms of the Security Agreement), all to the satisfaction of Purchaser’s Representative (and the effectiveness of any assignment pursuant to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shall be conditional upon satisfaction of the preceding clauses (x) and (y) to Purchaser’s Representative’s satisfaction). For the avoidance of doubt, nothing in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shall restrict Company from licensing any Product Rights pursuant to a Permitted License, from transferring the Marketing Approvals for any jurisdiction (other than the United States) to a Licensee in connection with a Permitted License, or from incurring any Indebtedness. Each Purchaser may assign its rights and obligations under this Agreement in whole or in part to any Person, provided that such assignment is not made to a pharmaceutical company developing or Commercializing precision therapies. This Agreement shall be binding upon, inure to the benefit of and be enforceable by, the parties hereto and their respective permitted successors and assigns. Any purported assignment in violation of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shall be null and void.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11.5</w:t>
      </w:r>
      <w:r>
        <w:rPr>
          <w:sz w:val="20"/>
          <w:szCs w:val="20"/>
          <w:color w:val="auto"/>
        </w:rPr>
        <w:tab/>
      </w: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1" w:name="page202"/>
    <w:bookmarkEnd w:id="201"/>
    <w:p>
      <w:pPr>
        <w:jc w:val="both"/>
        <w:ind w:firstLine="1304"/>
        <w:spacing w:after="0" w:line="254"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modification, termination or waiver of any provision of the Transaction Documents, or consent to any departure by Company therefrom, shall in any event be effective without the written consent of Purchaser’s Representative and the Majority Purchasers.</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11.6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11.7 </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xml:space="preserve">. This Agreement is for the sole benefit of Company and the Purchasers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third-party beneficiaries of the benefits provided for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11.8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11.9</w:t>
      </w:r>
      <w:r>
        <w:rPr>
          <w:sz w:val="20"/>
          <w:szCs w:val="20"/>
          <w:color w:val="auto"/>
        </w:rPr>
        <w:tab/>
      </w: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1" w:lineRule="auto"/>
        <w:tabs>
          <w:tab w:leader="none" w:pos="194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JUDICIAL PROCEEDINGS BROUGHT AGAINST COMPANY ARISING OUT OF OR RELATING HERETO OR ANY OTHER TRANSACTION DOCUMENT, OR ANY OF THE OBLIGATIONS, MAY BE BROUGHT IN ANY STATE OR FEDERAL COURT OF COMPETENT JURISDICTION IN THE STATE, COUNTY AND CITY OF NEW YORK. BY EXECUTING AND DELIVERING THIS AGREEMENT, COMPANY,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COMPANY AT ITS ADDRESS PROVIDED IN ACCORDANCE WITH SECTION 11.2 OR TO ANY PROCESS AGENT OF COMPANY SELECTED IN ACCORDANCE WITH </w:t>
      </w:r>
      <w:r>
        <w:rPr>
          <w:rFonts w:ascii="Times New Roman" w:cs="Times New Roman" w:eastAsia="Times New Roman" w:hAnsi="Times New Roman"/>
          <w:sz w:val="20"/>
          <w:szCs w:val="20"/>
          <w:u w:val="single" w:color="auto"/>
          <w:color w:val="auto"/>
        </w:rPr>
        <w:t>SECTION 11.9(b)</w:t>
      </w:r>
      <w:r>
        <w:rPr>
          <w:rFonts w:ascii="Times New Roman" w:cs="Times New Roman" w:eastAsia="Times New Roman" w:hAnsi="Times New Roman"/>
          <w:sz w:val="20"/>
          <w:szCs w:val="20"/>
          <w:color w:val="auto"/>
        </w:rPr>
        <w:t xml:space="preserve"> IS SUFFICIENT TO CONFER PERSONAL JURISDICTION OVER COMPANY IN ANY SUCH PROCEEDING IN ANY SUCH COURT, AND OTHERWISE CONSTITUTES EFFECTIVE AND BINDING SERVICE IN EVERY RESPECT; AND (iv) AGREES THAT ADMINSTRATIVE AGENT AND PURCHASERS RETAIN THE RIGHT TO SERVE PROCESS IN ANY OTHER MANNER PERMITTED BY LAW OR TO BRING PROCEEDINGS AGAINST COMPANY IN THE COURTS OF ANY OTHER JURISDICTION.</w:t>
      </w:r>
    </w:p>
    <w:p>
      <w:pPr>
        <w:spacing w:after="0" w:line="19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HEREBY AGREES THAT PROCESS MAY BE SERVED ON IT BY CERTIFIED MAIL, RETURN RECEIPT REQUESTED, TO THE ADDRESSES PERTAINING TO IT AS SPECIFIED IN SECTION 11.2 OR CT CORPORATION SYSTEM, LOCATED AT 155 FEDERAL STREET, SUITE 700, BOSTON, MASSACHUSETTS 02210 AND HEREBY APPOINTS CT CORPORATION SYSTEM AS ITS AGENT TO RECEIVE SUCH SERVICE OF PROCESS.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2" w:name="page203"/>
    <w:bookmarkEnd w:id="202"/>
    <w:p>
      <w:pPr>
        <w:jc w:val="both"/>
        <w:spacing w:after="0" w:line="249" w:lineRule="auto"/>
        <w:rPr>
          <w:sz w:val="20"/>
          <w:szCs w:val="20"/>
          <w:color w:val="auto"/>
        </w:rPr>
      </w:pPr>
      <w:r>
        <w:rPr>
          <w:rFonts w:ascii="Times New Roman" w:cs="Times New Roman" w:eastAsia="Times New Roman" w:hAnsi="Times New Roman"/>
          <w:sz w:val="20"/>
          <w:szCs w:val="20"/>
          <w:color w:val="auto"/>
        </w:rPr>
        <w:t>ALL SERVICE OF PROCESS AND ANY OTHER NOTICE IN ANY SUCH ACTION, SUIT OR PROCEEDING SHALL BE EFFECTIVE AGAINST COMPANY IF GIVEN BY REGISTERED OR CERTIFIED MAIL, RETURN RECEIPT REQUESTED, OR BY ANY OTHER MEANS OR MAIL WHICH REQUIRES A SIGNED RECEIPT, POSTAGE PREPAID, MAILED AS PROVIDED ABOVE.</w:t>
      </w:r>
    </w:p>
    <w:p>
      <w:pPr>
        <w:spacing w:after="0" w:line="18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11.10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OF THE PARTIES HERETO HEREBY AGREES TO WAIVE ITS RESPECTIVE RIGHTS TO A JURY TRIAL OF ANY CLAIM OR CAUSE OF ACTION BASED UPON OR ARISING HEREUNDER OR UNDER ANY OF THE OTHER TRANSACTION DOCUMENTS OR ANY DEALINGS BETWEEN THEM RELATING TO THE SUBJECT MATTER OF THIS TRANSACTION OR THE RELATIONSHIP THAT IS BEING ESTABLISHED BETWEEN THE PARTIES.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AND EXECUTED BY EACH OF THE PARTIES HERETO), AND THIS WAIVER SHALL APPLY TO ANY SUBSEQUENT AMENDMENTS, RENEWALS, SUPPLEMENTS OR MODIFICATIONS HERETO OR ANY OF THE OTHER TRANSACTION DOCUMENTS OR TO ANY OTHER DOCUMENTS OR AGREEMENTS RELATING TO THE TRANSACTIONS CONTEMPLATED HEREUNDER. IN THE EVENT OF LITIGATION, THIS AGREEMENT MAY BE FILED AS A WRITTEN CONSENT TO A TRIAL BY THE COURT.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11.12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of the parties acknowledges and agrees that the other party would be 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3" w:name="page204"/>
    <w:bookmarkEnd w:id="203"/>
    <w:p>
      <w:pPr>
        <w:jc w:val="both"/>
        <w:spacing w:after="0" w:line="269" w:lineRule="auto"/>
        <w:rPr>
          <w:sz w:val="20"/>
          <w:szCs w:val="20"/>
          <w:color w:val="auto"/>
        </w:rPr>
      </w:pPr>
      <w:r>
        <w:rPr>
          <w:rFonts w:ascii="Times New Roman" w:cs="Times New Roman" w:eastAsia="Times New Roman" w:hAnsi="Times New Roman"/>
          <w:sz w:val="20"/>
          <w:szCs w:val="20"/>
          <w:color w:val="auto"/>
        </w:rPr>
        <w:t>counterparts transmitted by telecopy or other similar means of electronic transmission, including “PDF,” shall be considered original executed counterparts, provided receipt of such counterparts is confirmed.</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11.14 </w:t>
      </w:r>
      <w:r>
        <w:rPr>
          <w:rFonts w:ascii="Times New Roman" w:cs="Times New Roman" w:eastAsia="Times New Roman" w:hAnsi="Times New Roman"/>
          <w:sz w:val="20"/>
          <w:szCs w:val="20"/>
          <w:u w:val="single" w:color="auto"/>
          <w:color w:val="auto"/>
        </w:rPr>
        <w:t>Relationship of the Parties</w:t>
      </w:r>
      <w:r>
        <w:rPr>
          <w:rFonts w:ascii="Times New Roman" w:cs="Times New Roman" w:eastAsia="Times New Roman" w:hAnsi="Times New Roman"/>
          <w:sz w:val="20"/>
          <w:szCs w:val="20"/>
          <w:color w:val="auto"/>
        </w:rPr>
        <w:t>. Neither the Purchasers nor Company have any fiduciary or other special relationship with the other party or any of its Affiliates. This Agreement is not a partnership or similar agreement, and nothing contained herein shall be deemed to constitute the Purchasers and Company as a partnership, an association, a joint venture or any other kind of entity or legal form for any purposes, including any Tax purposes. The Purchasers and Company agree that they shall not take any inconsistent position with respect to such treatment in a filing with any Governmental Authority.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4" w:name="page205"/>
    <w:bookmarkEnd w:id="20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26657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Kathryn Haviland</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PURCHASER’S REPRESENTATIVE</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GARNICH ADJACENT INVESTMENTS S.À.R.L.</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Paul Galliver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26657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Paul Galliver</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PURCHASERS:</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GARNICH ADJACENT INVESTMENTS S.À.R.L.</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Paul Galliver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2665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Paul Galliver</w:t>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Manager</w:t>
      </w:r>
    </w:p>
    <w:p>
      <w:pPr>
        <w:ind w:left="5400"/>
        <w:spacing w:after="0"/>
        <w:tabs>
          <w:tab w:leader="none" w:pos="6860" w:val="left"/>
        </w:tabs>
        <w:rPr>
          <w:sz w:val="20"/>
          <w:szCs w:val="20"/>
          <w:color w:val="auto"/>
        </w:rPr>
      </w:pPr>
      <w:r>
        <w:rPr>
          <w:rFonts w:ascii="Times New Roman" w:cs="Times New Roman" w:eastAsia="Times New Roman" w:hAnsi="Times New Roman"/>
          <w:sz w:val="20"/>
          <w:szCs w:val="20"/>
          <w:color w:val="auto"/>
        </w:rPr>
        <w:t>Pro Rata Share:</w:t>
      </w:r>
      <w:r>
        <w:rPr>
          <w:sz w:val="20"/>
          <w:szCs w:val="20"/>
          <w:color w:val="auto"/>
        </w:rPr>
        <w:tab/>
      </w:r>
      <w:r>
        <w:rPr>
          <w:rFonts w:ascii="Times New Roman" w:cs="Times New Roman" w:eastAsia="Times New Roman" w:hAnsi="Times New Roman"/>
          <w:sz w:val="19"/>
          <w:szCs w:val="19"/>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05" w:name="page206"/>
    <w:bookmarkEnd w:id="205"/>
    <w:p>
      <w:pPr>
        <w:ind w:left="890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44"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FINANCING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June 30, 2022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as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SUBSIDIARIES OF BORROWER,</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as Guarantors,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VARIOUS LENDERS FROM TIME TO TIME PARTY HERETO,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TAO TALENTS, LLC,</w:t>
      </w:r>
    </w:p>
    <w:p>
      <w:pPr>
        <w:spacing w:after="0" w:line="2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7700" w:type="dxa"/>
            <w:vAlign w:val="bottom"/>
            <w:gridSpan w:val="3"/>
          </w:tcPr>
          <w:p>
            <w:pPr>
              <w:ind w:left="23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80" w:type="dxa"/>
            <w:vAlign w:val="bottom"/>
          </w:tcPr>
          <w:p>
            <w:pPr>
              <w:spacing w:after="0"/>
              <w:rPr>
                <w:sz w:val="19"/>
                <w:szCs w:val="19"/>
                <w:color w:val="auto"/>
              </w:rPr>
            </w:pPr>
          </w:p>
        </w:tc>
      </w:tr>
      <w:tr>
        <w:trPr>
          <w:trHeight w:val="479"/>
        </w:trPr>
        <w:tc>
          <w:tcPr>
            <w:tcW w:w="1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16"/>
        </w:trPr>
        <w:tc>
          <w:tcPr>
            <w:tcW w:w="9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 DEFINITIONS AND INTERPRETATION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Definitions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1.2</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Accounting and Other Terms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1.3</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Interpretation, Etc.</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1.4</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Time References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1.5</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Certain Matters of Construction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1.6</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Rates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8"/>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1.7</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Limited Condition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417"/>
        </w:trPr>
        <w:tc>
          <w:tcPr>
            <w:tcW w:w="9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Term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2.2</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2.3</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Evidence of Debt; Register; Lenders’ Books and Records; Notes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2.4</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Interest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2.5</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Conversion/Continuation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2.6</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Default Interest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2.7</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Fees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2.8</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Repayment of Term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2.9</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Voluntary Prepayments and Commitment Reductions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2.10</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Mandatory Prepayments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154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7"/>
              </w:rPr>
              <w:t>Section 2.11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Application of Prepayments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2.12</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General Provisions Regarding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2.13</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Ratable Sharing</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2.14</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Increased Costs; Capital Adequacy</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2.15</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Taxes; Withholding, Etc.</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2.16</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Obligation to Mitigate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2.17</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Defaulting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2.18</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Removal or Replacement of a Lender</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2.19</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Making or Maintaining SOFR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8"/>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2.20</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417"/>
        </w:trPr>
        <w:tc>
          <w:tcPr>
            <w:tcW w:w="9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III CONDITIONS PRECEDENT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3.1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Closing Date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8"/>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3.2</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Conditions to Each Credit Extension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17"/>
        </w:trPr>
        <w:tc>
          <w:tcPr>
            <w:tcW w:w="9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IV REPRESENTATIONS AND WARRANTIES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Organization; Requisite Power and Authority; Qualification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4.2</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Capital Stock and Ownership</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4.3</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Due Authorization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4.4</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No Conflict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4.5</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Governmental Consents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4.6</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Binding Obligation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4.7</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Historical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4.8</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Projections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Section 4.9</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54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Section 4.10</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Adverse Proceedings, Etc.</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8"/>
        </w:trPr>
        <w:tc>
          <w:tcPr>
            <w:tcW w:w="154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7"/>
              </w:rPr>
              <w:t>Section 4.11</w:t>
            </w:r>
          </w:p>
        </w:tc>
        <w:tc>
          <w:tcPr>
            <w:tcW w:w="7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Payment of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Properties, Title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4.15</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Material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4.16</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Governmental Regulation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4.17</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Margin Stock</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4.18</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Employee Benefit Plans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4.19</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Fees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4.20</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Solvency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4.21</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ERISA</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Compliance with Statutes,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Intellectual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4.25</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4.26</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Permits,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4.27</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 Accounts and Securities 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4.28</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Interests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4.29</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PATRIOT ACT and FCPA</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4.30</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4.31</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Regulatory Compliance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4.35</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Healthcare Regulatory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4.36</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Data Protection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417"/>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 AFFIRMATIVE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5.1</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Statements and Other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Existence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of Taxes and Claims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5.5</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5.6</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Books and Records; Inspections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5.7</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Lenders Calls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5.8</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Compliance with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5.9</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5.10</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5.11</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Estate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5.12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Further Assurances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5.13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Control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5.14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Post-Closing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417"/>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 NEGATIVE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6.1</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Indebtedness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6.2</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Liens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6.3</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Material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6.4</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Further Negative Pledges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6.5</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Junior Payments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6.6</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Restrictions on Subsidiary Distributions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6.7</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6.8</w:t>
            </w:r>
          </w:p>
        </w:tc>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Minimum Qualified Cash</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6" w:right="10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6.9</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Fundamental Changes; Disposition of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6.10</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Disposal of Subsidiary Interests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Sales and Lease Backs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Transactions with Shareholders and Affiliates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6.13</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Conduct of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6.14</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Changes to Certain Agreements and Organizational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6.15</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Accounting Methods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6.16</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Deposit Accounts and Securities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6.17</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Prepayments of Certain Indebtedness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6.18</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Anti-Terrorism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6.19</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Anti-Corruption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6.20</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6.21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Products (Core) and Patent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417"/>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 GUARANTY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Guaranty of the Obligations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Contribution by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7.3</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by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7.4</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Liability of Guarantors Absolute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7.5</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Waivers by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7.6</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Guarantors’ Rights of Subrogation, Contribution,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7.7</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Subordination of Other Obligations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7.8</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Continuing Guaranty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7.9</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Authority of Guarantors or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7.10</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Condition of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7.11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Bankruptcy,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7.12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Discharge of Guaranty Upon Sale of Guarantor</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417"/>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VIII EVENTS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8.1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Events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8.2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Remedies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8.3</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Rights Not Exclusive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417"/>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IX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Appointment of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Powers and Duties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9.3</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General Immunity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9.4</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Administrative Agent Entitled to Act as Lender</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9.5</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Lenders’ Representations, Warranties and Acknowledgment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9.6</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to Indemnity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9.7</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9.8</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 Documents and Guaranty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Section 9.9</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Agency for Perfection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9.10</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Reports and Other Information; Confidentiality; Disclaimers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9.11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Protective Advances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417"/>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X MISCELLANEOUS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10.1</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10.2</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29"/>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10.3</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Indemnity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8"/>
        </w:trPr>
        <w:tc>
          <w:tcPr>
            <w:tcW w:w="15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Section 10.4</w:t>
            </w:r>
          </w:p>
        </w:tc>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Set-Off</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6" w:right="101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Section 10.5</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Amendments and Waivers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12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Section 10.6</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Successors and Assigns; Participations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12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Section 10.7</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Independence of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12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Section 10.8</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Survival of Representations, Warranties and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12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Section 10.9</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Waiver; Remedies Cumulative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10.10</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Marshalling; Payments Set Aside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10.11</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10.12</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Obligations Several; Independent Nature of Lenders’ Rights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10.13</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Contingent Payment Debt Instrument Rules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10.14</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Original Issue Discount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10.15</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Headings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10.16</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APPLICABLE LAW</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10.17</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CONSENT TO JURISDICTION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10.18</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WAIVER OF JURY TRIAL</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10.19</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Confidentiality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10.20</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Usury Savings Clause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10.21</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29"/>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10.22</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Effectiveness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10.23</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PATRIOT Act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8"/>
        </w:trPr>
        <w:tc>
          <w:tcPr>
            <w:tcW w:w="12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Section 10.24</w:t>
            </w:r>
          </w:p>
        </w:tc>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Waiver of Immunity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364490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00" w:top="116" w:right="10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3"/>
        </w:trPr>
        <w:tc>
          <w:tcPr>
            <w:tcW w:w="1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APPENDICES:</w:t>
            </w: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A-1</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Initial Term Loan Commitments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Delayed Draw Term Loan Commitments</w:t>
            </w:r>
          </w:p>
        </w:tc>
      </w:tr>
      <w:tr>
        <w:trPr>
          <w:trHeight w:val="258"/>
        </w:trPr>
        <w:tc>
          <w:tcPr>
            <w:tcW w:w="1760" w:type="dxa"/>
            <w:vAlign w:val="bottom"/>
          </w:tcPr>
          <w:p>
            <w:pPr>
              <w:spacing w:after="0"/>
              <w:rPr>
                <w:sz w:val="22"/>
                <w:szCs w:val="22"/>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Notice Addresses</w:t>
            </w:r>
          </w:p>
        </w:tc>
      </w:tr>
      <w:tr>
        <w:trPr>
          <w:trHeight w:val="660"/>
        </w:trPr>
        <w:tc>
          <w:tcPr>
            <w:tcW w:w="1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1.1(a)</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Chemical Structure of AYVAKIT</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1.1(b)</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Chemical Structure of BLU-263</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1.1(c)</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Chemical Structure of GAVRETO</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1.1(d)</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Permitted Product Transactions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Jurisdictions of Organization and Qualification</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Capital Stock and Ownership</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Real Property</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4.13</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4.15</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4.23</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4.24</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Insurance</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4.27</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Bank Accounts and Securities Accounts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4.34</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Government Contracts</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5.14</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Post Closing Matters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6.1</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Indebtedness</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6.2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Liens</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6.6</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Loans and Advances to Employees</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6.7</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Investments</w:t>
            </w:r>
          </w:p>
        </w:tc>
      </w:tr>
      <w:tr>
        <w:trPr>
          <w:trHeight w:val="258"/>
        </w:trPr>
        <w:tc>
          <w:tcPr>
            <w:tcW w:w="1760" w:type="dxa"/>
            <w:vAlign w:val="bottom"/>
          </w:tcPr>
          <w:p>
            <w:pPr>
              <w:spacing w:after="0"/>
              <w:rPr>
                <w:sz w:val="22"/>
                <w:szCs w:val="22"/>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6.12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Affiliate Transactions</w:t>
            </w:r>
          </w:p>
        </w:tc>
      </w:tr>
      <w:tr>
        <w:trPr>
          <w:trHeight w:val="660"/>
        </w:trPr>
        <w:tc>
          <w:tcPr>
            <w:tcW w:w="1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A-1</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Funding Notice</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A-2</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Conversion/Continuation Notice</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Assignment Agreement</w:t>
            </w:r>
          </w:p>
        </w:tc>
      </w:tr>
      <w:tr>
        <w:trPr>
          <w:trHeight w:val="229"/>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Closing Date Certificate</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Solvency Certificate</w:t>
            </w:r>
          </w:p>
        </w:tc>
      </w:tr>
      <w:tr>
        <w:trPr>
          <w:trHeight w:val="230"/>
        </w:trPr>
        <w:tc>
          <w:tcPr>
            <w:tcW w:w="17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Counterpart Agreement</w:t>
            </w:r>
          </w:p>
        </w:tc>
      </w:tr>
      <w:tr>
        <w:trPr>
          <w:trHeight w:val="258"/>
        </w:trPr>
        <w:tc>
          <w:tcPr>
            <w:tcW w:w="1760" w:type="dxa"/>
            <w:vAlign w:val="bottom"/>
          </w:tcPr>
          <w:p>
            <w:pPr>
              <w:spacing w:after="0"/>
              <w:rPr>
                <w:sz w:val="22"/>
                <w:szCs w:val="22"/>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w:t>
            </w:r>
          </w:p>
        </w:tc>
        <w:tc>
          <w:tcPr>
            <w:tcW w:w="4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42" w:right="1440"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0"/>
          <w:szCs w:val="20"/>
          <w:u w:val="single" w:color="auto"/>
          <w:color w:val="auto"/>
        </w:rPr>
        <w:t>FINANCING AGREEMENT</w:t>
      </w:r>
    </w:p>
    <w:p>
      <w:pPr>
        <w:spacing w:after="0" w:line="21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This FINANCING AGREEMENT, dated as of June 30, 2022, is entered into by and among BLUEPRINT MEDICINES CORPORATION,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certain Subsidiaries of Borrower, as Guarantors, the Lenders from time to time party hereto, and TAO Talents, LLC (“</w:t>
      </w:r>
      <w:r>
        <w:rPr>
          <w:rFonts w:ascii="Times New Roman" w:cs="Times New Roman" w:eastAsia="Times New Roman" w:hAnsi="Times New Roman"/>
          <w:sz w:val="20"/>
          <w:szCs w:val="20"/>
          <w:u w:val="single" w:color="auto"/>
          <w:color w:val="auto"/>
        </w:rPr>
        <w:t>TAO Talents</w:t>
      </w:r>
      <w:r>
        <w:rPr>
          <w:rFonts w:ascii="Times New Roman" w:cs="Times New Roman" w:eastAsia="Times New Roman" w:hAnsi="Times New Roman"/>
          <w:sz w:val="20"/>
          <w:szCs w:val="20"/>
          <w:color w:val="auto"/>
        </w:rPr>
        <w:t>”), as administrative agent for the Lenders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WHEREAS, capitalized terms used in these Recitals shall have the respective meanings set forth for such terms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hereof;</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WHEREAS, Lenders have agreed to extend certain senior secured credit facilities to Company, in an aggregate principal amount not to exceed $660,000,000, consisting of (a) an initial term loan in an aggregate principal amount not exceeding $150,000,000, (b) delayed draw term loans in an aggregate principal amount not exceeding $250,000,000 and (c) an uncommitted incremental facility in an aggregate principal amount not to exceed $260,000,000, in each case the proceeds of which will be used as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WHEREAS, Company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(except as otherwise set forth in the Collateral Documents); and</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WHEREAS, Guarantors have agreed to guarantee the Obligations of Company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 (except as otherwise set forth in the Collateral Documents).</w:t>
      </w:r>
    </w:p>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agreements, provisions and covenants herein contained, the parties hereto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INTERPRETATION</w:t>
      </w:r>
    </w:p>
    <w:p>
      <w:pPr>
        <w:spacing w:after="0" w:line="216" w:lineRule="exact"/>
        <w:rPr>
          <w:sz w:val="20"/>
          <w:szCs w:val="20"/>
          <w:color w:val="auto"/>
        </w:rPr>
      </w:pPr>
    </w:p>
    <w:p>
      <w:pPr>
        <w:jc w:val="both"/>
        <w:ind w:firstLine="567"/>
        <w:spacing w:after="0" w:line="269" w:lineRule="auto"/>
        <w:rPr>
          <w:sz w:val="20"/>
          <w:szCs w:val="20"/>
          <w:color w:val="auto"/>
        </w:rPr>
      </w:pPr>
      <w:r>
        <w:rPr>
          <w:rFonts w:ascii="Times New Roman" w:cs="Times New Roman" w:eastAsia="Times New Roman" w:hAnsi="Times New Roman"/>
          <w:sz w:val="20"/>
          <w:szCs w:val="20"/>
          <w:color w:val="auto"/>
        </w:rPr>
        <w:t>Section 1.1 Definitions. The following terms used herein, including in the preamble, recitals, exhibits and schedules hereto, shall have the following meanings: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Account</w:t>
      </w:r>
      <w:r>
        <w:rPr>
          <w:rFonts w:ascii="Times New Roman" w:cs="Times New Roman" w:eastAsia="Times New Roman" w:hAnsi="Times New Roman"/>
          <w:sz w:val="20"/>
          <w:szCs w:val="20"/>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Adverse Proceeding</w:t>
      </w:r>
      <w:r>
        <w:rPr>
          <w:rFonts w:ascii="Times New Roman" w:cs="Times New Roman" w:eastAsia="Times New Roman" w:hAnsi="Times New Roman"/>
          <w:sz w:val="20"/>
          <w:szCs w:val="20"/>
          <w:color w:val="auto"/>
        </w:rPr>
        <w:t>” means any action, suit,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754380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2" w:name="page213"/>
    <w:bookmarkEnd w:id="212"/>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pending or, to the knowledge of Borrower or any of its Subsidiaries, threatened in writing against Borrower or any of its Subsidiaries or any property of Borrower or any of its Subsidiaries.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Financing Agreement and any annexes, exhibits and schedules attached hereto.</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means any Requirement of Law relating to terrorism or money laundering, including, without limitation, (a) the Money Laundering Control Act of 1986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18 U.S.C. §§ 1956 and 1957), (b) the Currency and Foreign Transactions Reporting Act (31 U.S.C. §§ 5311-5330 and 12 U.S.C. §§ 1818(s), 1820(b) and 1951-1959) (the “</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Secrecy Act</w:t>
      </w:r>
      <w:r>
        <w:rPr>
          <w:rFonts w:ascii="Times New Roman" w:cs="Times New Roman" w:eastAsia="Times New Roman" w:hAnsi="Times New Roman"/>
          <w:sz w:val="19"/>
          <w:szCs w:val="19"/>
          <w:color w:val="auto"/>
        </w:rPr>
        <w:t>”), (c) the USA PATRIOT Act, (d) the laws, regulations and Executive Orders administered by the United States Department of the Treasury’s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(e) the Comprehensive Iran Sanctions, Accountability, and Divestment Act of 2010 and implementing regulations by the United States Department of the Treasury,</w:t>
      </w:r>
    </w:p>
    <w:p>
      <w:pPr>
        <w:spacing w:after="0" w:line="1" w:lineRule="exact"/>
        <w:rPr>
          <w:sz w:val="20"/>
          <w:szCs w:val="20"/>
          <w:color w:val="auto"/>
        </w:rPr>
      </w:pPr>
    </w:p>
    <w:p>
      <w:pPr>
        <w:jc w:val="both"/>
        <w:ind w:firstLine="8"/>
        <w:spacing w:after="0" w:line="241" w:lineRule="auto"/>
        <w:tabs>
          <w:tab w:leader="none" w:pos="25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prohibiting or directed against terrorist activities or the financing of terrorist activities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 with respect to a Term Loan that is a Term SOFR Loan, 6.50% per annum and (b) with respect to a Term Loan that is a Base Rate Loan, 5.50% per annum.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Premium</w:t>
      </w:r>
      <w:r>
        <w:rPr>
          <w:rFonts w:ascii="Times New Roman" w:cs="Times New Roman" w:eastAsia="Times New Roman" w:hAnsi="Times New Roman"/>
          <w:sz w:val="20"/>
          <w:szCs w:val="20"/>
          <w:color w:val="auto"/>
        </w:rPr>
        <w:t>” has the meaning specified in the Fee Letter.</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 Event</w:t>
      </w:r>
      <w:r>
        <w:rPr>
          <w:rFonts w:ascii="Times New Roman" w:cs="Times New Roman" w:eastAsia="Times New Roman" w:hAnsi="Times New Roman"/>
          <w:sz w:val="20"/>
          <w:szCs w:val="20"/>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3" w:name="page214"/>
    <w:bookmarkEnd w:id="213"/>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 sale, lease or sublease (as lessor or sublessor), sale and leaseback, assignment, conveyance, transfer, license or sublicense or other disposition to (other than to a Loan Party), or any exchange of property with, any Person,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For purposes of clarification, “Asset Sale” shall include</w:t>
      </w:r>
    </w:p>
    <w:p>
      <w:pPr>
        <w:jc w:val="both"/>
        <w:ind w:firstLine="8"/>
        <w:spacing w:after="0" w:line="241" w:lineRule="auto"/>
        <w:tabs>
          <w:tab w:leader="none" w:pos="27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for value of any contracts, (b) any disposition of property through a “plan of division” under the Delaware Limited Liability Company Act or any comparable transaction under any similar law, (c) any sale of accounts (or any rights thereto (including, without limitation, any rights to any residual payment stream with respect thereto)) by any Loan Party or Subsidiary of Borrower, (e) any Product Agreement, (f) any Permitted Product Transaction and (g) any Royalty Monetization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none of the following items will be deemed to be an Asset Sale:</w:t>
      </w:r>
    </w:p>
    <w:p>
      <w:pPr>
        <w:spacing w:after="0" w:line="216" w:lineRule="exact"/>
        <w:rPr>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Capital Stock by a Subsidiary of Borrower to Borrower or to another Loan Party;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Capital Stock by Borrower;</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or transfer of Cash or Cash Equivalents in a manner that is not prohibited by the terms of this Agreement or the other Loan Documents;</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45" w:lineRule="auto"/>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or sublicensing alone, of any Intellectual Property Rights in the ordinary course of business which does not materially interfere with the ordinary conduct of the business of Borrower or any of its Subsidiaries and which is otherwise permitted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and for the avoidance of doubt that (x) any exclusive or co-exclusive license or other arrangement with respect to any Intellectual Property Rights, (y) any Permitted Product Transaction and (y) Royalty Monetization Transaction shall be deemed to be an Asset Sale); and</w:t>
      </w:r>
    </w:p>
    <w:p>
      <w:pPr>
        <w:spacing w:after="0" w:line="184"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(other than any Intellectual Property Rights or any property pursuant to a Permitted Product Transaction or Royalty Monetization Transaction) in the ordinary course of business which do not materially interfere with the ordinary conduct of the business of Borrower or any of its Subsidiaries and which is otherwise permitted under this Agreement.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such amendments or modifications as may be approved by Administrative Agent.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AYVAKIT</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AYVAKIT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necessary for or material to the research, development, use or Commercialization of AYVAKIT.</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AYVAKIT/BLU-263 Purchase Agreement</w:t>
      </w:r>
      <w:r>
        <w:rPr>
          <w:rFonts w:ascii="Times New Roman" w:cs="Times New Roman" w:eastAsia="Times New Roman" w:hAnsi="Times New Roman"/>
          <w:sz w:val="19"/>
          <w:szCs w:val="19"/>
          <w:color w:val="auto"/>
        </w:rPr>
        <w:t>” means that certain Purchase and Sale Agreement, dated as of the date hereof, by and among Borrower, as seller, Garnich Adjacent Investments S.à r.l., as purchaser, the other purchases from time to time party thereto and Garnich Adjacent Investments S.à r.l., as Purchaser’s Representative on behalf of the purchasers (as amended, supplemented or otherwise from time to time in compliance with the Senior Lender Intercreditor Agreement).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Back-Up Security Interest</w:t>
      </w:r>
      <w:r>
        <w:rPr>
          <w:rFonts w:ascii="Times New Roman" w:cs="Times New Roman" w:eastAsia="Times New Roman" w:hAnsi="Times New Roman"/>
          <w:sz w:val="20"/>
          <w:szCs w:val="20"/>
          <w:color w:val="auto"/>
        </w:rPr>
        <w:t>” means a back-up security interest granted by the Borrower or any of its Subsidiaries to a buyer of royalties in connection with a Permitted Royalty Transaction to the extent such purchase of such royalties is recharacterized as a secured debt financing rather than a true sale.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has the meaning specified in the definition of “Anti-Terrorism Laws”.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for any day, a rate per annum equal to the greatest of (a) the Prime Rate in effect on such day,</w:t>
      </w:r>
    </w:p>
    <w:p>
      <w:pPr>
        <w:spacing w:after="0" w:line="22" w:lineRule="exact"/>
        <w:rPr>
          <w:sz w:val="20"/>
          <w:szCs w:val="20"/>
          <w:color w:val="auto"/>
        </w:rPr>
      </w:pPr>
    </w:p>
    <w:p>
      <w:pPr>
        <w:jc w:val="both"/>
        <w:ind w:firstLine="8"/>
        <w:spacing w:after="0" w:line="241" w:lineRule="auto"/>
        <w:tabs>
          <w:tab w:leader="none" w:pos="28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Funds Effective Rate in effect on such day [***] (c) Term SOFR (which rate shall be calculated based upon an Interest Period of three months and to be determined on a daily basis) [***], and (d) 2.00% per annum. Any change in the Prime Rate, the Federal Funds Effective Rate or Term SOFR shall be effective on the effective day of such change in the Prime Rate, the Federal Funds Effective Rate or Term SOFR,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bearing interest at a rate determined by reference to the Base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010101"/>
        </w:rPr>
        <w:t>with respect to any Benchmark Transition Event,</w:t>
      </w:r>
      <w:r>
        <w:rPr>
          <w:rFonts w:ascii="Times New Roman" w:cs="Times New Roman" w:eastAsia="Times New Roman" w:hAnsi="Times New Roman"/>
          <w:sz w:val="20"/>
          <w:szCs w:val="20"/>
          <w:color w:val="auto"/>
        </w:rPr>
        <w:t xml:space="preserve">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5" w:name="page216"/>
    <w:bookmarkEnd w:id="215"/>
    <w:p>
      <w:pPr>
        <w:jc w:val="both"/>
        <w:spacing w:after="0" w:line="245" w:lineRule="auto"/>
        <w:rPr>
          <w:sz w:val="20"/>
          <w:szCs w:val="20"/>
          <w:color w:val="auto"/>
        </w:rPr>
      </w:pPr>
      <w:r>
        <w:rPr>
          <w:rFonts w:ascii="Times New Roman" w:cs="Times New Roman" w:eastAsia="Times New Roman" w:hAnsi="Times New Roman"/>
          <w:sz w:val="20"/>
          <w:szCs w:val="20"/>
          <w:color w:val="auto"/>
        </w:rPr>
        <w:t>negative value or zero) that has been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07" w:lineRule="exact"/>
        <w:rPr>
          <w:sz w:val="20"/>
          <w:szCs w:val="20"/>
          <w:color w:val="auto"/>
        </w:rPr>
      </w:pPr>
    </w:p>
    <w:p>
      <w:pPr>
        <w:jc w:val="both"/>
        <w:ind w:firstLine="656"/>
        <w:spacing w:after="0" w:line="249" w:lineRule="auto"/>
        <w:tabs>
          <w:tab w:leader="none" w:pos="129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93" w:lineRule="exact"/>
        <w:rPr>
          <w:rFonts w:ascii="Times New Roman" w:cs="Times New Roman" w:eastAsia="Times New Roman" w:hAnsi="Times New Roman"/>
          <w:sz w:val="20"/>
          <w:szCs w:val="20"/>
          <w:color w:val="auto"/>
        </w:rPr>
      </w:pPr>
    </w:p>
    <w:p>
      <w:pPr>
        <w:jc w:val="both"/>
        <w:ind w:firstLine="656"/>
        <w:spacing w:after="0" w:line="245" w:lineRule="auto"/>
        <w:tabs>
          <w:tab w:leader="none" w:pos="129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and even if any Available Tenor of such Benchmark (or such component thereof) continues to be provided on such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For the avoidance of doubt, the “Benchmark Replacement Date” will be deemed to have occurred 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w:t>
      </w:r>
    </w:p>
    <w:p>
      <w:pPr>
        <w:spacing w:after="0" w:line="33" w:lineRule="exact"/>
        <w:rPr>
          <w:sz w:val="20"/>
          <w:szCs w:val="20"/>
          <w:color w:val="auto"/>
        </w:rPr>
      </w:pPr>
    </w:p>
    <w:p>
      <w:pPr>
        <w:ind w:firstLine="8"/>
        <w:spacing w:after="0" w:line="246" w:lineRule="auto"/>
        <w:tabs>
          <w:tab w:leader="none" w:pos="286"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59" w:lineRule="exact"/>
        <w:rPr>
          <w:sz w:val="20"/>
          <w:szCs w:val="20"/>
          <w:color w:val="auto"/>
        </w:rPr>
      </w:pPr>
    </w:p>
    <w:p>
      <w:pPr>
        <w:jc w:val="both"/>
        <w:ind w:right="20" w:firstLine="656"/>
        <w:spacing w:after="0" w:line="246" w:lineRule="auto"/>
        <w:tabs>
          <w:tab w:leader="none" w:pos="129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jc w:val="both"/>
        <w:ind w:firstLine="656"/>
        <w:spacing w:after="0" w:line="243" w:lineRule="auto"/>
        <w:tabs>
          <w:tab w:leader="none" w:pos="129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900" w:hanging="95"/>
        <w:spacing w:after="0"/>
        <w:tabs>
          <w:tab w:leader="none" w:pos="49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6" w:name="page217"/>
    <w:bookmarkEnd w:id="216"/>
    <w:p>
      <w:pPr>
        <w:jc w:val="both"/>
        <w:ind w:firstLine="656"/>
        <w:spacing w:after="0" w:line="254" w:lineRule="auto"/>
        <w:tabs>
          <w:tab w:leader="none" w:pos="129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means Administrative Agent and each Lender.</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Person</w:t>
      </w:r>
      <w:r>
        <w:rPr>
          <w:rFonts w:ascii="Times New Roman" w:cs="Times New Roman" w:eastAsia="Times New Roman" w:hAnsi="Times New Roman"/>
          <w:sz w:val="20"/>
          <w:szCs w:val="20"/>
          <w:color w:val="auto"/>
        </w:rPr>
        <w:t xml:space="preserve">” means any Person: (a) that is publicly identified (i) on the most current list of “Specially Designated Nationals and Blocked Persons” published by OFAC or resides, is organized or chartered, or has a place of business in a country or territory subject to OFAC sanctions or embargo program or (ii) as prohibited from doing business with the United States under the International Emergency Economic Powers Act, the Trading With the Enemy Act, or any other Anti-Terrorism Law; (b) that is owned or controlled by, or that owns or controls, or that is acting for or on behalf of, any Person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(c) which any Lender is prohibited from dealing or otherwise engaging in any transaction by any Anti-Terrorism Law; and (d) that is affiliated or associated with a Person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BLU-263</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BLU-263 Patents</w:t>
      </w:r>
      <w:r>
        <w:rPr>
          <w:rFonts w:ascii="Times New Roman" w:cs="Times New Roman" w:eastAsia="Times New Roman" w:hAnsi="Times New Roman"/>
          <w:sz w:val="19"/>
          <w:szCs w:val="19"/>
          <w:color w:val="auto"/>
        </w:rPr>
        <w:t>” means the U.S. and foreign Patents owned or in-licensed by Company or any of its Subsidiaries, now or in the future, that are necessary for or material to the research, development, use or Commercialization of BLU-263.</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7" w:name="page218"/>
    <w:bookmarkEnd w:id="217"/>
    <w:p>
      <w:pPr>
        <w:jc w:val="both"/>
        <w:spacing w:after="0" w:line="269" w:lineRule="auto"/>
        <w:rPr>
          <w:sz w:val="20"/>
          <w:szCs w:val="20"/>
          <w:color w:val="auto"/>
        </w:rPr>
      </w:pPr>
      <w:r>
        <w:rPr>
          <w:rFonts w:ascii="Times New Roman" w:cs="Times New Roman" w:eastAsia="Times New Roman" w:hAnsi="Times New Roman"/>
          <w:sz w:val="20"/>
          <w:szCs w:val="20"/>
          <w:color w:val="auto"/>
        </w:rPr>
        <w:t>directors of such company or the sole member or the managing member thereof, and (d) with respect to any other Person, the board or committee of such Person serving a similar function.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preamble hereto and is interchangeable with the term “Company”.</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other day on which the Federal Reserve Bank of New York is closed.</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as applied to any Person, any lease of any property (whether real, personal or mixed) by that Person (a) as lessee that, in conformity with GAAP, is or should be accounted for as a capital lease on the balance sheet of that Person or (b)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xml:space="preserve">” means any and all shares, interests, participations or other equivalents (however designated) of capital stock of a company or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Capital Stock shall exclude debt securities and other Indebtedness convertible into or exchangeable for any of the foregoing (including without limitation, Permitted Convertible Indebtedness).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a credit balance in any demand or Deposit Account.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(ii) has net assets of not less than $500,000,000, and (iii) has the highest rating obtainable from either S&amp;P or Moody’s, and (f) other Investments described in Borrower’s investment policy as approved by the Administrative Agent in writing (it being understood that the investment policy provided to Administrative Agent prior to the Closing Date shall be deemed approved in writing) and the board from time to time.</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“CFC” means any Subsidiary that is a “controlled foreign corporation” within the meaning of Section 957(a) of the Internal Revenue Code.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“CFC Holdco” means any Subsidiary substantially all of the assets of which consist of Capital Stock or Capital Stock and Indebtedness of one or more CFCs or other CFC Holdcos.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at any time, any of the following occurrences:</w:t>
      </w:r>
    </w:p>
    <w:p>
      <w:pPr>
        <w:spacing w:after="0" w:line="216" w:lineRule="exact"/>
        <w:rPr>
          <w:sz w:val="20"/>
          <w:szCs w:val="20"/>
          <w:color w:val="auto"/>
        </w:rPr>
      </w:pPr>
    </w:p>
    <w:p>
      <w:pPr>
        <w:jc w:val="both"/>
        <w:ind w:firstLine="656"/>
        <w:spacing w:after="0" w:line="243" w:lineRule="auto"/>
        <w:tabs>
          <w:tab w:leader="none" w:pos="129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(i) shall have acquired beneficial ownership of [***] or more on a fully diluted basis of the voting and/or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or</w:t>
      </w:r>
    </w:p>
    <w:p>
      <w:pPr>
        <w:spacing w:after="0" w:line="189"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or similar event shall occur under, and as defined in or set forth in the documents evidencing or governing the Capital Stock of Borrower, any agreement evidencing any Royalty Monetization Transaction, the AYVAKIT/BLU-263 Purchase Agreement, any Permitted Convertible Indebtedness in an aggregate principal amount in excess of [***] or any Permitted Priority Indebtedness, in each case to the extent it would result in any repayment or payment obligation by Borrower or any of its Subsidiaries in connection with such event.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on which this Agreement becomes effective, which is June 30, 2022.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means a Closing Date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the Pledge and Security Agreement, any Control Agreement, any Mortgages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Combination Patent</w:t>
      </w:r>
      <w:r>
        <w:rPr>
          <w:rFonts w:ascii="Times New Roman" w:cs="Times New Roman" w:eastAsia="Times New Roman" w:hAnsi="Times New Roman"/>
          <w:sz w:val="20"/>
          <w:szCs w:val="20"/>
          <w:color w:val="auto"/>
        </w:rPr>
        <w:t>” is [***].</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means any and all activities directed to the manufacturing, distribution, marketing, detailing, promotion, selling and securing of reimbursement of a Product (including the using, importing, selling and offering for sale of such Product), and shall include post-marketing approval studies to the extent required by a Governmental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Governmental Authority, Commercialization shall not include any activities directed to the research or development (including pre-clinical and clinical development) or manufacture of a Product.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Borrower’s common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preamble hereto and is interchangeable with the term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19" w:name="page220"/>
    <w:bookmarkEnd w:id="21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Loan Documents).</w:t>
      </w:r>
    </w:p>
    <w:p>
      <w:pPr>
        <w:spacing w:after="0" w:line="1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Cash</w:t>
      </w:r>
      <w:r>
        <w:rPr>
          <w:rFonts w:ascii="Times New Roman" w:cs="Times New Roman" w:eastAsia="Times New Roman" w:hAnsi="Times New Roman"/>
          <w:sz w:val="20"/>
          <w:szCs w:val="20"/>
          <w:color w:val="auto"/>
        </w:rPr>
        <w:t>” means, at any date of determination, total Qualified Cash as of such date, which, in connection with any determination under the definition of Permitted Acquisition, shall be determined on a pro forma basis, after giving effect to the applicable Permitted Acquisition, and in each case as certified by the chief financial officer of Borrower to Administrative Agent.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Date</w:t>
      </w:r>
      <w:r>
        <w:rPr>
          <w:rFonts w:ascii="Times New Roman" w:cs="Times New Roman" w:eastAsia="Times New Roman" w:hAnsi="Times New Roman"/>
          <w:sz w:val="20"/>
          <w:szCs w:val="20"/>
          <w:color w:val="auto"/>
        </w:rPr>
        <w:t>” means the effective date of a continuation or conversion, as the case may be, as set forth in the applicable Conversion/Continuation Notice.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Notice</w:t>
      </w:r>
      <w:r>
        <w:rPr>
          <w:rFonts w:ascii="Times New Roman" w:cs="Times New Roman" w:eastAsia="Times New Roman" w:hAnsi="Times New Roman"/>
          <w:sz w:val="20"/>
          <w:szCs w:val="20"/>
          <w:color w:val="auto"/>
        </w:rPr>
        <w:t xml:space="preserve">” means a Conversion/Continuation Notice substantially in the form of </w:t>
      </w:r>
      <w:r>
        <w:rPr>
          <w:rFonts w:ascii="Times New Roman" w:cs="Times New Roman" w:eastAsia="Times New Roman" w:hAnsi="Times New Roman"/>
          <w:sz w:val="20"/>
          <w:szCs w:val="20"/>
          <w:u w:val="single" w:color="auto"/>
          <w:color w:val="auto"/>
        </w:rPr>
        <w:t>Exhibit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Counterpart Agreement</w:t>
      </w:r>
      <w:r>
        <w:rPr>
          <w:rFonts w:ascii="Times New Roman" w:cs="Times New Roman" w:eastAsia="Times New Roman" w:hAnsi="Times New Roman"/>
          <w:sz w:val="20"/>
          <w:szCs w:val="20"/>
          <w:color w:val="auto"/>
        </w:rPr>
        <w:t xml:space="preserve">” means a Counterpart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delivered by a Loan Party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Date</w:t>
      </w:r>
      <w:r>
        <w:rPr>
          <w:rFonts w:ascii="Times New Roman" w:cs="Times New Roman" w:eastAsia="Times New Roman" w:hAnsi="Times New Roman"/>
          <w:sz w:val="20"/>
          <w:szCs w:val="20"/>
          <w:color w:val="auto"/>
        </w:rPr>
        <w:t>” means the date of a Credit Extension.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the making of a Loan.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w:t>
      </w:r>
      <w:r>
        <w:rPr>
          <w:rFonts w:ascii="Times New Roman" w:cs="Times New Roman" w:eastAsia="Times New Roman" w:hAnsi="Times New Roman"/>
          <w:sz w:val="20"/>
          <w:szCs w:val="20"/>
          <w:color w:val="auto"/>
        </w:rPr>
        <w:t>” means CStone Pharmaceuticals, a corporation organized under the laws of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220" w:name="page221"/>
    <w:bookmarkEnd w:id="220"/>
    <w:p>
      <w:pPr>
        <w:jc w:val="both"/>
        <w:ind w:right="20" w:firstLine="648"/>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 License</w:t>
      </w:r>
      <w:r>
        <w:rPr>
          <w:rFonts w:ascii="Times New Roman" w:cs="Times New Roman" w:eastAsia="Times New Roman" w:hAnsi="Times New Roman"/>
          <w:sz w:val="20"/>
          <w:szCs w:val="20"/>
          <w:color w:val="auto"/>
        </w:rPr>
        <w:t>” means that certain License and Collaboration Agreement, dated June 1, 2018, by and between Borrower and CStone, as amended from time to time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CStone Territory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 products and the visitors to websites owned or controlled by Borrower or any of its Subsidiaries.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General Data Protection Regulation (and all laws implementing or supplementing it), the California Consumer Privacy Act, and Section 5 of the Federal Trade Commission Act.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 condition or event that, after notice or lapse of time or both, would constitute an Event of Default.</w:t>
      </w: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Excess</w:t>
      </w:r>
      <w:r>
        <w:rPr>
          <w:rFonts w:ascii="Times New Roman" w:cs="Times New Roman" w:eastAsia="Times New Roman" w:hAnsi="Times New Roman"/>
          <w:sz w:val="20"/>
          <w:szCs w:val="20"/>
          <w:color w:val="auto"/>
        </w:rPr>
        <w:t>” 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Period</w:t>
      </w:r>
      <w:r>
        <w:rPr>
          <w:rFonts w:ascii="Times New Roman" w:cs="Times New Roman" w:eastAsia="Times New Roman" w:hAnsi="Times New Roman"/>
          <w:sz w:val="20"/>
          <w:szCs w:val="20"/>
          <w:color w:val="auto"/>
        </w:rPr>
        <w:t xml:space="preserve">” means, with respect to any Defaulting Lender, the period commencing on the date of the applicable Funding Default or violation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xml:space="preserve">, as applicable, and ending on the earliest of the following dates: (a) the date on which all Term Loan Commitments are cancelled or terminated and/or the Obligations are declared or become immediately due and payable, (b) the date on which (i)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by a combination thereof), and (ii) such Defaulting Lender shall have delivered to Company and Administrative Agent a written reaffirmation of its intention to honor its obligations hereunder with respect to its Term Loan Commitments, (c) the date on which Company, Administrative Agent and Required Lenders waive all Funding Defaults of such Defaulting Lender in writing, and (d) the date on which Administrative Agent shall have waived all violations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xml:space="preserve"> by such Defaulting Lender in writing.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any interest payable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Defaulted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1" w:name="page222"/>
    <w:bookmarkEnd w:id="221"/>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 Commitment Period</w:t>
      </w:r>
      <w:r>
        <w:rPr>
          <w:rFonts w:ascii="Times New Roman" w:cs="Times New Roman" w:eastAsia="Times New Roman" w:hAnsi="Times New Roman"/>
          <w:sz w:val="20"/>
          <w:szCs w:val="20"/>
          <w:color w:val="auto"/>
        </w:rPr>
        <w:t>” means the time period commencing on the date upon which Administrative Agent shall have received reasonably satisfactory evidence that Borrower has achieved the Delayed Draw A Funding Milestone through and including the Delayed Draw A Commitment Termination Date.</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 Commitment Termination Date</w:t>
      </w:r>
      <w:r>
        <w:rPr>
          <w:rFonts w:ascii="Times New Roman" w:cs="Times New Roman" w:eastAsia="Times New Roman" w:hAnsi="Times New Roman"/>
          <w:sz w:val="20"/>
          <w:szCs w:val="20"/>
          <w:color w:val="auto"/>
        </w:rPr>
        <w:t xml:space="preserve">” means the earliest to occur of (a) the date the Term Loan Commitments are permanently reduced to zero pursuant to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2.9(b)</w:t>
      </w:r>
      <w:r>
        <w:rPr>
          <w:rFonts w:ascii="Times New Roman" w:cs="Times New Roman" w:eastAsia="Times New Roman" w:hAnsi="Times New Roman"/>
          <w:sz w:val="20"/>
          <w:szCs w:val="20"/>
          <w:color w:val="auto"/>
        </w:rPr>
        <w:t xml:space="preserve">, (b) the date of the termination of the Delayed Draw Term Loan Commitments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(c) [***].</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 Funding Milestone</w:t>
      </w:r>
      <w:r>
        <w:rPr>
          <w:rFonts w:ascii="Times New Roman" w:cs="Times New Roman" w:eastAsia="Times New Roman" w:hAnsi="Times New Roman"/>
          <w:sz w:val="20"/>
          <w:szCs w:val="20"/>
          <w:color w:val="auto"/>
        </w:rPr>
        <w:t>” means the Loan Parties achieve, for any trailing four fiscal quarter period ending on or before [***], Product Revenue from sales of AYVAKIT and/or BLU-263 outside of the CStone Territories of at least [***], measured as of the last day of the four fiscal quarter period ending immediately prior to any proposed Delayed Draw A Term Loan Credit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A Term Loan Commitment</w:t>
      </w:r>
      <w:r>
        <w:rPr>
          <w:rFonts w:ascii="Times New Roman" w:cs="Times New Roman" w:eastAsia="Times New Roman" w:hAnsi="Times New Roman"/>
          <w:sz w:val="19"/>
          <w:szCs w:val="19"/>
          <w:color w:val="auto"/>
        </w:rPr>
        <w:t xml:space="preserve">” means the commitment of a Lender to make or otherwise fund the Delayed Draw A Term Loan. The amount of each Lender’s Delayed Draw A Term Loan Commitment, if any, is set forth on </w:t>
      </w:r>
      <w:r>
        <w:rPr>
          <w:rFonts w:ascii="Times New Roman" w:cs="Times New Roman" w:eastAsia="Times New Roman" w:hAnsi="Times New Roman"/>
          <w:sz w:val="19"/>
          <w:szCs w:val="19"/>
          <w:u w:val="single" w:color="auto"/>
          <w:color w:val="auto"/>
        </w:rPr>
        <w:t>Appendix A-2</w:t>
      </w:r>
      <w:r>
        <w:rPr>
          <w:rFonts w:ascii="Times New Roman" w:cs="Times New Roman" w:eastAsia="Times New Roman" w:hAnsi="Times New Roman"/>
          <w:sz w:val="19"/>
          <w:szCs w:val="19"/>
          <w:color w:val="auto"/>
        </w:rPr>
        <w:t xml:space="preserve"> or in the applicable Assignment Agreement, subject to any adjustment or reduction pursuant to the terms and conditions hereof. The aggregate amount of the Delayed Draw A Term Loan Commitments as of the Closing Date is [***].</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 Term Loans</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B Commitment Period</w:t>
      </w:r>
      <w:r>
        <w:rPr>
          <w:rFonts w:ascii="Times New Roman" w:cs="Times New Roman" w:eastAsia="Times New Roman" w:hAnsi="Times New Roman"/>
          <w:sz w:val="20"/>
          <w:szCs w:val="20"/>
          <w:color w:val="auto"/>
        </w:rPr>
        <w:t>” means the time period commencing on the date upon which Administrative Agent shall have received reasonably satisfactory evidence that Borrower has achieved the Delayed Draw B Funding Milestone through and including the Delayed Draw B Commitment Termination Date.</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B Commitment Termination Date</w:t>
      </w:r>
      <w:r>
        <w:rPr>
          <w:rFonts w:ascii="Times New Roman" w:cs="Times New Roman" w:eastAsia="Times New Roman" w:hAnsi="Times New Roman"/>
          <w:sz w:val="20"/>
          <w:szCs w:val="20"/>
          <w:color w:val="auto"/>
        </w:rPr>
        <w:t xml:space="preserve">” means the earliest to occur of (a) the date the Term Loan Commitments are permanently reduced to zero pursuant to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2.9(b)</w:t>
      </w:r>
      <w:r>
        <w:rPr>
          <w:rFonts w:ascii="Times New Roman" w:cs="Times New Roman" w:eastAsia="Times New Roman" w:hAnsi="Times New Roman"/>
          <w:sz w:val="20"/>
          <w:szCs w:val="20"/>
          <w:color w:val="auto"/>
        </w:rPr>
        <w:t xml:space="preserve">, (b) the date of the termination of the Delayed Draw Term Loan Commitments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(c) [***].</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B Funding Milestone</w:t>
      </w:r>
      <w:r>
        <w:rPr>
          <w:rFonts w:ascii="Times New Roman" w:cs="Times New Roman" w:eastAsia="Times New Roman" w:hAnsi="Times New Roman"/>
          <w:sz w:val="20"/>
          <w:szCs w:val="20"/>
          <w:color w:val="auto"/>
        </w:rPr>
        <w:t>” means the Loan Parties achieve, for any trailing four fiscal quarter period ending on or before [***], Product Revenue from sales of AYVAKIT and/or BLU-263 outside of the CStone Territories of at least [***], measured as of the last day of the four fiscal quarter period ending immediately period to any proposed Delayed Draw B Term Loan Credit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B Term Loan Commitment</w:t>
      </w:r>
      <w:r>
        <w:rPr>
          <w:rFonts w:ascii="Times New Roman" w:cs="Times New Roman" w:eastAsia="Times New Roman" w:hAnsi="Times New Roman"/>
          <w:sz w:val="19"/>
          <w:szCs w:val="19"/>
          <w:color w:val="auto"/>
        </w:rPr>
        <w:t xml:space="preserve">” means the commitment of a Lender to make or otherwise fund the Delayed Draw B Term Loan. The amount of each Lender’s Delayed Draw B Term Loan Commitment, if any, is set forth on </w:t>
      </w:r>
      <w:r>
        <w:rPr>
          <w:rFonts w:ascii="Times New Roman" w:cs="Times New Roman" w:eastAsia="Times New Roman" w:hAnsi="Times New Roman"/>
          <w:sz w:val="19"/>
          <w:szCs w:val="19"/>
          <w:u w:val="single" w:color="auto"/>
          <w:color w:val="auto"/>
        </w:rPr>
        <w:t>Appendix A-2</w:t>
      </w:r>
      <w:r>
        <w:rPr>
          <w:rFonts w:ascii="Times New Roman" w:cs="Times New Roman" w:eastAsia="Times New Roman" w:hAnsi="Times New Roman"/>
          <w:sz w:val="19"/>
          <w:szCs w:val="19"/>
          <w:color w:val="auto"/>
        </w:rPr>
        <w:t xml:space="preserve"> or in the applicable Assignment Agreement, subject to any adjustment or reduction pursuant to the terms and conditions hereof. The aggregate amount of the Delayed Draw B Term Loan Commitments as of the Closing Date is [***].</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B Term Loans</w:t>
      </w:r>
      <w:r>
        <w:rPr>
          <w:rFonts w:ascii="Times New Roman" w:cs="Times New Roman" w:eastAsia="Times New Roman" w:hAnsi="Times New Roman"/>
          <w:sz w:val="19"/>
          <w:szCs w:val="19"/>
          <w:color w:val="auto"/>
        </w:rPr>
        <w:t xml:space="preserve">” means the Term Loans funded after the Closing Date pursuant to </w:t>
      </w:r>
      <w:r>
        <w:rPr>
          <w:rFonts w:ascii="Times New Roman" w:cs="Times New Roman" w:eastAsia="Times New Roman" w:hAnsi="Times New Roman"/>
          <w:sz w:val="19"/>
          <w:szCs w:val="19"/>
          <w:u w:val="single" w:color="auto"/>
          <w:color w:val="auto"/>
        </w:rPr>
        <w:t>Section 2.1(a)(iii)</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Commitment</w:t>
      </w:r>
      <w:r>
        <w:rPr>
          <w:rFonts w:ascii="Times New Roman" w:cs="Times New Roman" w:eastAsia="Times New Roman" w:hAnsi="Times New Roman"/>
          <w:sz w:val="20"/>
          <w:szCs w:val="20"/>
          <w:color w:val="auto"/>
        </w:rPr>
        <w:t>” means the commitment of a Lender to make or otherwise fund the Delayed Draw A Term Loans and Delayed Draw B Term Loans and “</w:t>
      </w:r>
      <w:r>
        <w:rPr>
          <w:rFonts w:ascii="Times New Roman" w:cs="Times New Roman" w:eastAsia="Times New Roman" w:hAnsi="Times New Roman"/>
          <w:sz w:val="20"/>
          <w:szCs w:val="20"/>
          <w:u w:val="single" w:color="auto"/>
          <w:color w:val="auto"/>
        </w:rPr>
        <w:t>Delayed Draw Term Loan Commitments</w:t>
      </w:r>
      <w:r>
        <w:rPr>
          <w:rFonts w:ascii="Times New Roman" w:cs="Times New Roman" w:eastAsia="Times New Roman" w:hAnsi="Times New Roman"/>
          <w:sz w:val="20"/>
          <w:szCs w:val="20"/>
          <w:color w:val="auto"/>
        </w:rPr>
        <w:t xml:space="preserve">” means such commitments of all such Lenders in the aggregate. The amount of each Lender’s Delayed Draw Term Loan Commitment, if any, is set forth on </w:t>
      </w:r>
      <w:r>
        <w:rPr>
          <w:rFonts w:ascii="Times New Roman" w:cs="Times New Roman" w:eastAsia="Times New Roman" w:hAnsi="Times New Roman"/>
          <w:sz w:val="20"/>
          <w:szCs w:val="20"/>
          <w:u w:val="single" w:color="auto"/>
          <w:color w:val="auto"/>
        </w:rPr>
        <w:t>Appendix A-2</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0"/>
          <w:szCs w:val="20"/>
          <w:color w:val="auto"/>
        </w:rPr>
        <w:t>The aggregate amount of the Delayed Draw Term Loan Commitments as of the Closing Date is $250,000,000.</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Loans</w:t>
      </w:r>
      <w:r>
        <w:rPr>
          <w:rFonts w:ascii="Times New Roman" w:cs="Times New Roman" w:eastAsia="Times New Roman" w:hAnsi="Times New Roman"/>
          <w:sz w:val="20"/>
          <w:szCs w:val="20"/>
          <w:color w:val="auto"/>
        </w:rPr>
        <w:t>” means the Delayed Draw A Term Loans, Delayed Draw B Term Loans and Incremental Term Loans.</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Capital Stock</w:t>
      </w:r>
      <w:r>
        <w:rPr>
          <w:rFonts w:ascii="Times New Roman" w:cs="Times New Roman" w:eastAsia="Times New Roman" w:hAnsi="Times New Roman"/>
          <w:sz w:val="20"/>
          <w:szCs w:val="20"/>
          <w:color w:val="auto"/>
        </w:rPr>
        <w:t>” means any Capital Stock that, by its terms (or by the terms of any security or other Capital Stock into which it is convertible or for which it is exchangeable), or upon the happening of any event or condition,</w:t>
      </w:r>
    </w:p>
    <w:p>
      <w:pPr>
        <w:spacing w:after="0" w:line="2" w:lineRule="exact"/>
        <w:rPr>
          <w:sz w:val="20"/>
          <w:szCs w:val="20"/>
          <w:color w:val="auto"/>
        </w:rPr>
      </w:pPr>
    </w:p>
    <w:p>
      <w:pPr>
        <w:jc w:val="both"/>
        <w:ind w:firstLine="8"/>
        <w:spacing w:after="0"/>
        <w:tabs>
          <w:tab w:leader="none" w:pos="27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prior to the date that is [***] after the Term Loan Maturity Date and other than solely for Qualified Capital Stock or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provided further that Disqualified Capital Stock shall exclude Permitted Equity Derivatives.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money of the United States of America.</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organized under the laws of the United States of America, any State thereof or the District of Columbia.</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any Lender, any Affiliate of any Lender and any Related Fund (any two or more Related Funds being treated as a single Eligible Assignee for all purposes hereof), (b) any commercial bank, insurance company, investment or mutual fund or other entity that is an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xml:space="preserve">” (as defined in Regulation D under the Securities Act) and which extends credit or buys loans as one of its businesses, and (c) any other Person (other than a natural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 neither Borrower nor any Affiliate of Borrower shall, in any event, be an Eligible Assignee, and (ii) no Person owning or controlling any trade debt or Indebtedness of any Loan Party (other than the Obligations) or any Capital Stock of any Loan Party (in each case, unless approved by Administrative Agent) shall, in any event, be an Eligible Assignee.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any “employee benefit plan” as defined in Section 3(3) of ERISA which is or was sponsored, maintained or contributed to by, or required to be contributed by, Borrower, any of its Subsidiaries or any of their respective ERISA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3" w:name="page224"/>
    <w:bookmarkEnd w:id="223"/>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Claim</w:t>
      </w:r>
      <w:r>
        <w:rPr>
          <w:rFonts w:ascii="Times New Roman" w:cs="Times New Roman" w:eastAsia="Times New Roman" w:hAnsi="Times New Roman"/>
          <w:sz w:val="19"/>
          <w:szCs w:val="19"/>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 (a) any actual or alleged violation of any Environmental Law,</w:t>
      </w:r>
    </w:p>
    <w:p>
      <w:pPr>
        <w:jc w:val="both"/>
        <w:ind w:firstLine="8"/>
        <w:spacing w:after="0"/>
        <w:tabs>
          <w:tab w:leader="none" w:pos="3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which received Hazardous Materials generated by any Loan Party or any of its Subsidiaries or any predecessor in interest.</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 and Costs</w:t>
      </w:r>
      <w:r>
        <w:rPr>
          <w:rFonts w:ascii="Times New Roman" w:cs="Times New Roman" w:eastAsia="Times New Roman" w:hAnsi="Times New Roman"/>
          <w:sz w:val="20"/>
          <w:szCs w:val="20"/>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any Lien in favor of any Governmental Authority for Environmental Liabilities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xml:space="preserve">”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any trade or business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Internal Revenue Code or ERISA.</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within the meaning of Section 4043 of ERISA and the regulations issued thereunder with respect to any Pension Plan (excluding those for which the provision for thirty day notice to the PBGC has been waived by regulation), (b) the failure to meet the minimum funding standard of Section 412 of the Internal Revenue Code with respect to any Pension Plan (whether or not waived in accordance with Section 412(d) of the Internal Revenue Code) or the failure to make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4" w:name="page225"/>
    <w:bookmarkEnd w:id="224"/>
    <w:p>
      <w:pPr>
        <w:jc w:val="both"/>
        <w:spacing w:after="0"/>
        <w:rPr>
          <w:sz w:val="20"/>
          <w:szCs w:val="20"/>
          <w:color w:val="auto"/>
        </w:rPr>
      </w:pPr>
      <w:r>
        <w:rPr>
          <w:rFonts w:ascii="Times New Roman" w:cs="Times New Roman" w:eastAsia="Times New Roman" w:hAnsi="Times New Roman"/>
          <w:sz w:val="20"/>
          <w:szCs w:val="20"/>
          <w:color w:val="auto"/>
        </w:rPr>
        <w:t>its due date a required installment under Section 412(m)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(h) the occurrence of an act or omission which could give rise to the imposition on Borrower, any of its Subsidiaries or any of their respective ERISA Affiliates of fines, penalties, taxes or related charges under Chapter 43 of the Internal Revenue Code or under Section 409, Section 502(c), (i) or (l), or Section 4071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(k) the imposition of a Lien pursuant to Section 401(a)(29) or 412(n) of the Internal Revenue Code or pursuant to ERISA with respect to any Pension Plan.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each of the conditions or events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Certificate</w:t>
      </w:r>
      <w:r>
        <w:rPr>
          <w:rFonts w:ascii="Times New Roman" w:cs="Times New Roman" w:eastAsia="Times New Roman" w:hAnsi="Times New Roman"/>
          <w:sz w:val="20"/>
          <w:szCs w:val="20"/>
          <w:color w:val="auto"/>
        </w:rPr>
        <w:t>” means a certificate substantially in the form of the Loan Syndications and Trading Association’s (“</w:t>
      </w:r>
      <w:r>
        <w:rPr>
          <w:rFonts w:ascii="Times New Roman" w:cs="Times New Roman" w:eastAsia="Times New Roman" w:hAnsi="Times New Roman"/>
          <w:sz w:val="20"/>
          <w:szCs w:val="20"/>
          <w:u w:val="single" w:color="auto"/>
          <w:color w:val="auto"/>
        </w:rPr>
        <w:t>LSTA</w:t>
      </w:r>
      <w:r>
        <w:rPr>
          <w:rFonts w:ascii="Times New Roman" w:cs="Times New Roman" w:eastAsia="Times New Roman" w:hAnsi="Times New Roman"/>
          <w:sz w:val="20"/>
          <w:szCs w:val="20"/>
          <w:color w:val="auto"/>
        </w:rPr>
        <w:t>”) “ESG Diligence Questionnaire – Borrower, effective June 4, 2021”, and any successor thereto as may be designated as the form “ESG Certificate” by the Administrative Agent.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w:t>
      </w:r>
      <w:r>
        <w:rPr>
          <w:rFonts w:ascii="Times New Roman" w:cs="Times New Roman" w:eastAsia="Times New Roman" w:hAnsi="Times New Roman"/>
          <w:sz w:val="20"/>
          <w:szCs w:val="20"/>
          <w:color w:val="auto"/>
        </w:rPr>
        <w:t xml:space="preserve">” means Deposit Accounts, (a) the balance of which 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which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constituting (and the balance of which consists solely of funds set aside in connection with) fiduciary accounts and trust accounts, (e) any other Deposit Accounts that have amounts on deposit that do not exceed [***] individually or [***] in the aggregate at any one time, (f) which are exclusively holding cash collateral or other deposits constituting Liens permitted by </w:t>
      </w:r>
      <w:r>
        <w:rPr>
          <w:rFonts w:ascii="Times New Roman" w:cs="Times New Roman" w:eastAsia="Times New Roman" w:hAnsi="Times New Roman"/>
          <w:sz w:val="20"/>
          <w:szCs w:val="20"/>
          <w:u w:val="single" w:color="auto"/>
          <w:color w:val="auto"/>
        </w:rPr>
        <w:t>clauses (g), (o)</w:t>
      </w:r>
      <w:r>
        <w:rPr>
          <w:rFonts w:ascii="Times New Roman" w:cs="Times New Roman" w:eastAsia="Times New Roman" w:hAnsi="Times New Roman"/>
          <w:sz w:val="20"/>
          <w:szCs w:val="20"/>
          <w:color w:val="auto"/>
        </w:rPr>
        <w:t xml:space="preserve"> and (ee)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5" w:name="page226"/>
    <w:bookmarkEnd w:id="225"/>
    <w:p>
      <w:pPr>
        <w:jc w:val="both"/>
        <w:spacing w:after="0" w:line="269" w:lineRule="auto"/>
        <w:rPr>
          <w:sz w:val="20"/>
          <w:szCs w:val="20"/>
          <w:color w:val="auto"/>
        </w:rPr>
      </w:pPr>
      <w:r>
        <w:rPr>
          <w:rFonts w:ascii="Times New Roman" w:cs="Times New Roman" w:eastAsia="Times New Roman" w:hAnsi="Times New Roman"/>
          <w:sz w:val="20"/>
          <w:szCs w:val="20"/>
          <w:color w:val="auto"/>
        </w:rPr>
        <w:t>Permitted Liens, and (g) segregate accounts that solely hold cash proceeds of receivables or royalties sold pursuant to a Permitted Royalty Transaction.</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 any not-for-profit Subsidiary, (b) any captive insurance entity, (c) any merger Subsidiary formed in connection with a Permitted Acquisition so long as such merger Subsidiary is merged out of existence pursuant to such Permitted Acquisition or dissolved within [***] of its formation thereof or such later date as permitted by Administrative Agent in its reasonable discretion, (d) any Foreign Subsidiary (except at the election of Borrower in accordance with Section 5.10), (e) any CFC Holdco, CFC or any direct or indirect Subsidiary thereof to the extent that a pledge of more than [***] of the voting stock of, and the guarantee by, any such CFC Holdco, CFC or any direct or indirect Subsidiary thereof would, in the reasonable judgment of the Company in consultation with the Administrative Agent, be expected to result in adverse tax consequences (other than de minimis tax consequences) to any Loan Party 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for the avoidance of doubt, up to [***] of the voting stock of any CFC Holdco, CFC or any direct or indirect Subsidiary thereof may be pledged as Collateral, (f) any Subsidiary that (i) had assets representing [***] or less of the total assets of Company and its Subsidiaries, determined on a consolidated basis in accordance with GAAP, as of the last day of the most recent Fiscal Quarter for which financial statements have been, or were required to be, delivered pursuant to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as applicable (the “</w:t>
      </w:r>
      <w:r>
        <w:rPr>
          <w:rFonts w:ascii="Times New Roman" w:cs="Times New Roman" w:eastAsia="Times New Roman" w:hAnsi="Times New Roman"/>
          <w:sz w:val="20"/>
          <w:szCs w:val="20"/>
          <w:u w:val="single" w:color="auto"/>
          <w:color w:val="auto"/>
        </w:rPr>
        <w:t>Test Date</w:t>
      </w:r>
      <w:r>
        <w:rPr>
          <w:rFonts w:ascii="Times New Roman" w:cs="Times New Roman" w:eastAsia="Times New Roman" w:hAnsi="Times New Roman"/>
          <w:sz w:val="20"/>
          <w:szCs w:val="20"/>
          <w:color w:val="auto"/>
        </w:rPr>
        <w:t xml:space="preserve">”), (ii) contributed [***] or less of the total revenues of Borrower and its Subsidiaries, for the Fiscal Quarter ended on the Test Date, and (iii) had Cash and Cash Equivalents representing [***] or less of the total Cash and Cash Equivalents of Company and its Subsidiaries, for the Fiscal Quarter ended on the Test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at any time and from time to time after the Closing Date, Subsidiaries that are not Loan Parties comprise in the aggregate more than [***] of the total assets of Company and its Subsidiaries as of the Test Date, contribute more than [***] of the total revenues of Company and its Subsidiaries for the Fiscal Quarter ended on the Test Date, and hold more than [***] of the total Cash and Cash Equivalents of Company and its Subsidiaries for the Fiscal Quarter ended on the Test Date, then Borrower shall, not later than [***] after the date by which financial statements for such period are required to be delivered (or such longer period as the Administrative Agent may agree in its sole discretion), designate in writing to Administrative Agent that one or more of such Subsidiaries is no longer an Excluded Subsidiary (other than a Foreign Subsidiary, CFC, CFC Holdco or any direct or indirect Subsidiary thereof) for purposes of this Agreement to the extent required such that the foregoing condition ceases to be true, (g) any Subsidiary that is prohibited or restricted by any Requirement of Law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and (h) Blueprint Medicines Security Corporation.</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hereunder pursuant to a law in effect on the date on which (i) such Lender acquires such interest in the Loan or commitment hereunder (other than pursuant to an assignment request by the Borrower under Section 2.21(b)) or (ii) such Lender changes its lending office, except in each case to the extent that, pursuant to Section 2.18, amounts with respect to such Taxes were payable either to such Lender's assignor immediately before such Lender became a party hereto or to such Lender immediately before it changed its lending office, (c) Taxes attributable to such Recipient’s failure to comply with Section 2.15(d), and (d) any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6" w:name="page227"/>
    <w:bookmarkEnd w:id="226"/>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Patent Rights</w:t>
      </w:r>
      <w:r>
        <w:rPr>
          <w:rFonts w:ascii="Times New Roman" w:cs="Times New Roman" w:eastAsia="Times New Roman" w:hAnsi="Times New Roman"/>
          <w:sz w:val="20"/>
          <w:szCs w:val="20"/>
          <w:color w:val="auto"/>
        </w:rPr>
        <w:t>” shall mean the “Existing Patent Rights” as defined in the AYVAKIT/BLU-263 Purchase Agreement as of the date 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in effect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Internal Revenue Code.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U.S. Food and Drug Administration or any successor thereto.</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 Laws</w:t>
      </w:r>
      <w:r>
        <w:rPr>
          <w:rFonts w:ascii="Times New Roman" w:cs="Times New Roman" w:eastAsia="Times New Roman" w:hAnsi="Times New Roman"/>
          <w:sz w:val="20"/>
          <w:szCs w:val="20"/>
          <w:color w:val="auto"/>
        </w:rPr>
        <w:t>” means all applicable statutes, rules, regulations, standards, guidelines, policies and orders and Requirements of Law administered, implemented, enforced or issued by FDA or any comparable Governmental Authority.</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such day is not a Business Day, the Federal Funds Rate for such day shall be such rate on such transactions on the next preceding Business Day as so published on the next succeeding Business Day.</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Programs</w:t>
      </w:r>
      <w:r>
        <w:rPr>
          <w:rFonts w:ascii="Times New Roman" w:cs="Times New Roman" w:eastAsia="Times New Roman" w:hAnsi="Times New Roman"/>
          <w:sz w:val="20"/>
          <w:szCs w:val="20"/>
          <w:color w:val="auto"/>
        </w:rPr>
        <w:t>” shall mean the Medicare, Medicaid and TRICARE programs and any other state or federal health care program, as defined in 42 U.S.C. § 1320a-7b(f).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the Closing Date, between Company and Administrative Agent.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 Certification</w:t>
      </w:r>
      <w:r>
        <w:rPr>
          <w:rFonts w:ascii="Times New Roman" w:cs="Times New Roman" w:eastAsia="Times New Roman" w:hAnsi="Times New Roman"/>
          <w:sz w:val="20"/>
          <w:szCs w:val="20"/>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8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Priority</w:t>
      </w:r>
      <w:r>
        <w:rPr>
          <w:rFonts w:ascii="Times New Roman" w:cs="Times New Roman" w:eastAsia="Times New Roman" w:hAnsi="Times New Roman"/>
          <w:sz w:val="20"/>
          <w:szCs w:val="20"/>
          <w:color w:val="auto"/>
        </w:rPr>
        <w:t>” means, with respect to any Lien purported to be created in any Collateral pursuant to any Collateral Document, that such Lien is the only Lien to which such Collateral is subject, other than any Permitted Lien.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Borrower and its Subsidiaries ending on December 31 of each calendar year.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one percent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7" w:name="page228"/>
    <w:bookmarkEnd w:id="227"/>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Flow of Funds Agreement</w:t>
      </w:r>
      <w:r>
        <w:rPr>
          <w:rFonts w:ascii="Times New Roman" w:cs="Times New Roman" w:eastAsia="Times New Roman" w:hAnsi="Times New Roman"/>
          <w:sz w:val="20"/>
          <w:szCs w:val="20"/>
          <w:color w:val="auto"/>
        </w:rPr>
        <w:t xml:space="preserve">” means that certain Flow of Funds Agreement, dated as of the Initial Funding Date, duly executed by Company, Administrative Agent, and any other person party thereto, in form and substance reasonably satisfactory to Administrative Agent, in connection with the disbursement of Loan proceeds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2.1(a)(i)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Borrower is a U.S. Person, a Lender that is not a U.S. Person, and (b) if Borrower is not a U.S. Person, a Lender that is resident or organized under the laws of a jurisdiction other than that in which Borrower is resident for tax purposes.</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Official</w:t>
      </w:r>
      <w:r>
        <w:rPr>
          <w:rFonts w:ascii="Times New Roman" w:cs="Times New Roman" w:eastAsia="Times New Roman" w:hAnsi="Times New Roman"/>
          <w:sz w:val="20"/>
          <w:szCs w:val="20"/>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Sovereign Immunities Act</w:t>
      </w:r>
      <w:r>
        <w:rPr>
          <w:rFonts w:ascii="Times New Roman" w:cs="Times New Roman" w:eastAsia="Times New Roman" w:hAnsi="Times New Roman"/>
          <w:sz w:val="20"/>
          <w:szCs w:val="20"/>
          <w:color w:val="auto"/>
        </w:rPr>
        <w:t>” means the US Foreign Sovereign Immunities Act of 1976 (28 U.S.C. Sections 1602-1611).</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means a written notice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subject to the limitations on the application thereof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United States generally accepted accounting principles in effect as of the date of determination thereof.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GAVRETO</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GAVRETO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necessary for or material to the research, development, use or Commercialization of GAVRETO.</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GAVRETO Royalty Transaction</w:t>
      </w:r>
      <w:r>
        <w:rPr>
          <w:rFonts w:ascii="Times New Roman" w:cs="Times New Roman" w:eastAsia="Times New Roman" w:hAnsi="Times New Roman"/>
          <w:sz w:val="20"/>
          <w:szCs w:val="20"/>
          <w:color w:val="auto"/>
        </w:rPr>
        <w:t>” means the Royalty Monetization Transaction in respect of the royalty payable on sales of GAVRETO in the Roche Territory (as defined in the Roche Agreement as in effect on the date hereof).</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or a foreign entity or government. [***].</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clearance, approval, Registration, plan, directive, consent order or consent decree of or from any Governmental Authority.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has the meaning specified in the Pledge and Security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8" w:name="page229"/>
    <w:bookmarkEnd w:id="228"/>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means each Subsidiary of Borrower and each other Person which guarantees,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all or any part of the Obligations. For the avoidance of doubt, no Excluded Subsidiary shall be required to become a Guarantor except at the election of Borrower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Subsidiary</w:t>
      </w:r>
      <w:r>
        <w:rPr>
          <w:rFonts w:ascii="Times New Roman" w:cs="Times New Roman" w:eastAsia="Times New Roman" w:hAnsi="Times New Roman"/>
          <w:sz w:val="20"/>
          <w:szCs w:val="20"/>
          <w:color w:val="auto"/>
        </w:rPr>
        <w:t>” means each Guarantor.</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(a) the guaranty of each Guarantor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(b) each other guaranty, in form and substance satisfactory to Administrative Agent, made by any other Guarantor for the benefit of the Secured Parties guaranteeing all or part of the Obligations.</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w:t>
      </w:r>
    </w:p>
    <w:p>
      <w:pPr>
        <w:spacing w:after="0" w:line="5" w:lineRule="exact"/>
        <w:rPr>
          <w:sz w:val="20"/>
          <w:szCs w:val="20"/>
          <w:color w:val="auto"/>
        </w:rPr>
      </w:pPr>
    </w:p>
    <w:p>
      <w:pPr>
        <w:jc w:val="both"/>
        <w:ind w:firstLine="8"/>
        <w:spacing w:after="0" w:line="241" w:lineRule="auto"/>
        <w:tabs>
          <w:tab w:leader="none" w:pos="28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 Activity</w:t>
      </w:r>
      <w:r>
        <w:rPr>
          <w:rFonts w:ascii="Times New Roman" w:cs="Times New Roman" w:eastAsia="Times New Roman" w:hAnsi="Times New Roman"/>
          <w:sz w:val="20"/>
          <w:szCs w:val="20"/>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Health Care Program Laws</w:t>
      </w:r>
      <w:r>
        <w:rPr>
          <w:rFonts w:ascii="Times New Roman" w:cs="Times New Roman" w:eastAsia="Times New Roman" w:hAnsi="Times New Roman"/>
          <w:sz w:val="19"/>
          <w:szCs w:val="19"/>
          <w:color w:val="auto"/>
        </w:rPr>
        <w:t>” means collectively, (a) federal Medicare or federal or state Medicaid statutes, (b) Sections 1128, 1128A, 1128B, 1128C, 1128G, and 1877 of the Social Security Act (42 U.S.C. §§ 1320a-7, 1320a-7a, 1320a-7b, 1320a-7c, 1320a-7h and 1395nn), (c) the federal TRICARE statute (10 U.S.C. § 1071 et seq.), (d) the civil False Claims Act of 1863 (31 U.S.C. § 3729 et seq.), (e)criminal false claims statutes (e.g., 18 U.S.C. §§ 286, 287 and 1001), (f) the Program Fraud Civil Remedies Act of 1986 (31 U.S.C. § 3801 et seq.), (g) criminal fraud provisions under HIPAA, (h) federal and state Requirements of Law related to healthcare, health care professionals or other health care participants, or relationships with health care providers, suppliers, distributors, manufacturers and patients, and the pricing, sale and reimbursement of health care items or services, (i) Requirements of Law regarding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(j) any other Requirements of Law that directly or indirectly govern the health care industry, programs of Governmental Authorities; and (k) each as amended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29" w:name="page230"/>
    <w:bookmarkEnd w:id="229"/>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HIPAA</w:t>
      </w:r>
      <w:r>
        <w:rPr>
          <w:rFonts w:ascii="Times New Roman" w:cs="Times New Roman" w:eastAsia="Times New Roman" w:hAnsi="Times New Roman"/>
          <w:sz w:val="20"/>
          <w:szCs w:val="20"/>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and/or security of patient-identifying health care information, including with respect to notification of breach of privacy or security of such information.</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means as of the Closing Date, (a) the audited financial statements of Borrower and its Subsidiaries, for the Fiscal Year ended December 31, 2021, consisting of balance sheets and the related consolidated statements of income, stockholders’ equity and cash flows for such Fiscal Year, and (b) the financial statements of Borrower and its Subsidiaries for the Fiscal Quarter ended March 31, 2021, consisting of balance sheets and the related consolidated statements of income, stockholders’ equity and cash flows for such Fiscal Quarter.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0" w:name="page231"/>
    <w:bookmarkEnd w:id="230"/>
    <w:p>
      <w:pPr>
        <w:jc w:val="both"/>
        <w:spacing w:after="0"/>
        <w:rPr>
          <w:sz w:val="20"/>
          <w:szCs w:val="20"/>
          <w:color w:val="auto"/>
        </w:rPr>
      </w:pPr>
      <w:r>
        <w:rPr>
          <w:rFonts w:ascii="Times New Roman" w:cs="Times New Roman" w:eastAsia="Times New Roman" w:hAnsi="Times New Roman"/>
          <w:sz w:val="20"/>
          <w:szCs w:val="20"/>
          <w:color w:val="auto"/>
        </w:rPr>
        <w:t xml:space="preserve">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the primary purpose or intent thereof is as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(k) all obligations of such Person in respect of any exchange traded or over the counter derivative transaction, including, without limitation, any Hedging Agreement, whether entered into for hedging or speculative purposes, and (l) Disqualified Capital Stock.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Transaction, (v) deferred compensation and severance, pension, health and welfare retirement and equivalent benefits or any deferred obligations incurred under ERISA until such obligations become a liability on the balance sheet of such Person in accordance with GAAP, (vi) purchase price adjustments or earn outs or other contingent payments of a similar nature (including any non-compete payments and consulting payments) made in connection with any Investment or other acquisitions, in each case, to the extent such obligations have not become due and payable (provided that deferred payments that are fixed or not subject to a bona fide contingency shall constitute Indebtedness to the extent provided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(vii) non-compete or consulting obligations incurred in connection with Investments or other acquisitions until such obligations become a liability on the balance sheet of such Person in accordance with GAAP, (viii) unsecured installment payments or the deferred purchase price of property or services to the extent payable solely in Qualified Capital Stock of such Person, and (ix) purchase price holdbacks arising in the ordinary course of business in respect of a portion of the purchase price of an asset to satisfy unperformed obligations of the seller of such asset.</w:t>
      </w:r>
    </w:p>
    <w:p>
      <w:pPr>
        <w:spacing w:after="0" w:line="2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means, collectively, any and all liabilities (including Environmental Liabilities and Costs),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and documented out-of-pocket fees and disbursements of counsel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 (a) 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Company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Funding Date</w:t>
      </w:r>
      <w:r>
        <w:rPr>
          <w:rFonts w:ascii="Times New Roman" w:cs="Times New Roman" w:eastAsia="Times New Roman" w:hAnsi="Times New Roman"/>
          <w:sz w:val="20"/>
          <w:szCs w:val="20"/>
          <w:color w:val="auto"/>
        </w:rPr>
        <w:t>” means the fifteenth (15th) Business Day following the Closing Date.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the Term Loan funded on the Initial Funding Date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means the commitment of a Lender to make or otherwise fund the Initial Term Loan and “</w:t>
      </w:r>
      <w:r>
        <w:rPr>
          <w:rFonts w:ascii="Times New Roman" w:cs="Times New Roman" w:eastAsia="Times New Roman" w:hAnsi="Times New Roman"/>
          <w:sz w:val="20"/>
          <w:szCs w:val="20"/>
          <w:u w:val="single" w:color="auto"/>
          <w:color w:val="auto"/>
        </w:rPr>
        <w:t>Initial Term Loan Commitments</w:t>
      </w:r>
      <w:r>
        <w:rPr>
          <w:rFonts w:ascii="Times New Roman" w:cs="Times New Roman" w:eastAsia="Times New Roman" w:hAnsi="Times New Roman"/>
          <w:sz w:val="20"/>
          <w:szCs w:val="20"/>
          <w:color w:val="auto"/>
        </w:rPr>
        <w:t xml:space="preserve">” means such commitments of all such Lenders in the aggregate. The amount of each Lender’s Initial Term Loan Commitment, if any, is set forth on </w:t>
      </w:r>
      <w:r>
        <w:rPr>
          <w:rFonts w:ascii="Times New Roman" w:cs="Times New Roman" w:eastAsia="Times New Roman" w:hAnsi="Times New Roman"/>
          <w:sz w:val="20"/>
          <w:szCs w:val="20"/>
          <w:u w:val="single" w:color="auto"/>
          <w:color w:val="auto"/>
        </w:rPr>
        <w:t>Appendix A-1</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Initial Term Loan Commitments as of the Closing Date is $150,000,000.</w:t>
      </w:r>
    </w:p>
    <w:p>
      <w:pPr>
        <w:spacing w:after="0" w:line="18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any proceeding commenced by or against any Person under any provision of any Debtor Relief Law.</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specified in the Pledge and Security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any and all rights, title and interests in and to all intellectual property rights of every kind and nature however denominated, as they exist throughout the world, including</w:t>
      </w:r>
    </w:p>
    <w:p>
      <w:pPr>
        <w:spacing w:after="0" w:line="159" w:lineRule="exact"/>
        <w:rPr>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trade names, service marks, brands, trade dress and logos, packaging design, slogans, domain names and the goodwill and activities associated therewith;</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Know-How;</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publicity and moral rights; and</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Subordination Agreement</w:t>
      </w:r>
      <w:r>
        <w:rPr>
          <w:rFonts w:ascii="Times New Roman" w:cs="Times New Roman" w:eastAsia="Times New Roman" w:hAnsi="Times New Roman"/>
          <w:sz w:val="20"/>
          <w:szCs w:val="20"/>
          <w:color w:val="auto"/>
        </w:rPr>
        <w:t>” means that certain Intercompany Subordination Agreement, dated as of the Closing Date, made by the Loan Parties and their Subsidiaries in favor of Administrative Agent for the benefit of the Secured Parties.</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Base Rate Loan, the last Business Day of each Fiscal Quarter, commencing on the first such date to occur after the Closing Date, (b) with respect to any Term SOFR Loan, (i) the last Business Day of each Fiscal Quarter, commencing on the first such date to occur after the Closing Date and (ii) the last day of each Interest Period applicable to such Loan,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0"/>
          <w:szCs w:val="20"/>
          <w:color w:val="auto"/>
        </w:rPr>
        <w:t>with respect to each Loan, the final maturity date of the Loans (whether by scheduled maturity, acceleration or otherwise).</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in connection with a Term SOFR Loan, an interest period of three months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20"/>
          <w:szCs w:val="20"/>
          <w:u w:val="single" w:color="auto"/>
          <w:color w:val="auto"/>
        </w:rPr>
        <w:t>clauses (b)(iii)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(b)(iv)</w:t>
      </w:r>
      <w:r>
        <w:rPr>
          <w:rFonts w:ascii="Times New Roman" w:cs="Times New Roman" w:eastAsia="Times New Roman" w:hAnsi="Times New Roman"/>
          <w:sz w:val="20"/>
          <w:szCs w:val="20"/>
          <w:color w:val="auto"/>
        </w:rPr>
        <w:t xml:space="preserve"> of this definition, end on the last Business Day of a calendar month, and (iii) no Interest Period with respect to any portion of any Term Loan shall extend beyond Term Loan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Interest Period for any Term SOFR Loan to be made on the Initial Funding Date may, at the Borrower’s option, end on September 30, 2022.</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with respect to any Interest Period, the date that is two Business Days prior to the first day of such Interest Period.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United States Internal Revenue Code of 1986, as amended.</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xml:space="preserve">” means a joint venture, partnership or other similar arrangement, whether in corporate, partnership or other legal form, in which Company or any of its Subsidiaries holds any Capital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no event shall any corporate Subsidiary of any Person be considered to be a Joint Venture to which such Person is a party.</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KIT</w:t>
      </w:r>
      <w:r>
        <w:rPr>
          <w:rFonts w:ascii="Times New Roman" w:cs="Times New Roman" w:eastAsia="Times New Roman" w:hAnsi="Times New Roman"/>
          <w:sz w:val="20"/>
          <w:szCs w:val="20"/>
          <w:color w:val="auto"/>
        </w:rPr>
        <w:t>” means the stem cell growth factor receptor tyrosine kinase protein targets commonly known as KIT, including without limitation any isoforms of the foregoing.</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3" w:name="page234"/>
    <w:bookmarkEnd w:id="233"/>
    <w:p>
      <w:pPr>
        <w:jc w:val="both"/>
        <w:spacing w:after="0" w:line="244" w:lineRule="auto"/>
        <w:rPr>
          <w:sz w:val="20"/>
          <w:szCs w:val="20"/>
          <w:color w:val="auto"/>
        </w:rPr>
      </w:pPr>
      <w:r>
        <w:rPr>
          <w:rFonts w:ascii="Times New Roman" w:cs="Times New Roman" w:eastAsia="Times New Roman" w:hAnsi="Times New Roman"/>
          <w:sz w:val="20"/>
          <w:szCs w:val="20"/>
          <w:color w:val="auto"/>
        </w:rPr>
        <w:t>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 and the like, in written, electronic, oral or other tangible or intangible form, patentable or otherwise, which are not generally known.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Licensee</w:t>
      </w:r>
      <w:r>
        <w:rPr>
          <w:rFonts w:ascii="Times New Roman" w:cs="Times New Roman" w:eastAsia="Times New Roman" w:hAnsi="Times New Roman"/>
          <w:sz w:val="20"/>
          <w:szCs w:val="20"/>
          <w:color w:val="auto"/>
        </w:rPr>
        <w:t>” means any third party to which Company or any of its Affiliates, directly or indirectly through multiple tiers, grants a license, a sublicense, or other right to Commercialize a Product in any jurisdiction.</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spacing w:after="0" w:line="185" w:lineRule="exact"/>
        <w:rPr>
          <w:sz w:val="20"/>
          <w:szCs w:val="20"/>
          <w:color w:val="auto"/>
        </w:rPr>
      </w:pPr>
    </w:p>
    <w:p>
      <w:pPr>
        <w:jc w:val="both"/>
        <w:ind w:firstLine="6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acquisition or Investment in, any assets, business or Person that would be permitted by this Agreement that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the consummation of which is not conditioned on the availability of, or on obtaining, third party financing; provided that such acquisition or Investment is consummated no later than [***] after the execution of the definitive agreement relating thereto (or [***] in the case of any such acquisition or Investment that has not been consummated within [***] as a result of any required regulatory approvals not being obtained).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means an account maintained hereunder by Administrative Agent on its books of account at the Payment Office, and with respect to Company, in which it will be charged with the Term Loan made to, and all other Obligations incurred by the Loan Parties.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means any of this Agreement, the Notes, if any, the Collateral Documents, the Fee Letter, the Flow of Funds Agreement, any Guaranty, the Intercompany Subordination Agreement, the Perfection Certificate, the Senior Lender Intercreditor Agreement, any intercreditor agreement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4" w:name="page235"/>
    <w:bookmarkEnd w:id="234"/>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9.8(a)(ii)(D)</w:t>
      </w:r>
      <w:r>
        <w:rPr>
          <w:rFonts w:ascii="Times New Roman" w:cs="Times New Roman" w:eastAsia="Times New Roman" w:hAnsi="Times New Roman"/>
          <w:sz w:val="20"/>
          <w:szCs w:val="20"/>
          <w:color w:val="auto"/>
        </w:rPr>
        <w:t>, and all other documents, instruments or agreements executed and delivered by a Loan Party for the benefit of Administrative Agent or any Lender in connection herewith.</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means Company or any Guarantor.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 Partner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specified in Regulation U of the Board of Governors of the Federal Reserve System as in effect from time to time.</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(d) 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xml:space="preserve">” means the Roche Agreement and those agreements which are necessary for or material to the research, development, use or Commercialization of AYVAKIT, GAVRETO or BLU-263, which as of the Closing Date are listed on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fee-owned real property located in the United States that is owned by any Loan Party with a fair market value in excess of [***] (at the time of acquisition, as reasonably estimated by the Borrower in good faith).</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Regulatory Liabilities</w:t>
      </w:r>
      <w:r>
        <w:rPr>
          <w:rFonts w:ascii="Times New Roman" w:cs="Times New Roman" w:eastAsia="Times New Roman" w:hAnsi="Times New Roman"/>
          <w:sz w:val="20"/>
          <w:szCs w:val="20"/>
          <w:color w:val="auto"/>
        </w:rPr>
        <w:t xml:space="preserve">” means (a)(i) any Liabilities arising from the violation of FDA Laws, Public Health Laws, Health Care Program Laws, and other applicable comparable Requirements of Law, or the terms, conditions of or requirements applicable to any Registrations (including costs of actions required under applicable Requirements of Law, including FDA Laws and Health Care Program Laws, or necessary to remedy any violation of any terms or conditions applicable to any Registrations), including, but not limited to, withdrawal of approval, recall, revocation, suspension, import detention and seizure of any Product, and (ii) any loss of recurring annual revenues as a result of any loss, suspension or limitation of any Registrations, which, in the case of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exceed [***] individually or in the aggregate, or (b)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 Services, Inc.</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any bona fide costs or expenses incurred in connection with such Asset Sale that are properly attributable to such Asset Sale and to the extent paid or payable to non-Affiliates, including (A) taxes paid or reasonably estimated to be payable in connection therewith (after taking into account available loses, deductions and tax attributes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5" w:name="page236"/>
    <w:bookmarkEnd w:id="235"/>
    <w:p>
      <w:pPr>
        <w:jc w:val="both"/>
        <w:spacing w:after="0" w:line="245" w:lineRule="auto"/>
        <w:rPr>
          <w:sz w:val="20"/>
          <w:szCs w:val="20"/>
          <w:color w:val="auto"/>
        </w:rPr>
      </w:pPr>
      <w:r>
        <w:rPr>
          <w:rFonts w:ascii="Times New Roman" w:cs="Times New Roman" w:eastAsia="Times New Roman" w:hAnsi="Times New Roman"/>
          <w:sz w:val="20"/>
          <w:szCs w:val="20"/>
          <w:color w:val="auto"/>
        </w:rPr>
        <w:t>may reduce otherwise payable Taxes) and any reasonable and unavoidable repatriation Taxes associated with receipt or distribution by the applicable taxpayer of such proceeds,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a reasonable reserve for</w:t>
      </w:r>
    </w:p>
    <w:p>
      <w:pPr>
        <w:jc w:val="both"/>
        <w:ind w:firstLine="8"/>
        <w:spacing w:after="0" w:line="252" w:lineRule="auto"/>
        <w:tabs>
          <w:tab w:leader="none" w:pos="28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indemnification payments (fixed or contingent) attributable to seller’s indemnities and representations and warranties to purchaser in respect of such Asset Sale undertaken by Borrower or any of its Subsidiaries in connection with such Asset Sale, and (y) any liabilities associated with such property and retained after such Asset Sale, including pension and other post-employment benefit liabilities and liabilities related to environmental matters or against any indemnification obligations associated with such transaction and (D) any reasonable and documented out-of-pocket fees or expenses incurred in connection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release of any such reserve, the amount released shall be considered Net Proceeds, and (b) with respect to any insurance, condemnation, taking or other casualty proceeds, an amount equal to: (i) any Cash payments or proceeds received by Borrower or any of its Subsidiaries (A) under any casualty, business interruption or “key man”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w:t>
      </w:r>
    </w:p>
    <w:p>
      <w:pPr>
        <w:spacing w:after="0" w:line="1" w:lineRule="exact"/>
        <w:rPr>
          <w:rFonts w:ascii="Times New Roman" w:cs="Times New Roman" w:eastAsia="Times New Roman" w:hAnsi="Times New Roman"/>
          <w:sz w:val="19"/>
          <w:szCs w:val="19"/>
          <w:color w:val="auto"/>
        </w:rPr>
      </w:pP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definition to the extent paid or payable to non-Affiliates, including income taxes payable as a result of any gain recognized in connection therewith.</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has the meaning specified in the definition of Public Health Laws.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promissory note evidencing the Initial Term Loan or a Delayed Draw Term Loan,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means a Funding Notice or a Conversion/Continuation Notice.</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obligations of every nature of each Loan Party and its Subsidiaries from time to time owed to Administrative Agent (including former Administrative Agents), the Lenders or any of them,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the Applicable Premium, the Prepayment Premium, fees, expenses, indemnification or otherwise and whether primary, secondary, direct, indirect, contingent, fixed or otherwise (including obligations of performance).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specified in the definition of “Anti-Terrorism Laws”.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 Sanctions Programs</w:t>
      </w:r>
      <w:r>
        <w:rPr>
          <w:rFonts w:ascii="Times New Roman" w:cs="Times New Roman" w:eastAsia="Times New Roman" w:hAnsi="Times New Roman"/>
          <w:sz w:val="20"/>
          <w:szCs w:val="20"/>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Orange Book Patents</w:t>
      </w:r>
      <w:r>
        <w:rPr>
          <w:rFonts w:ascii="Times New Roman" w:cs="Times New Roman" w:eastAsia="Times New Roman" w:hAnsi="Times New Roman"/>
          <w:sz w:val="20"/>
          <w:szCs w:val="20"/>
          <w:color w:val="auto"/>
        </w:rPr>
        <w:t>” means any Product Patents listed in the FDA’s Orange Book pursuant to 21 U.S.C. Section 355(b)(1), as such patent listing may be amended from time to time, together with all foreign counterpart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6" w:name="page237"/>
    <w:bookmarkEnd w:id="236"/>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or company, its certificate of incorporation, its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10.6(h)(ii)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the duration or any of the subject matter of a patent, and any substitution patent, confirmation patent or registration patent or patent of addition based on any such patent, and all foreign counterparts of any of the foregoing.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4.29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means Administrative Agent’s office located at 2100 McKinney Ave, Suite 1500 Dallas Texas 75201 or such other office or offices of Administrative Agent as may be designated in writing from time to time by Administrative Agent and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PDGFRα</w:t>
      </w:r>
      <w:r>
        <w:rPr>
          <w:rFonts w:ascii="Times New Roman" w:cs="Times New Roman" w:eastAsia="Times New Roman" w:hAnsi="Times New Roman"/>
          <w:sz w:val="20"/>
          <w:szCs w:val="20"/>
          <w:color w:val="auto"/>
        </w:rPr>
        <w:t>” means the platelet-derived growth factor receptor targets commonly known as PDGFRα, including without limitation any isoforms of the foregoing.</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Benefit Plan, other than a Multiemployer Plan, which is subject to Section 412 of the Internal Revenue Code, Section 302 of ERISA or Title IV of ERISA.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that certain Perfection Certificate dated as of the Closing Date.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Company or its Subsidiaries, whether by purchase, merger, in-licensing or otherwise, of all or substantially all of the assets of,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7" w:name="page238"/>
    <w:bookmarkEnd w:id="237"/>
    <w:p>
      <w:pPr>
        <w:ind w:right="20"/>
        <w:spacing w:after="0" w:line="268" w:lineRule="auto"/>
        <w:rPr>
          <w:sz w:val="20"/>
          <w:szCs w:val="20"/>
          <w:color w:val="auto"/>
        </w:rPr>
      </w:pPr>
      <w:r>
        <w:rPr>
          <w:rFonts w:ascii="Times New Roman" w:cs="Times New Roman" w:eastAsia="Times New Roman" w:hAnsi="Times New Roman"/>
          <w:sz w:val="20"/>
          <w:szCs w:val="20"/>
          <w:color w:val="auto"/>
        </w:rPr>
        <w:t xml:space="preserve">Capital Stock of, or a business line or unit or a division of, or Patents, royalty rights or similar or related assets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1304"/>
        <w:spacing w:after="0" w:line="269"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after giving effect thereto, no Event of Default shall have occurred and be continuing or would result therefrom;</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in connection therewith shall be consummated, in all material respects, in accordance with all applicable laws and in conformity with all applicable and material Governmental Authorizations;</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 by a Loan Party, and Company shall have taken, or caused to be taken, as of the date such Person becomes a Subsidiary, any actions required to be taken as of such date as set forth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as applicable;</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and its Subsidiaries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acquisition as of the last day of the Fiscal Quarter most recently ended;</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acquisition with total cash consideration in excess of [***], and solely to the extent reasonably available to Company, Company shall have delivered to Administrative Agent at least [***]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assets or division as acquired in such Permitted Acquisition shall be in the same business or lines of business in which Company and/or its Subsidiaries are engaged as of the Closing Date (or in lines of business reasonably related or incidental thereto, or such other lines of business as may be consented to by Administrative Agent (such consent not to be unreasonably withheld or delayed));</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shall have been approved by the Board of Directors or other governing body or controlling Person of the Person acquired or the Person from whom such assets or division is acquired or a court of competent jurisdiction;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cash consideration (excluding any portion thereof paid with the proceeds of (i) Qualified Stock received no more than [***] before or after such acquisition or (ii) a Delayed Draw Term Loan) paid or payable in connection with all such acquisitions consummated since the Closing Date (x) allocable to the purchase or other acquisition of (A) any Subsidiary that will not become a Loan Party or (B) assets to be held by a Person that is not or will not become a Loan Party shall not exceed [***] and (y) with respect to Subsidiaries that will become Loan Parties in accordance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shall not exceed [***].</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color w:val="auto"/>
        </w:rPr>
        <w:t>” means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8" w:name="page239"/>
    <w:bookmarkEnd w:id="238"/>
    <w:p>
      <w:pPr>
        <w:jc w:val="both"/>
        <w:spacing w:after="0" w:line="241" w:lineRule="auto"/>
        <w:rPr>
          <w:sz w:val="20"/>
          <w:szCs w:val="20"/>
          <w:color w:val="auto"/>
        </w:rPr>
      </w:pPr>
      <w:r>
        <w:rPr>
          <w:rFonts w:ascii="Times New Roman" w:cs="Times New Roman" w:eastAsia="Times New Roman" w:hAnsi="Times New Roman"/>
          <w:sz w:val="20"/>
          <w:szCs w:val="20"/>
          <w:color w:val="auto"/>
        </w:rPr>
        <w:t>such Common Stock or such other securities); provided that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and shall be subject to customary terms for similar convertible transactions in the public markets (as determined by Borrower in good faith), including all of the following terms: (i) it shall be (and shall remain at all times) unsecured, (ii) it shall not have a maturity (and shall not have any scheduled amortization of principal) prior to the date that is [***] after the Term Loan Maturity Date in effect at the time such Indebtedness is incurred, (iii) if it has any negative covenants, such covenants (including covenants relating to incurrence of Indebtedness) shall not be more restrictive than those set forth herein, (iv) it shall have no restrictions on Borrower’s ability to grant liens securing the Obligations, (v) it shall not prohibit the incurrence of the Obligations, (vi) it is not guaranteed by any Subsidiary, and (vii) any cross-default or cross-acceleration event of default (each howsoever defined) provision contained therein that relates to indebtedness or other payment obligations of Company (or any of its Subsidiaries) (such indebtedness or other payment obligations, a “Cross-Default Reference Obligation”) contains a cure period of at least [***] (after written notice to the issuer of such Indebtedness by the trustee or to such issuer and such trustee by holders of at least [***]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8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Equity Derivative</w:t>
      </w:r>
      <w:r>
        <w:rPr>
          <w:rFonts w:ascii="Times New Roman" w:cs="Times New Roman" w:eastAsia="Times New Roman" w:hAnsi="Times New Roman"/>
          <w:sz w:val="20"/>
          <w:szCs w:val="20"/>
          <w:color w:val="auto"/>
        </w:rPr>
        <w:t xml:space="preserve">” 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is entered into contemporaneously and otherwise in connection with the issuance of Permitted Convertible Indebtedness or the Restricted Payments in respect of such transaction are otherwise permitted pursuant to </w:t>
      </w:r>
      <w:r>
        <w:rPr>
          <w:rFonts w:ascii="Times New Roman" w:cs="Times New Roman" w:eastAsia="Times New Roman" w:hAnsi="Times New Roman"/>
          <w:sz w:val="20"/>
          <w:szCs w:val="20"/>
          <w:u w:val="single" w:color="auto"/>
          <w:color w:val="auto"/>
        </w:rPr>
        <w:t>Section 6.5(f)</w:t>
      </w:r>
      <w:r>
        <w:rPr>
          <w:rFonts w:ascii="Times New Roman" w:cs="Times New Roman" w:eastAsia="Times New Roman" w:hAnsi="Times New Roman"/>
          <w:sz w:val="20"/>
          <w:szCs w:val="20"/>
          <w:color w:val="auto"/>
        </w:rPr>
        <w:t>, and (z) such transaction shall be classified in Borrower’s stockholders’ equity under FASB ASC 815-40 or any successor provision.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Indebtedness, Permitted Intercompany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shall be unsecured and the parties thereto are party to an Intercompany Subordination Agreement;</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Borrower or any of its Subsidiaries arising from agreements providing for indemnification or from guaranties or letters of credit, surety bonds or performance bonds securing the performance of Company or any such Subsidiary pursuant to such agreements, in connection with Permitted Acquisitions or Asset Sales permitted hereunder;</w:t>
      </w:r>
    </w:p>
    <w:p>
      <w:pPr>
        <w:spacing w:after="0" w:line="17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7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connection with workers’ compensation, unemployment insurance and other types of social security, or to secure the performance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9" w:name="page240"/>
    <w:bookmarkEnd w:id="239"/>
    <w:p>
      <w:pPr>
        <w:spacing w:after="0" w:line="268" w:lineRule="auto"/>
        <w:rPr>
          <w:sz w:val="20"/>
          <w:szCs w:val="20"/>
          <w:color w:val="auto"/>
        </w:rPr>
      </w:pPr>
      <w:r>
        <w:rPr>
          <w:rFonts w:ascii="Times New Roman" w:cs="Times New Roman" w:eastAsia="Times New Roman" w:hAnsi="Times New Roman"/>
          <w:sz w:val="20"/>
          <w:szCs w:val="20"/>
          <w:color w:val="auto"/>
        </w:rPr>
        <w:t>tenders, statutory obligations, surety and appeal bonds, bids, leases, government contracts, trade contracts, performance and return of money bonds and other similar obligations;</w:t>
      </w:r>
    </w:p>
    <w:p>
      <w:pPr>
        <w:spacing w:after="0" w:line="161" w:lineRule="exact"/>
        <w:rPr>
          <w:sz w:val="20"/>
          <w:szCs w:val="20"/>
          <w:color w:val="auto"/>
        </w:rPr>
      </w:pPr>
    </w:p>
    <w:p>
      <w:pPr>
        <w:jc w:val="both"/>
        <w:ind w:firstLine="656"/>
        <w:spacing w:after="0" w:line="24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described in </w:t>
      </w:r>
      <w:r>
        <w:rPr>
          <w:rFonts w:ascii="Times New Roman" w:cs="Times New Roman" w:eastAsia="Times New Roman" w:hAnsi="Times New Roman"/>
          <w:sz w:val="20"/>
          <w:szCs w:val="20"/>
          <w:u w:val="single" w:color="auto"/>
          <w:color w:val="auto"/>
        </w:rPr>
        <w:t>Schedule 6.1</w:t>
      </w:r>
      <w:r>
        <w:rPr>
          <w:rFonts w:ascii="Times New Roman" w:cs="Times New Roman" w:eastAsia="Times New Roman" w:hAnsi="Times New Roman"/>
          <w:sz w:val="20"/>
          <w:szCs w:val="20"/>
          <w:color w:val="auto"/>
        </w:rPr>
        <w:t>, and any Permitted Refinancing Indebtedness in respect of such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93"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an aggregate amount outstanding not to exceed at any time [***] with respect to (i) Capital Leases and (ii) purchase money Indebtedness (including any Indebtedness acquired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shall be secured only by the asset subject to such Capital Lease or by the asset acquired in connection with the incurrence of such Indebtedness;</w:t>
      </w:r>
    </w:p>
    <w:p>
      <w:pPr>
        <w:spacing w:after="0" w:line="179"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with respect to Indebtedness of Borrower or any of its Subsidiaries, to the extent that the Person that is obligated under such guaranty could have incurred such underlying Indebtedness to the extent such guaranties are not prohibited by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the Obligations, such guaranty shall be subordinated to the Obligations on terms at least as favorable to the Secured Parties as those contained in the subordination of such Indebtedness;</w:t>
      </w:r>
    </w:p>
    <w:p>
      <w:pPr>
        <w:spacing w:after="0" w:line="184"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does not exceed [***];</w:t>
      </w:r>
    </w:p>
    <w:p>
      <w:pPr>
        <w:spacing w:after="0" w:line="184"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7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of purchase price, deferred purchase price and compensation, or other similar arrangements incurred by such Person in connection with Permitted Acquisitions, any Investment permitted hereunder or any license, transfer or other Disposition permitted hereunder in an aggregate outstanding amount not to exceed [***] at any time outstanding;</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whose assets or Capital Stock are acquired by Borrower or any of its Subsidiaries in a Permitted Acquisition in an aggregate amount not to exceed [***]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was not incurred in connection with, or in contemplation of, such Permitted Acquisition;</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Convertible Indebtedness and any Permitted Refinancing Indebtedness in respect thereof in an aggregate outstanding principal amount not to exceed [***];</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in respect of letters of credit, surety bonds or performance bonds in an aggregate outstanding principal amount not to exceed [***];</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0" w:name="page241"/>
    <w:bookmarkEnd w:id="240"/>
    <w:p>
      <w:pPr>
        <w:jc w:val="both"/>
        <w:ind w:firstLine="656"/>
        <w:spacing w:after="0" w:line="253"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financial institution in respect of purchasing or debit card programs, credit card programs and related liabilities arising from ordinary course treasury, depository or cash management services, including any payments in connection with the termination thereof;</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take-or-pay obligations contained in supply arrangements in the ordinary course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business;</w:t>
      </w:r>
    </w:p>
    <w:p>
      <w:pPr>
        <w:spacing w:after="0" w:line="193"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from customers for goods purchased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incurred in the ordinary course of business in respect of obligations to suppliers, customers, franchisees, lessors, licensees, sub-licensees and distribution partners;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Borrower under the AYVAKIT/BLU-263 Purchase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Priority Indebtedness;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obligations under Permitted Royalty Transactions;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any Hedging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prior to the date that is [***] after the Closing Date, Indebtedness consisting of margin loans in an aggregate principal amount at any time outstanding not to exceed [***]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principal amount of any outstanding Permitted Priority Indebtedness; and</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of Borrower and its Subsidiaries, in an aggregate amount not to exceed at any time [***].</w:t>
      </w:r>
    </w:p>
    <w:p>
      <w:pPr>
        <w:spacing w:after="0" w:line="2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Investments</w:t>
      </w:r>
      <w:r>
        <w:rPr>
          <w:rFonts w:ascii="Times New Roman" w:cs="Times New Roman" w:eastAsia="Times New Roman" w:hAnsi="Times New Roman"/>
          <w:sz w:val="20"/>
          <w:szCs w:val="20"/>
          <w:color w:val="auto"/>
        </w:rPr>
        <w:t xml:space="preserve">” means Investments by (a) a Loan Party to or in another Loan Party, (b) a Subsidiary that is not a Loan Party to or in another Subsidiary that is not a Loan Party, (c) a Subsidiary that is not a Loan Party to or in a Loan Party, so long as, in the case of a loan or an advance, the parties thereto are party to an Intercompany Subordination Agreement, (d) Investments by the Loan Parties in Subsidiaries that are not Loan Parties to the extent such Investments constitute bona fide transfer pricing transactions, cost-sharing arrangements or “cost-plus” arrangements (in each case not to exceed [***]) in the ordinary course of business or consist of foreign regulatory approvals or licenses in connection with the development or Commercialization of any Product in a foreign jurisdiction; and (e) additional Investments by the Loan Parties in Subsidiaries that are not Loan Parties in an aggregate amount not to exceed [***];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with respect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Company and its Subsidiaries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Investment; </w:t>
      </w:r>
      <w:r>
        <w:rPr>
          <w:rFonts w:ascii="Times New Roman" w:cs="Times New Roman" w:eastAsia="Times New Roman" w:hAnsi="Times New Roman"/>
          <w:sz w:val="20"/>
          <w:szCs w:val="20"/>
          <w:u w:val="single" w:color="auto"/>
          <w:color w:val="auto"/>
        </w:rPr>
        <w:t>provided further that</w:t>
      </w:r>
      <w:r>
        <w:rPr>
          <w:rFonts w:ascii="Times New Roman" w:cs="Times New Roman" w:eastAsia="Times New Roman" w:hAnsi="Times New Roman"/>
          <w:sz w:val="20"/>
          <w:szCs w:val="20"/>
          <w:color w:val="auto"/>
        </w:rPr>
        <w:t xml:space="preserve"> no Product (Core) or Product (Core) Intellectual Property Rights shall be assigned, transferred, contributed, licensed, sublicensed, or otherwise disposed by any Loan Party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Investments owned as of the Closing Date in any Subsidiary and equity Investments in an aggregate amount outstanding not to exceed [***] owned as a result of the formation of a Subsidiary to the extent otherwise permitted hereunder;</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Investments;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employees of Borrower and its Subsidiaries (i) made in the ordinary course of business and described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 and (ii) any refinancings of such loans after the Closing Date in an aggregate amount not to exceed [***] at any time outstanding;</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described in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xml:space="preserve"> as of the Closing Date;</w:t>
      </w:r>
    </w:p>
    <w:p>
      <w:pPr>
        <w:spacing w:after="0" w:line="215"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8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negotiable instruments deposited or to be deposited for collection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customary trade arrangements with customers;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made in connection with purchases of goods or services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Investments in Joint Ventures in an aggregate outstanding amount not to exceed [***];</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Equity Derivatives;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under Hedging Agreement permitted under this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7"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2" w:name="page243"/>
    <w:bookmarkEnd w:id="242"/>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of the non-cash consideration received from a Disposition that was made pursuant to and in compliance with this Agreement;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earnest money deposits made by the Borrower or its Subsidiaries in connection with any letter of intent or other agreement in respect of any Investment permitted by this Agreement;</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obligations of one or more officers or other employees of Borrower or any Subsidiary of the Borrower in connection with such officer’s or employee’s acquisition of Capital Stock of any direct or indirect parent of the Borrower, so long as no cash is actually advanced by the Borrower or any Subsidiary to such officers or employees in connection with the acquisition of any such obligations;</w:t>
      </w:r>
    </w:p>
    <w:p>
      <w:pPr>
        <w:spacing w:after="0" w:line="17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operating leases or of other obligations, in each case, that do not constitute Indebtedness, and are entered into by the Borrower or any Subsidiary in the ordinary course of business;</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redemption, purchase, repurchase or retirement of any Capital Stock of Borrower permitted by this Agreement;</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so long as no Event of Default has occurred and is continuing and Qualified Cash is in excess of [***], Investments of Cash and Cash Equivalents in Blueprint Medicines Security Corporation in an aggregate amount outstanding at any time not to exceed the lesser of (i) [***] and (ii) an amount equal to [***] of the excess of Consolidated Total Cash over the amount of Qualified Cash required pursuant to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at any time an Event of Default has occurred and is continuing or the Borrower does not have Qualified Cash in excess of [***], then Borrower shall immediately, and in any event within [***], cause all Cash and Cash Equivalents held by Blueprint Medicines Security Corporation to be distributed to a Loan Party; and</w:t>
      </w:r>
    </w:p>
    <w:p>
      <w:pPr>
        <w:spacing w:after="0" w:line="186" w:lineRule="exact"/>
        <w:rPr>
          <w:sz w:val="20"/>
          <w:szCs w:val="20"/>
          <w:color w:val="auto"/>
        </w:rPr>
      </w:pPr>
    </w:p>
    <w:p>
      <w:pPr>
        <w:jc w:val="both"/>
        <w:ind w:firstLine="656"/>
        <w:spacing w:after="0" w:line="266" w:lineRule="auto"/>
        <w:tabs>
          <w:tab w:leader="none" w:pos="129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or Event of Default has occurred and is continuing or would result therefrom, other Investments in an aggregate amount outstanding not to exceed the lesser of (i) the greater of (A) [***] of Product Revenue from sales of all Product (Core) for the most recently ended four fiscal quarter period on or prior to the date of such Investment for which financial statements have been delivered pursuant to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 and (ii) [***].</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Administrative Agent for the benefit of Secured Parties granted pursuant to any Loan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19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and payable or (ii) if obligations with respect to such Taxes are being contested in good faith by appropriate proceedings promptly instituted and diligently conducted and reserves required by GAAP have been made;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banks (and rights of set off), of carriers, warehousemen, mechanics, repairmen, workmen and materialmen, and other Liens imposed by law (other than any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3" w:name="page244"/>
    <w:bookmarkEnd w:id="243"/>
    <w:p>
      <w:pPr>
        <w:spacing w:after="0" w:line="269" w:lineRule="auto"/>
        <w:rPr>
          <w:sz w:val="20"/>
          <w:szCs w:val="20"/>
          <w:color w:val="auto"/>
        </w:rPr>
      </w:pPr>
      <w:r>
        <w:rPr>
          <w:rFonts w:ascii="Times New Roman" w:cs="Times New Roman" w:eastAsia="Times New Roman" w:hAnsi="Times New Roman"/>
          <w:sz w:val="20"/>
          <w:szCs w:val="20"/>
          <w:color w:val="auto"/>
        </w:rPr>
        <w:t>Lien imposed pursuant to Section 401(a)(29) or 412(n) of the Internal Revenue Code or by ERISA), in each case incurred in the ordinary course of business for amounts not yet overdue;</w:t>
      </w:r>
    </w:p>
    <w:p>
      <w:pPr>
        <w:spacing w:after="0" w:line="159" w:lineRule="exact"/>
        <w:rPr>
          <w:sz w:val="20"/>
          <w:szCs w:val="20"/>
          <w:color w:val="auto"/>
        </w:rPr>
      </w:pPr>
    </w:p>
    <w:p>
      <w:pPr>
        <w:jc w:val="both"/>
        <w:ind w:firstLine="656"/>
        <w:spacing w:after="0" w:line="263" w:lineRule="auto"/>
        <w:tabs>
          <w:tab w:leader="none" w:pos="1296"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66" w:lineRule="exact"/>
        <w:rPr>
          <w:rFonts w:ascii="Times New Roman" w:cs="Times New Roman" w:eastAsia="Times New Roman" w:hAnsi="Times New Roman"/>
          <w:sz w:val="19"/>
          <w:szCs w:val="19"/>
          <w:color w:val="auto"/>
        </w:rPr>
      </w:pPr>
    </w:p>
    <w:p>
      <w:pPr>
        <w:jc w:val="both"/>
        <w:ind w:firstLine="656"/>
        <w:spacing w:after="0" w:line="254"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 of way, restrictions, encroachments, and other minor defects or irregularities in title, in each case which do not and will not interfere in any material respect with the ordinary conduct of the business of Borrower or any of its Subsidiaries;</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any lease of real estate permitted hereunder;</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permitted hereunder;</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of personal property entered into in the ordinary course of business;</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zoning or similar law or right reserved to or vested in any governmental office or agency to control or regulate the use of any real property;</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described in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only secure the Indebtedness that it secures on the Closing Date and any Permitted Refinancing Indebtedness in respect thereof;</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Capital Leases or purchase money Indebtedness permitted pursuant to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Lien shall encumber only the asset subject to such Capital Lease or the asset acquired with the proceeds of such Indebtedness</w:t>
      </w:r>
    </w:p>
    <w:p>
      <w:pPr>
        <w:spacing w:after="0" w:line="174"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assumed by Borrower and its Subsidiaries in connection with a Permitted Acquisition that secure Indebtedness permitted by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of the definition of Permitted Indebtedness;</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solely on any cash securing Indebtedness permitted pursuant to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of the definition of Permitted Indebtedness, and (ii) Liens on cash deposits not exceeding [***] in the aggregate securing Indebtedness permitted pursuant to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of the definition of Permitted Indebtedness;</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vendors or suppliers of such Person in the ordinary course of business to the extent encumbering property purchased from or provided by such vendors or suppliers and the proceeds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4" w:name="page245"/>
    <w:bookmarkEnd w:id="244"/>
    <w:p>
      <w:pPr>
        <w:ind w:right="20" w:firstLine="656"/>
        <w:spacing w:after="0" w:line="26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judgments, writs or warrants of attachment or similar process not constituting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leases, subleases, licenses or sublicenses that are (i) permitted by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or (ii) excluded from the definition of Asset Sale;</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such Liens are nonconsensual and arise by operation of law, in no case shall any such Liens secure (either directly or indirectly) the repayment of any Indebtedness;</w:t>
      </w:r>
    </w:p>
    <w:p>
      <w:pPr>
        <w:spacing w:after="0" w:line="18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(as defined in the AYVAKIT/BLU-263 Purchase Agreement) in favor of the Royalty Agent as required under the AYVAKIT/BLU-263 Purchase Agreement, which security interests shall subject at all times to the Senior Lender Intercreditor Agreement;</w:t>
      </w:r>
    </w:p>
    <w:p>
      <w:pPr>
        <w:spacing w:after="0" w:line="174"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Permitted Priority Indebtedness (for the avoidance of doubt, to the extent such Liens are permitted in the definition of “Permitted Priority Indebtedness”);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Back-up Security Interests granted pursuant to any Permitted Royalty Transaction;</w:t>
      </w:r>
    </w:p>
    <w:p>
      <w:pPr>
        <w:spacing w:after="0" w:line="21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or from UCC financing statement filings regarding, operating leases or consignments entered into by the Borrower or its Subsidiaries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in the ordinary course of business;</w:t>
      </w:r>
    </w:p>
    <w:p>
      <w:pPr>
        <w:spacing w:after="0" w:line="159" w:lineRule="exact"/>
        <w:rPr>
          <w:sz w:val="20"/>
          <w:szCs w:val="20"/>
          <w:color w:val="auto"/>
        </w:rPr>
      </w:pPr>
    </w:p>
    <w:p>
      <w:pPr>
        <w:jc w:val="both"/>
        <w:ind w:firstLine="656"/>
        <w:spacing w:after="0" w:line="254" w:lineRule="auto"/>
        <w:tabs>
          <w:tab w:leader="none" w:pos="129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including any put and call arrangements, related to Capital Stock in any Joint Venture set forth in the Organization Documents of such Joint Venture or any related joint venture, shareholders’ or similar agreement;</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thereto;</w:t>
      </w:r>
    </w:p>
    <w:p>
      <w:pPr>
        <w:spacing w:after="0" w:line="193"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collateral accounts and related assets and proceeds thereof incurred under Permitted Royalty Transactions; provided that such Liens are limited to the receivables sold and the proceeds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5" w:name="page246"/>
    <w:bookmarkEnd w:id="245"/>
    <w:p>
      <w:pPr>
        <w:ind w:left="1300" w:hanging="644"/>
        <w:spacing w:after="0"/>
        <w:tabs>
          <w:tab w:leader="none" w:pos="13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Liens, licenses and sublicenses under any Permitted Product Transaction;</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and Cash Equivalents in a segregated account securing Indebtedness permitted pursuant to clause (y)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the amount of Cash and Cash Equivalents subject to such Liens shall not at any time exceed the amount of such Indebtedness; and</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incurred in the ordinary course of business of Borrower or any Subsidiary of Borrower with respect to obligations that do not exceed [***] at any one time outstanding.</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no Liens on any Product, Product Patent or Registrations shall be permitted (other than non-consensual Liens constituting “Permitted Liens” and Liens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and (cc) above).</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Priority Indebtedness</w:t>
      </w:r>
      <w:r>
        <w:rPr>
          <w:rFonts w:ascii="Times New Roman" w:cs="Times New Roman" w:eastAsia="Times New Roman" w:hAnsi="Times New Roman"/>
          <w:sz w:val="20"/>
          <w:szCs w:val="20"/>
          <w:color w:val="auto"/>
        </w:rPr>
        <w:t xml:space="preserve">” means Indebtedness of Borrower or any of its Subsidiaries under one working capital revolving credit facility, in an amount not to exceed the lesser of (x) [***]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at any time, the amount of any Indebtedness outstanding pursuant to clause (y) of “Permitted Indebtedness” and (y) at any time, [***] of the face amount at such time of Loan Parties’ eligible accounts receivable; provided that (a) such Indebtedness, if secured, is secured solely by Borrower’s and its Subsidiaries’ accounts receivable, inventory and segregated cash proceeds of the foregoing, and (b) the holders or lenders thereof have executed and delivered to Administrative Agent an intercreditor agreement reasonably satisfactory to Administrative Agent and the Required Lenders (which, for the avoidance of doubt, may provide that such Permitted Priority Indebtedness has priority on the assets securing such Permitted Priority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Agreement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such Product Agreement (i) [***], (ii) permits the disclosure of royalty and similar reports to the Administrative Agent and the Lenders in accordance with </w:t>
      </w:r>
      <w:r>
        <w:rPr>
          <w:rFonts w:ascii="Times New Roman" w:cs="Times New Roman" w:eastAsia="Times New Roman" w:hAnsi="Times New Roman"/>
          <w:sz w:val="20"/>
          <w:szCs w:val="20"/>
          <w:u w:val="single" w:color="auto"/>
          <w:color w:val="auto"/>
        </w:rPr>
        <w:t>Section 5.1(e)(i)</w:t>
      </w:r>
      <w:r>
        <w:rPr>
          <w:rFonts w:ascii="Times New Roman" w:cs="Times New Roman" w:eastAsia="Times New Roman" w:hAnsi="Times New Roman"/>
          <w:sz w:val="20"/>
          <w:szCs w:val="20"/>
          <w:color w:val="auto"/>
        </w:rPr>
        <w:t xml:space="preserve"> and (iii)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Transaction</w:t>
      </w:r>
      <w:r>
        <w:rPr>
          <w:rFonts w:ascii="Times New Roman" w:cs="Times New Roman" w:eastAsia="Times New Roman" w:hAnsi="Times New Roman"/>
          <w:sz w:val="20"/>
          <w:szCs w:val="20"/>
          <w:color w:val="auto"/>
        </w:rPr>
        <w:t xml:space="preserve">” means (a) the grant of a license or sublicense or any other disposition of any rights under any Product Patents or Registrations pursuant to a Permitted Product Agreement, and (b) the grant of the applicable licenses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4" w:lineRule="exact"/>
        <w:rPr>
          <w:sz w:val="20"/>
          <w:szCs w:val="20"/>
          <w:color w:val="auto"/>
        </w:rPr>
      </w:pPr>
    </w:p>
    <w:p>
      <w:pPr>
        <w:jc w:val="both"/>
        <w:ind w:firstLine="656"/>
        <w:spacing w:after="0" w:line="249" w:lineRule="auto"/>
        <w:tabs>
          <w:tab w:leader="none" w:pos="129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6" w:name="page247"/>
    <w:bookmarkEnd w:id="246"/>
    <w:p>
      <w:pPr>
        <w:jc w:val="both"/>
        <w:ind w:firstLine="656"/>
        <w:spacing w:after="0" w:line="249" w:lineRule="auto"/>
        <w:tabs>
          <w:tab w:leader="none" w:pos="129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either by Borrower or by the Subsidiary who is the obligor on the Indebtedness being renewed, refunded, refinanced, replaced, defeased or discharged; and</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Permitted Convertible Indebtedness, such Indebtedness complies with the terms set forth in the proviso of the definition of Permitted Convertible Indebtedness.</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Royalty Transaction</w:t>
      </w:r>
      <w:r>
        <w:rPr>
          <w:rFonts w:ascii="Times New Roman" w:cs="Times New Roman" w:eastAsia="Times New Roman" w:hAnsi="Times New Roman"/>
          <w:sz w:val="20"/>
          <w:szCs w:val="20"/>
          <w:color w:val="auto"/>
        </w:rPr>
        <w:t xml:space="preserve">” means a (i) the GAVRETO Royalty Transaction, (ii) a Royalty Monetization Transaction in respect of payments owed to Borrower under the CStone License and (iii) any other Royalty Monetization Transaction in respect of royalties payable in respect of, or revenues from, net sales of a Product (Non-Core);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each case of clause (ii) and (iii) that (a) such transaction shall be structured as a “true sale” of such royalties or revenues, (b) such transaction shall not have or provide for any (x) redemption or buy-back obligations or any financial covenants that apply prior to the date that is [***] after the Term Loan Maturity Date in effect at the time of such Permitted Royalty Transaction (and, in any event, shall permit the Indebtedness and other Obligations pursuant to the Loan Documents), (y) Lien on any asset of the Borrower or any of its Subsidiaries, except a Back-Up Security Interest in the royalties or revenues sold pursuant to such transaction or (z) negative pledge restricting incurrence of any Lien on any asset of the Borrower or any of its Subsidiaries (except that such transaction may contain a customary negative pledge on the royalties or revenues sold pursuant to such transaction, the proceeds thereof and cash in segregated accounts that receive such proceeds and hold no other cash), (c) the consideration received for such transaction shall be in an amount at least equal to the fair market value thereof, and (d) no Default or Event of Default shall have occurred and be continuing or would result therefrom.</w:t>
      </w:r>
    </w:p>
    <w:p>
      <w:pPr>
        <w:spacing w:after="0" w:line="1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that identifies or can be used to identify a natural person, including any information defined as “personal data,” “personally identifiable information,” “personal information,” “protected health information,” or “nonpublic personal information” under applicable Data Protection Laws.</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 Intellectual Property</w:t>
      </w:r>
      <w:r>
        <w:rPr>
          <w:rFonts w:ascii="Times New Roman" w:cs="Times New Roman" w:eastAsia="Times New Roman" w:hAnsi="Times New Roman"/>
          <w:sz w:val="20"/>
          <w:szCs w:val="20"/>
          <w:color w:val="auto"/>
        </w:rPr>
        <w:t xml:space="preserve">” means any Intellectual Property Rights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u w:val="single" w:color="auto"/>
          <w:color w:val="auto"/>
        </w:rPr>
        <w:t>Schedule 1.1(e)</w:t>
      </w:r>
      <w:r>
        <w:rPr>
          <w:rFonts w:ascii="Times New Roman" w:cs="Times New Roman" w:eastAsia="Times New Roman" w:hAnsi="Times New Roman"/>
          <w:sz w:val="20"/>
          <w:szCs w:val="20"/>
          <w:color w:val="auto"/>
        </w:rPr>
        <w:t>, a</w:t>
      </w:r>
      <w:r>
        <w:rPr>
          <w:rFonts w:ascii="Times New Roman" w:cs="Times New Roman" w:eastAsia="Times New Roman" w:hAnsi="Times New Roman"/>
          <w:sz w:val="21"/>
          <w:szCs w:val="21"/>
          <w:color w:val="auto"/>
        </w:rPr>
        <w:t>s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updated from time to time in the Borrower’s sole discretion; [***]</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and Security Agreement</w:t>
      </w:r>
      <w:r>
        <w:rPr>
          <w:rFonts w:ascii="Times New Roman" w:cs="Times New Roman" w:eastAsia="Times New Roman" w:hAnsi="Times New Roman"/>
          <w:sz w:val="20"/>
          <w:szCs w:val="20"/>
          <w:color w:val="auto"/>
        </w:rPr>
        <w:t>” means the Pledge and Security Agreement executed by Grantors in favor of Administrative Agent for the benefit of the Secured Parties.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 has the meaning specified in the Fee Letter.</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quoted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0"/>
          <w:szCs w:val="20"/>
          <w:color w:val="auto"/>
        </w:rPr>
        <w:t>or any other Lender may make commercial loans or other loans at rates of interest at, above or below the Prime Rate.</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xml:space="preserve">” means Administrative Agent’s “Principal Office”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or such other office as such Person may from time to time designate in writing to Company and each Lender.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4.36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w:t>
      </w:r>
    </w:p>
    <w:p>
      <w:pPr>
        <w:spacing w:after="0" w:line="216" w:lineRule="exact"/>
        <w:rPr>
          <w:sz w:val="20"/>
          <w:szCs w:val="20"/>
          <w:color w:val="auto"/>
        </w:rPr>
      </w:pPr>
    </w:p>
    <w:p>
      <w:pPr>
        <w:jc w:val="both"/>
        <w:ind w:firstLine="1304"/>
        <w:spacing w:after="0" w:line="244"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Lender’s obligation to make the Initial Term Loan, the percentage obtained by dividing (A) such Lender’s Initial Term Loan Commitment by (B) the Total Initial Term Loan Commitment; (ii) a Lender’s obligation to make a Delayed Draw Term Loan, the percentage obtained by dividing (A) such Lender’s Delayed Draw Term Loan Commitment by (B) the aggregate amount of the Lenders’ Delayed Draw Term Loan Commitments and (iii) a Lender’s right to make an Incremental Term Loan, the percentage obtained by dividing (A) such Lender’s outstanding Term Loans and unfunded Delayed Draw Term Loan Commitments by (B) the aggregate amount of the all Lenders’ outstanding Term Loans and unfunded Delayed Draw Term Loan Commitments;</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matters, the percentage obtained by dividing (i) the sum of such Lender’s Delayed Draw Term Loan Commitment and the unpaid principal amount of such Lender’s portion of the Term Loan, by (ii) the sum of the Total Delayed Draw Term Loan Commitment and the aggregate unpaid principal amount of the Term Loan.</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means AYVAKIT, BLU-263, GAVRETO and any other product/development candidate being developed or Commercialized by Borrower or the Loan Parties from time to time, including but not limited to any acquired Product that is acquired or in-licensed pursuant to a Permitted Acquisition.</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Agreement</w:t>
      </w:r>
      <w:r>
        <w:rPr>
          <w:rFonts w:ascii="Times New Roman" w:cs="Times New Roman" w:eastAsia="Times New Roman" w:hAnsi="Times New Roman"/>
          <w:sz w:val="20"/>
          <w:szCs w:val="20"/>
          <w:color w:val="auto"/>
        </w:rPr>
        <w:t>” means any agreement entered into between Company or any of its Subsidiaries with another Person that includes the granting of a license or sublicense of any rights under any Product Intellectual Property Rights or Registrations that allows such Person to develop or commercialize a Product.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w:t>
      </w:r>
      <w:r>
        <w:rPr>
          <w:rFonts w:ascii="Times New Roman" w:cs="Times New Roman" w:eastAsia="Times New Roman" w:hAnsi="Times New Roman"/>
          <w:sz w:val="20"/>
          <w:szCs w:val="20"/>
          <w:color w:val="auto"/>
        </w:rPr>
        <w:t>” means each of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Intellectual Property Rights</w:t>
      </w:r>
      <w:r>
        <w:rPr>
          <w:rFonts w:ascii="Times New Roman" w:cs="Times New Roman" w:eastAsia="Times New Roman" w:hAnsi="Times New Roman"/>
          <w:sz w:val="20"/>
          <w:szCs w:val="20"/>
          <w:color w:val="auto"/>
        </w:rPr>
        <w:t>” means Product Intellectual Property Rights relating to any Product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Patents</w:t>
      </w:r>
      <w:r>
        <w:rPr>
          <w:rFonts w:ascii="Times New Roman" w:cs="Times New Roman" w:eastAsia="Times New Roman" w:hAnsi="Times New Roman"/>
          <w:sz w:val="20"/>
          <w:szCs w:val="20"/>
          <w:color w:val="auto"/>
        </w:rPr>
        <w:t>” means the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(Non-Core)</w:t>
      </w:r>
      <w:r>
        <w:rPr>
          <w:rFonts w:ascii="Times New Roman" w:cs="Times New Roman" w:eastAsia="Times New Roman" w:hAnsi="Times New Roman"/>
          <w:sz w:val="20"/>
          <w:szCs w:val="20"/>
          <w:color w:val="auto"/>
        </w:rPr>
        <w:t>” means any Product other Product (Core).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 Intellectual Property Rights</w:t>
      </w:r>
      <w:r>
        <w:rPr>
          <w:rFonts w:ascii="Times New Roman" w:cs="Times New Roman" w:eastAsia="Times New Roman" w:hAnsi="Times New Roman"/>
          <w:sz w:val="19"/>
          <w:szCs w:val="19"/>
          <w:color w:val="auto"/>
        </w:rPr>
        <w:t>” means (a) the Product Patents and (b) any and all Intellectual Property Rights owned by or exclusively licensed to, or purported to be owned by or exclusively licensed to, Borrower or its Affiliates relating to any Product or that, absent a valid license or other rights under such Intellectual Property Rights, would be infringed or misappropriated by the research, development, manufacture, use or Commercialization of 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8" w:name="page249"/>
    <w:bookmarkEnd w:id="248"/>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necessary or material to the research, development, manufacture, use or Commercialization of one or more of the Products.</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Revenue</w:t>
      </w:r>
      <w:r>
        <w:rPr>
          <w:rFonts w:ascii="Times New Roman" w:cs="Times New Roman" w:eastAsia="Times New Roman" w:hAnsi="Times New Roman"/>
          <w:sz w:val="20"/>
          <w:szCs w:val="20"/>
          <w:color w:val="auto"/>
        </w:rPr>
        <w:t>” means, for any period and with respect to any Product (including any Product, containing whether alone, or with any other active ingredients) (a) the consolidated gross revenues of the Loan Parties generated solely through the commercial sale of such Product to third parties by the Loan Parties (or any licensee pursuant to a Permitted Product Agreement, in which case such revenues shall be limited to the royalties actually received by the Loan Parties from the commercial sale of such Product by any such licensee or its sublicensees thereof) during such period, less, without duplication, (b)(i) trade, quantity and cash discounts allowed by Company, (ii) discounts, refunds, rebates, charge backs, retroactive price adjustments and any other allowances which effectively reduce net selling price, (iii) product returns and allowances, (iv) allowances for shipping or other distribution expenses, (v) set-offs and counterclaims, and (vi) any other similar and customary deductions used by Company in determining net revenues, all, in respect of clauses (a) and (b), as determined in accordance with GAAP and calculated on a basis consistent with the Historical Financial Statements delivered to Administrative Agent prior to the Closing Date; provided that, for the avoidance of doubt, Product Revenue does not include any upfront fees, milestone or other payments that do not represent a portion of sales of the applicable Product by such licensee (or its sublicensees) pursuant to a Permitted Product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Health Laws</w:t>
      </w:r>
      <w:r>
        <w:rPr>
          <w:rFonts w:ascii="Times New Roman" w:cs="Times New Roman" w:eastAsia="Times New Roman" w:hAnsi="Times New Roman"/>
          <w:sz w:val="20"/>
          <w:szCs w:val="20"/>
          <w:color w:val="auto"/>
        </w:rPr>
        <w:t>” means all Requirements of Law relating to the procurement, development, clinical and non-clinical evaluation, product approval or licensure, manufacture, production, analysis, wholesale,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all applicable regulations promulgated by the National Institutes of Health (“</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and codified at Title 42 of the Code of Federal Regulations, equivalent foreign legislation and guidance, compliance, guides, and other policies issued by the FDA, the NIH and other comparable Governmental Authorities, including foreign Governmental Authorities, as well as applicable Requirements of Law relating to the licensure of entities that manufacture or distribute drugs, biologics, or other regulated product.</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means, with respect to any Person, all Capital Stock of such Person that are not Disqualified Capital Stock.</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w:t>
      </w:r>
      <w:r>
        <w:rPr>
          <w:rFonts w:ascii="Times New Roman" w:cs="Times New Roman" w:eastAsia="Times New Roman" w:hAnsi="Times New Roman"/>
          <w:sz w:val="20"/>
          <w:szCs w:val="20"/>
          <w:color w:val="auto"/>
        </w:rPr>
        <w:t xml:space="preserve">” means, as of any date of determination, the amount of unrestricted Cash and Cash Equivalents (other than restrictions created by the Collateral Documents) of the Loan Parties that is in Deposit Accounts or in Securities Accounts, or any combination thereof, which such Deposit Accounts or Securities Accounts are (after the post-closing period set forth in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subject to a Control Agreement.</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at any time of determination, any Real Property owned by a Loan Party, but only to the extent such Real Property constitutes Collateral and is encumbered by a Mortgage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49" w:name="page250"/>
    <w:bookmarkEnd w:id="249"/>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any real property (including all buildings, fixtures or other improvements located thereon) now, hereafter or heretofore owned, leased, operated or used by Company or any of its Subsidiaries.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“Recipient” means (a) the Administrative Agent or (b) any Lender,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shall mean authorizations, approvals, licenses, permits, certificates, registrations, listings, certificates, or exemptions of or issued by any Governmental Authority (including marketing approvals, investigational new drug applications, product recertifications, manufacturing approvals and authorizations,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of Governors of the Federal Reserve System, as in effect from time to time.</w:t>
      </w:r>
    </w:p>
    <w:p>
      <w:pPr>
        <w:spacing w:after="0" w:line="1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Regulatory Action</w:t>
      </w:r>
      <w:r>
        <w:rPr>
          <w:rFonts w:ascii="Times New Roman" w:cs="Times New Roman" w:eastAsia="Times New Roman" w:hAnsi="Times New Roman"/>
          <w:sz w:val="19"/>
          <w:szCs w:val="19"/>
          <w:color w:val="auto"/>
        </w:rPr>
        <w:t>” 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the NIH or a comparable Governmental Authority in any other regulatory jurisdiction, including any inspectional observations recorded on a Form FDA 483, any Establishment Inspection Report, and any written request from FDA for a regulatory meeting.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Amounts</w:t>
      </w:r>
      <w:r>
        <w:rPr>
          <w:rFonts w:ascii="Times New Roman" w:cs="Times New Roman" w:eastAsia="Times New Roman" w:hAnsi="Times New Roman"/>
          <w:sz w:val="20"/>
          <w:szCs w:val="20"/>
          <w:color w:val="auto"/>
        </w:rPr>
        <w:t xml:space="preserve">” has the meaning specified term in </w:t>
      </w:r>
      <w:r>
        <w:rPr>
          <w:rFonts w:ascii="Times New Roman" w:cs="Times New Roman" w:eastAsia="Times New Roman" w:hAnsi="Times New Roman"/>
          <w:sz w:val="20"/>
          <w:szCs w:val="20"/>
          <w:u w:val="single" w:color="auto"/>
          <w:color w:val="auto"/>
        </w:rPr>
        <w:t>Section 2.10(a)(i)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Lenders whose Pro Rata Share (calculated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thereof) aggregate at least 50.1%.</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Junior Payment</w:t>
      </w:r>
      <w:r>
        <w:rPr>
          <w:rFonts w:ascii="Times New Roman" w:cs="Times New Roman" w:eastAsia="Times New Roman" w:hAnsi="Times New Roman"/>
          <w:sz w:val="20"/>
          <w:szCs w:val="20"/>
          <w:color w:val="auto"/>
        </w:rPr>
        <w:t>” 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(d) [reserved], and (e) any payment or prepayment of principal of, premium, if any, or interest on, or redemption, purchase, retirement, defeasance (including in substance or legal defeasance), sinking fund or similar payment with respect to, any subordinated Indebtedness.</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License</w:t>
      </w:r>
      <w:r>
        <w:rPr>
          <w:rFonts w:ascii="Times New Roman" w:cs="Times New Roman" w:eastAsia="Times New Roman" w:hAnsi="Times New Roman"/>
          <w:sz w:val="20"/>
          <w:szCs w:val="20"/>
          <w:color w:val="auto"/>
        </w:rPr>
        <w:t xml:space="preserve">” means any Product Agreement that (i) cannot be collaterally assigned to secure the Obligations or otherwise contains provisions that restrict or penalize the granting of a security interest in or Lien on such Product Agreement or the related Product Intellectual Property Rights, (ii)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(iii) does not permit the disclosure of information to be provided thereunder to Administrative Agent and the Lenders, any purchaser or prospective purchaser in a foreclosure or other Transfer of all or any portion of the Collateral (subject to customary confidentiality obligations); provided a Product Agreement shall not be a “Restricted Licenses” by virtue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if Borrower and/or the applicable Subsidiary has used commercially reasonable efforts to permit, or other obtain permission for, such disclosure.</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w:t>
      </w:r>
      <w:r>
        <w:rPr>
          <w:rFonts w:ascii="Times New Roman" w:cs="Times New Roman" w:eastAsia="Times New Roman" w:hAnsi="Times New Roman"/>
          <w:sz w:val="20"/>
          <w:szCs w:val="20"/>
          <w:color w:val="auto"/>
        </w:rPr>
        <w:t>” means a receptor tyrosine kinase commonly known as Rearranged during Transfection, including without limitation any isoforms of the foregoing.</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Roche Agreement</w:t>
      </w:r>
      <w:r>
        <w:rPr>
          <w:rFonts w:ascii="Times New Roman" w:cs="Times New Roman" w:eastAsia="Times New Roman" w:hAnsi="Times New Roman"/>
          <w:sz w:val="20"/>
          <w:szCs w:val="20"/>
          <w:color w:val="auto"/>
        </w:rPr>
        <w:t>” means that certain Collaboration Agreement, dated as of July 13, 2020, by and among F. Hoffman-La Roche Ltd, Genentech, Inc. and Borrower, as in effective as of the date hereof (and as the same may be amended, restated, amended and restated or otherwise modified from time to time to the extent not prohibited by this Agreement).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Agent</w:t>
      </w:r>
      <w:r>
        <w:rPr>
          <w:rFonts w:ascii="Times New Roman" w:cs="Times New Roman" w:eastAsia="Times New Roman" w:hAnsi="Times New Roman"/>
          <w:sz w:val="20"/>
          <w:szCs w:val="20"/>
          <w:color w:val="auto"/>
        </w:rPr>
        <w:t>” has the meaning given to the term “Purchaser’s Representative” in the AYVAKIT/BLU-263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1" w:name="page252"/>
    <w:bookmarkEnd w:id="251"/>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Monetization Transaction</w:t>
      </w:r>
      <w:r>
        <w:rPr>
          <w:rFonts w:ascii="Times New Roman" w:cs="Times New Roman" w:eastAsia="Times New Roman" w:hAnsi="Times New Roman"/>
          <w:sz w:val="20"/>
          <w:szCs w:val="20"/>
          <w:color w:val="auto"/>
        </w:rPr>
        <w:t>” means any monetization transaction involving the sale, transfer, option or collateralization of (i) any monetary payments (contingent or otherwise) payable to Borrower or its Subsidiaries by a counterparty under a Product Agreement, or (ii) any Product Revenues, in each case whether in whole or in part, including but not limited to sales of royalty streams, royalty bonds and other royalty financings, synthetic royalty and revenue interest transactions (including but not limited to clinical trial funding arrangements), and hybrid monetization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Group, a division of The McGraw Hill Corporation.</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xml:space="preserve">”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that is a target of Sanctions, including a target of any country or territory sanctions program administered and enforced by OFAC.</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Lender or any Loan Party or any of their respective Subsidiaries or Affiliates.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has the meaning assigned to that term in the Pledge and Security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means a securities account (as defined in the UCC).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Lender Intercreditor Agreement</w:t>
      </w:r>
      <w:r>
        <w:rPr>
          <w:rFonts w:ascii="Times New Roman" w:cs="Times New Roman" w:eastAsia="Times New Roman" w:hAnsi="Times New Roman"/>
          <w:sz w:val="20"/>
          <w:szCs w:val="20"/>
          <w:color w:val="auto"/>
        </w:rPr>
        <w:t>” means that certain Senior Lender Intercreditor Agreement dated as of the date hereof among the Royalty Agent, as collateral agent under the AYVAKIT/BLU-263 Purchase Agreement, and the Administrative Agent.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xml:space="preserve">” means a Loan bearing interest at a rate determined by reference to Term SOFR (other than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“Base Rate”).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Solvency Certificate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2" w:name="page253"/>
    <w:bookmarkEnd w:id="252"/>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reflected in the Projections, and (iii) such Loan Party has not incurred and does not intend to incur, or believe (nor should it reasonably believe) that it will incur, debts beyond its ability to pay such debts as they become due (whether at maturity or otherwise) and (b) such Person is “</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determining the percentage of ownership interests of any Person controlled by another Person, no ownership interest in the nature of a “qualifying share” of the former Person shall be deemed to be outstanding. When used herein, “Subsidiary” shall mean a Subsidiary of Borrower unless otherwise specified.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present or future tax, levy, impost, duty, assessment, charge, fee, deduction or withholding (including backup withholding) or other charge imposed by any Governmental Authority, and any interest, penalties, additions to tax or other liabilities with respect thereto.</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collectively, the Initial Term Loan and each Delayed Draw Term Loan.</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means, collectively, the Initial Term Loan Commitment and the Delayed Draw Term Loan Commitments.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means the earlier of (a) June 30, 2028 and (b) the date that the Term Loan shall become due and payable in full hereunder, whether by acceleration or otherwise.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304"/>
        <w:spacing w:after="0" w:line="264" w:lineRule="auto"/>
        <w:tabs>
          <w:tab w:leader="none" w:pos="1944"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that is two</w:t>
      </w:r>
    </w:p>
    <w:p>
      <w:pPr>
        <w:jc w:val="both"/>
        <w:ind w:firstLine="8"/>
        <w:spacing w:after="0" w:line="254" w:lineRule="auto"/>
        <w:tabs>
          <w:tab w:leader="none" w:pos="28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1" w:lineRule="exact"/>
        <w:rPr>
          <w:rFonts w:ascii="Times New Roman" w:cs="Times New Roman" w:eastAsia="Times New Roman" w:hAnsi="Times New Roman"/>
          <w:sz w:val="19"/>
          <w:szCs w:val="19"/>
          <w:color w:val="auto"/>
        </w:rPr>
      </w:pPr>
    </w:p>
    <w:p>
      <w:pPr>
        <w:ind w:left="4860" w:hanging="105"/>
        <w:spacing w:after="0"/>
        <w:tabs>
          <w:tab w:leader="none" w:pos="486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3" w:name="page254"/>
    <w:bookmarkEnd w:id="253"/>
    <w:p>
      <w:pPr>
        <w:jc w:val="both"/>
        <w:ind w:firstLine="1304"/>
        <w:spacing w:after="0" w:line="242" w:lineRule="auto"/>
        <w:tabs>
          <w:tab w:leader="none" w:pos="19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three months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Term SOFR determined as provided above (including pursuant to the proviso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shall ever be less than the Floor, then Term SOFR shall be deemed to be the Floor.</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Date</w:t>
      </w:r>
      <w:r>
        <w:rPr>
          <w:rFonts w:ascii="Times New Roman" w:cs="Times New Roman" w:eastAsia="Times New Roman" w:hAnsi="Times New Roman"/>
          <w:sz w:val="20"/>
          <w:szCs w:val="20"/>
          <w:color w:val="auto"/>
        </w:rPr>
        <w:t>” has the meaning specified in the definition of Excluded Subsidiary.</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Delayed Draw Term Loan Commitment</w:t>
      </w:r>
      <w:r>
        <w:rPr>
          <w:rFonts w:ascii="Times New Roman" w:cs="Times New Roman" w:eastAsia="Times New Roman" w:hAnsi="Times New Roman"/>
          <w:sz w:val="20"/>
          <w:szCs w:val="20"/>
          <w:color w:val="auto"/>
        </w:rPr>
        <w:t>” means the sum of the amounts of the Lenders’ Delayed Draw Term Loan Commitments.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Initial Term Loan Commitment</w:t>
      </w:r>
      <w:r>
        <w:rPr>
          <w:rFonts w:ascii="Times New Roman" w:cs="Times New Roman" w:eastAsia="Times New Roman" w:hAnsi="Times New Roman"/>
          <w:sz w:val="20"/>
          <w:szCs w:val="20"/>
          <w:color w:val="auto"/>
        </w:rPr>
        <w:t>” means the sum of the amounts of the Lenders’ Initial Term Loan Commitments.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the reasonable and documented fees, costs and expenses payable by Borrower or any of its Subsidiaries on or before the Closing Date in connection with the transactions contemplated by the Loan Documents.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of Loan</w:t>
      </w:r>
      <w:r>
        <w:rPr>
          <w:rFonts w:ascii="Times New Roman" w:cs="Times New Roman" w:eastAsia="Times New Roman" w:hAnsi="Times New Roman"/>
          <w:sz w:val="20"/>
          <w:szCs w:val="20"/>
          <w:color w:val="auto"/>
        </w:rPr>
        <w:t>” means with respect to any Term Loan, a Base Rate Loan or a SOFR Loan.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 (including all possessions and territories thereof).</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4" w:name="page255"/>
    <w:bookmarkEnd w:id="25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2.15(d)(i)(B)(3).</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(or any similar or equivalent legislation) as in effect in any applicable jurisdiction.</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w:t>
      </w:r>
    </w:p>
    <w:p>
      <w:pPr>
        <w:spacing w:after="0" w:line="159" w:lineRule="exact"/>
        <w:rPr>
          <w:sz w:val="20"/>
          <w:szCs w:val="20"/>
          <w:color w:val="auto"/>
        </w:rPr>
      </w:pPr>
    </w:p>
    <w:p>
      <w:pPr>
        <w:jc w:val="both"/>
        <w:ind w:firstLine="656"/>
        <w:spacing w:after="0" w:line="249" w:lineRule="auto"/>
        <w:tabs>
          <w:tab w:leader="none" w:pos="129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Accounting and Other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41" w:lineRule="auto"/>
        <w:tabs>
          <w:tab w:leader="none" w:pos="129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20"/>
          <w:szCs w:val="20"/>
          <w:u w:val="single" w:color="auto"/>
          <w:color w:val="auto"/>
        </w:rPr>
        <w:t>Sections 5.1(b)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31, 2018 shall be applied and (iii) with respect to revenue recognition and the impact of such accounting in accordance with FASB ASC 606 on the definitions and covenants herein, GAAP as in effect on December 31, 2017 shall be applied.</w:t>
      </w:r>
    </w:p>
    <w:p>
      <w:pPr>
        <w:spacing w:after="0" w:line="197"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terms used in this Agreement which are defined in Article 8 or Article 9 of the UCC as in effect from time to time in the State of New York and which are not otherwise defined herein shall have the same meanings herein as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terms used herein which are defined in the UCC as in effect in the State of New York on the date hereof shall continue to have the same meaning notwithstanding any replacement or amendment of such statute except as Administrative Agent may otherwise determine.</w:t>
      </w:r>
    </w:p>
    <w:p>
      <w:pPr>
        <w:spacing w:after="0" w:line="184" w:lineRule="exact"/>
        <w:rPr>
          <w:rFonts w:ascii="Times New Roman" w:cs="Times New Roman" w:eastAsia="Times New Roman" w:hAnsi="Times New Roman"/>
          <w:sz w:val="20"/>
          <w:szCs w:val="20"/>
          <w:color w:val="auto"/>
        </w:rPr>
      </w:pPr>
    </w:p>
    <w:p>
      <w:pPr>
        <w:ind w:right="20" w:firstLine="656"/>
        <w:spacing w:after="0" w:line="245" w:lineRule="auto"/>
        <w:tabs>
          <w:tab w:leader="none" w:pos="129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55" w:name="page256"/>
    <w:bookmarkEnd w:id="255"/>
    <w:p>
      <w:pPr>
        <w:spacing w:after="0" w:line="243" w:lineRule="auto"/>
        <w:rPr>
          <w:sz w:val="20"/>
          <w:szCs w:val="20"/>
          <w:color w:val="auto"/>
        </w:rPr>
      </w:pPr>
      <w:r>
        <w:rPr>
          <w:rFonts w:ascii="Times New Roman" w:cs="Times New Roman" w:eastAsia="Times New Roman" w:hAnsi="Times New Roman"/>
          <w:sz w:val="20"/>
          <w:szCs w:val="20"/>
          <w:color w:val="auto"/>
        </w:rPr>
        <w:t>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8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Interpretation, Etc</w:t>
      </w:r>
      <w:r>
        <w:rPr>
          <w:rFonts w:ascii="Times New Roman" w:cs="Times New Roman" w:eastAsia="Times New Roman" w:hAnsi="Times New Roman"/>
          <w:sz w:val="20"/>
          <w:szCs w:val="20"/>
          <w:color w:val="auto"/>
        </w:rPr>
        <w:t xml:space="preserve">. 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Applicable Premium and any Prepayment Premium, (ii) all costs, expenses, or indemnities payable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Section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(b) the receipt by Administrative Agent of cash collateral in order to secure any other contingent Obligations for which a claim or demand for payment has been made on or prior to such time or in respect of matters or circumstances known to the Administrative Agent or a Lender at such time that are reasonably expected to result in any loss, cost, damage, or expense (including attorneys’ fees and legal expenses), such cash collateral to be in such amount as the Administrative Agent reasonably determines is appropriate to secure such contingent Obligations, and (c) the termination of all of the Term Loan Commitments. Notwithstanding anything in this Agreement to the contrary, (A) the Dodd-Frank Wall Street Reform and Consumer Protection Act and all requests, rules, guidelines or directives thereunder or issued in connection therewith and</w:t>
      </w:r>
    </w:p>
    <w:p>
      <w:pPr>
        <w:spacing w:after="0" w:line="10" w:lineRule="exact"/>
        <w:rPr>
          <w:sz w:val="20"/>
          <w:szCs w:val="20"/>
          <w:color w:val="auto"/>
        </w:rPr>
      </w:pPr>
    </w:p>
    <w:p>
      <w:pPr>
        <w:ind w:right="40" w:firstLine="8"/>
        <w:spacing w:after="0"/>
        <w:tabs>
          <w:tab w:leader="none" w:pos="31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256" w:name="page257"/>
    <w:bookmarkEnd w:id="256"/>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all Loan Documents.</w:t>
      </w:r>
    </w:p>
    <w:p>
      <w:pPr>
        <w:spacing w:after="0" w:line="17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Time References</w:t>
      </w:r>
      <w:r>
        <w:rPr>
          <w:rFonts w:ascii="Times New Roman" w:cs="Times New Roman" w:eastAsia="Times New Roman" w:hAnsi="Times New Roman"/>
          <w:sz w:val="19"/>
          <w:szCs w:val="19"/>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 respect to a computation of fees or interest payable to Administrative Agent or any Lender, such period shall in any event consist of at least one full day.</w:t>
      </w:r>
    </w:p>
    <w:p>
      <w:pPr>
        <w:spacing w:after="0" w:line="16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Certain Matters of Construction</w:t>
      </w:r>
      <w:r>
        <w:rPr>
          <w:rFonts w:ascii="Times New Roman" w:cs="Times New Roman" w:eastAsia="Times New Roman" w:hAnsi="Times New Roman"/>
          <w:sz w:val="20"/>
          <w:szCs w:val="20"/>
          <w:color w:val="auto"/>
        </w:rPr>
        <w:t>.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205"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xml:space="preserve">. References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will be similar to, or produce the same value or economic equivalence of, or have the same volume or liquidity as, the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7" w:name="page258"/>
    <w:bookmarkEnd w:id="257"/>
    <w:p>
      <w:pPr>
        <w:spacing w:after="0" w:line="242" w:lineRule="auto"/>
        <w:rPr>
          <w:sz w:val="20"/>
          <w:szCs w:val="20"/>
          <w:color w:val="auto"/>
        </w:rPr>
      </w:pPr>
      <w:r>
        <w:rPr>
          <w:rFonts w:ascii="Times New Roman" w:cs="Times New Roman" w:eastAsia="Times New Roman" w:hAnsi="Times New Roman"/>
          <w:sz w:val="20"/>
          <w:szCs w:val="20"/>
          <w:color w:val="auto"/>
        </w:rPr>
        <w:t>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Company.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Limited Condition Transactions</w:t>
      </w:r>
      <w:r>
        <w:rPr>
          <w:rFonts w:ascii="Times New Roman" w:cs="Times New Roman" w:eastAsia="Times New Roman" w:hAnsi="Times New Roman"/>
          <w:sz w:val="20"/>
          <w:szCs w:val="20"/>
          <w:color w:val="auto"/>
        </w:rPr>
        <w:t>. For purposes of (i) determining whether any Default or Event of Default has occurred or (ii) testing availability under baskets set forth in this Agreement or the other Loan Documents, in each case, in connection with a Limited Condition Transaction, at the option of the Borrower (the Borrower’s election to exercise such option in connection with any Limited Condition Transaction, an “LCT Election”), the date of determination of whether any such action is permitted hereunder, shall be deemed to be the date the definitive agreement for such Limited Condition Transaction is entered into (such date, the “LCT Test Date”), and if the Borrower could have taken such action on the relevant LCT Test Date in compliance with such basket, such basket shall be deemed to have been complied with. If the Borrower has made an LCT Election for any Limited Condition Transaction, then in connection with any subsequent calculation of any basket on or following the relevant LCT Test Date and prior to the earlier of (i) the date on which such Limited Condition Transaction is consummated, and (ii) the date that the definitive agreement for such Limited Condition Transaction is terminated or expires without consummation of such Limited Condition Transaction, any such basket shall be calculated and tested on a Pro Forma Basis assuming such Limited Condition Transaction and other transactions in connection therewith have been consummated until such time as the applicable Limited Condition Transaction has actually closed or the definitive agreement for such Limited Condition Transaction has been terminated. For the avoidance of doubt, if any of such amounts are exceeded as a result of fluctuations in such amount (including due to fluctuations in Consolidated Total Cash of the Borrower), at or prior to the consummation of the relevant transaction or action, such basket will not be deemed to have been exceeded as a result of such fluctuations solely for purposes of determining whether the relevant transaction or action is permitted to be consummated or taken.</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II</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LOANS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right="140" w:firstLine="644"/>
        <w:spacing w:after="0" w:line="269" w:lineRule="auto"/>
        <w:tabs>
          <w:tab w:leader="none" w:pos="195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Term Loans; Delayed Draw Term Loans; Incremental Term Loans</w:t>
      </w:r>
      <w:r>
        <w:rPr>
          <w:rFonts w:ascii="Times New Roman" w:cs="Times New Roman" w:eastAsia="Times New Roman" w:hAnsi="Times New Roman"/>
          <w:sz w:val="20"/>
          <w:szCs w:val="20"/>
          <w:color w:val="auto"/>
        </w:rPr>
        <w:t>. Subject to the terms and conditions hereof:</w:t>
      </w:r>
    </w:p>
    <w:p>
      <w:pPr>
        <w:spacing w:after="0" w:line="172" w:lineRule="exact"/>
        <w:rPr>
          <w:rFonts w:ascii="Times New Roman" w:cs="Times New Roman" w:eastAsia="Times New Roman" w:hAnsi="Times New Roman"/>
          <w:sz w:val="20"/>
          <w:szCs w:val="20"/>
          <w:color w:val="auto"/>
        </w:rPr>
      </w:pPr>
    </w:p>
    <w:p>
      <w:pPr>
        <w:ind w:right="120" w:firstLine="1952"/>
        <w:spacing w:after="0" w:line="269" w:lineRule="auto"/>
        <w:tabs>
          <w:tab w:leader="none" w:pos="2592"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the Initial Funding Date, an Initial Term Loan to Company in an amount equal to such Lender’s Initial Term Loan Commitment;</w:t>
      </w:r>
    </w:p>
    <w:p>
      <w:pPr>
        <w:spacing w:after="0" w:line="172" w:lineRule="exact"/>
        <w:rPr>
          <w:rFonts w:ascii="Times New Roman" w:cs="Times New Roman" w:eastAsia="Times New Roman" w:hAnsi="Times New Roman"/>
          <w:sz w:val="20"/>
          <w:szCs w:val="20"/>
          <w:color w:val="auto"/>
        </w:rPr>
      </w:pPr>
    </w:p>
    <w:p>
      <w:pPr>
        <w:jc w:val="both"/>
        <w:ind w:right="620" w:firstLine="1952"/>
        <w:spacing w:after="0" w:line="254" w:lineRule="auto"/>
        <w:tabs>
          <w:tab w:leader="none" w:pos="2592"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one occasion during the Delayed Draw A Commitment Period, Delayed Draw A Term Loans to Company in an aggregate amount not to exceed such Lender’s Delayed Draw A Term Loan Commitment;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8" w:right="1059" w:bottom="1440" w:gutter="0" w:footer="0" w:header="0"/>
        </w:sectPr>
      </w:pPr>
    </w:p>
    <w:bookmarkStart w:id="258" w:name="page259"/>
    <w:bookmarkEnd w:id="258"/>
    <w:p>
      <w:pPr>
        <w:jc w:val="both"/>
        <w:ind w:right="680" w:firstLine="1952"/>
        <w:spacing w:after="0" w:line="253" w:lineRule="auto"/>
        <w:tabs>
          <w:tab w:leader="none" w:pos="259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one occasion during the Delayed Draw B Commitment Period, Delayed Draw B Term Loans to Company in an aggregate amount not to exceed such Lender’s Delayed Draw B Term Loan Commitment; and</w:t>
      </w:r>
    </w:p>
    <w:p>
      <w:pPr>
        <w:spacing w:after="0" w:line="189" w:lineRule="exact"/>
        <w:rPr>
          <w:rFonts w:ascii="Times New Roman" w:cs="Times New Roman" w:eastAsia="Times New Roman" w:hAnsi="Times New Roman"/>
          <w:sz w:val="20"/>
          <w:szCs w:val="20"/>
          <w:color w:val="auto"/>
        </w:rPr>
      </w:pPr>
    </w:p>
    <w:p>
      <w:pPr>
        <w:ind w:right="20" w:firstLine="1952"/>
        <w:spacing w:after="0" w:line="254" w:lineRule="auto"/>
        <w:tabs>
          <w:tab w:leader="none" w:pos="259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option of Company, and subject to the approval of Lenders in their sole discretion, each Lender may, severally and not jointly, make Incremental Term Loans to Company in an aggregate amount not to exceed $260,000,000.00.</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Company may make only one borrowing under the Initial Term Loan Commitment, which shall be on the Initial Funding Date, and may make only one borrowing under each of the Delayed Draw A Commitment and Delayed Draw B Commitment. Any amount borrowed under this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and subsequently repaid or prepaid may not be reborrowed. Subject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all amounts owed hereunder with respect to the Term Loan shall be paid in full no later than the Term Loan Maturity Date. Each Lender’s Initial Term Loan Commitment, Delayed Draw A Commitment, and Delayed Draw B Commitment shall terminate immediately and without further action on the Credit Date on which such Lender funds Initial Term Loans, Delayed Draw A Term Loans or Delayed Draw B Term Loans, respectively, after giving effect to the funding of such Term Loans on such Credit Date.</w:t>
      </w:r>
    </w:p>
    <w:p>
      <w:pPr>
        <w:spacing w:after="0" w:line="189" w:lineRule="exact"/>
        <w:rPr>
          <w:sz w:val="20"/>
          <w:szCs w:val="20"/>
          <w:color w:val="auto"/>
        </w:rPr>
      </w:pPr>
    </w:p>
    <w:p>
      <w:pPr>
        <w:ind w:left="1960" w:hanging="656"/>
        <w:spacing w:after="0"/>
        <w:tabs>
          <w:tab w:leader="none" w:pos="19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Mechanics for Term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52"/>
        <w:spacing w:after="0" w:line="255" w:lineRule="auto"/>
        <w:tabs>
          <w:tab w:leader="none" w:pos="2592"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Company shall deliver to Administrative Agent a fully executed Funding Notice no later than three Business Days prior to the Initial Funding Date (or such shorter period permitted by Administrative Agent), with respect to Term Loans made on the Initial Funding Date. Following the Initial Funding Date (and subject to the conditions set forth in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whenever Company desires that Lenders make a Delayed Draw Term Loan, Company shall deliver to Administrative Agent a fully executed and delivered Funding Notice no later than 10:00 a.m. (New York City time) at least fifteen (15) U.S. Government Securities Business Days in advance of the proposed Credit Date. Except as otherwise provided herein, a Funding Notice for a Term Loan that is a SOFR Loan shall be irrevocable on and after the related Interest Rate Determination Date, and Company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Company (or from any Authorized Officer thereof designated in writing purportedly from Company to Administrative Agent), (B) shall be entitled to rely conclusively on any Authorized Officer’s authority to request a Term Loan on behalf of Company until Administrative Agent receives written notice to the contrary, and (C) shall have no duty to verify the authenticity of the signature appearing on any written Funding Notice.</w:t>
      </w:r>
    </w:p>
    <w:p>
      <w:pPr>
        <w:spacing w:after="0" w:line="179" w:lineRule="exact"/>
        <w:rPr>
          <w:rFonts w:ascii="Times New Roman" w:cs="Times New Roman" w:eastAsia="Times New Roman" w:hAnsi="Times New Roman"/>
          <w:sz w:val="19"/>
          <w:szCs w:val="19"/>
          <w:color w:val="auto"/>
        </w:rPr>
      </w:pPr>
    </w:p>
    <w:p>
      <w:pPr>
        <w:jc w:val="both"/>
        <w:ind w:firstLine="1952"/>
        <w:spacing w:after="0" w:line="244" w:lineRule="auto"/>
        <w:tabs>
          <w:tab w:leader="none" w:pos="2592"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Company on the applicable Credit Date by causing an amount of same day funds in Dollars equal to the proceeds of all such Loans received by Administrative Agent from Lenders to be credited to the account of Company at Administrative Agent’s Principal Office or to such other account as may be designated in writing to Administrative Agent by Company.</w:t>
      </w:r>
    </w:p>
    <w:p>
      <w:pPr>
        <w:spacing w:after="0" w:line="18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Delayed Draw A Commitment Period, Company may make one (1) draw of Delayed Draw A Term Loans in a minimum amount of $10,000,000 and integral multiples of $5,000,000 in excess of that amount.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9" w:name="page260"/>
    <w:bookmarkEnd w:id="259"/>
    <w:p>
      <w:pPr>
        <w:jc w:val="both"/>
        <w:ind w:firstLine="1952"/>
        <w:spacing w:after="0" w:line="253" w:lineRule="auto"/>
        <w:tabs>
          <w:tab w:leader="none" w:pos="2592" w:val="left"/>
        </w:tabs>
        <w:numPr>
          <w:ilvl w:val="2"/>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Delayed Draw B Commitment Period, Company may make one (1) draw of Delayed Draw B Term Loans in an aggregate minimum amount of $10,000,000 and integral multiples of $5,000,000 in excess of that amount.</w:t>
      </w:r>
    </w:p>
    <w:p>
      <w:pPr>
        <w:spacing w:after="0" w:line="176"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2"/>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Funding Notice requesting Incremental Term Loans, (i) the Administrative Agent shall promptly forward such Funding Notice to each Lender and (ii) each Lender shall, within fifteen</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41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Government Securities Business Days of receipt of such Funding Notice, elect or decline to commit, on the applicable Credit Date, to provide its Pro Rata Share of such Term Loans. During such fifteen (15) U.S. Government Securities Business Days period, Borrower shall provide to Administrative Agent, for distribution to the Lenders, such information as reasonably requested by Lenders, including, without limitation any information related to the use of funds of such Incremental Term Loans.</w:t>
      </w:r>
    </w:p>
    <w:p>
      <w:pPr>
        <w:spacing w:after="0" w:line="18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Shares; Availability of Funds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Shares</w:t>
      </w:r>
      <w:r>
        <w:rPr>
          <w:rFonts w:ascii="Times New Roman" w:cs="Times New Roman" w:eastAsia="Times New Roman" w:hAnsi="Times New Roman"/>
          <w:sz w:val="20"/>
          <w:szCs w:val="20"/>
          <w:color w:val="auto"/>
        </w:rPr>
        <w:t>. All Loans (other than the Incremental Term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spacing w:after="0" w:line="184"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 of Funds</w:t>
      </w:r>
      <w:r>
        <w:rPr>
          <w:rFonts w:ascii="Times New Roman" w:cs="Times New Roman" w:eastAsia="Times New Roman" w:hAnsi="Times New Roman"/>
          <w:sz w:val="20"/>
          <w:szCs w:val="20"/>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Company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Company and Company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20"/>
          <w:szCs w:val="20"/>
          <w:u w:val="single" w:color="auto"/>
          <w:color w:val="auto"/>
        </w:rPr>
        <w:t>Section 2.1(d)(ii)</w:t>
      </w:r>
      <w:r>
        <w:rPr>
          <w:rFonts w:ascii="Times New Roman" w:cs="Times New Roman" w:eastAsia="Times New Roman" w:hAnsi="Times New Roman"/>
          <w:sz w:val="20"/>
          <w:szCs w:val="20"/>
          <w:color w:val="auto"/>
        </w:rPr>
        <w:t xml:space="preserve"> shall be deemed to relieve any Lender from its obligation to fulfill its Term Loan Commitments hereunder or to prejudice any rights that Company may have against any Lender as a result of any default by such Lender hereunder.</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shall be applied by Company (a) for the development, promotion and commercial launch of AYVAKIT and BLU-263, (b) to fund potential acquisition and partnership opportunities and (c) for working capital, pipeline research and development and general corporate purposes of Borrower and its Subsidiaries.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0" w:name="page261"/>
    <w:bookmarkEnd w:id="260"/>
    <w:p>
      <w:pPr>
        <w:ind w:left="200"/>
        <w:spacing w:after="0"/>
        <w:tabs>
          <w:tab w:leader="none" w:pos="148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Evidence of Debt; Register; Lenders’ Books and Records; Notes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460" w:firstLine="1304"/>
        <w:spacing w:after="0" w:line="245" w:lineRule="auto"/>
        <w:tabs>
          <w:tab w:leader="none" w:pos="14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Evidence of Debt</w:t>
      </w:r>
      <w:r>
        <w:rPr>
          <w:rFonts w:ascii="Times New Roman" w:cs="Times New Roman" w:eastAsia="Times New Roman" w:hAnsi="Times New Roman"/>
          <w:sz w:val="20"/>
          <w:szCs w:val="20"/>
          <w:color w:val="auto"/>
        </w:rPr>
        <w:t xml:space="preserve">. Each Lender shall maintain on its internal records an account or accounts evidencing the Obligations of Company to such Lender, including the amounts of the Term Loans made by it and each repayment and prepayment in respect thereof. Any such recordation shall be conclusive and binding on Company,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make any such recordation, or any error in such recordation, shall not affect Company’s Obligations in respect of any Term Loans;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in the event of any inconsistency between the Register and any Lender’s records, the recordations in the Register shall govern.</w:t>
      </w:r>
    </w:p>
    <w:p>
      <w:pPr>
        <w:spacing w:after="0" w:line="184" w:lineRule="exact"/>
        <w:rPr>
          <w:rFonts w:ascii="Times New Roman" w:cs="Times New Roman" w:eastAsia="Times New Roman" w:hAnsi="Times New Roman"/>
          <w:sz w:val="20"/>
          <w:szCs w:val="20"/>
          <w:color w:val="auto"/>
        </w:rPr>
      </w:pPr>
    </w:p>
    <w:p>
      <w:pPr>
        <w:jc w:val="both"/>
        <w:ind w:left="-460" w:firstLine="1304"/>
        <w:spacing w:after="0" w:line="242" w:lineRule="auto"/>
        <w:tabs>
          <w:tab w:leader="none" w:pos="14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Administrative Agent shall maintain at its Principal Office a register for the recordation of the names and addresses of Lenders and the principal amount of the Term Loans (and stated interest therein) of each Lender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Register shall be available for inspection by Company at any reasonable time and from time to time upon reasonable prior notice. Administrative Agent shall record in the Register the Term Loans (and stated interest thereon), and each repayment or prepayment in respect of the principal amount of the Term Loans, and any such recordation shall be conclusive and binding on Company and each Lender,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failure to make any such recordation, or any error in such recordation, shall not affect Company’s Obligations in respect of any Term Loan. Company hereby designates the entity serving as Administrative Agent to serve as Company’s non-fiduciary agent solely for purposes of maintaining the Register as provided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 Company hereby agrees that, to the extent such entity serves in such capacity, the entity serving as Administrative Agent and its officers, directors, employees, agents and affiliates shall constitute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460" w:firstLine="1304"/>
        <w:spacing w:after="0" w:line="246" w:lineRule="auto"/>
        <w:tabs>
          <w:tab w:leader="none" w:pos="14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If so requested by any Lender by written notice to Company (with a copy to Administrative Agent) at least two Business Days prior to the Closing Date, or at any time thereafter, Company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on the Closing Date (or, if such notice is delivered after the Closing Date, promptly after Company’s receipt of such notice) a Note or Notes.</w:t>
      </w:r>
    </w:p>
    <w:p>
      <w:pPr>
        <w:spacing w:after="0" w:line="185"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60" w:firstLine="1304"/>
        <w:spacing w:after="0" w:line="254" w:lineRule="auto"/>
        <w:tabs>
          <w:tab w:leader="none" w:pos="148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(ii) if a SOFR Loan, at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4" w:lineRule="exact"/>
        <w:rPr>
          <w:rFonts w:ascii="Times New Roman" w:cs="Times New Roman" w:eastAsia="Times New Roman" w:hAnsi="Times New Roman"/>
          <w:sz w:val="20"/>
          <w:szCs w:val="20"/>
          <w:color w:val="auto"/>
        </w:rPr>
      </w:pPr>
    </w:p>
    <w:p>
      <w:pPr>
        <w:jc w:val="both"/>
        <w:ind w:left="-460" w:firstLine="1304"/>
        <w:spacing w:after="0" w:line="245" w:lineRule="auto"/>
        <w:tabs>
          <w:tab w:leader="none" w:pos="148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for determining the rate of interest with respect to any Loan, and the Interest Period with respect to any SOFR Loan, shall be selected by Company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84" w:lineRule="exact"/>
        <w:rPr>
          <w:rFonts w:ascii="Times New Roman" w:cs="Times New Roman" w:eastAsia="Times New Roman" w:hAnsi="Times New Roman"/>
          <w:sz w:val="20"/>
          <w:szCs w:val="20"/>
          <w:color w:val="auto"/>
        </w:rPr>
      </w:pPr>
    </w:p>
    <w:p>
      <w:pPr>
        <w:jc w:val="both"/>
        <w:ind w:left="-460" w:firstLine="1304"/>
        <w:spacing w:after="0" w:line="245" w:lineRule="auto"/>
        <w:tabs>
          <w:tab w:leader="none" w:pos="148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SOFR Loans there shall be no more than five (5) Interest Periods outstanding at any time. In the event Company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At any time that a Default or an Event of Default has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400" w:hanging="105"/>
        <w:spacing w:after="0"/>
        <w:tabs>
          <w:tab w:leader="none" w:pos="440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1" w:name="page262"/>
    <w:bookmarkEnd w:id="261"/>
    <w:p>
      <w:pPr>
        <w:jc w:val="both"/>
        <w:spacing w:after="0" w:line="245" w:lineRule="auto"/>
        <w:rPr>
          <w:sz w:val="20"/>
          <w:szCs w:val="20"/>
          <w:color w:val="auto"/>
        </w:rPr>
      </w:pPr>
      <w:r>
        <w:rPr>
          <w:rFonts w:ascii="Times New Roman" w:cs="Times New Roman" w:eastAsia="Times New Roman" w:hAnsi="Times New Roman"/>
          <w:sz w:val="20"/>
          <w:szCs w:val="20"/>
          <w:color w:val="auto"/>
        </w:rPr>
        <w:t>occurred and is continuing, Company no longer shall have the option to request that any portion of the Loans be a SOFR Loan and such SOFR Loans shall automatically convert to Base Rate Loans on the last day of the then current Interest Period. As 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Company and each Lender.</w:t>
      </w:r>
    </w:p>
    <w:p>
      <w:pPr>
        <w:spacing w:after="0" w:line="184" w:lineRule="exact"/>
        <w:rPr>
          <w:sz w:val="20"/>
          <w:szCs w:val="20"/>
          <w:color w:val="auto"/>
        </w:rPr>
      </w:pPr>
    </w:p>
    <w:p>
      <w:pPr>
        <w:jc w:val="both"/>
        <w:ind w:firstLine="1304"/>
        <w:spacing w:after="0" w:line="243" w:lineRule="auto"/>
        <w:tabs>
          <w:tab w:leader="none" w:pos="19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payable hereunder shall be computed on the basis of a 360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on which it is made, one day’s interest shall be paid on that Loan.</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herein, interest on each Term Loan shall be payable in cash and in arrears (i) on each Interest Payment Date and (ii) upon any prepayment of that Term Loan, whether voluntary or mandatory, to the extent accrued on the amount being prepaid.</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Company and the Lenders of the effectiveness of any Conforming Changes in connection with the use or administration of Term SOFR.</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Conversion/Continuation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69" w:lineRule="auto"/>
        <w:tabs>
          <w:tab w:leader="none" w:pos="19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so long as no Default or Event of Default shall have occurred and then be continuing, Company shall have the option:</w:t>
      </w:r>
    </w:p>
    <w:p>
      <w:pPr>
        <w:spacing w:after="0" w:line="15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SOFR Loan may only be converted on the expiration of the Interest Period applicable to such SOFR Loan unless Company shall pay all amounts due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connection with any such conversion; or</w:t>
      </w:r>
    </w:p>
    <w:p>
      <w:pPr>
        <w:spacing w:after="0" w:line="17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any Interest Period applicable to any SOFR Loan, to continue all or any portion of such Loan equal to $5,000,000 and integral multiples of $5,000,000 in excess of that amount as a SOFR Loan.</w:t>
      </w:r>
    </w:p>
    <w:p>
      <w:pPr>
        <w:spacing w:after="0" w:line="17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deliver a Conversion/Continuation Notice to Administrative Agent no later than 10:00 a.m.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Company shall be bound to effect a conversion or continuation in accordance therewith.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2" w:name="page263"/>
    <w:bookmarkEnd w:id="262"/>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Upon the occurrence and during the continuance of an Event of Default under Sections 8.1(a), (f) or (g), and after notice from the Administrative Agent acting at the direction of the Required Lenders, after the occurrence and during the continuance of any other Event of Default, the principal amount of all Term Loans outstanding and, to the extent permitted by applicable law, any interest payments on the Term Loans or any fees or other amounts owed hereunder (including any Applicable Premium and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is not a permitted alternative to timely payment and shall not constitute a waiver of any Default or Event of Default or otherwise prejudice or limit any rights or remedies of Administrative Agent or any Lender.</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69"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agrees to pay to Administrative Agent all fees payable by it in the Fee Letter in the amounts and at the times specified therein.</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fees referred to in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shall be calculated on the basis of a 360 day year and the actual</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number of days elapsed.</w:t>
      </w:r>
    </w:p>
    <w:p>
      <w:pPr>
        <w:spacing w:after="0" w:line="19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Repayment of Term Loans</w:t>
      </w:r>
      <w:r>
        <w:rPr>
          <w:rFonts w:ascii="Times New Roman" w:cs="Times New Roman" w:eastAsia="Times New Roman" w:hAnsi="Times New Roman"/>
          <w:sz w:val="20"/>
          <w:szCs w:val="20"/>
          <w:color w:val="auto"/>
        </w:rPr>
        <w:t>. The principal amounts of the Term Loans shall be repaid, together with all other amounts owed hereunder with respect thereto, in full in cash no later than the Term Loan Maturity Date.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u w:val="single" w:color="auto"/>
          <w:color w:val="auto"/>
        </w:rPr>
        <w:t>Voluntary Prepayments and Commitment Reductions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960" w:hanging="656"/>
        <w:spacing w:after="0"/>
        <w:tabs>
          <w:tab w:leader="none" w:pos="19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the Fee Letter, Company may prepay at any time the Term Loan on any Business Day in whole or in part (together with any amounts due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in an aggregate minimum amount of $5,000,000 and integral multiples of $5,000,000 in excess of that amount.</w:t>
      </w:r>
    </w:p>
    <w:p>
      <w:pPr>
        <w:spacing w:after="0" w:line="17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such prepayments shall be made (A) upon not less than one (1) Business Day’s prior written notice in the case of Base Rate Loans and (B) upon not less than three (3) Business Days’ prior written notice in the case of SOFR Loans, in each case given to Administrative Agent by 10:00 a.m.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Any such voluntary prepayment shall be applied as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with respect to the Term Loans.</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Commitment Reductions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may, upon not less than three Business Days’ prior written confirmed in writing to Administrative Agent (which written notice Administrative Agent will promptly transmit by facsimile or email to each applicable Lender), at any time and from time to time terminate in whole or permanently reduce in part any unused portion of the Delayed Draw Term Loan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partial reduction of the Delayed Draw Term Loan Commitments shall be in an aggregate minimum amount of $5,000,000 and integral multiples of $5,000,000 in excess of that amount.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3" w:name="page264"/>
    <w:bookmarkEnd w:id="263"/>
    <w:p>
      <w:pPr>
        <w:jc w:val="both"/>
        <w:ind w:left="-460" w:firstLine="1952"/>
        <w:spacing w:after="0" w:line="249" w:lineRule="auto"/>
        <w:tabs>
          <w:tab w:leader="none" w:pos="213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 notice to Administrative Agent shall designate the date (which shall be a Business Day) of such termination or reduction and the amount of any partial reduction, and such termination or reduction of the Delayed Draw Term Loan Commitments shall be effective on the date specified in Company’s notice and shall reduce the Delayed Draw Term Loan of each Lender proportionately to its Pro Rata Share thereof.</w:t>
      </w:r>
    </w:p>
    <w:p>
      <w:pPr>
        <w:spacing w:after="0" w:line="179"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500" w:hanging="656"/>
        <w:spacing w:after="0"/>
        <w:tabs>
          <w:tab w:leader="none" w:pos="15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60" w:firstLine="1952"/>
        <w:spacing w:after="0" w:line="241" w:lineRule="auto"/>
        <w:tabs>
          <w:tab w:leader="none" w:pos="21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the [***] following the date of receipt by any Loan Party of any Net Proceeds from Asset Sales (other than any Asset Sale described in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(solely with respect to the GRAVETO Royalty Transaction),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in excess of [***], Company shall,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2.11(b)</w:t>
      </w:r>
      <w:r>
        <w:rPr>
          <w:rFonts w:ascii="Times New Roman" w:cs="Times New Roman" w:eastAsia="Times New Roman" w:hAnsi="Times New Roman"/>
          <w:sz w:val="20"/>
          <w:szCs w:val="20"/>
          <w:color w:val="auto"/>
        </w:rPr>
        <w:t xml:space="preserve">, prepay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in an aggregate amount equal to such Net Proceeds in excess of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such prepayment shall not be required so long as (i) no Event of Default shall have occurred and be continuing and (ii) Company has delivered Administrative Agent prior written notice of Company’s intention to apply such monies (the “</w:t>
      </w:r>
      <w:r>
        <w:rPr>
          <w:rFonts w:ascii="Times New Roman" w:cs="Times New Roman" w:eastAsia="Times New Roman" w:hAnsi="Times New Roman"/>
          <w:sz w:val="20"/>
          <w:szCs w:val="20"/>
          <w:u w:val="single" w:color="auto"/>
          <w:color w:val="auto"/>
        </w:rPr>
        <w:t>Reinvestment Amounts</w:t>
      </w:r>
      <w:r>
        <w:rPr>
          <w:rFonts w:ascii="Times New Roman" w:cs="Times New Roman" w:eastAsia="Times New Roman" w:hAnsi="Times New Roman"/>
          <w:sz w:val="20"/>
          <w:szCs w:val="20"/>
          <w:color w:val="auto"/>
        </w:rPr>
        <w:t xml:space="preserve">”) to research, develop, Commercialize or purchase other assets or Products used or useful in the business of the Loan Parties. including capital expenditures, research and development and Permitted Acquisitions, (iii) the Loan Parties complete such reinvestment or purchase within [***] after the initial receipt of such monies, the Loan Parties shall have the option to apply the Reinvestment Amounts to reinvest in or to the costs of purchase of other assets used or useful in the business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Net Proceeds are no longer intended to be or cannot be so reinvested during the applicable [***] period, and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left="-460" w:right="20" w:firstLine="1952"/>
        <w:spacing w:after="0" w:line="269" w:lineRule="auto"/>
        <w:tabs>
          <w:tab w:leader="none" w:pos="21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460" w:firstLine="1304"/>
        <w:spacing w:after="0" w:line="241" w:lineRule="auto"/>
        <w:tabs>
          <w:tab w:leader="none" w:pos="14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Insurance/Condemnation Proceeds</w:t>
      </w:r>
      <w:r>
        <w:rPr>
          <w:rFonts w:ascii="Times New Roman" w:cs="Times New Roman" w:eastAsia="Times New Roman" w:hAnsi="Times New Roman"/>
          <w:sz w:val="20"/>
          <w:szCs w:val="20"/>
          <w:color w:val="auto"/>
        </w:rPr>
        <w:t xml:space="preserve">. No later than the [***] following the date of receipt by any Loan Party, or Administrative Agent as loss payee, of any Net Proceeds from insurance or any condemnation, taking or other casualty in excess of [***] in the aggregate in any Fiscal Year, Company shall, subject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prepay the Term Loan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in an aggregate amount equal to such Net Proceeds in excess of [***] in the aggregate in any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prepayment shall not be required (i) so long as no Event of Default shall have occurred and be continuing, (ii) Company has delivered Administrative Agent written notice of Company’s intention to apply such proceeds to research, develop, Commercialize or purchase other assets or Products used or useful in the business of the Loan Parties, including capital expenditures, research and development and Permitted Acquisitions, and (iii) the Loan Parties complete such purchase within 365 days after the initial receipt of such monies;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Net Proceeds are no longer intended to be or cannot be so reinvested during the applicable 365 day period, and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460" w:firstLine="1304"/>
        <w:spacing w:after="0" w:line="249" w:lineRule="auto"/>
        <w:tabs>
          <w:tab w:leader="none" w:pos="14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Debt</w:t>
      </w:r>
      <w:r>
        <w:rPr>
          <w:rFonts w:ascii="Times New Roman" w:cs="Times New Roman" w:eastAsia="Times New Roman" w:hAnsi="Times New Roman"/>
          <w:sz w:val="20"/>
          <w:szCs w:val="20"/>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Company shall prepay the Loans in an aggregate amount equal to [***] of such proceeds, net of underwriting discounts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400" w:hanging="105"/>
        <w:spacing w:after="0"/>
        <w:tabs>
          <w:tab w:leader="none" w:pos="440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4" w:name="page265"/>
    <w:bookmarkEnd w:id="264"/>
    <w:p>
      <w:pPr>
        <w:spacing w:after="0" w:line="268" w:lineRule="auto"/>
        <w:rPr>
          <w:sz w:val="20"/>
          <w:szCs w:val="20"/>
          <w:color w:val="auto"/>
        </w:rPr>
      </w:pPr>
      <w:r>
        <w:rPr>
          <w:rFonts w:ascii="Times New Roman" w:cs="Times New Roman" w:eastAsia="Times New Roman" w:hAnsi="Times New Roman"/>
          <w:sz w:val="20"/>
          <w:szCs w:val="20"/>
          <w:color w:val="auto"/>
        </w:rPr>
        <w:t>and commissions and other reasonable costs and expenses associated therewith, in each case, paid to non-Affiliates, including reasonable legal fees and expenses.</w:t>
      </w:r>
    </w:p>
    <w:p>
      <w:pPr>
        <w:spacing w:after="0" w:line="161" w:lineRule="exact"/>
        <w:rPr>
          <w:sz w:val="20"/>
          <w:szCs w:val="20"/>
          <w:color w:val="auto"/>
        </w:rPr>
      </w:pPr>
    </w:p>
    <w:p>
      <w:pPr>
        <w:ind w:left="1960" w:hanging="656"/>
        <w:spacing w:after="0"/>
        <w:tabs>
          <w:tab w:leader="none" w:pos="1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Certificate</w:t>
      </w:r>
      <w:r>
        <w:rPr>
          <w:rFonts w:ascii="Times New Roman" w:cs="Times New Roman" w:eastAsia="Times New Roman" w:hAnsi="Times New Roman"/>
          <w:sz w:val="20"/>
          <w:szCs w:val="20"/>
          <w:color w:val="auto"/>
        </w:rPr>
        <w:t xml:space="preserve">. Concurrently with any prepayment of the Term Loan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Company shall deliver to Administrative Agent a certificate of an Authorized Officer demonstrating the calculation of the amount of the applicable net proceeds and compensation owing to Lenders pursuant to the Fee Letter, if any, as the case may be. In the event that Company shall subsequently determine that the actual amount received exceeded the amount set forth in such certificate, Company shall promptly make an additional prepayment of the Loans, and Company shall concurrently therewith deliver to Administrative Agent a certificate of an Authorized Officer demonstrating the derivation of such excess.</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Application of Prepayments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9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Prepayments of Term Loans</w:t>
      </w:r>
      <w:r>
        <w:rPr>
          <w:rFonts w:ascii="Times New Roman" w:cs="Times New Roman" w:eastAsia="Times New Roman" w:hAnsi="Times New Roman"/>
          <w:sz w:val="20"/>
          <w:szCs w:val="20"/>
          <w:color w:val="auto"/>
        </w:rPr>
        <w:t xml:space="preserve">. (i) Any prepayment of the Term Loan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(ii) except in connection with any Waivable Mandatory Prepayment provided for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so long as no Application Event has occurred and is continuing, any mandatory prepayment of any Loan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in each case, shall be applied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 xml:space="preserve">first, </w:t>
      </w:r>
      <w:r>
        <w:rPr>
          <w:rFonts w:ascii="Times New Roman" w:cs="Times New Roman" w:eastAsia="Times New Roman" w:hAnsi="Times New Roman"/>
          <w:sz w:val="20"/>
          <w:szCs w:val="20"/>
          <w:color w:val="auto"/>
        </w:rPr>
        <w:t>to prepay accrued and unpaid interest on the Term Loan;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 xml:space="preserve">second, </w:t>
      </w:r>
      <w:r>
        <w:rPr>
          <w:rFonts w:ascii="Times New Roman" w:cs="Times New Roman" w:eastAsia="Times New Roman" w:hAnsi="Times New Roman"/>
          <w:sz w:val="20"/>
          <w:szCs w:val="20"/>
          <w:color w:val="auto"/>
        </w:rPr>
        <w:t>to pay any Prepayment Premium and any Applicable Premium payable thereon; and</w:t>
      </w:r>
    </w:p>
    <w:p>
      <w:pPr>
        <w:spacing w:after="0" w:line="216"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third, </w:t>
      </w:r>
      <w:r>
        <w:rPr>
          <w:rFonts w:ascii="Times New Roman" w:cs="Times New Roman" w:eastAsia="Times New Roman" w:hAnsi="Times New Roman"/>
          <w:sz w:val="20"/>
          <w:szCs w:val="20"/>
          <w:color w:val="auto"/>
        </w:rPr>
        <w:t>to prepay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the principal of the Initial Term Loan until paid in full and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principal of the Delayed Draw Term Loan until paid in full.</w:t>
      </w:r>
    </w:p>
    <w:p>
      <w:pPr>
        <w:spacing w:after="0" w:line="156" w:lineRule="exact"/>
        <w:rPr>
          <w:sz w:val="20"/>
          <w:szCs w:val="20"/>
          <w:color w:val="auto"/>
        </w:rPr>
      </w:pPr>
    </w:p>
    <w:p>
      <w:pPr>
        <w:jc w:val="both"/>
        <w:ind w:firstLine="1304"/>
        <w:spacing w:after="0" w:line="241"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Anything contained herein to the contrary notwithstanding, in the event Company is required to make any mandatory prepayment (a “</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of the Term Loans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not less than [***] prior to the date (the “</w:t>
      </w:r>
      <w:r>
        <w:rPr>
          <w:rFonts w:ascii="Times New Roman" w:cs="Times New Roman" w:eastAsia="Times New Roman" w:hAnsi="Times New Roman"/>
          <w:sz w:val="20"/>
          <w:szCs w:val="20"/>
          <w:u w:val="single" w:color="auto"/>
          <w:color w:val="auto"/>
        </w:rPr>
        <w:t>Required Prepayment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on which Company is required to make such Waivable Mandatory Prepayment, Company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Company and Administrative Agent of its election to do so on or before the first Business Day prior to the Required Prepayment Date (it being understood that any Lender which does not notify Company and Administrative Agent of its election to exercise such option on or before the first Business Day prior to the Required Prepayment Date shall be deemed to have elected, as of such date, not to exercise such option). On the Required Prepayment Date, Company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and (ii) to the extent of any excess, to Company for working capital and general corporate purposes.</w:t>
      </w:r>
    </w:p>
    <w:p>
      <w:pPr>
        <w:spacing w:after="0" w:line="19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an Application Event has occurred and is continuing, all payments shall be applied pursuant to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Nothing contained herein shall modify the provisions of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regarding the requirement that all prepayments be accompanied by accrued interest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5" w:name="page266"/>
    <w:bookmarkEnd w:id="265"/>
    <w:p>
      <w:pPr>
        <w:jc w:val="both"/>
        <w:spacing w:after="0" w:line="253" w:lineRule="auto"/>
        <w:rPr>
          <w:sz w:val="20"/>
          <w:szCs w:val="20"/>
          <w:color w:val="auto"/>
        </w:rPr>
      </w:pPr>
      <w:r>
        <w:rPr>
          <w:rFonts w:ascii="Times New Roman" w:cs="Times New Roman" w:eastAsia="Times New Roman" w:hAnsi="Times New Roman"/>
          <w:sz w:val="20"/>
          <w:szCs w:val="20"/>
          <w:color w:val="auto"/>
        </w:rPr>
        <w:t>fees on the principal amount being prepaid to the date of such prepayment and the applicable Applicable Premium, Prepayment Premium, or any requirement otherwise contained herein to pay all other amounts as the same become due and payable.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General Provisions Regarding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6"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by Company of principal, interest, fees and other Obligations shall be made in Dollars in immediately available funds, without defense, recoupment, setoff or counterclaim, free of any restriction or condition, and delivered to Administrative Agent, for the account of Lenders, not later than 10:00 a.m. on the date such payment is due and payable to Administrative Agent’s Account. Funds received by Administrative Agent after that time on such due date may be deemed to have been paid by Company on the next Business Day.</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 respect of the principal amount of any Term Loan shall be accompanied by payment of accrued interest on the principal amount being repaid or prepaid, any Prepayment Premium, any Applicable Premium, and all other amounts payable with respect to the principal amount being repaid or prepaid.</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7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shall deem any payment by or on behalf of Company hereunder that is not made in same day funds prior to 10:00 a.m. to be a non-conforming payment. Any such payment shall not be deemed to have been received by Administrative Agent until the later of (i) the time such funds become available funds, and (ii) the applicable next Business Day. Administrative Agent shall give prompt telephonic notice to Company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Interest shall continue to accrue on any principal as to which a non-conforming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from the date such amount was due and payable until the date such amount is paid in full.</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ratably to pay the Obligations in respect of any fees (other than any Prepayment Premium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Premium), expense reimbursements, indemnities and other amounts then due and payable to Administrative Agent until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6" w:name="page267"/>
    <w:bookmarkEnd w:id="266"/>
    <w:p>
      <w:pPr>
        <w:ind w:left="1300"/>
        <w:spacing w:after="0"/>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ratably to pay interest then due and payable in respect of Protective Advances until paid in full;</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ratably to pay principal of Protective Advances then due and payable until paid in full;</w:t>
      </w:r>
    </w:p>
    <w:p>
      <w:pPr>
        <w:spacing w:after="0" w:line="216" w:lineRule="exact"/>
        <w:rPr>
          <w:sz w:val="20"/>
          <w:szCs w:val="20"/>
          <w:color w:val="auto"/>
        </w:rPr>
      </w:pPr>
    </w:p>
    <w:p>
      <w:pPr>
        <w:jc w:val="both"/>
        <w:ind w:firstLine="1296"/>
        <w:spacing w:after="0" w:line="300" w:lineRule="auto"/>
        <w:rPr>
          <w:sz w:val="20"/>
          <w:szCs w:val="20"/>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ratably to pay the Obligations in respect of any fees (other than any Prepayment Premium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Premium) and indemnities then due and payable to the Lenders with a Term Loan Commitment until paid in full;</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ratably to pay interest then due and payable in respect of the Term Loan until paid in full;</w:t>
      </w:r>
    </w:p>
    <w:p>
      <w:pPr>
        <w:spacing w:after="0" w:line="216"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ratably to pay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the principal of the Initial Term Loan until paid in full and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principal of the Delayed Draw Term Loan until paid in full;</w:t>
      </w:r>
    </w:p>
    <w:p>
      <w:pPr>
        <w:spacing w:after="0" w:line="152"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ratably to pay the Obligations in respect of any Prepayment Premium and Applicable Premium then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due and payable to the Lenders with a Term Loan Commitment until paid in full; and</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the ratable payment of all other Obligations then due and payable until paid in full.</w:t>
      </w:r>
    </w:p>
    <w:p>
      <w:pPr>
        <w:spacing w:after="0" w:line="216" w:lineRule="exact"/>
        <w:rPr>
          <w:sz w:val="20"/>
          <w:szCs w:val="20"/>
          <w:color w:val="auto"/>
        </w:rPr>
      </w:pPr>
    </w:p>
    <w:p>
      <w:pPr>
        <w:jc w:val="both"/>
        <w:ind w:firstLine="1304"/>
        <w:spacing w:after="0" w:line="242" w:lineRule="auto"/>
        <w:tabs>
          <w:tab w:leader="none" w:pos="19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(other than clause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clause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93"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direct conflict between the priority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shall control and govern.</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and Company hereby authorize Administrative Agent to, and Administrative Agent may, from time to time, charge the Loan Account with any amount then due and payable by Company under any Loan Document. Each of the Lenders and Company agrees that Administrative Agent shall have the right to make such charges whether or not any Default or Event of Default shall have occurred and be continuing or whether any of the conditions precedent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have been satisfied. Any amount charged to the Loan Account shall be deemed a Loan hereunder made by the Lenders to Company, funded by Administrative Agent on behalf of the Lenders and subject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The Lenders and Company confirm that any charges which Administrative Agent may so make to the Loan Account as herein provided will be made as an accommodation to Company and solely at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7" w:name="page268"/>
    <w:bookmarkEnd w:id="26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Administrative Agent’s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Administrative Agent shall from time to time in its discretion or upon the request of the Required Lenders, charge the Loan Account of Company with any amount due and payable under any Loan Document. The Administrative Agent shall provide a reasonably detailed invoice for any amounts charged to the Loan Account (unless such charge is made at the Company’s request) promptly upon request by the Company.</w:t>
      </w:r>
    </w:p>
    <w:p>
      <w:pPr>
        <w:spacing w:after="0" w:line="179" w:lineRule="exact"/>
        <w:rPr>
          <w:sz w:val="20"/>
          <w:szCs w:val="20"/>
          <w:color w:val="auto"/>
        </w:rPr>
      </w:pPr>
    </w:p>
    <w:p>
      <w:pPr>
        <w:jc w:val="both"/>
        <w:ind w:firstLine="1304"/>
        <w:spacing w:after="0" w:line="254"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Ratable Sharing</w:t>
      </w:r>
      <w:r>
        <w:rPr>
          <w:rFonts w:ascii="Times New Roman" w:cs="Times New Roman" w:eastAsia="Times New Roman" w:hAnsi="Times New Roman"/>
          <w:sz w:val="20"/>
          <w:szCs w:val="20"/>
          <w:color w:val="auto"/>
        </w:rPr>
        <w:t>.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Increased Costs; Capital Adequacy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2" w:lineRule="auto"/>
        <w:tabs>
          <w:tab w:leader="none" w:pos="19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For Increased Costs and Taxes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(which shall be controlling with respect to the matters covered thereby),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with respect to this Agreement or any of the other Loan Documents or any of its obligations hereunder or thereunder or any payments to Administrative Agent or such Lender (or its applicable lending office)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8"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8" w:name="page269"/>
    <w:bookmarkEnd w:id="26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 such Lender (or its applicable lending office) or its obligations hereunder or the London interbank market;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Company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Company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191" w:lineRule="exact"/>
        <w:rPr>
          <w:sz w:val="20"/>
          <w:szCs w:val="20"/>
          <w:color w:val="auto"/>
        </w:rPr>
      </w:pPr>
    </w:p>
    <w:p>
      <w:pPr>
        <w:jc w:val="both"/>
        <w:ind w:firstLine="1304"/>
        <w:spacing w:after="0" w:line="241" w:lineRule="auto"/>
        <w:tabs>
          <w:tab w:leader="none" w:pos="19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Adequacy Adjustment</w:t>
      </w:r>
      <w:r>
        <w:rPr>
          <w:rFonts w:ascii="Times New Roman" w:cs="Times New Roman" w:eastAsia="Times New Roman" w:hAnsi="Times New Roman"/>
          <w:sz w:val="20"/>
          <w:szCs w:val="20"/>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Taxes; Withholding, Etc.</w:t>
      </w:r>
    </w:p>
    <w:p>
      <w:pPr>
        <w:spacing w:after="0" w:line="216" w:lineRule="exact"/>
        <w:rPr>
          <w:sz w:val="20"/>
          <w:szCs w:val="20"/>
          <w:color w:val="auto"/>
        </w:rPr>
      </w:pPr>
    </w:p>
    <w:p>
      <w:pPr>
        <w:jc w:val="both"/>
        <w:ind w:firstLine="1304"/>
        <w:spacing w:after="0" w:line="243" w:lineRule="auto"/>
        <w:tabs>
          <w:tab w:leader="none" w:pos="194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w:t>
      </w:r>
      <w:r>
        <w:rPr>
          <w:rFonts w:ascii="Times New Roman" w:cs="Times New Roman" w:eastAsia="Times New Roman" w:hAnsi="Times New Roman"/>
          <w:sz w:val="20"/>
          <w:szCs w:val="20"/>
          <w:color w:val="auto"/>
        </w:rPr>
        <w:t>. All sums payable by any Loan Party hereunder and under the other Loan Documents shall (except to the extent required by applicable law) be paid free and clear of, and without any deduction or withholding on account of, any Tax. If any Loan Party or any other Person is required by law to make any deduction or withholding on account of any Tax from any sum paid or payable by any Loan Party to Administrative Agent or any Lender under any of the Loan Documents: (1) Company shall notify Administrative Agent of any such requirement or any change in any such requirement as soon as Company becomes aware of it; (2) Company or the applicable Loan Party shall pay any such Tax before the date on which penalties attach thereto, such payment to be made (if the liability to pay is imposed on any Loan Party) for its own account or (if that liability is imposed on Administrative Agent or such Lender,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9" w:name="page270"/>
    <w:bookmarkEnd w:id="269"/>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as the case may be) on behalf of and in the name of Administrative Agent or such Lender; (3) if such Tax is an Indemnified Tax, then the sum payable by such Loan Party shall be increased to the extent necessary to ensure that, after the making of that deduction, withholding or payment (including any such deductions, withholdings or payments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Administrative Agent or such Lender, as the case may be, receives on the due date a net sum equal to what it would have received had no such deduction, withholding or payment been required or made; and (4) within [***] after paying any sum from which it is required by law to make any deduction or withholding, Company shall deliver to Administrative Agent evidence satisfactory to Administrative Agent of such deduction, withholding or payment and of the remittance thereof to the relevant Governmental Authority.</w:t>
      </w:r>
    </w:p>
    <w:p>
      <w:pPr>
        <w:spacing w:after="0" w:line="188" w:lineRule="exact"/>
        <w:rPr>
          <w:sz w:val="20"/>
          <w:szCs w:val="20"/>
          <w:color w:val="auto"/>
        </w:rPr>
      </w:pPr>
    </w:p>
    <w:p>
      <w:pPr>
        <w:jc w:val="both"/>
        <w:ind w:firstLine="1304"/>
        <w:spacing w:after="0" w:line="244" w:lineRule="auto"/>
        <w:tabs>
          <w:tab w:leader="none" w:pos="19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The Loan Parties shall pay to the relevant Governmental Authorities (or, at the option of Administrative Agent, timely reimburse it for the payment of) any present or future stamp, court, documentary, intangible, recording, filing or similar Taxes or any other excise or property Taxes that arise from any payment made hereunder or from the execution, delivery, performance, enforcement or registration of, from the receipt or perfection of a security interest under, or otherwise with respect to, this Agreement or any other Loan Document (“</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Within [***] after paying any such Other Taxes, each Loan Party shall deliver to Administrative Agent evidence satisfactory to Administrative Agent that such Other Taxes have been paid to the relevant Governmental Authority.</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hereby jointly and severally indemnify and agree to hold Administrative Agent and any Lender harmless from and against all Indemnified Taxes (including, without limitation, Indemnified Taxes imposed or asserted on or attributable to any amounts payable under this Section 2.15) payable or paid by such Person or required to be withheld or deducted from a payment to such Person and any reasonable expenses arising therefrom or with respect thereto, whether or not such Indemnified Taxes were correctly or legally imposed or asserted.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severally indemnify Administrative Agent, within [***] after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10.6(h)(ii)</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77" w:lineRule="exact"/>
        <w:rPr>
          <w:sz w:val="20"/>
          <w:szCs w:val="20"/>
          <w:color w:val="auto"/>
        </w:rPr>
      </w:pPr>
    </w:p>
    <w:p>
      <w:pPr>
        <w:ind w:left="1960" w:hanging="656"/>
        <w:spacing w:after="0"/>
        <w:tabs>
          <w:tab w:leader="none" w:pos="19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Exemption From Withholding Tax</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Borrower and Administrative Agent, at the time or times reasonably requested by Borrower or the Administrative Agent,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0" w:name="page271"/>
    <w:bookmarkEnd w:id="270"/>
    <w:p>
      <w:pPr>
        <w:jc w:val="both"/>
        <w:spacing w:after="0" w:line="242" w:lineRule="auto"/>
        <w:rPr>
          <w:sz w:val="20"/>
          <w:szCs w:val="20"/>
          <w:color w:val="auto"/>
        </w:rPr>
      </w:pPr>
      <w:r>
        <w:rPr>
          <w:rFonts w:ascii="Times New Roman" w:cs="Times New Roman" w:eastAsia="Times New Roman" w:hAnsi="Times New Roman"/>
          <w:sz w:val="20"/>
          <w:szCs w:val="20"/>
          <w:color w:val="auto"/>
        </w:rPr>
        <w:t>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(iii))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Borrower.</w:t>
      </w:r>
    </w:p>
    <w:p>
      <w:pPr>
        <w:spacing w:after="0" w:line="191" w:lineRule="exact"/>
        <w:rPr>
          <w:sz w:val="20"/>
          <w:szCs w:val="20"/>
          <w:color w:val="auto"/>
        </w:rPr>
      </w:pPr>
    </w:p>
    <w:p>
      <w:pPr>
        <w:jc w:val="both"/>
        <w:ind w:left="1960" w:firstLine="640"/>
        <w:spacing w:after="0" w:line="246" w:lineRule="auto"/>
        <w:tabs>
          <w:tab w:leader="none" w:pos="325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1960" w:firstLine="640"/>
        <w:spacing w:after="0" w:line="246" w:lineRule="auto"/>
        <w:tabs>
          <w:tab w:leader="none" w:pos="325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2600" w:firstLine="648"/>
        <w:spacing w:after="0" w:line="243" w:lineRule="auto"/>
        <w:tabs>
          <w:tab w:leader="none" w:pos="38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ind w:left="3900" w:hanging="652"/>
        <w:spacing w:after="0"/>
        <w:tabs>
          <w:tab w:leader="none" w:pos="39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2600" w:firstLine="648"/>
        <w:spacing w:after="0" w:line="256" w:lineRule="auto"/>
        <w:tabs>
          <w:tab w:leader="none" w:pos="3896"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871(h)(3)(B) of the Internal Revenue Code, or a “controlled foreign corporation” related to any Loan Party described in Section 881(c)(3)</w:t>
      </w:r>
    </w:p>
    <w:p>
      <w:pPr>
        <w:ind w:left="2600"/>
        <w:spacing w:after="0" w:line="246" w:lineRule="auto"/>
        <w:tabs>
          <w:tab w:leader="none" w:pos="297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Internal Revenue Code Internal Revenue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copies of IRS Form W-8BEN or IRS Form W-8BEN-E; or</w:t>
      </w:r>
    </w:p>
    <w:p>
      <w:pPr>
        <w:spacing w:after="0" w:line="181" w:lineRule="exact"/>
        <w:rPr>
          <w:rFonts w:ascii="Times New Roman" w:cs="Times New Roman" w:eastAsia="Times New Roman" w:hAnsi="Times New Roman"/>
          <w:sz w:val="20"/>
          <w:szCs w:val="20"/>
          <w:color w:val="auto"/>
        </w:rPr>
      </w:pPr>
    </w:p>
    <w:p>
      <w:pPr>
        <w:ind w:left="2600" w:firstLine="648"/>
        <w:spacing w:after="0" w:line="269" w:lineRule="auto"/>
        <w:tabs>
          <w:tab w:leader="none" w:pos="3896"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1" w:name="page272"/>
    <w:bookmarkEnd w:id="271"/>
    <w:p>
      <w:pPr>
        <w:jc w:val="both"/>
        <w:ind w:left="2140"/>
        <w:spacing w:after="0" w:line="244" w:lineRule="auto"/>
        <w:rPr>
          <w:sz w:val="20"/>
          <w:szCs w:val="20"/>
          <w:color w:val="auto"/>
        </w:rPr>
      </w:pPr>
      <w:r>
        <w:rPr>
          <w:rFonts w:ascii="Times New Roman" w:cs="Times New Roman" w:eastAsia="Times New Roman" w:hAnsi="Times New Roman"/>
          <w:sz w:val="20"/>
          <w:szCs w:val="20"/>
          <w:color w:val="auto"/>
        </w:rPr>
        <w:t xml:space="preserve">8ECI, IRS Form W-8BEN, IRS Form W-8BEN-E, a U.S. Tax Compliance Certificate substantially in the form of Exhibit G-2 or Exhibit G-3,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85" w:lineRule="exact"/>
        <w:rPr>
          <w:sz w:val="20"/>
          <w:szCs w:val="20"/>
          <w:color w:val="auto"/>
        </w:rPr>
      </w:pPr>
    </w:p>
    <w:p>
      <w:pPr>
        <w:jc w:val="both"/>
        <w:ind w:left="-460" w:firstLine="1952"/>
        <w:spacing w:after="0" w:line="244" w:lineRule="auto"/>
        <w:tabs>
          <w:tab w:leader="none" w:pos="2132"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left="-460" w:firstLine="1952"/>
        <w:spacing w:after="0" w:line="242" w:lineRule="auto"/>
        <w:tabs>
          <w:tab w:leader="none" w:pos="2132"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Administrative Agent at the time or times prescribed by law and at such time or times reasonably requested by Company or Administrative Agent such documentation prescribed by applicable law (including as prescribed by Section 1471(b)(3)(C)(i) of the Internal Revenue Code) and such additional documentation reasonably requested by Company or Administrative Agent as may be necessary for Company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2.15(d)(iii)</w:t>
      </w:r>
      <w:r>
        <w:rPr>
          <w:rFonts w:ascii="Times New Roman" w:cs="Times New Roman" w:eastAsia="Times New Roman" w:hAnsi="Times New Roman"/>
          <w:sz w:val="20"/>
          <w:szCs w:val="20"/>
          <w:color w:val="auto"/>
        </w:rPr>
        <w:t xml:space="preserve">, FATCA shall include any amendments made to FATCA after the date of this Agreement. Notwithstanding the above, a Lender shall not be required to deliver any form or other form of documentation pursuant to this </w:t>
      </w:r>
      <w:r>
        <w:rPr>
          <w:rFonts w:ascii="Times New Roman" w:cs="Times New Roman" w:eastAsia="Times New Roman" w:hAnsi="Times New Roman"/>
          <w:sz w:val="20"/>
          <w:szCs w:val="20"/>
          <w:u w:val="single" w:color="auto"/>
          <w:color w:val="auto"/>
        </w:rPr>
        <w:t>Section 2.15(d)(iii)</w:t>
      </w:r>
      <w:r>
        <w:rPr>
          <w:rFonts w:ascii="Times New Roman" w:cs="Times New Roman" w:eastAsia="Times New Roman" w:hAnsi="Times New Roman"/>
          <w:sz w:val="20"/>
          <w:szCs w:val="20"/>
          <w:color w:val="auto"/>
        </w:rPr>
        <w:t xml:space="preserve"> that such Lender is not legally able to deliver.</w:t>
      </w:r>
    </w:p>
    <w:p>
      <w:pPr>
        <w:spacing w:after="0" w:line="187" w:lineRule="exact"/>
        <w:rPr>
          <w:rFonts w:ascii="Times New Roman" w:cs="Times New Roman" w:eastAsia="Times New Roman" w:hAnsi="Times New Roman"/>
          <w:sz w:val="20"/>
          <w:szCs w:val="20"/>
          <w:color w:val="auto"/>
        </w:rPr>
      </w:pPr>
    </w:p>
    <w:p>
      <w:pPr>
        <w:jc w:val="both"/>
        <w:ind w:left="-460" w:firstLine="1304"/>
        <w:spacing w:after="0" w:line="241" w:lineRule="auto"/>
        <w:tabs>
          <w:tab w:leader="none" w:pos="148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4400" w:hanging="105"/>
        <w:spacing w:after="0"/>
        <w:tabs>
          <w:tab w:leader="none" w:pos="440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72" w:name="page273"/>
    <w:bookmarkEnd w:id="272"/>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Obligation to Mitigate</w:t>
      </w:r>
      <w:r>
        <w:rPr>
          <w:rFonts w:ascii="Times New Roman" w:cs="Times New Roman" w:eastAsia="Times New Roman" w:hAnsi="Times New Roman"/>
          <w:sz w:val="20"/>
          <w:szCs w:val="20"/>
          <w:color w:val="auto"/>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Lender will not be obligated to utilize such other office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unless Company agrees to pay all incremental expenses incurred by such Lender as a result of utilizing such other office as described above. A certificate as to the amount of any such expenses payable by Company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(setting forth in reasonable detail the basis for requesting such amount) submitted by such Lender to Company (with a copy to Administrative Agent) shall be conclusive absent manifest error.</w:t>
      </w:r>
    </w:p>
    <w:p>
      <w:pPr>
        <w:spacing w:after="0" w:line="19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Anything contained herein to the contrary notwithstanding, in the event that any Lender violates any provision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or, other than at the direction or request of any regulatory agency or authority, defaults (in each case, a “</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in its obligation to fund (a “</w:t>
      </w:r>
      <w:r>
        <w:rPr>
          <w:rFonts w:ascii="Times New Roman" w:cs="Times New Roman" w:eastAsia="Times New Roman" w:hAnsi="Times New Roman"/>
          <w:sz w:val="20"/>
          <w:szCs w:val="20"/>
          <w:u w:val="single" w:color="auto"/>
          <w:color w:val="auto"/>
        </w:rPr>
        <w:t>Funding Default</w:t>
      </w:r>
      <w:r>
        <w:rPr>
          <w:rFonts w:ascii="Times New Roman" w:cs="Times New Roman" w:eastAsia="Times New Roman" w:hAnsi="Times New Roman"/>
          <w:sz w:val="20"/>
          <w:szCs w:val="20"/>
          <w:color w:val="auto"/>
        </w:rPr>
        <w:t>”) a Term Loan (in each case, a “</w:t>
      </w:r>
      <w:r>
        <w:rPr>
          <w:rFonts w:ascii="Times New Roman" w:cs="Times New Roman" w:eastAsia="Times New Roman" w:hAnsi="Times New Roman"/>
          <w:sz w:val="20"/>
          <w:szCs w:val="20"/>
          <w:u w:val="single" w:color="auto"/>
          <w:color w:val="auto"/>
        </w:rPr>
        <w:t>Defaulted Loan</w:t>
      </w:r>
      <w:r>
        <w:rPr>
          <w:rFonts w:ascii="Times New Roman" w:cs="Times New Roman" w:eastAsia="Times New Roman" w:hAnsi="Times New Roman"/>
          <w:sz w:val="20"/>
          <w:szCs w:val="20"/>
          <w:color w:val="auto"/>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Company shall be entitled to retain any portion of any mandatory prepayment of the Term Loans that is not paid to such Defaulting Lender solely as a result of the operation of the provisions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No Term Loan Commitment of any Lender shall be increased or otherwise affected, and, except as otherwise expressly provided in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performance by Company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rights and remedies against a Defaulting Lender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are in addition to other rights and remedies which Company may have against such Defaulting Lender with respect to any Funding Default and which Administrative Agent or any Lender may have against such Defaulting Lender with respect to any Funding Default or violation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2.18 </w:t>
      </w:r>
      <w:r>
        <w:rPr>
          <w:rFonts w:ascii="Times New Roman" w:cs="Times New Roman" w:eastAsia="Times New Roman" w:hAnsi="Times New Roman"/>
          <w:sz w:val="20"/>
          <w:szCs w:val="20"/>
          <w:u w:val="single" w:color="auto"/>
          <w:color w:val="auto"/>
        </w:rPr>
        <w:t>Removal or Replacement of a Lender</w:t>
      </w:r>
      <w:r>
        <w:rPr>
          <w:rFonts w:ascii="Times New Roman" w:cs="Times New Roman" w:eastAsia="Times New Roman" w:hAnsi="Times New Roman"/>
          <w:sz w:val="20"/>
          <w:szCs w:val="20"/>
          <w:color w:val="auto"/>
        </w:rPr>
        <w:t>. Anything contained herein to the contrary notwithstanding, in the event that: (a) (i) any Lender (an “</w:t>
      </w:r>
      <w:r>
        <w:rPr>
          <w:rFonts w:ascii="Times New Roman" w:cs="Times New Roman" w:eastAsia="Times New Roman" w:hAnsi="Times New Roman"/>
          <w:sz w:val="20"/>
          <w:szCs w:val="20"/>
          <w:u w:val="single" w:color="auto"/>
          <w:color w:val="auto"/>
        </w:rPr>
        <w:t>Increased Cost Lender</w:t>
      </w:r>
      <w:r>
        <w:rPr>
          <w:rFonts w:ascii="Times New Roman" w:cs="Times New Roman" w:eastAsia="Times New Roman" w:hAnsi="Times New Roman"/>
          <w:sz w:val="20"/>
          <w:szCs w:val="20"/>
          <w:color w:val="auto"/>
        </w:rPr>
        <w:t xml:space="preserve">”) shall give notice to Company that such Lender is an Affected Lender or that such Lender is entitled to receive payments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(ii) the circumstances which have caused such Lender to be an Affected Lender or which entitle such Lender to receive such payments shall remain in effect, and (iii) such Lender shall fail to withdraw such notice within five Business Days after Company’s request for such withdrawal; or (b) (i) any Lender shall become a Defaulting Lender, (ii) the Default Period for such Defaulting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3" w:name="page274"/>
    <w:bookmarkEnd w:id="273"/>
    <w:p>
      <w:pPr>
        <w:jc w:val="both"/>
        <w:spacing w:after="0"/>
        <w:rPr>
          <w:sz w:val="20"/>
          <w:szCs w:val="20"/>
          <w:color w:val="auto"/>
        </w:rPr>
      </w:pPr>
      <w:r>
        <w:rPr>
          <w:rFonts w:ascii="Times New Roman" w:cs="Times New Roman" w:eastAsia="Times New Roman" w:hAnsi="Times New Roman"/>
          <w:sz w:val="20"/>
          <w:szCs w:val="20"/>
          <w:color w:val="auto"/>
        </w:rPr>
        <w:t xml:space="preserve">remain in effect, and (iii) such Defaulting Lender shall fail to cure the default as a result of which it has become a Defaulting Lender within five Business Days after Company’s request that it cure such default; or (c) in connection with any proposed amendment, modification, termination, waiver or consent with respect to any of the provisions hereof as contemplated by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the consent of Administrative Agent and Required Lenders shall have been obtained but the consent of one or more of such other Lenders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whose consent is required shall not have been obtained; then, with respect to each such Increased Cost Lender, Defaulting Lender or Non-Consenting Lender (the “</w:t>
      </w:r>
      <w:r>
        <w:rPr>
          <w:rFonts w:ascii="Times New Roman" w:cs="Times New Roman" w:eastAsia="Times New Roman" w:hAnsi="Times New Roman"/>
          <w:sz w:val="20"/>
          <w:szCs w:val="20"/>
          <w:u w:val="single" w:color="auto"/>
          <w:color w:val="auto"/>
        </w:rPr>
        <w:t>Terminated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Administrative Agent may (which, in the case of an Increased Cost Lender, only after receiving written request from Company to remove such Increased Cost Lender), by giving written notice to Company and any Terminated Lender of its election to do so, elect to cause such Terminated Lender (and such Terminated Lender hereby irrevocably agrees) to assign its outstanding Term Loans in full to one or more Eligible Assignees (each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Terminated Lender shall pay any fees payable thereunder in connection with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on the date of such assignment, the Replacement Lender shall pay to Terminated Lender an amount equal to the sum of (A) an amount equal to the principal of, and all accrued interest on, all outstanding Loans of the Terminated Lender and (B) an amount equal to all accrued, but theretofore unpaid fees owing to such Terminated Lender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(2) on the date of such assignment, Company shall pay any amounts payable to such Terminated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rights of such Terminated Lender to indemnification hereunder shall survive as to such Terminated Lender. For the avoidance of doubt, all fees that would otherwise be due and payable to any Non-Consenting Lender, including, without limitation, any Prepayment Premium and any Applicable Premium, shall continue to be due and payable to such Non-Consenting Lender.</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u w:val="single" w:color="auto"/>
          <w:color w:val="auto"/>
        </w:rPr>
        <w:t>Making or Maintaining SOFR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firstLine="644"/>
        <w:spacing w:after="0" w:line="269" w:lineRule="auto"/>
        <w:tabs>
          <w:tab w:leader="none" w:pos="19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if, on or prior to the first day of any Interest Period for any SOFR Loan:</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“Term SOFR”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 then the Administrative Agent will promptly so notify Company and each Lender.</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Upon notice thereof by the Administrative Agent to Company, any obligation of the Lenders to make SOFR Loans, and any right of Company to continue SOFR Loans or to convert Base Rate Loans to SOFR Loans, shall be suspended (to the extent of the affected SOFR Loans or affected Interest Periods) until the Administrative Agent (with respect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at the instruction of the Required Lenders) revokes such notice. Upon receipt of such notice, (i) Company may revoke any pending request for a borrowing of, conversion to or continuation of SOFR Loans (to the extent of the affected SOFR Loans or affected Interest Periods) or, failing that, Company will be deemed to have converted any such request into a request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4" w:name="page275"/>
    <w:bookmarkEnd w:id="274"/>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borrowing of or conversion to Base Rate Loans in the amount specified therein and (ii) any outstanding affected SOFR Loans will be deemed to have been converted into Base Rate Loans at the end of the applicable Interest Period. Upon any such conversion, Company shall also pay accrued interest on the amount so converted, together with any additional amounts required pursuant to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“Base Rate” until the Administrative Agent revokes such determination.</w:t>
      </w:r>
    </w:p>
    <w:p>
      <w:pPr>
        <w:spacing w:after="0" w:line="171" w:lineRule="exact"/>
        <w:rPr>
          <w:sz w:val="20"/>
          <w:szCs w:val="20"/>
          <w:color w:val="auto"/>
        </w:rPr>
      </w:pPr>
    </w:p>
    <w:p>
      <w:pPr>
        <w:jc w:val="both"/>
        <w:ind w:firstLine="1304"/>
        <w:spacing w:after="0" w:line="241" w:lineRule="auto"/>
        <w:tabs>
          <w:tab w:leader="none" w:pos="1944"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or to determine or charge interest based upon SOFR, the Term SOFR Reference Rate or Term SOFR, then, upon notice thereof by such Lender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to Company (through the Administrative Agent) (an “</w:t>
      </w:r>
      <w:r>
        <w:rPr>
          <w:rFonts w:ascii="Times New Roman" w:cs="Times New Roman" w:eastAsia="Times New Roman" w:hAnsi="Times New Roman"/>
          <w:sz w:val="20"/>
          <w:szCs w:val="20"/>
          <w:u w:val="single" w:color="auto"/>
          <w:color w:val="auto"/>
        </w:rPr>
        <w:t>Illegality Notice</w:t>
      </w:r>
      <w:r>
        <w:rPr>
          <w:rFonts w:ascii="Times New Roman" w:cs="Times New Roman" w:eastAsia="Times New Roman" w:hAnsi="Times New Roman"/>
          <w:sz w:val="20"/>
          <w:szCs w:val="20"/>
          <w:color w:val="auto"/>
        </w:rPr>
        <w:t xml:space="preserve">”), (a) any obligation of the Lenders to make SOFR Loans, and any right of Company to continue SOFR Loans or to convert Base Rate Loans to SOFR Loans, shall be suspended, and (b) the interest rate on which Base Rate Loans shall, if necessary to avoid such illegality, be determined by the Administrative Agent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“Base Rate”, in each case until each affected Lender notifies the Administrative Agent and Company that the circumstances giving rise to such determination no longer exist. Upon receipt of an Illegality Notice, Company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Company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44"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for Breakage or Non-Commencement of Interest Periods</w:t>
      </w:r>
      <w:r>
        <w:rPr>
          <w:rFonts w:ascii="Times New Roman" w:cs="Times New Roman" w:eastAsia="Times New Roman" w:hAnsi="Times New Roman"/>
          <w:sz w:val="19"/>
          <w:szCs w:val="19"/>
          <w:color w:val="auto"/>
        </w:rPr>
        <w:t>. Company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w:t>
      </w:r>
    </w:p>
    <w:p>
      <w:pPr>
        <w:jc w:val="both"/>
        <w:ind w:firstLine="8"/>
        <w:spacing w:after="0" w:line="241" w:lineRule="auto"/>
        <w:tabs>
          <w:tab w:leader="none" w:pos="302"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prepayment or other principal payment of, or any conversion of, any of its SOFR Loans occurs on any day other than the last day of an Interest Period applicable to that Loan (whether voluntary, mandatory, automatic, by reason of acceleration, or otherwise); or (iii) if any prepayment of any of its SOFR Loans is not made on any date specified in a notice of prepayment given by Company.</w:t>
      </w:r>
    </w:p>
    <w:p>
      <w:pPr>
        <w:spacing w:after="0" w:line="188"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Booking of SOFR Loans</w:t>
      </w:r>
      <w:r>
        <w:rPr>
          <w:rFonts w:ascii="Times New Roman" w:cs="Times New Roman" w:eastAsia="Times New Roman" w:hAnsi="Times New Roman"/>
          <w:sz w:val="20"/>
          <w:szCs w:val="20"/>
          <w:color w:val="auto"/>
        </w:rPr>
        <w:t>. Any Lender may make, carry or transfer SOFR Loans at, to, or for the account of any of its branch offices or the office of an Affiliate of such Lender.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5" w:name="page276"/>
    <w:bookmarkEnd w:id="275"/>
    <w:p>
      <w:pPr>
        <w:jc w:val="both"/>
        <w:ind w:left="-460" w:firstLine="1304"/>
        <w:spacing w:after="0" w:line="242" w:lineRule="auto"/>
        <w:tabs>
          <w:tab w:leader="none" w:pos="148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Assumptions Concerning Funding of SOFR Loans</w:t>
      </w:r>
      <w:r>
        <w:rPr>
          <w:rFonts w:ascii="Times New Roman" w:cs="Times New Roman" w:eastAsia="Times New Roman" w:hAnsi="Times New Roman"/>
          <w:sz w:val="20"/>
          <w:szCs w:val="20"/>
          <w:color w:val="auto"/>
        </w:rPr>
        <w:t xml:space="preserve">. Calculation of all amounts payable to a Lender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made as though such Lender had actually funded each of its relevant SOFR Loans through the purchase of a SOFR deposit bearing interest at Term SOFR in an amount equal to the amount of such SOFR Loan and having a maturity comparable to the relevant Interest Period and through the transfer of such SOFR deposit from an offshore office of such Lender to a domestic office of such Lender in the United States of America; provided, however, each Lender may fund each of its SOFR Loans in any manner it sees fit and the foregoing assumptions shall be utilized only for the purposes of calculating amounts payable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Anything to the contrary contained herein notwithstanding, neither Administrative Agent, nor any Lender, nor any of their participants, is required actually to match fund any Obligation as to which interest accrues at Term SOFR or the Term SOFR Reference Rate.</w:t>
      </w:r>
    </w:p>
    <w:p>
      <w:pPr>
        <w:spacing w:after="0" w:line="191"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u w:val="single" w:color="auto"/>
          <w:color w:val="auto"/>
        </w:rPr>
        <w:t>Benchmark Replacement Setting.</w:t>
      </w:r>
    </w:p>
    <w:p>
      <w:pPr>
        <w:spacing w:after="0" w:line="216" w:lineRule="exact"/>
        <w:rPr>
          <w:sz w:val="20"/>
          <w:szCs w:val="20"/>
          <w:color w:val="auto"/>
        </w:rPr>
      </w:pPr>
    </w:p>
    <w:p>
      <w:pPr>
        <w:jc w:val="both"/>
        <w:ind w:left="-460" w:firstLine="1304"/>
        <w:spacing w:after="0" w:line="230" w:lineRule="auto"/>
        <w:tabs>
          <w:tab w:leader="none" w:pos="148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Administrative Agent and Company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Business Day after Administrative Agent has posted such proposed amendment to all affected Lenders and Company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76" w:lineRule="exact"/>
        <w:rPr>
          <w:rFonts w:ascii="Times New Roman" w:cs="Times New Roman" w:eastAsia="Times New Roman" w:hAnsi="Times New Roman"/>
          <w:sz w:val="20"/>
          <w:szCs w:val="20"/>
          <w:color w:val="auto"/>
        </w:rPr>
      </w:pPr>
    </w:p>
    <w:p>
      <w:pPr>
        <w:jc w:val="both"/>
        <w:ind w:left="-460" w:firstLine="1304"/>
        <w:spacing w:after="0" w:line="246" w:lineRule="auto"/>
        <w:tabs>
          <w:tab w:leader="none" w:pos="148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7" w:lineRule="exact"/>
        <w:rPr>
          <w:rFonts w:ascii="Times New Roman" w:cs="Times New Roman" w:eastAsia="Times New Roman" w:hAnsi="Times New Roman"/>
          <w:sz w:val="20"/>
          <w:szCs w:val="20"/>
          <w:color w:val="auto"/>
        </w:rPr>
      </w:pPr>
    </w:p>
    <w:p>
      <w:pPr>
        <w:jc w:val="both"/>
        <w:ind w:left="-460" w:firstLine="1304"/>
        <w:spacing w:after="0" w:line="242" w:lineRule="auto"/>
        <w:tabs>
          <w:tab w:leader="none" w:pos="148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Administrative Agent will promptly notify Company and the Lenders of (1) the implementation of any Benchmark Replacement and (2) the effectiveness of any Conforming Changes in connection with the use, administration, adoption or implementation of a Benchmark Replacement. The Administrative Agent will notify Company of (x) the removal or reinstatement of any tenor of a Benchmark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460" w:firstLine="1304"/>
        <w:spacing w:after="0" w:line="245" w:lineRule="auto"/>
        <w:tabs>
          <w:tab w:leader="none" w:pos="148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2" w:lineRule="exact"/>
        <w:rPr>
          <w:rFonts w:ascii="Times New Roman" w:cs="Times New Roman" w:eastAsia="Times New Roman" w:hAnsi="Times New Roman"/>
          <w:sz w:val="20"/>
          <w:szCs w:val="20"/>
          <w:color w:val="auto"/>
        </w:rPr>
      </w:pPr>
    </w:p>
    <w:p>
      <w:pPr>
        <w:ind w:left="4400" w:hanging="105"/>
        <w:spacing w:after="0"/>
        <w:tabs>
          <w:tab w:leader="none" w:pos="44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76" w:name="page277"/>
    <w:bookmarkEnd w:id="276"/>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representative, then Administrative Agent may modify the definition of “Interest Period” (or any similar or analogous definition) for any Benchmark settings at or after such time to remove such unavailable or non-representative tenor and (2) if a tenor that was removed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spacing w:after="0" w:line="171" w:lineRule="exact"/>
        <w:rPr>
          <w:sz w:val="20"/>
          <w:szCs w:val="20"/>
          <w:color w:val="auto"/>
        </w:rPr>
      </w:pPr>
    </w:p>
    <w:p>
      <w:pPr>
        <w:jc w:val="both"/>
        <w:ind w:firstLine="1304"/>
        <w:spacing w:after="0" w:line="243" w:lineRule="auto"/>
        <w:tabs>
          <w:tab w:leader="none" w:pos="194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Company’s receipt of notice of the commencement of a Benchmark Unavailability Period, (1) Company may revoke any pending request for a borrowing of, conversion to or continuation of SOFR Loans to be made, converted or continued during any Benchmark Unavailability Period and, failing that, Company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The effectivness of this Agreement, and the obligation of each Lender to make a Credit Extension on the Initial Funding Date, is subject to the satisfaction, or waiver in accordance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of the following conditions on or before the Closing Date:</w:t>
      </w:r>
    </w:p>
    <w:p>
      <w:pPr>
        <w:spacing w:after="0" w:line="174" w:lineRule="exact"/>
        <w:rPr>
          <w:sz w:val="20"/>
          <w:szCs w:val="20"/>
          <w:color w:val="auto"/>
        </w:rPr>
      </w:pPr>
    </w:p>
    <w:p>
      <w:pPr>
        <w:ind w:firstLine="1304"/>
        <w:spacing w:after="0" w:line="269" w:lineRule="auto"/>
        <w:tabs>
          <w:tab w:leader="none" w:pos="19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Administrative Agent shall have received copies of each Loan Document duly executed and delivered by each applicable Loan Party for each Lender.</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 Incumbency</w:t>
      </w:r>
      <w:r>
        <w:rPr>
          <w:rFonts w:ascii="Times New Roman" w:cs="Times New Roman" w:eastAsia="Times New Roman" w:hAnsi="Times New Roman"/>
          <w:sz w:val="20"/>
          <w:szCs w:val="20"/>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(iv) a good standing certificate (to the extent such concept exists) from the applicable Governmental Authority of such Loan Party’s jurisdiction of incorporation, organization or formation and in each jurisdiction in which it is qualified as a foreign corporation or other entity to do business, each dated a recent date prior to the Closing Date; and (v) such other documents as Administrative Agent may reasonably request.</w:t>
      </w:r>
    </w:p>
    <w:p>
      <w:pPr>
        <w:spacing w:after="0" w:line="187"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and Capital Structure</w:t>
      </w:r>
      <w:r>
        <w:rPr>
          <w:rFonts w:ascii="Times New Roman" w:cs="Times New Roman" w:eastAsia="Times New Roman" w:hAnsi="Times New Roman"/>
          <w:sz w:val="20"/>
          <w:szCs w:val="20"/>
          <w:color w:val="auto"/>
        </w:rPr>
        <w:t xml:space="preserve">. The organizational structure and capital structure of Borrower and its Subsidiaries shall be as set forth on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Authorizations and Consents</w:t>
      </w:r>
      <w:r>
        <w:rPr>
          <w:rFonts w:ascii="Times New Roman" w:cs="Times New Roman" w:eastAsia="Times New Roman" w:hAnsi="Times New Roman"/>
          <w:sz w:val="20"/>
          <w:szCs w:val="20"/>
          <w:color w:val="auto"/>
        </w:rPr>
        <w:t>. Each Loan Party shall have obtained all Governmental Authorizations and all consents of other Persons, in each case that are necessary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7" w:name="page278"/>
    <w:bookmarkEnd w:id="277"/>
    <w:p>
      <w:pPr>
        <w:jc w:val="both"/>
        <w:spacing w:after="0" w:line="244" w:lineRule="auto"/>
        <w:rPr>
          <w:sz w:val="20"/>
          <w:szCs w:val="20"/>
          <w:color w:val="auto"/>
        </w:rPr>
      </w:pPr>
      <w:r>
        <w:rPr>
          <w:rFonts w:ascii="Times New Roman" w:cs="Times New Roman" w:eastAsia="Times New Roman" w:hAnsi="Times New Roman"/>
          <w:sz w:val="20"/>
          <w:szCs w:val="20"/>
          <w:color w:val="auto"/>
        </w:rPr>
        <w:t>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85" w:lineRule="exact"/>
        <w:rPr>
          <w:sz w:val="20"/>
          <w:szCs w:val="20"/>
          <w:color w:val="auto"/>
        </w:rPr>
      </w:pPr>
    </w:p>
    <w:p>
      <w:pPr>
        <w:jc w:val="both"/>
        <w:ind w:firstLine="1304"/>
        <w:spacing w:after="0" w:line="254"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In order to create in favor of Administrative Agent, for the benefit of Secured Parties, a valid, perfected First Priority security interest in the personal property Collateral, Administrative Agent shall have received:</w:t>
      </w:r>
    </w:p>
    <w:p>
      <w:pPr>
        <w:spacing w:after="0" w:line="174"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and/or securities accounts as provided therein and a duly executed authorization to pre-file UCC-1 financing statements), together with (A) appropriate financing statements on Form UCC1 in form for filing in such office or offices as may be necessary or, in the opinion of Administrative Agent, desirable to perfect the security interests purported to be created by each Pledge and Security Agreement and each other Collateral Document and (B) evidence satisfactory to Administrative Agent of the filing of such UCC-1 financing statements;</w:t>
      </w:r>
    </w:p>
    <w:p>
      <w:pPr>
        <w:spacing w:after="0" w:line="192"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Projections</w:t>
      </w:r>
      <w:r>
        <w:rPr>
          <w:rFonts w:ascii="Times New Roman" w:cs="Times New Roman" w:eastAsia="Times New Roman" w:hAnsi="Times New Roman"/>
          <w:sz w:val="20"/>
          <w:szCs w:val="20"/>
          <w:color w:val="auto"/>
        </w:rPr>
        <w:t>. Lenders shall have received from Borrower (i) the Historical Financial Statements, (ii) pro forma consolidated balance sheets of Borrower and its Subsidiaries as at the Closing Date, and reflecting the transactions contemplated by the Loan Documents to occur on or prior to the Closing Date, which pro forma financial statements shall be in form and substance satisfactory to Administrative Agent, and (iii) the Projections.</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 to Loan Parties</w:t>
      </w:r>
      <w:r>
        <w:rPr>
          <w:rFonts w:ascii="Times New Roman" w:cs="Times New Roman" w:eastAsia="Times New Roman" w:hAnsi="Times New Roman"/>
          <w:sz w:val="20"/>
          <w:szCs w:val="20"/>
          <w:color w:val="auto"/>
        </w:rPr>
        <w:t>. Lenders and their respective counsel shall have received executed copies of the favorable written opinions of Goodwin Procter LLP, counsel for Loan Parties, as to such other matters as Administrative Agent may reasonably request, dated the Closing Date and otherwise in form and substance reasonably satisfactory to Administrative Agent (and each Loan Party hereby instructs such counsel to deliver such opinions to Administrative Agent and Lenders).</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Company shall have paid to Administrative Agent, the fees and expenses then due and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8" w:name="page279"/>
    <w:bookmarkEnd w:id="278"/>
    <w:p>
      <w:pPr>
        <w:jc w:val="both"/>
        <w:ind w:left="-460" w:firstLine="1304"/>
        <w:spacing w:after="0" w:line="246"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Initial Funding Date, Borrower and its Subsidiaries are and will be Solvent.</w:t>
      </w:r>
    </w:p>
    <w:p>
      <w:pPr>
        <w:spacing w:after="0" w:line="183" w:lineRule="exact"/>
        <w:rPr>
          <w:rFonts w:ascii="Times New Roman" w:cs="Times New Roman" w:eastAsia="Times New Roman" w:hAnsi="Times New Roman"/>
          <w:sz w:val="20"/>
          <w:szCs w:val="20"/>
          <w:color w:val="auto"/>
        </w:rPr>
      </w:pPr>
    </w:p>
    <w:p>
      <w:pPr>
        <w:ind w:left="-460" w:firstLine="1304"/>
        <w:spacing w:after="0" w:line="269"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Company shall have delivered to Administrative Agent a duly executed Closing Date Certificate, together with all attachments thereto.</w:t>
      </w:r>
    </w:p>
    <w:p>
      <w:pPr>
        <w:spacing w:after="0" w:line="159" w:lineRule="exact"/>
        <w:rPr>
          <w:rFonts w:ascii="Times New Roman" w:cs="Times New Roman" w:eastAsia="Times New Roman" w:hAnsi="Times New Roman"/>
          <w:sz w:val="20"/>
          <w:szCs w:val="20"/>
          <w:color w:val="auto"/>
        </w:rPr>
      </w:pPr>
    </w:p>
    <w:p>
      <w:pPr>
        <w:jc w:val="both"/>
        <w:ind w:left="-460" w:firstLine="1304"/>
        <w:spacing w:after="0" w:line="249"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Loan Documents or that would reasonably be expected to have a Material Adverse Effect.</w:t>
      </w:r>
    </w:p>
    <w:p>
      <w:pPr>
        <w:spacing w:after="0" w:line="17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60" w:firstLine="1304"/>
        <w:spacing w:after="0" w:line="254"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Effect/Material Regulatory Liability</w:t>
      </w:r>
      <w:r>
        <w:rPr>
          <w:rFonts w:ascii="Times New Roman" w:cs="Times New Roman" w:eastAsia="Times New Roman" w:hAnsi="Times New Roman"/>
          <w:sz w:val="20"/>
          <w:szCs w:val="20"/>
          <w:color w:val="auto"/>
        </w:rPr>
        <w:t>. Since [***], no event, circumstance or change shall have occurred that has caused or evidences, either in any case or in the aggregate, a Material Adverse Effect or a Material Regulatory Liability.</w:t>
      </w:r>
    </w:p>
    <w:p>
      <w:pPr>
        <w:spacing w:after="0" w:line="174" w:lineRule="exact"/>
        <w:rPr>
          <w:rFonts w:ascii="Times New Roman" w:cs="Times New Roman" w:eastAsia="Times New Roman" w:hAnsi="Times New Roman"/>
          <w:sz w:val="20"/>
          <w:szCs w:val="20"/>
          <w:color w:val="auto"/>
        </w:rPr>
      </w:pPr>
    </w:p>
    <w:p>
      <w:pPr>
        <w:jc w:val="both"/>
        <w:ind w:left="-460" w:firstLine="1304"/>
        <w:spacing w:after="0" w:line="246"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Completion of Proceedings</w:t>
      </w:r>
      <w:r>
        <w:rPr>
          <w:rFonts w:ascii="Times New Roman" w:cs="Times New Roman" w:eastAsia="Times New Roman" w:hAnsi="Times New Roman"/>
          <w:sz w:val="20"/>
          <w:szCs w:val="20"/>
          <w:color w:val="auto"/>
        </w:rPr>
        <w:t>. All partnership, corporate and other proceedings taken or to be taken in connection with the transactions contemplated hereby and all documents incidental thereto not previously found acceptable by Administrative Agent and its counsel shall be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84" w:lineRule="exact"/>
        <w:rPr>
          <w:rFonts w:ascii="Times New Roman" w:cs="Times New Roman" w:eastAsia="Times New Roman" w:hAnsi="Times New Roman"/>
          <w:sz w:val="20"/>
          <w:szCs w:val="20"/>
          <w:color w:val="auto"/>
        </w:rPr>
      </w:pPr>
    </w:p>
    <w:p>
      <w:pPr>
        <w:jc w:val="both"/>
        <w:ind w:left="-460" w:firstLine="1304"/>
        <w:spacing w:after="0" w:line="249"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 Regulations</w:t>
      </w:r>
      <w:r>
        <w:rPr>
          <w:rFonts w:ascii="Times New Roman" w:cs="Times New Roman" w:eastAsia="Times New Roman" w:hAnsi="Times New Roman"/>
          <w:sz w:val="20"/>
          <w:szCs w:val="20"/>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7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60" w:firstLine="1304"/>
        <w:spacing w:after="0" w:line="242" w:lineRule="auto"/>
        <w:tabs>
          <w:tab w:leader="none" w:pos="148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4400" w:hanging="105"/>
        <w:spacing w:after="0"/>
        <w:tabs>
          <w:tab w:leader="none" w:pos="44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79" w:name="page280"/>
    <w:bookmarkEnd w:id="279"/>
    <w:p>
      <w:pPr>
        <w:ind w:firstLine="1304"/>
        <w:spacing w:after="0" w:line="268" w:lineRule="auto"/>
        <w:tabs>
          <w:tab w:leader="none" w:pos="19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event shall have occurred and be continuing or would result from the consummation of the transactions contemplated herein that would constitute an Event of Default or a Default.</w:t>
      </w:r>
    </w:p>
    <w:p>
      <w:pPr>
        <w:spacing w:after="0" w:line="160"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Contravention</w:t>
      </w:r>
      <w:r>
        <w:rPr>
          <w:rFonts w:ascii="Times New Roman" w:cs="Times New Roman" w:eastAsia="Times New Roman" w:hAnsi="Times New Roman"/>
          <w:sz w:val="20"/>
          <w:szCs w:val="20"/>
          <w:color w:val="auto"/>
        </w:rPr>
        <w:t>. The making of the Term Loan shall not contravene any law, rule or regulation applicable to Administrative Agent or any Lender.</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All Registrations from the FDA and EMA in respect of the Products shall be valid and subsisting and in full force and effect.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Conditions to Each Credit Extension</w:t>
      </w:r>
      <w:r>
        <w:rPr>
          <w:rFonts w:ascii="Times New Roman" w:cs="Times New Roman" w:eastAsia="Times New Roman" w:hAnsi="Times New Roman"/>
          <w:sz w:val="20"/>
          <w:szCs w:val="20"/>
          <w:color w:val="auto"/>
        </w:rPr>
        <w:t xml:space="preserve">. The obligation of each Lender to make the Initial Term Loan on the Initial Funding Date or any other Loan on any date following the Closing Date is subject to the satisfaction, or waiver in accordance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of the following conditions precedent:</w:t>
      </w:r>
    </w:p>
    <w:p>
      <w:pPr>
        <w:spacing w:after="0" w:line="174" w:lineRule="exact"/>
        <w:rPr>
          <w:sz w:val="20"/>
          <w:szCs w:val="20"/>
          <w:color w:val="auto"/>
        </w:rPr>
      </w:pPr>
    </w:p>
    <w:p>
      <w:pPr>
        <w:ind w:left="1960" w:hanging="656"/>
        <w:spacing w:after="0" w:line="269" w:lineRule="auto"/>
        <w:tabs>
          <w:tab w:leader="none" w:pos="19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Administrative Agent shall have received a fully executed and delivered Funding Notice as and when required by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55" w:lineRule="auto"/>
        <w:tabs>
          <w:tab w:leader="none" w:pos="196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1" w:lineRule="exact"/>
        <w:rPr>
          <w:rFonts w:ascii="Times New Roman" w:cs="Times New Roman" w:eastAsia="Times New Roman" w:hAnsi="Times New Roman"/>
          <w:sz w:val="19"/>
          <w:szCs w:val="19"/>
          <w:color w:val="auto"/>
        </w:rPr>
      </w:pPr>
    </w:p>
    <w:p>
      <w:pPr>
        <w:jc w:val="both"/>
        <w:ind w:left="1960" w:hanging="656"/>
        <w:spacing w:after="0" w:line="254" w:lineRule="auto"/>
        <w:tabs>
          <w:tab w:leader="none" w:pos="19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As of as of the applicable Credit Date, no event shall have occurred and be continuing or would result from the consummation of the applicable Credit Extension that would constitute an Event of Default or a Default;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Qualified Cash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Initial Funding Date, Administrative Agent shall have received evidence reasonably satisfactory to it that the Loan Parties shall have unrestricted Cash and Cash Equivalents of at least [***] on the Initial Funding Date (on a pro forma basis after giving effect to any Credit Extensions made on the Initial Funding Date and the payment of all Transaction Costs required to be paid in Cash).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0" w:name="page281"/>
    <w:bookmarkEnd w:id="280"/>
    <w:p>
      <w:pPr>
        <w:jc w:val="both"/>
        <w:ind w:firstLine="1952"/>
        <w:spacing w:after="0" w:line="253" w:lineRule="auto"/>
        <w:tabs>
          <w:tab w:leader="none" w:pos="2592"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other Credit Date, Administrative Agent shall have received evidence reasonably satisfactory to it that the Loan Parties shall have Qualified Cash of at least [***] on such Credit Date (on a pro forma basis after giving effect to the Delayed Draw Term Loans being drawn on such Credit Date).</w:t>
      </w:r>
    </w:p>
    <w:p>
      <w:pPr>
        <w:spacing w:after="0" w:line="176" w:lineRule="exact"/>
        <w:rPr>
          <w:rFonts w:ascii="Times New Roman" w:cs="Times New Roman" w:eastAsia="Times New Roman" w:hAnsi="Times New Roman"/>
          <w:sz w:val="20"/>
          <w:szCs w:val="20"/>
          <w:color w:val="auto"/>
        </w:rPr>
      </w:pPr>
    </w:p>
    <w:p>
      <w:pPr>
        <w:jc w:val="both"/>
        <w:ind w:left="1940" w:hanging="622"/>
        <w:spacing w:after="0" w:line="254" w:lineRule="auto"/>
        <w:tabs>
          <w:tab w:leader="none" w:pos="19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On each Credit Date,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hereof.</w:t>
      </w:r>
    </w:p>
    <w:p>
      <w:pPr>
        <w:spacing w:after="0" w:line="174" w:lineRule="exact"/>
        <w:rPr>
          <w:rFonts w:ascii="Times New Roman" w:cs="Times New Roman" w:eastAsia="Times New Roman" w:hAnsi="Times New Roman"/>
          <w:sz w:val="20"/>
          <w:szCs w:val="20"/>
          <w:color w:val="auto"/>
        </w:rPr>
      </w:pPr>
    </w:p>
    <w:p>
      <w:pPr>
        <w:ind w:left="1940" w:hanging="622"/>
        <w:spacing w:after="0"/>
        <w:tabs>
          <w:tab w:leader="none" w:pos="19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Milestones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596"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Delayed Draw A Term Loan, on such Funding Date, Administrative Agent shall have received evidence reasonably satisfactory to it that the Delayed Draw A Funding Milestone was satisfied as of last day of the most recently ended fiscal quarter for which financial statements have, or should have, been delivered in accordance with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300" w:firstLine="652"/>
        <w:spacing w:after="0" w:line="249" w:lineRule="auto"/>
        <w:tabs>
          <w:tab w:leader="none" w:pos="2596"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Delayed Draw B Term Loan, on such Funding Date, Administrative Agent shall have received evidence reasonably satisfactory to it that the Delayed Draw B Funding Milestone was satisfied as of last day of the most recently ended fiscal quarter for which financial statements have, or should have, been delivered in accordance with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firstLine="1239"/>
        <w:spacing w:after="0" w:line="269" w:lineRule="auto"/>
        <w:tabs>
          <w:tab w:leader="none" w:pos="19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Approval</w:t>
      </w:r>
      <w:r>
        <w:rPr>
          <w:rFonts w:ascii="Times New Roman" w:cs="Times New Roman" w:eastAsia="Times New Roman" w:hAnsi="Times New Roman"/>
          <w:sz w:val="20"/>
          <w:szCs w:val="20"/>
          <w:color w:val="auto"/>
        </w:rPr>
        <w:t>. With respect to any Incremental Term Loans, the funding of such Term Loan shall have been approved by each applicable Lenders in its sole and absolute discretion.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20"/>
          <w:szCs w:val="20"/>
          <w:u w:val="single" w:color="auto"/>
          <w:color w:val="auto"/>
        </w:rPr>
        <w:t>Organization; Requisite Power and Authority; Qualification</w:t>
      </w:r>
      <w:r>
        <w:rPr>
          <w:rFonts w:ascii="Times New Roman" w:cs="Times New Roman" w:eastAsia="Times New Roman" w:hAnsi="Times New Roman"/>
          <w:sz w:val="20"/>
          <w:szCs w:val="20"/>
          <w:color w:val="auto"/>
        </w:rPr>
        <w:t>. Each of Borrower and its Subsidiaries</w:t>
      </w:r>
    </w:p>
    <w:p>
      <w:pPr>
        <w:spacing w:after="0" w:line="22" w:lineRule="exact"/>
        <w:rPr>
          <w:sz w:val="20"/>
          <w:szCs w:val="20"/>
          <w:color w:val="auto"/>
        </w:rPr>
      </w:pPr>
    </w:p>
    <w:p>
      <w:pPr>
        <w:jc w:val="both"/>
        <w:ind w:firstLine="8"/>
        <w:spacing w:after="0"/>
        <w:tabs>
          <w:tab w:leader="none" w:pos="276"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duly organized or incorporated, validly existing and in good standing under the laws of its jurisdiction of organization or incorporation as identified in </w:t>
      </w:r>
      <w:r>
        <w:rPr>
          <w:rFonts w:ascii="Times New Roman" w:cs="Times New Roman" w:eastAsia="Times New Roman" w:hAnsi="Times New Roman"/>
          <w:sz w:val="20"/>
          <w:szCs w:val="20"/>
          <w:u w:val="single" w:color="auto"/>
          <w:color w:val="auto"/>
        </w:rPr>
        <w:t>Schedule 4.1</w:t>
      </w:r>
      <w:r>
        <w:rPr>
          <w:rFonts w:ascii="Times New Roman" w:cs="Times New Roman" w:eastAsia="Times New Roman" w:hAnsi="Times New Roman"/>
          <w:sz w:val="20"/>
          <w:szCs w:val="20"/>
          <w:color w:val="auto"/>
        </w:rPr>
        <w:t>, (b) has all requisite power and authority to own and operate its properties, to carry on its business as now conducted and as proposed to be conducted, to enter into the Loan Documents to which it is a party and to carry out the transactions contemplated thereby and, in the case of Company,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9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Capital Stock and Ownership</w:t>
      </w:r>
      <w:r>
        <w:rPr>
          <w:rFonts w:ascii="Times New Roman" w:cs="Times New Roman" w:eastAsia="Times New Roman" w:hAnsi="Times New Roman"/>
          <w:sz w:val="20"/>
          <w:szCs w:val="20"/>
          <w:color w:val="auto"/>
        </w:rPr>
        <w:t xml:space="preserve">. The Capital Stock of each of Borrower and its Subsidiaries has been duly authorized and validly issued and is fully paid and non-assessable. Except as set forth on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 as of the date hereof, there is no existing option, warrant, call, right, commitment or other agreement to which Borrower or any Subsidiary of Borrower is a party requiring, and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1" w:name="page282"/>
    <w:bookmarkEnd w:id="28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membership interest or other Capital Stock of such Subsidiary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 xml:space="preserve"> correctly sets forth the ownership interest of Borrower and each of its Subsidiaries in their respective Subsidiaries.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Due Authorization</w:t>
      </w:r>
      <w:r>
        <w:rPr>
          <w:rFonts w:ascii="Times New Roman" w:cs="Times New Roman" w:eastAsia="Times New Roman" w:hAnsi="Times New Roman"/>
          <w:sz w:val="20"/>
          <w:szCs w:val="20"/>
          <w:color w:val="auto"/>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spacing w:after="0" w:line="1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delivery and performance by Loan Parties of the Loan Documents to which they are parties and the consummation of the transactions contemplated by the Loan Documents do not and will not</w:t>
      </w:r>
    </w:p>
    <w:p>
      <w:pPr>
        <w:spacing w:after="0" w:line="2" w:lineRule="exact"/>
        <w:rPr>
          <w:sz w:val="20"/>
          <w:szCs w:val="20"/>
          <w:color w:val="auto"/>
        </w:rPr>
      </w:pPr>
    </w:p>
    <w:p>
      <w:pPr>
        <w:jc w:val="both"/>
        <w:ind w:firstLine="8"/>
        <w:spacing w:after="0"/>
        <w:tabs>
          <w:tab w:leader="none" w:pos="312"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as would not reasonably be expected to result in a Material Adverse Effect;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except for such approvals or consents which will be obtained on or before the Closing Date and disclosed in writing to Lenders.</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4.5 </w:t>
      </w:r>
      <w:r>
        <w:rPr>
          <w:rFonts w:ascii="Times New Roman" w:cs="Times New Roman" w:eastAsia="Times New Roman" w:hAnsi="Times New Roman"/>
          <w:sz w:val="20"/>
          <w:szCs w:val="20"/>
          <w:u w:val="single" w:color="auto"/>
          <w:color w:val="auto"/>
        </w:rPr>
        <w:t>Governmental Consents</w:t>
      </w:r>
      <w:r>
        <w:rPr>
          <w:rFonts w:ascii="Times New Roman" w:cs="Times New Roman" w:eastAsia="Times New Roman" w:hAnsi="Times New Roman"/>
          <w:sz w:val="20"/>
          <w:szCs w:val="20"/>
          <w:color w:val="auto"/>
        </w:rPr>
        <w:t>.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filings and recordings with respect to the Collateral to be made, or otherwise delivered to Administrative Agent for filing and/or recordation, as of the Closing Date.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4.6 </w:t>
      </w:r>
      <w:r>
        <w:rPr>
          <w:rFonts w:ascii="Times New Roman" w:cs="Times New Roman" w:eastAsia="Times New Roman" w:hAnsi="Times New Roman"/>
          <w:sz w:val="20"/>
          <w:szCs w:val="20"/>
          <w:u w:val="single" w:color="auto"/>
          <w:color w:val="auto"/>
        </w:rPr>
        <w:t>Binding Obligation</w:t>
      </w:r>
      <w:r>
        <w:rPr>
          <w:rFonts w:ascii="Times New Roman" w:cs="Times New Roman" w:eastAsia="Times New Roman" w:hAnsi="Times New Roman"/>
          <w:sz w:val="20"/>
          <w:szCs w:val="20"/>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2" w:name="page283"/>
    <w:bookmarkEnd w:id="282"/>
    <w:p>
      <w:pPr>
        <w:jc w:val="both"/>
        <w:spacing w:after="0" w:line="268" w:lineRule="auto"/>
        <w:rPr>
          <w:sz w:val="20"/>
          <w:szCs w:val="20"/>
          <w:color w:val="auto"/>
        </w:rPr>
      </w:pPr>
      <w:r>
        <w:rPr>
          <w:rFonts w:ascii="Times New Roman" w:cs="Times New Roman" w:eastAsia="Times New Roman" w:hAnsi="Times New Roman"/>
          <w:sz w:val="20"/>
          <w:szCs w:val="20"/>
          <w:color w:val="auto"/>
        </w:rPr>
        <w:t>properties, assets and, condition (financial condition or otherwise) of the Company and prospects of Borrower and any of its Subsidiaries taken as a whole.</w:t>
      </w:r>
    </w:p>
    <w:p>
      <w:pPr>
        <w:spacing w:after="0" w:line="16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4.8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On and as of the Closing Date, the Projections of Borrower and its Subsidiaries for the period of Fiscal Year [***] through and including Fiscal Year [***],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are based on good faith estimates and assumptions made by the management of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Projections are not to be viewed as facts and that actual results during the period or periods covered by the Projections may differ from such Projections and that the differences may be material;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as of the Closing Date, management of Borrower believed that the Projections were reasonable.</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4.9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 no event, circumstance or change has occurred that has caused or evidences, either in any case or in the aggregate, a Material Adverse Effect.</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4.10 </w:t>
      </w:r>
      <w:r>
        <w:rPr>
          <w:rFonts w:ascii="Times New Roman" w:cs="Times New Roman" w:eastAsia="Times New Roman" w:hAnsi="Times New Roman"/>
          <w:sz w:val="20"/>
          <w:szCs w:val="20"/>
          <w:u w:val="single" w:color="auto"/>
          <w:color w:val="auto"/>
        </w:rPr>
        <w:t>Adverse Proceedings, Etc.</w:t>
      </w:r>
      <w:r>
        <w:rPr>
          <w:rFonts w:ascii="Times New Roman" w:cs="Times New Roman" w:eastAsia="Times New Roman" w:hAnsi="Times New Roman"/>
          <w:sz w:val="20"/>
          <w:szCs w:val="20"/>
          <w:color w:val="auto"/>
        </w:rPr>
        <w:t xml:space="preserve"> There are no Adverse Proceedings that (a) relate to any Loan Document or the transactions contemplated hereby or thereby or (b) individually or in the aggregate, would materially impair Administrative Agent’s security interest in the Collateral, Borrower’s and its Subsidiaries’ respective rights, powers or remedies with respect to applicable Products or could otherwise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could not reasonably be expected to result in a Material Adverse Effect.</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4.11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All federal Tax returns and all other material Tax returns and reports of Borrower and its Subsidiaries required to be filed by or with respect to any of them have been timely filed, and all federal Taxes and all other material Taxes due and payable upon Borrower and its Subsidiaries and upon or with respect to their respective properties, assets, income, businesses and franchises which are due and payable have been paid when due and payable, except for Taxes that are being contested in good faith by appropriate proceedings diligently conducted and for which adequate reserves are being maintained in accordance with GAAP. There is no pending or, to the knowledge of Borrower, proposed Tax assessment, deficiency, audit or other proceeding against Borower or any of its Subsidiaries. Notwithstanding the foregoing, in the case of any Credit Date, matters occuring after the Closing Date that are permitted under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not violate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with respect to such Credit Date.</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4.12 </w:t>
      </w:r>
      <w:r>
        <w:rPr>
          <w:rFonts w:ascii="Times New Roman" w:cs="Times New Roman" w:eastAsia="Times New Roman" w:hAnsi="Times New Roman"/>
          <w:sz w:val="20"/>
          <w:szCs w:val="20"/>
          <w:u w:val="single" w:color="auto"/>
          <w:color w:val="auto"/>
        </w:rPr>
        <w:t>Properties, Title</w:t>
      </w:r>
      <w:r>
        <w:rPr>
          <w:rFonts w:ascii="Times New Roman" w:cs="Times New Roman" w:eastAsia="Times New Roman" w:hAnsi="Times New Roman"/>
          <w:sz w:val="20"/>
          <w:szCs w:val="20"/>
          <w:color w:val="auto"/>
        </w:rPr>
        <w:t xml:space="preserve">. Each of Borrower and its Subsidiaries has (a) good, sufficient, marketable and legal title to (in the 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and in the most recent financial statements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in each case except for (i) assets disposed of since the date of such financial statements in the ordinary course of business or as otherwise permitted under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(ii) defects in title or interests which would not, individually or in the aggregate, reasonably be expected to interfere with the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contains a true, accurate and complete list of all property owned or leased by Borrower and its Subsidiaries or where Collateral or books and records are located.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as any such failure could not reasonably be expected to result in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3" w:name="page284"/>
    <w:bookmarkEnd w:id="283"/>
    <w:p>
      <w:pPr>
        <w:jc w:val="both"/>
        <w:ind w:firstLine="1304"/>
        <w:spacing w:after="0" w:line="254"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of Hazardous Materials and there are no Hazardous Materials present in violation of Environmental Law at any of the properties currently owned or operated by any Loan Party.</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the business of, and each of the properties owned or operated by, each Loan Party are in compliance with all Environmental Laws.</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holds and is in compliance Governmental Authorizations required under any Environmental Laws in connection with the operations carried on by it and the properties owned or operated by it.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4.14 </w:t>
      </w:r>
      <w:r>
        <w:rPr>
          <w:rFonts w:ascii="Times New Roman" w:cs="Times New Roman" w:eastAsia="Times New Roman" w:hAnsi="Times New Roman"/>
          <w:sz w:val="20"/>
          <w:szCs w:val="20"/>
          <w:u w:val="single" w:color="auto"/>
          <w:color w:val="auto"/>
        </w:rPr>
        <w:t>No Defaults</w:t>
      </w:r>
      <w:r>
        <w:rPr>
          <w:rFonts w:ascii="Times New Roman" w:cs="Times New Roman" w:eastAsia="Times New Roman" w:hAnsi="Times New Roman"/>
          <w:sz w:val="20"/>
          <w:szCs w:val="20"/>
          <w:color w:val="auto"/>
        </w:rPr>
        <w:t>. Neither Borrower nor any of its Subsidiaries is in default in the performance, observance or fulfillment of any of the obligations, covenants or conditions contained in any of its Contractual Obligations, and no condition exists which, with the giving of notice or the lapse of time or both, could constitute such a default, except, in each case. where the consequences, direct or indirect, of such default or defaults, if any, could not reasonably be expected to have a Material Adverse Effect.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4.15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contains a true, correct and complete list of all the Material Contracts in effect on the Closing Date, which, together with any updates provided pursuant to </w:t>
      </w:r>
      <w:r>
        <w:rPr>
          <w:rFonts w:ascii="Times New Roman" w:cs="Times New Roman" w:eastAsia="Times New Roman" w:hAnsi="Times New Roman"/>
          <w:sz w:val="20"/>
          <w:szCs w:val="20"/>
          <w:u w:val="single" w:color="auto"/>
          <w:color w:val="auto"/>
        </w:rPr>
        <w:t>Section 5.1(l)</w:t>
      </w:r>
      <w:r>
        <w:rPr>
          <w:rFonts w:ascii="Times New Roman" w:cs="Times New Roman" w:eastAsia="Times New Roman" w:hAnsi="Times New Roman"/>
          <w:sz w:val="20"/>
          <w:szCs w:val="20"/>
          <w:color w:val="auto"/>
        </w:rPr>
        <w:t xml:space="preserve">, all such Material Contracts are in full force and effect and no defaults currently exist thereunder (other than as described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or in such updates).</w:t>
      </w:r>
    </w:p>
    <w:p>
      <w:pPr>
        <w:spacing w:after="0" w:line="180" w:lineRule="exact"/>
        <w:rPr>
          <w:sz w:val="20"/>
          <w:szCs w:val="20"/>
          <w:color w:val="auto"/>
        </w:rPr>
      </w:pPr>
    </w:p>
    <w:p>
      <w:pPr>
        <w:jc w:val="both"/>
        <w:ind w:firstLine="1304"/>
        <w:spacing w:after="0" w:line="243" w:lineRule="auto"/>
        <w:tabs>
          <w:tab w:leader="none" w:pos="194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described in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each Material Contract is a legal, valid and binding obligation of Borrower, its Subsidiaries and, to the knowledge of Borrower, each other party thereto, is enforceable in accordance with its terms and is in full force and effect, subject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is or was in material breach or default, under the terms of any Material Contract, and no condition exists which, with the giving of notice or the lapse of time or both, would constitute a breach or default by Borrower or any of its Subsidiaries thereunder that could result in any material liability to Borrower or such Subsdiary or termination of such Material Contract.</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4.16 </w:t>
      </w:r>
      <w:r>
        <w:rPr>
          <w:rFonts w:ascii="Times New Roman" w:cs="Times New Roman" w:eastAsia="Times New Roman" w:hAnsi="Times New Roman"/>
          <w:sz w:val="20"/>
          <w:szCs w:val="20"/>
          <w:u w:val="single" w:color="auto"/>
          <w:color w:val="auto"/>
        </w:rPr>
        <w:t>Governmental Regulation</w:t>
      </w:r>
      <w:r>
        <w:rPr>
          <w:rFonts w:ascii="Times New Roman" w:cs="Times New Roman" w:eastAsia="Times New Roman" w:hAnsi="Times New Roman"/>
          <w:sz w:val="20"/>
          <w:szCs w:val="20"/>
          <w:color w:val="auto"/>
        </w:rPr>
        <w:t>. Neither Borrower nor any of its Subsidiaries is subject to regulation under the Public Utility Holding Company Act of 2005, the Federal Power Act or the Investment Company Act of 1940 or under any other federal or state statute or regulation which may limit its ability to incur Indebtedness or which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4.17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4" w:name="page285"/>
    <w:bookmarkEnd w:id="284"/>
    <w:p>
      <w:pPr>
        <w:jc w:val="both"/>
        <w:spacing w:after="0" w:line="269" w:lineRule="auto"/>
        <w:rPr>
          <w:sz w:val="20"/>
          <w:szCs w:val="20"/>
          <w:color w:val="auto"/>
        </w:rPr>
      </w:pPr>
      <w:r>
        <w:rPr>
          <w:rFonts w:ascii="Times New Roman" w:cs="Times New Roman" w:eastAsia="Times New Roman" w:hAnsi="Times New Roman"/>
          <w:sz w:val="20"/>
          <w:szCs w:val="20"/>
          <w:color w:val="auto"/>
        </w:rPr>
        <w:t>of Regulation T, U or X of the Board of Governors of the Federal Reserve System or any similar regulation in any other jurisdiction.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4.18 </w:t>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No ERISA Event has occurred or is reasonably expected to occur that has resulted or could resaonably be expected to result in a Material Adverse Effect.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4.19 </w:t>
      </w: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Except as disclosed to Administrative Agent prior to the Closing Date, no broker’s or finder’s fee or commission will be payable with respect hereto or any of the transactions contemplated hereby.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4.20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Borrower is individually, and the Loan Parties and their Subsidiaries on a consolidated basis, are and upon the occurrrence of the Credit Extension by the Borrower on the Closing Date and on each Credit Date, will be, Solvent.</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4.21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The underlying assets of Borrower and its Subsidiaries do not constitute “plan assets” (within the meaning of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of one or more Benefit Plans and the execution, delivery and performance of this Agreement and the other Loan Documents do not and will not constitute a non-exempt prohibited transaction under Section 406 of ERISA or Section 4975 of the Internal Revenue Code.</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4.22 </w:t>
      </w:r>
      <w:r>
        <w:rPr>
          <w:rFonts w:ascii="Times New Roman" w:cs="Times New Roman" w:eastAsia="Times New Roman" w:hAnsi="Times New Roman"/>
          <w:sz w:val="20"/>
          <w:szCs w:val="20"/>
          <w:u w:val="single" w:color="auto"/>
          <w:color w:val="auto"/>
        </w:rPr>
        <w:t>Compliance with Statutes, Etc.</w:t>
      </w:r>
      <w:r>
        <w:rPr>
          <w:rFonts w:ascii="Times New Roman" w:cs="Times New Roman" w:eastAsia="Times New Roman" w:hAnsi="Times New Roman"/>
          <w:sz w:val="20"/>
          <w:szCs w:val="20"/>
          <w:color w:val="auto"/>
        </w:rPr>
        <w:t xml:space="preserve"> Each of Borrower and its Subsidiaries is in compliance with (i) its Organizational Documents and (ii) all applicable laws, statutes, regulations and orders of, and all applicable restrictions imposed by, all Governmental Authorities, in respect of the conduct of its business and the ownership of its property, except such non-compliance that, individually or in the aggregate, could not reasonably be expected to result in a Material Adverse Effect.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4.23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Borrower and its Subsidiaries, each of Borrower and its Subsidiaries own, or hold valid licenses in, all Intellectual Property Rights that are necessary to the conduct of its business as currently conducted and proposed to be conducted, including the discovery, development, manufacture, use and Commercialization of the Products, except, in the case of any Product (Non-Core), where the failure to own or hold such rights would not reasonably be expected to result in a Material Adverse Effect. Except as set forth in </w:t>
      </w:r>
      <w:r>
        <w:rPr>
          <w:rFonts w:ascii="Times New Roman" w:cs="Times New Roman" w:eastAsia="Times New Roman" w:hAnsi="Times New Roman"/>
          <w:sz w:val="20"/>
          <w:szCs w:val="20"/>
          <w:u w:val="single" w:color="auto"/>
          <w:color w:val="auto"/>
        </w:rPr>
        <w:t>Schedule 4.23(a)</w:t>
      </w:r>
      <w:r>
        <w:rPr>
          <w:rFonts w:ascii="Times New Roman" w:cs="Times New Roman" w:eastAsia="Times New Roman" w:hAnsi="Times New Roman"/>
          <w:sz w:val="20"/>
          <w:szCs w:val="20"/>
          <w:color w:val="auto"/>
        </w:rPr>
        <w:t>, and except as set forth in the License Agreements, Borrower and its Subsidiaries have the exclusive right and license to develop, manufacture, use and Commercialize the Products under the Product Intellectual Property Rights, the Registrations, and the Regulatory Documentation, except, in the case of any Product (Non-Core), where the failure to have such exclusive rights and licenses would not reasonably be likely to result in a Material Adverse Effect.</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4.23(b)</w:t>
      </w:r>
      <w:r>
        <w:rPr>
          <w:rFonts w:ascii="Times New Roman" w:cs="Times New Roman" w:eastAsia="Times New Roman" w:hAnsi="Times New Roman"/>
          <w:sz w:val="20"/>
          <w:szCs w:val="20"/>
          <w:color w:val="auto"/>
        </w:rPr>
        <w:t xml:space="preserve"> sets forth a true, correct and complete listing, under separate headings, of all Contractual Obligations, whether written or oral, (i) under which Borrower or its Subsidiaries is granted a license other or right to use any Product Intellectual Property Rights that any other Person owns, or owes any royalties or other payments to any Person for the use of any Product Intellectual Property Rights, (ii) under which Borrower or its Subsidiaries have granted any Person any right or interest in any Product Intellectual Property Rights, and (iii) that otherwise affect Borrower or its Subsidiaries’ use of or rights in the Product Intellectual Property Rights (including co-existence agreements and covenants not to sue), except, in the case of Contractual Obligations relating solely to any Product (Non-Core), where such Contractual Obligations are not material to the research, development, use, import or Commercialization of such Product (Non-Core) (collectively, “</w:t>
      </w:r>
      <w:r>
        <w:rPr>
          <w:rFonts w:ascii="Times New Roman" w:cs="Times New Roman" w:eastAsia="Times New Roman" w:hAnsi="Times New Roman"/>
          <w:sz w:val="20"/>
          <w:szCs w:val="20"/>
          <w:u w:val="single" w:color="auto"/>
          <w:color w:val="auto"/>
        </w:rPr>
        <w:t>License Agreements</w:t>
      </w:r>
      <w:r>
        <w:rPr>
          <w:rFonts w:ascii="Times New Roman" w:cs="Times New Roman" w:eastAsia="Times New Roman" w:hAnsi="Times New Roman"/>
          <w:sz w:val="20"/>
          <w:szCs w:val="20"/>
          <w:color w:val="auto"/>
        </w:rPr>
        <w:t xml:space="preserve">”). Each License Agreement identified on </w:t>
      </w:r>
      <w:r>
        <w:rPr>
          <w:rFonts w:ascii="Times New Roman" w:cs="Times New Roman" w:eastAsia="Times New Roman" w:hAnsi="Times New Roman"/>
          <w:sz w:val="20"/>
          <w:szCs w:val="20"/>
          <w:u w:val="single" w:color="auto"/>
          <w:color w:val="auto"/>
        </w:rPr>
        <w:t>Schedule 4.23(b)</w:t>
      </w:r>
      <w:r>
        <w:rPr>
          <w:rFonts w:ascii="Times New Roman" w:cs="Times New Roman" w:eastAsia="Times New Roman" w:hAnsi="Times New Roman"/>
          <w:sz w:val="20"/>
          <w:szCs w:val="20"/>
          <w:color w:val="auto"/>
        </w:rPr>
        <w:t xml:space="preserve"> is a valid and binding obligation of Borrower and the counterpart(ies) thereto and is enforceable against each counterparty thereto in accordance with its terms,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5" w:name="page286"/>
    <w:bookmarkEnd w:id="285"/>
    <w:p>
      <w:pPr>
        <w:jc w:val="both"/>
        <w:spacing w:after="0" w:line="247" w:lineRule="auto"/>
        <w:rPr>
          <w:sz w:val="20"/>
          <w:szCs w:val="20"/>
          <w:color w:val="auto"/>
        </w:rPr>
      </w:pPr>
      <w:r>
        <w:rPr>
          <w:rFonts w:ascii="Times New Roman" w:cs="Times New Roman" w:eastAsia="Times New Roman" w:hAnsi="Times New Roman"/>
          <w:sz w:val="20"/>
          <w:szCs w:val="20"/>
          <w:color w:val="auto"/>
        </w:rPr>
        <w:t>except as may be limited by applicable Bankruptcy Laws or by general principles of equity (whether considered in a proceeding in equity or at law). Borrower has not received any written notice in connection with any such License Agreement challenging the validity, enforceability or interpretation of any provision of such agreement. Borrower has not</w:t>
      </w:r>
    </w:p>
    <w:p>
      <w:pPr>
        <w:jc w:val="both"/>
        <w:ind w:firstLine="8"/>
        <w:spacing w:after="0"/>
        <w:tabs>
          <w:tab w:leader="none" w:pos="32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Borrower has not consented to any assignment by the counterparty to any License Agreement of any of its rights or obligations under any such License Agreement, and, to the knowledge of Borrower, the counterparty has not assigned any of its rights or obligations under any such License Agreement to any Person. Borrower has not notified in writing the respective counterparty to any License Agreement or any other Person of any claims for indemnification under any License Agreement nor has Borrower received any written claims for indemnification under any License Agreement. Borrower has not received any written notice from, or given any written notice to, any counterparty to any License Agreement alleging any infringement of any of the Patents licensed thereunder.</w:t>
      </w:r>
    </w:p>
    <w:p>
      <w:pPr>
        <w:spacing w:after="0" w:line="188"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sets forth a true, correct and complete listing, including the owner and registration or application number, of all the Product Intellectual Property Rights that are U.S. (federal or state) and foreign [***] (i) Patents, and identifies the owner of each such patent/application, (ii) registered trademarks and trademark applications, (iii) registered copyrights and copyright applications, (iv) domain names, and (v) any other form of registered Product Intellectual Property Rights. Except as identified in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(i) the owner listed on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is the exclusive owner of such registration or application; (ii) to the best of Company’s and its Subsidiaries’ knowledge, such registrations are valid, subsisting and enforceable; (iii) none of the registrations or applications have lapsed or been abandoned, cancelled or expired, except for registrations or applications abandoned in the ordinary course of business; (iv) Company has taken all reasonable steps to maintain such registrations or applications, including by timely filing fees and responses; and (v) each individual associated with the filing and prosecution of such registrations or applications, including the named inventors in the case of the Product Patents, has complied in all material respects with all applicable duties of candor and good faith in dealing with any patent office, including the USPTO, in those jurisdictions where such duties exist. Company may update this list to add additional registrations or applications, so long as such amendment occurs by written notice to Administrative Agent, subject to Borrower’s obligations and restrictions under this Agreement.</w:t>
      </w:r>
    </w:p>
    <w:p>
      <w:pPr>
        <w:spacing w:after="0" w:line="195" w:lineRule="exact"/>
        <w:rPr>
          <w:rFonts w:ascii="Times New Roman" w:cs="Times New Roman" w:eastAsia="Times New Roman" w:hAnsi="Times New Roman"/>
          <w:sz w:val="20"/>
          <w:szCs w:val="20"/>
          <w:color w:val="auto"/>
        </w:rPr>
      </w:pPr>
    </w:p>
    <w:p>
      <w:pPr>
        <w:ind w:firstLine="1304"/>
        <w:spacing w:after="0" w:line="241" w:lineRule="auto"/>
        <w:tabs>
          <w:tab w:leader="none" w:pos="1944"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Borrower nor any of its Subsidiares is a party to any pending, and neither the Company nor any of its Subsidiaries has received written notice of any threat of any,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that challenges the legality, scope, validity, enforceability, infringement, ownership, inventorship or other rights with respect to any of the Product Intellectual Property Rights, except, in the case of any Product (Non-Core), where such Dispute, if resolved adversely to Borrower, its Subsidiaries or their licensees or licensors, would not reasonably be expected to result in a Material Adverse Effect, and to the knowledge of the Borrower and its Subsidiaries, there are no facts that could provide a reasonable basis for such a claim. Borrower and its Subsidiaries have not received any written notice that there is any, and to their knowledge there is no, Person who is or claims to be an inventor under any of the Product Patents who is not a named inventor thereof except, in the case of any Product (Non-Core), where the failure to name the correct inventor would not reasonably be likely to result in a Material Adverse Effect.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8"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6" w:name="page287"/>
    <w:bookmarkEnd w:id="286"/>
    <w:p>
      <w:pPr>
        <w:jc w:val="both"/>
        <w:ind w:firstLine="1304"/>
        <w:spacing w:after="0" w:line="242" w:lineRule="auto"/>
        <w:tabs>
          <w:tab w:leader="none" w:pos="19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of its Subsidiaries is party to any past or pending and neither the Borrower nor its Subsidiaries has received written notice of any threat of any, and to the Knowledge of Company and its Subsidiaries no event has occurred or circumstance exists that (with or without notice or lapse of time, or both) could reasonably be expected to give rise to or serve as a basis for any, action, suit, or proceeding, or any investigation or claim by any Person that claims or alleges that the discovery, development, manufacture, use or Commercialization of any Product, once marketed, does or could infringe on any Patent or other intellectual property rights of any other Person or constitute misappropriation of any other Person’s trade secrets or other intellectual property rights, except, in the case of any Product (Non-Core), where the failure to own, have a license to or otherwise hold such rights would not reasonably be likely to result in a Material Adverse Effect, and to the knowledge of Borrower and its Subsidiaries, there is no facts that could provide a reasonable basis for such a claim.</w:t>
      </w:r>
    </w:p>
    <w:p>
      <w:pPr>
        <w:spacing w:after="0" w:line="192"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in </w:t>
      </w:r>
      <w:r>
        <w:rPr>
          <w:rFonts w:ascii="Times New Roman" w:cs="Times New Roman" w:eastAsia="Times New Roman" w:hAnsi="Times New Roman"/>
          <w:sz w:val="20"/>
          <w:szCs w:val="20"/>
          <w:u w:val="single" w:color="auto"/>
          <w:color w:val="auto"/>
        </w:rPr>
        <w:t>Schedule 4.23(f)</w:t>
      </w:r>
      <w:r>
        <w:rPr>
          <w:rFonts w:ascii="Times New Roman" w:cs="Times New Roman" w:eastAsia="Times New Roman" w:hAnsi="Times New Roman"/>
          <w:sz w:val="20"/>
          <w:szCs w:val="20"/>
          <w:color w:val="auto"/>
        </w:rPr>
        <w:t>, neither Borrower nor its Subsidiaries has entered into any Contractual Obligation (i) creating a lien, charge, security interest or other encumbrance on, or relating to or affecting the Product Intellectual Property Rights or any of its royalties on, or proceeds from, sales of the Product, (ii) pursuant to which Borrower or its Subsidiaries has sold, transferred, assigned or pledged to any Person royalties on, or proceeds from, sales of the Product, or (iii) providing for milestone payments or similar development-, commercialization- or intellectual property-related payments to any Person applicable (or that with further development and commercialization may become applicable) to the Product.</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4.24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reasonably required by Administrative Agent (including, without limitation, against larceny, embezzlement or other criminal misappropriation). </w:t>
      </w:r>
      <w:r>
        <w:rPr>
          <w:rFonts w:ascii="Times New Roman" w:cs="Times New Roman" w:eastAsia="Times New Roman" w:hAnsi="Times New Roman"/>
          <w:sz w:val="20"/>
          <w:szCs w:val="20"/>
          <w:u w:val="single" w:color="auto"/>
          <w:color w:val="auto"/>
        </w:rPr>
        <w:t>Schedule 4.24</w:t>
      </w:r>
      <w:r>
        <w:rPr>
          <w:rFonts w:ascii="Times New Roman" w:cs="Times New Roman" w:eastAsia="Times New Roman" w:hAnsi="Times New Roman"/>
          <w:sz w:val="20"/>
          <w:szCs w:val="20"/>
          <w:color w:val="auto"/>
        </w:rPr>
        <w:t xml:space="preserve"> sets forth a list of all insurance maintained by each Loan Party on the Closing Date.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4.25</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4.26 </w:t>
      </w:r>
      <w:r>
        <w:rPr>
          <w:rFonts w:ascii="Times New Roman" w:cs="Times New Roman" w:eastAsia="Times New Roman" w:hAnsi="Times New Roman"/>
          <w:sz w:val="20"/>
          <w:szCs w:val="20"/>
          <w:u w:val="single" w:color="auto"/>
          <w:color w:val="auto"/>
        </w:rPr>
        <w:t>Permits, Etc.</w:t>
      </w:r>
      <w:r>
        <w:rPr>
          <w:rFonts w:ascii="Times New Roman" w:cs="Times New Roman" w:eastAsia="Times New Roman" w:hAnsi="Times New Roman"/>
          <w:sz w:val="20"/>
          <w:szCs w:val="20"/>
          <w:color w:val="auto"/>
        </w:rPr>
        <w:t xml:space="preserve"> 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which, if not obtained,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could not be reasonably be expected to have a Material Adverse Effect.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Section 4.27 </w:t>
      </w:r>
      <w:r>
        <w:rPr>
          <w:rFonts w:ascii="Times New Roman" w:cs="Times New Roman" w:eastAsia="Times New Roman" w:hAnsi="Times New Roman"/>
          <w:sz w:val="19"/>
          <w:szCs w:val="19"/>
          <w:u w:val="single" w:color="auto"/>
          <w:color w:val="auto"/>
        </w:rPr>
        <w:t>Bank Accounts and Securities Accounts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4.27</w:t>
      </w:r>
      <w:r>
        <w:rPr>
          <w:rFonts w:ascii="Times New Roman" w:cs="Times New Roman" w:eastAsia="Times New Roman" w:hAnsi="Times New Roman"/>
          <w:sz w:val="19"/>
          <w:szCs w:val="19"/>
          <w:color w:val="auto"/>
        </w:rPr>
        <w:t xml:space="preserve"> sets forth a complete and accurate list as of the Closing Date of all deposit, checking and other bank accounts, all securities and other accounts maintained with any broker dealer and all other similar accounts maintained by each Loan Party, together with a description thereof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the bank or broker dealer at which such deposit or other account is maintained and the account number and the purpose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7" w:name="page288"/>
    <w:bookmarkEnd w:id="287"/>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Section 4.28 </w:t>
      </w:r>
      <w:r>
        <w:rPr>
          <w:rFonts w:ascii="Times New Roman" w:cs="Times New Roman" w:eastAsia="Times New Roman" w:hAnsi="Times New Roman"/>
          <w:sz w:val="19"/>
          <w:szCs w:val="19"/>
          <w:u w:val="single" w:color="auto"/>
          <w:color w:val="auto"/>
        </w:rPr>
        <w:t>Security Interests</w:t>
      </w:r>
      <w:r>
        <w:rPr>
          <w:rFonts w:ascii="Times New Roman" w:cs="Times New Roman" w:eastAsia="Times New Roman" w:hAnsi="Times New Roman"/>
          <w:sz w:val="19"/>
          <w:szCs w:val="19"/>
          <w:color w:val="auto"/>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 w:cs="Times New Roman" w:eastAsia="Times New Roman" w:hAnsi="Times New Roman"/>
          <w:sz w:val="19"/>
          <w:szCs w:val="19"/>
          <w:u w:val="single" w:color="auto"/>
          <w:color w:val="auto"/>
        </w:rPr>
        <w:t>Section 3.1(e)</w:t>
      </w:r>
      <w:r>
        <w:rPr>
          <w:rFonts w:ascii="Times New Roman" w:cs="Times New Roman" w:eastAsia="Times New Roman" w:hAnsi="Times New Roman"/>
          <w:sz w:val="19"/>
          <w:szCs w:val="19"/>
          <w:color w:val="auto"/>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 and (c) the recordation of appropriate evidence of the security interest in the appropriate foreign registry with respect to all foreign Intellectual Property.</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4.29 </w:t>
      </w:r>
      <w:r>
        <w:rPr>
          <w:rFonts w:ascii="Times New Roman" w:cs="Times New Roman" w:eastAsia="Times New Roman" w:hAnsi="Times New Roman"/>
          <w:sz w:val="20"/>
          <w:szCs w:val="20"/>
          <w:u w:val="single" w:color="auto"/>
          <w:color w:val="auto"/>
        </w:rPr>
        <w:t>PATRIOT ACT and FCPA</w:t>
      </w:r>
      <w:r>
        <w:rPr>
          <w:rFonts w:ascii="Times New Roman" w:cs="Times New Roman" w:eastAsia="Times New Roman" w:hAnsi="Times New Roman"/>
          <w:sz w:val="20"/>
          <w:szCs w:val="20"/>
          <w:color w:val="auto"/>
        </w:rPr>
        <w:t>. To the extent applicable, each Loan Party is in compliance with (a) the laws, regulations and Executive Orders administered by OFAC, and (b) the Bank Secrecy Act, as amended by the Uniting and Strengthening America by Providing Appropriate Tools Required to Intercept and Obstruct Terrorism (USA PATRIOT Act ) of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Neither the Loan Parties nor any of their officers, directors, employees, agents [***]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 acting or benefiting in any capacity in connection with the Loans or other transactions hereunder, is a Blocked Person. None of the Loan Parties, nor any of their agents [***] acting in any capacity in connection with the Loans or other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 [***].</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4.30</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4.31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No representation or warranty of any Loan Party contained in any Loan Document or in any other documents, 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 the circumstances in which the same were made. Any projections and pro forma financial information contained in such materials are based upon good faith estimates and assumptions believed by Company to be reasonable at the time made, it being recognized by Lenders that such projections as to future events are not to be viewed as facts and that actual results during the period or periods covered by any such projections may differ materially from the projected results. The information provided by the Loan Parties to Lenders in the Perfection Certificate (as supplemented in accordance with </w:t>
      </w:r>
      <w:r>
        <w:rPr>
          <w:rFonts w:ascii="Times New Roman" w:cs="Times New Roman" w:eastAsia="Times New Roman" w:hAnsi="Times New Roman"/>
          <w:sz w:val="20"/>
          <w:szCs w:val="20"/>
          <w:u w:val="single" w:color="auto"/>
          <w:color w:val="auto"/>
        </w:rPr>
        <w:t>Section 5.1(n)</w:t>
      </w:r>
      <w:r>
        <w:rPr>
          <w:rFonts w:ascii="Times New Roman" w:cs="Times New Roman" w:eastAsia="Times New Roman" w:hAnsi="Times New Roman"/>
          <w:sz w:val="20"/>
          <w:szCs w:val="20"/>
          <w:color w:val="auto"/>
        </w:rPr>
        <w:t>) is true and correct in all material respects as of the date such Perfection Certificate was delivered.</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4.32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shall be applied by Company (a) for the development, promotion and commercial launch of AYVAKIT and BLU-263, (b) to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8" w:name="page289"/>
    <w:bookmarkEnd w:id="288"/>
    <w:p>
      <w:pPr>
        <w:jc w:val="both"/>
        <w:spacing w:after="0" w:line="245" w:lineRule="auto"/>
        <w:rPr>
          <w:sz w:val="20"/>
          <w:szCs w:val="20"/>
          <w:color w:val="auto"/>
        </w:rPr>
      </w:pPr>
      <w:r>
        <w:rPr>
          <w:rFonts w:ascii="Times New Roman" w:cs="Times New Roman" w:eastAsia="Times New Roman" w:hAnsi="Times New Roman"/>
          <w:sz w:val="20"/>
          <w:szCs w:val="20"/>
          <w:color w:val="auto"/>
        </w:rPr>
        <w:t>potential acquisition and partnership opportunities and (c) for working capital, pipeline development and general corporate purposes of Borrower and its Subsidiaries; provided, Incremental Term Loans shall be used exclusively to fund potential acquisition and partnership opportunities.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4.33</w:t>
      </w:r>
      <w:r>
        <w:rPr>
          <w:sz w:val="20"/>
          <w:szCs w:val="20"/>
          <w:color w:val="auto"/>
        </w:rPr>
        <w:tab/>
      </w:r>
      <w:r>
        <w:rPr>
          <w:rFonts w:ascii="Times New Roman" w:cs="Times New Roman" w:eastAsia="Times New Roman" w:hAnsi="Times New Roman"/>
          <w:sz w:val="19"/>
          <w:szCs w:val="19"/>
          <w:u w:val="single" w:color="auto"/>
          <w:color w:val="auto"/>
        </w:rPr>
        <w:t>Regulatory Compliance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3" w:lineRule="auto"/>
        <w:tabs>
          <w:tab w:leader="none" w:pos="1944"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Borrower and its Subsidiaries have all Registrations from the FDA,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do so would not reasonably be expected to, individually or in the aggregate, result in Material Regulatory Liabilities. To the knowledge of Borrower and its Subsidiaries, neither FDA nor any other applicable Governmental Authority is considering limiting, suspending, or revoking such Registrations or changing the scope of the marketing authorization or the labeling of any Products under such Registrations. To the knowledge of Borrower and its Subsidiaries, there is no false or materially misleading information or significant omission in any Product application or other notification, submission or report to the FDA or any other applicable Governmental Authority that was not corrected by subsequent submission, and all such applications, notifications, submissions and reports provided Borrower and its Subsidiaries were true, complete, and correct in all material respects as of the date of submission to FDA or any other applicable Governmental Authority, except as would not reasonably be expected to, individually or in the aggregate, result in Material Regulatory Liabilities. Borrower and its Subsidiaries have not failed to fulfill and perform their obligations which are due under each such Registration, and no event has occurred or condition or state of facts exists which would constitute a breach or default under any such Registration, in each case that would reasonably be expected to cause the revocation, termination or suspension or material limitation of any such Registration, including but not limited to any form of clinical hold order, except as would not reasonably be expected to, individually or in the aggregate, result in Material Regulatory Liabilities. To the knowledge of Borrower and its Subsidiaries, any third party that develops, researches, manufactures, commercializes, distributes, sells or markets Products pursuant to an agreement with Borrower or its Subsidiaries (a “</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Party Partner</w:t>
      </w:r>
      <w:r>
        <w:rPr>
          <w:rFonts w:ascii="Times New Roman" w:cs="Times New Roman" w:eastAsia="Times New Roman" w:hAnsi="Times New Roman"/>
          <w:sz w:val="19"/>
          <w:szCs w:val="19"/>
          <w:color w:val="auto"/>
        </w:rPr>
        <w:t>”) is in compliance with all Registrations from the FDA and any comparable Governmental Authority insofar as they pertain to Products, and each such Loan Party Partner is, and since [***] has been, in compliance with applicable Public Health Laws, except where the failure to so be in compliance would not reasonably be expected to, individually or in the aggregate, result in Material Regulatory Liabilities. The Company is not required to give notice to, make any filing with, or obtain any consent from any Governmental Authority at any time prior to the Closing Date in connection with the execution and delivery of this Agreement, or the consummation of the transactions contemplated by the Loan Documents.</w:t>
      </w:r>
    </w:p>
    <w:p>
      <w:pPr>
        <w:spacing w:after="0" w:line="200" w:lineRule="exact"/>
        <w:rPr>
          <w:rFonts w:ascii="Times New Roman" w:cs="Times New Roman" w:eastAsia="Times New Roman" w:hAnsi="Times New Roman"/>
          <w:sz w:val="19"/>
          <w:szCs w:val="19"/>
          <w:color w:val="auto"/>
        </w:rPr>
      </w:pPr>
    </w:p>
    <w:p>
      <w:pPr>
        <w:spacing w:after="0" w:line="225"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Borrower and its Subsidiaries is in compliance, and since [***] has been in compliance, with all Public Health Laws, except to the extent that any such non-compliance, individually or in the aggregate, could not reasonably be expected to result in Material Regulatory Liabilities.</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all products designed, developed, investigated, manufactured, prepared, assembled, packaged, tested, labeled, distributed, sold, marketed or delivered by or on behalf of Borrower or any of its Subsidiaries, that are subject to the jurisdiction of the FDA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89" w:name="page290"/>
    <w:bookmarkEnd w:id="289"/>
    <w:p>
      <w:pPr>
        <w:jc w:val="both"/>
        <w:spacing w:after="0" w:line="244" w:lineRule="auto"/>
        <w:rPr>
          <w:sz w:val="20"/>
          <w:szCs w:val="20"/>
          <w:color w:val="auto"/>
        </w:rPr>
      </w:pPr>
      <w:r>
        <w:rPr>
          <w:rFonts w:ascii="Times New Roman" w:cs="Times New Roman" w:eastAsia="Times New Roman" w:hAnsi="Times New Roman"/>
          <w:sz w:val="20"/>
          <w:szCs w:val="20"/>
          <w:color w:val="auto"/>
        </w:rPr>
        <w:t>the knowledge of Borrower and its Subsidiaries,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or other Liabilities. None of the Products has been the subject of any products liability or warranty action against Borrower or its Subsidiaries or any non-legal claim for clinical trial compensation by trial participants, except as would not reasonably be expected to, individually or in the aggregate, result in Material Regulatory Liabilities.</w:t>
      </w:r>
    </w:p>
    <w:p>
      <w:pPr>
        <w:spacing w:after="0" w:line="186" w:lineRule="exact"/>
        <w:rPr>
          <w:sz w:val="20"/>
          <w:szCs w:val="20"/>
          <w:color w:val="auto"/>
        </w:rPr>
      </w:pPr>
    </w:p>
    <w:p>
      <w:pPr>
        <w:jc w:val="both"/>
        <w:ind w:firstLine="1304"/>
        <w:spacing w:after="0" w:line="243" w:lineRule="auto"/>
        <w:tabs>
          <w:tab w:leader="none" w:pos="19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Borrower nor any of its Subsidiaries is currently subject to any material obligation arising pursuant to a Regulatory Action and, to the knowledge of Borrower and its Subsidiaries, no such material obligation or Regulatory Action has been threatened by a Governmental Authority in writing, except as would not reasonably be expected to, individually or in the aggregate, result in Material Regulatory Liabilities. In addition, and without limitation on the foregoing, neither Borrower nor any of its Subsidiaries has since [***] received any written notice or communication from the FDA, comparable foreign counterparts or any other Governmental Authority alleging material non-compliance with any Public Health Law or comparable foreign laws, except as would not reasonably be expected to, individually or in the aggregate, result in Material Regulatory Liabilities.</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individually or in the aggregate, result in Material Regulatory Liabilities, (i) neither Borrower nor any of its Subsidiaries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and (ii) to the knowledge of Borrower and its Subsidiaries, no Loan Party Partner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or other Governmental Authority relating to such Loan Party Partner’s work for Borrower or such Subsidiary. Except as would not reasonably be expected to, individually or in the aggregate, result in Material Regulatory Liabilities, there have been no recalls, field notifications, field corrections, market withdrawals or replacements, detentions, warnings, “dear doctor” letters, investigator notices, safety alerts or other notice of action relating to an actual or potential lack of safety, efficacy, or regulatory compliance of any Products (“</w:t>
      </w:r>
      <w:r>
        <w:rPr>
          <w:rFonts w:ascii="Times New Roman" w:cs="Times New Roman" w:eastAsia="Times New Roman" w:hAnsi="Times New Roman"/>
          <w:sz w:val="20"/>
          <w:szCs w:val="20"/>
          <w:u w:val="single" w:color="auto"/>
          <w:color w:val="auto"/>
        </w:rPr>
        <w:t>Safety Notices</w:t>
      </w:r>
      <w:r>
        <w:rPr>
          <w:rFonts w:ascii="Times New Roman" w:cs="Times New Roman" w:eastAsia="Times New Roman" w:hAnsi="Times New Roman"/>
          <w:sz w:val="20"/>
          <w:szCs w:val="20"/>
          <w:color w:val="auto"/>
        </w:rPr>
        <w:t>”) or clinical hold orders issued by the FDA with respect to an ongoing or anticipated clinical trial of any Product, and to the knowledge of Borrower and its Subsidiaries, there are no facts or circumstances that are reasonably likely to result in (x) a Safety Notice, (y) a material change in labeling of any Product, (z) a termination or suspension of research, testing, manufacturing, distribution, or commercialization of any Product.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4.34 </w:t>
      </w:r>
      <w:r>
        <w:rPr>
          <w:rFonts w:ascii="Times New Roman" w:cs="Times New Roman" w:eastAsia="Times New Roman" w:hAnsi="Times New Roman"/>
          <w:sz w:val="20"/>
          <w:szCs w:val="20"/>
          <w:u w:val="single" w:color="auto"/>
          <w:color w:val="auto"/>
        </w:rPr>
        <w:t>Government Contracts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4.34</w:t>
      </w:r>
      <w:r>
        <w:rPr>
          <w:rFonts w:ascii="Times New Roman" w:cs="Times New Roman" w:eastAsia="Times New Roman" w:hAnsi="Times New Roman"/>
          <w:sz w:val="20"/>
          <w:szCs w:val="20"/>
          <w:color w:val="auto"/>
        </w:rPr>
        <w:t xml:space="preserve"> as of the Closing Date hereof, neither Borrower nor any 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4.35</w:t>
      </w:r>
      <w:r>
        <w:rPr>
          <w:sz w:val="20"/>
          <w:szCs w:val="20"/>
          <w:color w:val="auto"/>
        </w:rPr>
        <w:tab/>
      </w:r>
      <w:r>
        <w:rPr>
          <w:rFonts w:ascii="Times New Roman" w:cs="Times New Roman" w:eastAsia="Times New Roman" w:hAnsi="Times New Roman"/>
          <w:sz w:val="19"/>
          <w:szCs w:val="19"/>
          <w:u w:val="single" w:color="auto"/>
          <w:color w:val="auto"/>
        </w:rPr>
        <w:t>Healthcare Regulatory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952"/>
        <w:spacing w:after="0" w:line="269" w:lineRule="auto"/>
        <w:tabs>
          <w:tab w:leader="none" w:pos="259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Borrower and its Subsidiaries is operating, and since [***] has been operating in material compliance with applicable Health Care Program Laws.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0" w:name="page291"/>
    <w:bookmarkEnd w:id="290"/>
    <w:p>
      <w:pPr>
        <w:jc w:val="both"/>
        <w:ind w:firstLine="1304"/>
        <w:spacing w:after="0" w:line="246" w:lineRule="auto"/>
        <w:tabs>
          <w:tab w:leader="none" w:pos="194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and its Subsidiaries, nor, to their knowledge, any officer, director, managing employee or agent (as those terms are defined in 42 C.F.R. § 1001.1001) thereof, is a party to, or bound by, any Regulatory Action, including without limitation, any written order, individual integrity agreement, corporate integrity agreement, deferred or non-prosecution agreement or other written agreement with any Governmental Authority concerning their compliance with Health Care Program Laws.</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Borrower and its Subsidiaries, nor any officer, director, managing employee or agent (as those terms are defined in 42 C.F.R. § 1001.1001) thereof, nor to the knowledge of Borrower and its Subsidiaries, any Loan Party Partner: (i) has been, since [***], charged with or convicted of any criminal offense relating to the delivery of an item or service under any Federal Health Care Program; (ii) has had, since [***], a civil monetary penalty assessed against it, him or her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investigation relating to any of the foregoing or any Federal Health Care Program-related offense, or which could result in the imposition of material penalties or the debarment, suspension or exclusion from participation in any Federal Health Care Program. None of Borrower and its Subsidiaries, nor any officer, director, managing employee or agent [***] (as those terms are defined in 42 C.F.R. § 1001.1001) thereof, nor any Loan Party Partner, has been debarred, excluded, disqualified or suspended from participation in any Federal Health Care Program or under any FDA Laws (including 21 U.S.C. § 335a).</w:t>
      </w:r>
    </w:p>
    <w:p>
      <w:pPr>
        <w:spacing w:after="0" w:line="186" w:lineRule="exact"/>
        <w:rPr>
          <w:rFonts w:ascii="Times New Roman" w:cs="Times New Roman" w:eastAsia="Times New Roman" w:hAnsi="Times New Roman"/>
          <w:sz w:val="20"/>
          <w:szCs w:val="20"/>
          <w:color w:val="auto"/>
        </w:rPr>
      </w:pPr>
    </w:p>
    <w:p>
      <w:pPr>
        <w:jc w:val="both"/>
        <w:ind w:left="60" w:firstLine="1244"/>
        <w:spacing w:after="0" w:line="264" w:lineRule="auto"/>
        <w:tabs>
          <w:tab w:leader="none" w:pos="1943"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Borrower and its Subsidiaries, nor any officer, director, managing employee or agent [***] (as those terms are defined in 42 C.F.R. § 1001.1001) thereof, nor to the knowledge of Borrower and its Subsidiaries, any</w:t>
      </w:r>
    </w:p>
    <w:p>
      <w:pPr>
        <w:jc w:val="both"/>
        <w:spacing w:after="0" w:line="242" w:lineRule="auto"/>
        <w:rPr>
          <w:sz w:val="20"/>
          <w:szCs w:val="20"/>
          <w:color w:val="auto"/>
        </w:rPr>
      </w:pPr>
      <w:r>
        <w:rPr>
          <w:rFonts w:ascii="Times New Roman" w:cs="Times New Roman" w:eastAsia="Times New Roman" w:hAnsi="Times New Roman"/>
          <w:sz w:val="20"/>
          <w:szCs w:val="20"/>
          <w:color w:val="auto"/>
        </w:rPr>
        <w:t>Loan Party Partner, has, since [***], violated or engaged in any activity that is in violation of any Health Care Program Laws or cause for false claims liability, civil penalties or mandatory or permissive exclusion from any Federal Health Care Program.</w:t>
      </w:r>
    </w:p>
    <w:p>
      <w:pPr>
        <w:spacing w:after="0" w:line="187" w:lineRule="exact"/>
        <w:rPr>
          <w:sz w:val="20"/>
          <w:szCs w:val="20"/>
          <w:color w:val="auto"/>
        </w:rPr>
      </w:pPr>
    </w:p>
    <w:p>
      <w:pPr>
        <w:jc w:val="both"/>
        <w:ind w:firstLine="1304"/>
        <w:spacing w:after="0" w:line="274" w:lineRule="auto"/>
        <w:tabs>
          <w:tab w:leader="none" w:pos="1944"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Borrower and its Subsidiaries, no person has filed or has threatened to file against Borrower or any of its Subsidiaries, an action relating to any FDA Law, Public Health Law or Health Care Program Law under any whistleblower statute, including without limitation, the False Claims Act of 1863 (31 U.S.C. § 3729 et seq.).</w:t>
      </w:r>
    </w:p>
    <w:p>
      <w:pPr>
        <w:spacing w:after="0" w:line="156"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4.36 </w:t>
      </w: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Each of Borrower and its Subsidiaries is operating, and since [***] has been operating in material compliance with: (i) applicable Data Protection Laws; (ii) applicable industry standards; (iii) contractual obligations to which Borrower or any Subsidiaries is bound; and (iv) all of Borrower and each of its Subsidiaries’ internal privacy policies, in each case relating to privacy, data protection, consumer protection, consent or the collection, retention, protection, and use of Personal Information collected, used or maintained by Borrower or by third parties having access to the records of Borrower and each of its Subsidiaries that contain any Personal Information, except as would not reasonably be expected to, individually or in the aggregate, result in a Material Adverse Effect. Each of Borrower and its Subsidiaries has adopted and published privacy notices and policies that accurately describe the privacy practices of Borrower or any Subsidiary (as applicable), to any website, mobile application or other electronic platform and complied with those notices and policies, except as would not reasonably be expected to, individually or in the aggregate, result in a Material Adverse Effect (collectively, with each of Borrower and each of its Subsidiaries’ internal privacy policies, the “</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The execution, delivery and performance of this Agreement complies and will comply with all Data Protection Laws and Borrower’s and each Subsidiary’s Privacy Policies in each case in all material respects, except as would not reasonably be expected to, individually or in the aggregate, result in a Material Adverse Effect.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1" w:name="page292"/>
    <w:bookmarkEnd w:id="291"/>
    <w:p>
      <w:pPr>
        <w:jc w:val="both"/>
        <w:spacing w:after="0" w:line="241" w:lineRule="auto"/>
        <w:rPr>
          <w:sz w:val="20"/>
          <w:szCs w:val="20"/>
          <w:color w:val="auto"/>
        </w:rPr>
      </w:pPr>
      <w:r>
        <w:rPr>
          <w:rFonts w:ascii="Times New Roman" w:cs="Times New Roman" w:eastAsia="Times New Roman" w:hAnsi="Times New Roman"/>
          <w:sz w:val="20"/>
          <w:szCs w:val="20"/>
          <w:color w:val="auto"/>
        </w:rPr>
        <w:t>Borrower nor any Subsidiary, nor to the knowledge of Borrower and its Subsidiaries, any third party acting on behalf of Borrower or any Subsidiary, has experienced any incidences in which Personal Information was or may have been stolen or improperly accessed, including any breach of security or other loss, unauthorized access, use or disclosure of Personal Information in the possession, custody or control of Borrower or any of its Subsidiaries or any third party acting on behalf of Borrower or any Subsidiary, except as would not reasonably be expected to, individually or in the aggregate, result in a Material Adverse Effect. Neither Borrower nor any Subsidiary, nor, to the knowledge of Borrower and its Subsidiaries, any third party acting on behalf of Borrower or any Subsidiary, has received any: (i) written, or to the knowledge of Borrower or its Subsidiaries, oral inquiry or complaint alleging noncompliance with Data Protection Laws; (ii) written or, to the knowledge of Borrower or its Subsidiaries, oral claim for compensation for loss or unauthorized collection, processing or disclosure of Data or other Personal Information; or (iii) written or, to the knowledge of Borrower or its Subsidiaries, oral notification of an application for rectification, erasure or destruction of Data or other Personal Information that is still outstanding, except as would not reasonably be expected to, individually or in the aggregate, result in a Material Adverse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Financial Statements and Other Reports</w:t>
      </w:r>
      <w:r>
        <w:rPr>
          <w:rFonts w:ascii="Times New Roman" w:cs="Times New Roman" w:eastAsia="Times New Roman" w:hAnsi="Times New Roman"/>
          <w:sz w:val="19"/>
          <w:szCs w:val="19"/>
          <w:color w:val="auto"/>
        </w:rPr>
        <w:t>. Unless otherwise provided below, Borrower will deliver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Lenders:</w:t>
      </w:r>
    </w:p>
    <w:p>
      <w:pPr>
        <w:spacing w:after="0" w:line="194" w:lineRule="exact"/>
        <w:rPr>
          <w:sz w:val="20"/>
          <w:szCs w:val="20"/>
          <w:color w:val="auto"/>
        </w:rPr>
      </w:pPr>
    </w:p>
    <w:p>
      <w:pPr>
        <w:jc w:val="both"/>
        <w:ind w:firstLine="1304"/>
        <w:spacing w:after="0" w:line="244" w:lineRule="auto"/>
        <w:tabs>
          <w:tab w:leader="none" w:pos="19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Reports</w:t>
      </w:r>
      <w:r>
        <w:rPr>
          <w:rFonts w:ascii="Times New Roman" w:cs="Times New Roman" w:eastAsia="Times New Roman" w:hAnsi="Times New Roman"/>
          <w:sz w:val="20"/>
          <w:szCs w:val="20"/>
          <w:color w:val="auto"/>
        </w:rPr>
        <w:t xml:space="preserve">. Promptly, but in any event within [***] after the end of each fiscal month of Borrower where Qualified Cash is less than [***], a report of the current Cash and Cash Equivalent balances of the Loan Parties, which report shall identify unrestricted and restricted Cash and Cash Equivalents;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the current Cash and Cash Equivalent balances of the Loan Parties is less than [***], Administrative Agent may request at any time, and Borrower shall promptly provide, a report of at least [***] of the current Cash and Cash Equivalent balances of the Loan Parties, which report shall identify unrestricted and restricted Cash and Cash Equivalents (or, if greater, all Cash and Cash Equivalent balances required to satisfy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(including a description of all costs, royalty, milestone payments and licensing payments, dividends, and distributions, paid or received by Borrower or its Subsidiaries in connection with any Product on a Product-by-Product basis during the applicable period), setting forth in each case in comparative form the corresponding figures for the corresponding periods of the previous Fiscal Year, all in reasonable detail, together with a Financial Officer Certification with respect thereto;</w:t>
      </w:r>
    </w:p>
    <w:p>
      <w:pPr>
        <w:spacing w:after="0" w:line="18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Within [***]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2" w:name="page293"/>
    <w:bookmarkEnd w:id="292"/>
    <w:p>
      <w:pPr>
        <w:jc w:val="both"/>
        <w:spacing w:after="0" w:line="258" w:lineRule="auto"/>
        <w:rPr>
          <w:sz w:val="20"/>
          <w:szCs w:val="20"/>
          <w:color w:val="auto"/>
        </w:rPr>
      </w:pPr>
      <w:r>
        <w:rPr>
          <w:rFonts w:ascii="Times New Roman" w:cs="Times New Roman" w:eastAsia="Times New Roman" w:hAnsi="Times New Roman"/>
          <w:sz w:val="19"/>
          <w:szCs w:val="19"/>
          <w:color w:val="auto"/>
        </w:rPr>
        <w:t>for the previous Fiscal Year, in reasonable detail, together with a Financial Officer Certification with respect thereto; and (ii) with respect to such consolidated financial statements a report thereon of PricewaterhouseCoopers or other independent certified public accountants of recognized national standing selected by Borrower or that is otherwise reasonably satisfactory to Administrative Agent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Indebtedness);</w:t>
      </w:r>
    </w:p>
    <w:p>
      <w:pPr>
        <w:spacing w:after="0" w:line="173" w:lineRule="exact"/>
        <w:rPr>
          <w:sz w:val="20"/>
          <w:szCs w:val="20"/>
          <w:color w:val="auto"/>
        </w:rPr>
      </w:pPr>
    </w:p>
    <w:p>
      <w:pPr>
        <w:jc w:val="both"/>
        <w:ind w:firstLine="1304"/>
        <w:spacing w:after="0" w:line="254"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of Borrower and its Subsidiaries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 duly executed and completed Compliance Certificate attaching evidence of the Cash balances contained in each Deposit Account of the Loan Parties;</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Royalty Reports; Notice of Disputes</w:t>
      </w:r>
      <w:r>
        <w:rPr>
          <w:rFonts w:ascii="Times New Roman" w:cs="Times New Roman" w:eastAsia="Times New Roman" w:hAnsi="Times New Roman"/>
          <w:sz w:val="20"/>
          <w:szCs w:val="20"/>
          <w:color w:val="auto"/>
        </w:rPr>
        <w:t>. Promptly (but in any event within [***]) after receipt by Borrower or any of its Subsidiaries, (i) a copy of any royalty reports or similar reports outlining fees to be paid or payable with respect to any Product (Core) from any third party Licensee or (ii) any notices of any material third disputes with respect to a Product (Core), any Material Contract, or any Product Intellectual Property Rights.</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Promptly (but in any event within [***]) upon any officer of Borrower obtaining knowledge (i) of any condition or event that constitutes a Default or an Event of Default or that notice has been given to Borrower with respect thereto; (ii) that any Person has given any notice to Borrower or any of its Subsidiaries or taken any other action with respect to any event or condition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185"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xml:space="preserve">. Promptly (but in any event within [***]) upon any officer of Company obtaining knowledge of (i) the institution of, or non-frivolous threat of, any Adverse Proceeding or (ii) any material development in any Adverse Proceeding that, in the case of either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which relates to the Products, the Product Intellectual Property or the Material Contracts, which seeks to enjoin or otherwise prevent the consummation of, or to recover any damages or obtain relief as a result of, the transactions contemplated hereby or which would reasonably be expected to result in Material Regulatory Liabilities or a Material Adverse Effect, written notice thereof together with such other information as may be reasonably available to Company to enable Lenders and their counsel to evaluate such matters;</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(but in any event within [***]) upon becoming aware of the occurrence of or forthcoming occurrence of any ERISA Event that would reasonably be expected to result in a material Liability to a Loan Party,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3" w:name="page294"/>
    <w:bookmarkEnd w:id="293"/>
    <w:p>
      <w:pPr>
        <w:jc w:val="both"/>
        <w:ind w:firstLine="1304"/>
        <w:spacing w:after="0" w:line="246" w:lineRule="auto"/>
        <w:tabs>
          <w:tab w:leader="none" w:pos="194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Report</w:t>
      </w:r>
      <w:r>
        <w:rPr>
          <w:rFonts w:ascii="Times New Roman" w:cs="Times New Roman" w:eastAsia="Times New Roman" w:hAnsi="Times New Roman"/>
          <w:sz w:val="20"/>
          <w:szCs w:val="20"/>
          <w:color w:val="auto"/>
        </w:rPr>
        <w:t>. As soon as practicable and in any event by the last day of each Fiscal Year to the extent requested by the Administrative Agent, a report in form and substance reasonably satisfactory to Administrative Agent outlining all material insurance coverage maintained as of the date of such report by Borrower and its Subsidiaries and all material insurance coverage planned to be maintained by Borrower and its Subsidiaries in the immediately succeeding Fiscal Year;</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and Product Notices</w:t>
      </w:r>
      <w:r>
        <w:rPr>
          <w:rFonts w:ascii="Times New Roman" w:cs="Times New Roman" w:eastAsia="Times New Roman" w:hAnsi="Times New Roman"/>
          <w:sz w:val="20"/>
          <w:szCs w:val="20"/>
          <w:color w:val="auto"/>
        </w:rPr>
        <w:t>. Each Loan Party shall promptly (but in any event within [***]) after the receipt or occurrence thereof notify Administrative Agent of:</w:t>
      </w:r>
    </w:p>
    <w:p>
      <w:pPr>
        <w:spacing w:after="0" w:line="159"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received by Borrower or its Subsidiaries alleging potential or actual material violations of any Public Health Law or Health Care Program Law by Borrower or its Subsidiaries,</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the FDA (or international equivalent [***]) or other Governmental Authority [***] is limiting, suspending or revoking any Registration (including, but not limited to, by the issuance of a clinical hold),</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Borrower or its Subsidiaries has become subject to any Regulatory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(other than any routine inspection or investigation in the ordinary course of business),</w:t>
      </w:r>
    </w:p>
    <w:p>
      <w:pPr>
        <w:spacing w:after="0" w:line="193"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exclusion or debarment from any Federal Health Care Program or debarment or disqualification by FDA (or international equivalent [***]) of Borrower or its Subsidiaries or its or their Authorized Officers,</w:t>
      </w:r>
    </w:p>
    <w:p>
      <w:pPr>
        <w:spacing w:after="0" w:line="174" w:lineRule="exact"/>
        <w:rPr>
          <w:rFonts w:ascii="Times New Roman" w:cs="Times New Roman" w:eastAsia="Times New Roman" w:hAnsi="Times New Roman"/>
          <w:sz w:val="20"/>
          <w:szCs w:val="20"/>
          <w:color w:val="auto"/>
        </w:rPr>
      </w:pPr>
    </w:p>
    <w:p>
      <w:pPr>
        <w:jc w:val="both"/>
        <w:ind w:firstLine="1952"/>
        <w:spacing w:after="0" w:line="274" w:lineRule="auto"/>
        <w:tabs>
          <w:tab w:leader="none" w:pos="2592"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written notice that a Borrower or any Subsidiary, or any of their licensees or sublicensees (including licensees or sublicensees under the Product Agreements or Material Contracts), is being investigated or is the subject of any allegation of potential or actual violations of any Public Health Law or Health Care Program Laws,</w:t>
      </w:r>
    </w:p>
    <w:p>
      <w:pPr>
        <w:spacing w:after="0" w:line="156" w:lineRule="exact"/>
        <w:rPr>
          <w:rFonts w:ascii="Times New Roman" w:cs="Times New Roman" w:eastAsia="Times New Roman" w:hAnsi="Times New Roman"/>
          <w:sz w:val="19"/>
          <w:szCs w:val="19"/>
          <w:color w:val="auto"/>
        </w:rPr>
      </w:pPr>
    </w:p>
    <w:p>
      <w:pPr>
        <w:jc w:val="both"/>
        <w:ind w:firstLine="1952"/>
        <w:spacing w:after="0" w:line="249" w:lineRule="auto"/>
        <w:tabs>
          <w:tab w:leader="none" w:pos="259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Product are pending or threatened in writing against Borrower or its Subsidiaries, or</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the scope of marketing authorization or the labeling of the products of Borrower and its Subsidiaries under any Registration.</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except, in each case of (i) through (iii) and (v) through (viii) above, where such action would not reasonably be expected to have, either individually or in the aggregate, Material Regulatory Liabilities;</w:t>
      </w:r>
    </w:p>
    <w:p>
      <w:pPr>
        <w:spacing w:after="0" w:line="159" w:lineRule="exact"/>
        <w:rPr>
          <w:sz w:val="20"/>
          <w:szCs w:val="20"/>
          <w:color w:val="auto"/>
        </w:rPr>
      </w:pPr>
    </w:p>
    <w:p>
      <w:pPr>
        <w:jc w:val="both"/>
        <w:ind w:firstLine="1304"/>
        <w:spacing w:after="0" w:line="243" w:lineRule="auto"/>
        <w:tabs>
          <w:tab w:leader="none" w:pos="19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Regarding Material Contracts</w:t>
      </w:r>
      <w:r>
        <w:rPr>
          <w:rFonts w:ascii="Times New Roman" w:cs="Times New Roman" w:eastAsia="Times New Roman" w:hAnsi="Times New Roman"/>
          <w:sz w:val="20"/>
          <w:szCs w:val="20"/>
          <w:color w:val="auto"/>
        </w:rPr>
        <w:t xml:space="preserve">. (i) Promptly (but in any event within [***]) (A) after a Loan Party or a Subsidiary of a Loan Party receives any notice (written or oral) of default or event of default under any Material Contract, or (B) after Loan Party or a Subsidiary of a Loan Party receives or otherwise becomes aware of any dispute, litigation, purchase price adjustment (other than in accordance with the terms of such Material Contract), indemnity claim, exercise of rights of set-off or deduction (including any of the foregoing threatened in writing) under or with respect any Material Contract in each case, reasonably expected to be in excess of [***], and (ii) promptly (but in any event within [***]), new Material Contract is entered into,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furnish a written statement describing such event, with copies of such notices or new contracts together with all pertinent detail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4" w:name="page295"/>
    <w:bookmarkEnd w:id="294"/>
    <w:p>
      <w:pPr>
        <w:jc w:val="both"/>
        <w:spacing w:after="0" w:line="249" w:lineRule="auto"/>
        <w:rPr>
          <w:sz w:val="20"/>
          <w:szCs w:val="20"/>
          <w:color w:val="auto"/>
        </w:rPr>
      </w:pPr>
      <w:r>
        <w:rPr>
          <w:rFonts w:ascii="Times New Roman" w:cs="Times New Roman" w:eastAsia="Times New Roman" w:hAnsi="Times New Roman"/>
          <w:sz w:val="20"/>
          <w:szCs w:val="20"/>
          <w:color w:val="auto"/>
        </w:rPr>
        <w:t>information relating thereto in such Loan Party or Subsidiary of Loan Party’s possession, custody or control and to the extent allowed to be delivered pursuant to its terms, delivered to Administrative Agent, and an explanation of any actions being taken with respect thereto. Borrower shall promptly provide Administrative Agent with written notice upon becoming aware of a counterparty’s material breach of its obligations under any Material Contract;</w:t>
      </w:r>
    </w:p>
    <w:p>
      <w:pPr>
        <w:spacing w:after="0" w:line="180" w:lineRule="exact"/>
        <w:rPr>
          <w:sz w:val="20"/>
          <w:szCs w:val="20"/>
          <w:color w:val="auto"/>
        </w:rPr>
      </w:pPr>
    </w:p>
    <w:p>
      <w:pPr>
        <w:jc w:val="both"/>
        <w:ind w:firstLine="1304"/>
        <w:spacing w:after="0" w:line="243"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Company will furnish to Administrative Agent prior written notice of any change (a) in any Loan Party’s legal name, (b) in any Loan Party’s identity or (c) in any Loan Party’s U.S. federal or other taxpayer identification number (if any). Company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Company also agrees promptly to notify Administrative Agent if any material portion of the Collateral is damaged or destroyed;</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Collateral Verification</w:t>
      </w:r>
      <w:r>
        <w:rPr>
          <w:rFonts w:ascii="Times New Roman" w:cs="Times New Roman" w:eastAsia="Times New Roman" w:hAnsi="Times New Roman"/>
          <w:sz w:val="20"/>
          <w:szCs w:val="20"/>
          <w:color w:val="auto"/>
        </w:rPr>
        <w:t xml:space="preserve">. Each year, at the time of delivery of annual financial statements with respect to the preceding Fiscal Year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Company shall deliver to Administrative Agent an Officer’s Certificate (a) either confirming that there has been no change in such information since the date of the Perfection Certificate delivered on the Closing Date or the date of the most recent certificate delivered pursuant to this </w:t>
      </w:r>
      <w:r>
        <w:rPr>
          <w:rFonts w:ascii="Times New Roman" w:cs="Times New Roman" w:eastAsia="Times New Roman" w:hAnsi="Times New Roman"/>
          <w:sz w:val="20"/>
          <w:szCs w:val="20"/>
          <w:u w:val="single" w:color="auto"/>
          <w:color w:val="auto"/>
        </w:rPr>
        <w:t>Section 5.1(n)</w:t>
      </w:r>
      <w:r>
        <w:rPr>
          <w:rFonts w:ascii="Times New Roman" w:cs="Times New Roman" w:eastAsia="Times New Roman" w:hAnsi="Times New Roman"/>
          <w:sz w:val="20"/>
          <w:szCs w:val="20"/>
          <w:color w:val="auto"/>
        </w:rPr>
        <w:t xml:space="preserve"> and/or identifying such changes, or (b) certifying that all UCC financing statements (including fixtures filings, as applicable) or other appropriate filings, recordings or registrations, have been filed of record in each governmental, municipal or other appropriate office in each jurisdiction identified in the Perfection Certificate or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to the extent necessary to protect and perfect the security interests under the Collateral Documents for a period of not less than [***] after the date of such certificate (except as noted therein with respect to any continuation statements to be filed within such period);</w:t>
      </w:r>
    </w:p>
    <w:p>
      <w:pPr>
        <w:spacing w:after="0" w:line="192"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 (Core)</w:t>
      </w:r>
      <w:r>
        <w:rPr>
          <w:rFonts w:ascii="Times New Roman" w:cs="Times New Roman" w:eastAsia="Times New Roman" w:hAnsi="Times New Roman"/>
          <w:sz w:val="20"/>
          <w:szCs w:val="20"/>
          <w:color w:val="auto"/>
        </w:rPr>
        <w:t>. Promptly, but in any event within [***] after the receipt by Borrower or any of its Subsidiaries or occurrence thereof, as applicable, notify Administrative Agent of:</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granting of any licenses or sublicenses under any Permitted Product Agreement;</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an existing, or entering into any new Permitted Product Agreement;</w:t>
      </w:r>
    </w:p>
    <w:p>
      <w:pPr>
        <w:spacing w:after="0" w:line="215" w:lineRule="exact"/>
        <w:rPr>
          <w:rFonts w:ascii="Times New Roman" w:cs="Times New Roman" w:eastAsia="Times New Roman" w:hAnsi="Times New Roman"/>
          <w:sz w:val="20"/>
          <w:szCs w:val="20"/>
          <w:color w:val="auto"/>
        </w:rPr>
      </w:pPr>
    </w:p>
    <w:p>
      <w:pPr>
        <w:ind w:left="1300" w:firstLine="652"/>
        <w:spacing w:after="0" w:line="269" w:lineRule="auto"/>
        <w:tabs>
          <w:tab w:leader="none" w:pos="259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written communications received from the FDA or other Governmental Authority [***] that would reasonably be expected to result in a Material Adverse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to the extent related to a Product (Core).</w:t>
      </w:r>
    </w:p>
    <w:p>
      <w:pPr>
        <w:spacing w:after="0" w:line="216" w:lineRule="exact"/>
        <w:rPr>
          <w:sz w:val="20"/>
          <w:szCs w:val="20"/>
          <w:color w:val="auto"/>
        </w:rPr>
      </w:pPr>
    </w:p>
    <w:p>
      <w:pPr>
        <w:jc w:val="both"/>
        <w:ind w:firstLine="1304"/>
        <w:spacing w:after="0" w:line="254" w:lineRule="auto"/>
        <w:tabs>
          <w:tab w:leader="none" w:pos="194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re Intellectual Property</w:t>
      </w:r>
      <w:r>
        <w:rPr>
          <w:rFonts w:ascii="Times New Roman" w:cs="Times New Roman" w:eastAsia="Times New Roman" w:hAnsi="Times New Roman"/>
          <w:sz w:val="20"/>
          <w:szCs w:val="20"/>
          <w:color w:val="auto"/>
        </w:rPr>
        <w:t>. Promptly (but in any event within [***]), deliver notice of material infringements of any material Intellectual Property Rights owned or licensed by such Loan Party or any of its Subsidiaries that are known to Borrower;</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Documentation</w:t>
      </w:r>
      <w:r>
        <w:rPr>
          <w:rFonts w:ascii="Times New Roman" w:cs="Times New Roman" w:eastAsia="Times New Roman" w:hAnsi="Times New Roman"/>
          <w:sz w:val="20"/>
          <w:szCs w:val="20"/>
          <w:color w:val="auto"/>
        </w:rPr>
        <w:t>. Company shall be responsible for, and shall maintain, with respect to each Product, all submissions to Governmental Authorities relating to the Products,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5" w:name="page296"/>
    <w:bookmarkEnd w:id="295"/>
    <w:p>
      <w:pPr>
        <w:jc w:val="both"/>
        <w:spacing w:after="0" w:line="246" w:lineRule="auto"/>
        <w:rPr>
          <w:sz w:val="20"/>
          <w:szCs w:val="20"/>
          <w:color w:val="auto"/>
        </w:rPr>
      </w:pPr>
      <w:r>
        <w:rPr>
          <w:rFonts w:ascii="Times New Roman" w:cs="Times New Roman" w:eastAsia="Times New Roman" w:hAnsi="Times New Roman"/>
          <w:sz w:val="20"/>
          <w:szCs w:val="20"/>
          <w:color w:val="auto"/>
        </w:rPr>
        <w:t>including clinical studies, tests and biostudies, including all Product non-disclosure agreements, and the drug master files, as well as all correspondence with Governmental Authorities with respect thereto (including Registrations and licenses and regulatory drug lists, and any amendments or supplements thereto). Promptly following Administrative Agent’s reasonable request from time to time, Company shall promptly provide to Administrative Agent copies of any and all regulatory filings submitted to any such Governmental Authorities with respect to the Products;</w:t>
      </w:r>
    </w:p>
    <w:p>
      <w:pPr>
        <w:spacing w:after="0" w:line="185" w:lineRule="exact"/>
        <w:rPr>
          <w:sz w:val="20"/>
          <w:szCs w:val="20"/>
          <w:color w:val="auto"/>
        </w:rPr>
      </w:pPr>
    </w:p>
    <w:p>
      <w:pPr>
        <w:jc w:val="both"/>
        <w:ind w:firstLine="1304"/>
        <w:spacing w:after="0" w:line="243" w:lineRule="auto"/>
        <w:tabs>
          <w:tab w:leader="none" w:pos="194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Defense and Enforcement of Product Patents</w:t>
      </w:r>
      <w:r>
        <w:rPr>
          <w:rFonts w:ascii="Times New Roman" w:cs="Times New Roman" w:eastAsia="Times New Roman" w:hAnsi="Times New Roman"/>
          <w:sz w:val="20"/>
          <w:szCs w:val="20"/>
          <w:color w:val="auto"/>
        </w:rPr>
        <w:t>. Company shall take all commercially reasonable steps to maintain, defend and enforce the Product Patents, including by timely filing fees and responses with the United States Patent and Trademark Office or any applicable foreign counterpart. Company shall provide prompt written notice to Administrative Agent of any material occurrences with respect to any Product Patents, and, upon Administrative Agent’s request from time to time, shall promptly provide Administrative Agent with complete and correct copies of (i) any certification received by Company, its Subsidiaries, or any of their respective licensors or licensees pursuant to 21 U.S.C. § 355(j)(2)(A)(vii)(I), (II), (III) or (IV) relating to any of the Orange Book Patents, and (ii) any pleadings, briefs, declarations, correspondence and other documents relating to any Dispute involving any of the Orange Book Patents; and</w:t>
      </w:r>
    </w:p>
    <w:p>
      <w:pPr>
        <w:spacing w:after="0" w:line="18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ESG Reporting</w:t>
      </w:r>
      <w:r>
        <w:rPr>
          <w:rFonts w:ascii="Times New Roman" w:cs="Times New Roman" w:eastAsia="Times New Roman" w:hAnsi="Times New Roman"/>
          <w:sz w:val="20"/>
          <w:szCs w:val="20"/>
          <w:color w:val="auto"/>
        </w:rPr>
        <w:t xml:space="preserve">. Upon reasonable request of Administrative Agent, together with the Annual Financial Statements delivered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an ESG Certificate.</w:t>
      </w:r>
    </w:p>
    <w:p>
      <w:pPr>
        <w:spacing w:after="0" w:line="15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(A) Promptly upon their becoming available and in any event within [***] of Borrower’s receipt thereof, copies of all amendments, waivers, consents, notices of defaults and reservations of rights with respect to and received by Borrower or its Subsidiaries from any holder of its Indebtedness having a principal amount greater than [***], (B) promptly after submission to any Governmental Authority, all documents and information furnished to such Governmental Authority in connection with any investigation of any Loan Party (other than a routine inquiry), and</w:t>
      </w:r>
    </w:p>
    <w:p>
      <w:pPr>
        <w:ind w:firstLine="8"/>
        <w:spacing w:after="0" w:line="246" w:lineRule="auto"/>
        <w:tabs>
          <w:tab w:leader="none" w:pos="349"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and data with respect to Borrower or any of its Subsidiaries as from time to time may be reasonably requested by Administrative Agent.</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paragraphs (b) and (c)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be satisfied with respect to financial information of Borrower and its Subsidiaries by furnishing Borrower’s Form 10-K or 10-Q, as applicable, filed with the SEC.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notwithstanding anything to the contrary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neither the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outside counsel to Borrower.</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Existence</w:t>
      </w:r>
      <w:r>
        <w:rPr>
          <w:rFonts w:ascii="Times New Roman" w:cs="Times New Roman" w:eastAsia="Times New Roman" w:hAnsi="Times New Roman"/>
          <w:sz w:val="20"/>
          <w:szCs w:val="20"/>
          <w:color w:val="auto"/>
        </w:rPr>
        <w:t xml:space="preserve">. Except as otherwise permitted under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each Loan Party will, and will cause each of Borrower’s 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Loan Party or any of Borrower’s Subsidiaries shall be required to preserve any such existence, right or Governmental Authorizations, qualifications,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Payment of Taxes and Claims</w:t>
      </w:r>
      <w:r>
        <w:rPr>
          <w:rFonts w:ascii="Times New Roman" w:cs="Times New Roman" w:eastAsia="Times New Roman" w:hAnsi="Times New Roman"/>
          <w:sz w:val="20"/>
          <w:szCs w:val="20"/>
          <w:color w:val="auto"/>
        </w:rPr>
        <w:t>. Each Loan Party will, and will cause each of Borrower’s Subsidiaries to, file all Tax returns required to be filed by or with respect to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6" w:name="page297"/>
    <w:bookmarkEnd w:id="29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which has or may become a Lien against any of the Collateral, such contest proceedings conclusively operate to stay imposition of any penalty, fine or Lien resulting from the non-payment thereof. No Loan Party will, nor will it permit any of Borrower’s Subsidiaries to file or consent to the filing of any consolidated income tax return with any Person (other than Borrower or its Subsidiaries).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5.4</w:t>
      </w:r>
      <w:r>
        <w:rPr>
          <w:sz w:val="20"/>
          <w:szCs w:val="20"/>
          <w:color w:val="auto"/>
        </w:rPr>
        <w:tab/>
      </w:r>
      <w:r>
        <w:rPr>
          <w:rFonts w:ascii="Times New Roman" w:cs="Times New Roman" w:eastAsia="Times New Roman" w:hAnsi="Times New Roman"/>
          <w:sz w:val="19"/>
          <w:szCs w:val="19"/>
          <w:u w:val="single" w:color="auto"/>
          <w:color w:val="auto"/>
        </w:rPr>
        <w:t>Maintenance of Properties</w:t>
      </w:r>
      <w:r>
        <w:rPr>
          <w:rFonts w:ascii="Times New Roman" w:cs="Times New Roman" w:eastAsia="Times New Roman" w:hAnsi="Times New Roman"/>
          <w:sz w:val="19"/>
          <w:szCs w:val="19"/>
          <w:color w:val="auto"/>
        </w:rPr>
        <w:t>. Each Loan Party will, and will cause each of Borrower’s Subsidiaries to</w:t>
      </w:r>
    </w:p>
    <w:p>
      <w:pPr>
        <w:spacing w:after="0" w:line="22" w:lineRule="exact"/>
        <w:rPr>
          <w:sz w:val="20"/>
          <w:szCs w:val="20"/>
          <w:color w:val="auto"/>
        </w:rPr>
      </w:pPr>
    </w:p>
    <w:p>
      <w:pPr>
        <w:jc w:val="both"/>
        <w:ind w:firstLine="8"/>
        <w:spacing w:after="0"/>
        <w:tabs>
          <w:tab w:leader="none" w:pos="292"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could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could not reasonably be expected to have a Material Adverse Effect.</w:t>
      </w:r>
    </w:p>
    <w:p>
      <w:pPr>
        <w:spacing w:after="0" w:line="1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5.5</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41" w:lineRule="auto"/>
        <w:tabs>
          <w:tab w:leader="none" w:pos="194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Company’s expense and without any responsibility on Administrative Agent’s part for obtaining the insurance, the solvency of the insurance companies, the adequacy of the coverage, or the collection of claims. Upon the occurrence and during the continuance of an Event of Default, following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90"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insurance policies required to be maintained under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shall provide for at least [***] prior written notice to Administrative Agent of the cancellation or substantial modification thereof. Receipt of such notice shall entitle Administrative Agent (but Administrative Agent shall not be obligated), upon [***] prior written notice to Loan Parties, to renew any such policies, cause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7" w:name="page298"/>
    <w:bookmarkEnd w:id="29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coverages and amounts thereof to be maintained at levels required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or otherwise to obtain similar insurance (including with respect to coverage types, limits and premiums) in place of such policies, in each case at the expense of the Loan Parties.</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Books and Records; Inspections</w:t>
      </w:r>
      <w:r>
        <w:rPr>
          <w:rFonts w:ascii="Times New Roman" w:cs="Times New Roman" w:eastAsia="Times New Roman" w:hAnsi="Times New Roman"/>
          <w:sz w:val="20"/>
          <w:szCs w:val="20"/>
          <w:color w:val="auto"/>
        </w:rPr>
        <w:t xml:space="preserve">. Each Loan Party will, and will cause each of Borrower’s Subsidiaries to, (a) 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absent the occurrence and continuance of an Event of Default, Administrative Agent and Lenders shall not exercise such rights more often than one time during any Fiscal Year. The Loan Parties agree to pay the reasonable and documented out-of-pocket costs and expenses incurred by the examiner in connection therewith.</w:t>
      </w:r>
    </w:p>
    <w:p>
      <w:pPr>
        <w:spacing w:after="0" w:line="19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5.7</w:t>
      </w:r>
      <w:r>
        <w:rPr>
          <w:sz w:val="20"/>
          <w:szCs w:val="20"/>
          <w:color w:val="auto"/>
        </w:rPr>
        <w:tab/>
      </w:r>
      <w:r>
        <w:rPr>
          <w:rFonts w:ascii="Times New Roman" w:cs="Times New Roman" w:eastAsia="Times New Roman" w:hAnsi="Times New Roman"/>
          <w:sz w:val="19"/>
          <w:szCs w:val="19"/>
          <w:u w:val="single" w:color="auto"/>
          <w:color w:val="auto"/>
        </w:rPr>
        <w:t>Lenders Calls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4" w:lineRule="auto"/>
        <w:tabs>
          <w:tab w:leader="none" w:pos="19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will, upon the reasonable request of Administrative Agent or Required Lenders, participate in a conference call of Administrative Agent and Lenders once during each Fiscal Year at such time as may be agreed to by Borrower and Administrative Agent.</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 after delivery of financial statements and other information required to be delivered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Borrower shall, upon the reasonable request by Administrative Agent, cause its chief financial officer or other Authorized Officers to participate in a conference call with Administrative Agent and all Lenders who choose to participate in such conference call, during which conference call the chief financial officer or such Authorized Officer shall review the financial condition of Borrower and its Subsidiaries and such other matters as Administrative Agent or any Lender may reasonably request.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5.8</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94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all Environmental Laws), non-compliance with which would reasonably be expected to have, individually or in the aggregate, a Material Adverse Effect.</w:t>
      </w:r>
    </w:p>
    <w:p>
      <w:pPr>
        <w:spacing w:after="0" w:line="17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each Loan Party shall, and shall cause each of Borrower’s Subsidiaries to, comply with all FDA Laws and Public Health Laws, and with all applicable Health Care Program Laws, except where the failure to comply would not reasonably be expected to result, either individually or in the aggregate, in Material Regulatory 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labeling, advertising, record-keeping, and adverse event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8" w:name="page299"/>
    <w:bookmarkEnd w:id="298"/>
    <w:p>
      <w:pPr>
        <w:spacing w:after="0" w:line="269" w:lineRule="auto"/>
        <w:rPr>
          <w:sz w:val="20"/>
          <w:szCs w:val="20"/>
          <w:color w:val="auto"/>
        </w:rPr>
      </w:pPr>
      <w:r>
        <w:rPr>
          <w:rFonts w:ascii="Times New Roman" w:cs="Times New Roman" w:eastAsia="Times New Roman" w:hAnsi="Times New Roman"/>
          <w:sz w:val="20"/>
          <w:szCs w:val="20"/>
          <w:color w:val="auto"/>
        </w:rPr>
        <w:t>reporting, except where the failure to comply would not reasonably be expected to result, either individually or in the aggregate, in Material Regulatory Liabilities.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5.9</w:t>
      </w:r>
      <w:r>
        <w:rPr>
          <w:sz w:val="20"/>
          <w:szCs w:val="20"/>
          <w:color w:val="auto"/>
        </w:rPr>
        <w:tab/>
      </w:r>
      <w:r>
        <w:rPr>
          <w:rFonts w:ascii="Times New Roman" w:cs="Times New Roman" w:eastAsia="Times New Roman" w:hAnsi="Times New Roman"/>
          <w:sz w:val="19"/>
          <w:szCs w:val="19"/>
          <w:u w:val="single" w:color="auto"/>
          <w:color w:val="auto"/>
        </w:rPr>
        <w:t>Environmental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4" w:lineRule="auto"/>
        <w:tabs>
          <w:tab w:leader="none" w:pos="194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(i) keep its real property free of any Environmental Liens; (ii) maintain and comply in all material respects with all Governmental Authorizations required under applicable Environmental Laws, except as any such failure could not reasonably be expected to result in a Material Adverse Effect; (iii) take all steps to prevent any Release of Hazardous Materials from any property owned or operated by any Loan Party, except as any such failure could not reasonably be expected to result in a Material Adverse Effect; and (iv) ensure that there are no Hazardous Materials on, at or migrating from any property owned or operated by any Loan Party, except as any such failure could not reasonably be expected to result in a Material Adverse Effect.</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promptly (but in any event within [***]) (i) notify Administrative Agent in writing (A) of any material Environmental Claims asserted in writing against or material Environmental Liabilities and Costs of any Loan Party, and (B) any notice of Environmental Lien filed against any real property, and (ii) provide such other documents and information as reasonably requested by Administrative Agent in relation to any matter pursuant to this </w:t>
      </w:r>
      <w:r>
        <w:rPr>
          <w:rFonts w:ascii="Times New Roman" w:cs="Times New Roman" w:eastAsia="Times New Roman" w:hAnsi="Times New Roman"/>
          <w:sz w:val="20"/>
          <w:szCs w:val="20"/>
          <w:u w:val="single" w:color="auto"/>
          <w:color w:val="auto"/>
        </w:rPr>
        <w:t>Section 5.9(b)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In the event that any Person becomes a Domestic Subsidiary of a Loan Party and such Person is not an Excluded Subsidiary, Company shall (a) within [***] of such Person becoming a Subsidiary or ceasing to be an Excluded Subsidiary cause such Subsidiary to become a Guarantor hereunder and a Grantor under the Pledge and Security Agreement by executing and delivering to Administrative Agent a Counterpart Agreement, and (b) 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20"/>
          <w:szCs w:val="20"/>
          <w:u w:val="single" w:color="auto"/>
          <w:color w:val="auto"/>
        </w:rPr>
        <w:t>Sections 3.1(b)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3.1(i)</w:t>
      </w:r>
      <w:r>
        <w:rPr>
          <w:rFonts w:ascii="Times New Roman" w:cs="Times New Roman" w:eastAsia="Times New Roman" w:hAnsi="Times New Roman"/>
          <w:sz w:val="20"/>
          <w:szCs w:val="20"/>
          <w:color w:val="auto"/>
        </w:rPr>
        <w:t xml:space="preserve">. With respect to each such Subsidiary, Company shall promptly send to Administrative Agent written notice setting forth with respect to such Person (i) the date on which such Person became a Subsidiary of Company or ceased to be an Excluded Subsidiary, and (ii) all of the data required to be set forth in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with respect to all Subsidiaries of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written notice shall be deemed to supplement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for all purposes hereof. In addition, at the election of Borrower, any Excluded Subsidiary of Borrower may become a Guarantor hereunder.</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Real Estate Assets</w:t>
      </w:r>
      <w:r>
        <w:rPr>
          <w:rFonts w:ascii="Times New Roman" w:cs="Times New Roman" w:eastAsia="Times New Roman" w:hAnsi="Times New Roman"/>
          <w:sz w:val="20"/>
          <w:szCs w:val="20"/>
          <w:color w:val="auto"/>
        </w:rPr>
        <w:t>. In the event that any Loan Party acquires fee title to Material Real Property during the term of this Loan, Borrower shall send to Administrative Agent a written notice of the occurrence of any such event promptly upon the occurrence of same. Within [***] after the acquisition of any such Material Real Property (or such later time as agreed to by Administrative Agent in its sole discretion), such Loan Party shall deliver to Administrative Agent:</w:t>
      </w:r>
    </w:p>
    <w:p>
      <w:pPr>
        <w:spacing w:after="0" w:line="1" w:lineRule="exact"/>
        <w:rPr>
          <w:sz w:val="20"/>
          <w:szCs w:val="20"/>
          <w:color w:val="auto"/>
        </w:rPr>
      </w:pPr>
    </w:p>
    <w:p>
      <w:pPr>
        <w:jc w:val="both"/>
        <w:ind w:firstLine="8"/>
        <w:spacing w:after="0"/>
        <w:tabs>
          <w:tab w:leader="none" w:pos="28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fully executed and notarized Mortgage, in proper form for creating a valid and enforceable lien on the Real Property described therein once recorded in the appropriate real estate records and in proper form for recording in such real estate records; (b) an opinion of counsel in the jurisdiction in which such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from a title company reasonably satisfactory to Administrative Agent (the “</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in an amount not less than the fair market value of such Real Estate Asset, together with a title report issued by the Title Company with respect thereto, dated not more than [***] prior to the date such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99" w:name="page300"/>
    <w:bookmarkEnd w:id="299"/>
    <w:p>
      <w:pPr>
        <w:jc w:val="both"/>
        <w:spacing w:after="0" w:line="255" w:lineRule="auto"/>
        <w:rPr>
          <w:sz w:val="20"/>
          <w:szCs w:val="20"/>
          <w:color w:val="auto"/>
        </w:rPr>
      </w:pPr>
      <w:r>
        <w:rPr>
          <w:rFonts w:ascii="Times New Roman" w:cs="Times New Roman" w:eastAsia="Times New Roman" w:hAnsi="Times New Roman"/>
          <w:sz w:val="19"/>
          <w:szCs w:val="19"/>
          <w:color w:val="auto"/>
        </w:rPr>
        <w:t>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Real Property in the appropriate real estate records; (d) to the extent required by law, evidence of flood insurance with respect to such Real Property in compliance with any applicable regulations of the Board of Governors of the Federal Reserve System, and in form and substance reasonably satisfactory to Administrative Agent; and (e) an ALTA/NSPS survey of such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Real Property was acquired, or (2) accompanied by a survey or “no change” affidavit executed by the owner of such Real Property and acceptable to the Title Company to issue the Title Policy in the form required by Administrative Agent, as applicable. In addition to the foregoing, Borrower shall, at the request of Required Lenders, deliver to Administrative Agent an appraisal of such Material Real Property to verify the amount of the Mortgage and/or Title Policy, but only if required by applicable law or regulation.</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At any time or from time to time upon the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In furtherance and not in limitation of the foregoing, each Loan Party shall take such actions as Administrative Agent may reasonably request from time to time to ensure that the Obligations are guarantied by the Guarantors and are secured by substantially all of the assets of Borrower’s Subsidiaries and all of the outstanding Capital Stock of the Subsidiaries of Borrower.</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Control Agreements</w:t>
      </w:r>
      <w:r>
        <w:rPr>
          <w:rFonts w:ascii="Times New Roman" w:cs="Times New Roman" w:eastAsia="Times New Roman" w:hAnsi="Times New Roman"/>
          <w:sz w:val="20"/>
          <w:szCs w:val="20"/>
          <w:color w:val="auto"/>
        </w:rPr>
        <w:t>. Each of Borrower and each Guarantor Subsidiary shall hold all of its cash and Cash Equivalents in a Deposit Account or Securities Account (other than Excluded Accounts) subject to a Control Agreement within [***] after the Closing Date or the opening or acquisition thereof, as applicable. All such Control Agreements governed under the laws of a state or territory of the United States shall provide for “springing” cash dominion with respect to each such account, including each disbursement account.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Company shall, and shall cause each of the Loan Parties to, satisfy the requirements set forth on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on or before the post-closing date specified for such requirement or such later date to be determined by Administrative Agent in its sole discretion.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such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300" w:name="page301"/>
    <w:bookmarkEnd w:id="300"/>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No Loan Party shall, nor shall it permit any of Borrower’s Subsidiaries to, directly or indirectly, create, incur, assume or guaranty, or otherwise become or remain directly or indirectly liable with respect to any Indebtedness, except Permitted Indebtedness.</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 except Permitted Liens.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 Borrower and its Subsidiaries shall not materially breach any Material Contract, or otherwise default under any Material Contract, in such a manner as could reasonably be expected to give rise to a termination right of any other party to such Material Contract. Borrower and its Subsidiaries shall not amend or permit the amendment of any provision of any Material Contract the result of which would be economically adverse in any material respect, taken as whole, to Borrower [***].</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6.4 </w:t>
      </w:r>
      <w:r>
        <w:rPr>
          <w:rFonts w:ascii="Times New Roman" w:cs="Times New Roman" w:eastAsia="Times New Roman" w:hAnsi="Times New Roman"/>
          <w:sz w:val="19"/>
          <w:szCs w:val="19"/>
          <w:u w:val="single" w:color="auto"/>
          <w:color w:val="auto"/>
        </w:rPr>
        <w:t>No Further Negative Pledges</w:t>
      </w:r>
      <w:r>
        <w:rPr>
          <w:rFonts w:ascii="Times New Roman" w:cs="Times New Roman" w:eastAsia="Times New Roman" w:hAnsi="Times New Roman"/>
          <w:sz w:val="19"/>
          <w:szCs w:val="19"/>
          <w:color w:val="auto"/>
        </w:rPr>
        <w:t xml:space="preserve"> . Except with respect to (a) specific property encumbered to secure payment of particular Indebtedness or to be sold pursuant to an executed agreement with respect to an Asset Sale permitted under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 (b) restrictions under the AYVAKIT/BLU-263 Purchase Agreement, (c) restrictions by reason of customary provisions restricting assignments, subletting or other transfers contained in leases, licenses and similar agreements entered into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are limited to the property or assets secured by such Liens or the property or assets subject to such leases, licenses or similar agreements, as the case may be), (d) [reserved], (e)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(f) restrictions on cash or other deposits or net worth imposed by customers under commercial contracts entered into in the ordinary course of business, (g) encumbrances or restrictions in connection with any Permitted Product Transaction or Permitted Royalty Transaction that, in the good faith determination of the Borrower, are reasonably necessary or advisable in connection with such Permitted Product Transaction or Permitted Royalty Transaction, (h) customary provisions in joint venture agreements or arrangements and other similar agreements or arrangements relating solely to the applicable joint venture, (i) any encumbrance or restriction contained in secured Indebtedness otherwise permitted to be incurred hereunder to the extent limiting the right of the debtor to dispose of the assets securing such Indebtedness or contained in any agreements with respect to any Permitted Priority Indebtedness and (j) any encumbrances or restrictions of the type referred to in the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above imposed by any amendments, modifications, restatements, renewals, increases, supplements, refundings, replacements or refinancings of the contracts, instruments or obligations referred to such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Restricted Junior Payments</w:t>
      </w:r>
      <w:r>
        <w:rPr>
          <w:rFonts w:ascii="Times New Roman" w:cs="Times New Roman" w:eastAsia="Times New Roman" w:hAnsi="Times New Roman"/>
          <w:sz w:val="20"/>
          <w:szCs w:val="20"/>
          <w:color w:val="auto"/>
        </w:rPr>
        <w:t>. No Loan Party shall, nor shall it permit any of its Subsidiaries through any manner or means or through any other Person to, directly or indirectly, declare, order, pay or make any sum for any Restricted Junior Payment, in each case,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1" w:name="page302"/>
    <w:bookmarkEnd w:id="301"/>
    <w:p>
      <w:pPr>
        <w:ind w:left="1960" w:hanging="656"/>
        <w:spacing w:after="0"/>
        <w:tabs>
          <w:tab w:leader="none" w:pos="19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to Company’s equityholders in the form of Common Stock;</w:t>
      </w:r>
    </w:p>
    <w:p>
      <w:pPr>
        <w:spacing w:after="0" w:line="21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issuance of Capital Stock of Company upon the exercise of any warrants, options or rights to acquire such Capital Stock, including upon conversion of any Indebtedness that is convertible into or exchangeable for Capital Stock of Company, and (y) cash payments in lieu of issuing fractional shares in connection with the exercise of warrants, options or other securities convertible or exchangeable into Capital Stock of Company;</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or other Restricted Junior Payments by a Subsidiary of Borrower to Borrower or such Subsidiary’s direct parent company;</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retirement or other acquisition or retirement for value of Company’s Capital Stock held by any future, present or former employee, director, manager, officer or consultant (or any Affiliates, spouses, former spouses, other immediate family members, successors, executors, administrators, heirs, legatees or distributees of any of the foregoing) of Company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amounts of all such payments made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shall not, in the aggregate, exceed [***];</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pursuant to the Permitted Royalty Transaction;</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purchase by Borrower of Common Stock (including pursuant to Permitted Equity Derivatives) contemporaneously and otherwise in connection with the incurrence of Permitted Convertible Indebtedness; provided that the aggregate consideration for such Common Stock shall not exceed [***] of the net proceeds received by Borrower from the incurrence of such Permitted Convertible Indebtednessany purchase, and (ii) any non-cash settlement or unwind of a Permitted Equity Derivative;</w:t>
      </w:r>
    </w:p>
    <w:p>
      <w:pPr>
        <w:spacing w:after="0" w:line="18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other payments in an aggregate amount not to exceed [***]; or</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on subordinated Indebtedness in accordance with the subordination agreement governing such Indebtedness.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Section 6.6 </w:t>
      </w:r>
      <w:r>
        <w:rPr>
          <w:rFonts w:ascii="Times New Roman" w:cs="Times New Roman" w:eastAsia="Times New Roman" w:hAnsi="Times New Roman"/>
          <w:sz w:val="19"/>
          <w:szCs w:val="19"/>
          <w:u w:val="single" w:color="auto"/>
          <w:color w:val="auto"/>
        </w:rPr>
        <w:t>Restrictions on Subsidiary Distributions</w:t>
      </w:r>
      <w:r>
        <w:rPr>
          <w:rFonts w:ascii="Times New Roman" w:cs="Times New Roman" w:eastAsia="Times New Roman" w:hAnsi="Times New Roman"/>
          <w:sz w:val="19"/>
          <w:szCs w:val="19"/>
          <w:color w:val="auto"/>
        </w:rPr>
        <w:t xml:space="preserve">. Except as provided herein, no Loan Party shall, nor shall it permit any of Borrower’s 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purchase money Indebtedness permitted by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of the definition of Permitted Indebtedness that impose restrictions on the property so acquired, (ii) by reason of customary provisions restricting assignments, subletting or other transfers contained in leases, licenses, joint venture agreements and similar agreements entered into in the ordinary course of business,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2" w:name="page303"/>
    <w:bookmarkEnd w:id="302"/>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Obligations which would prohibit a Subsidiary of Borrower from being a Loan Party (other than Subsidiaries that are Excluded Subsidiaries, other than by virtue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the definition thereof).</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Borrower shall not, nor shall it permit any of its Subsidiaries to, directly or indirectly, make or own any Investment in any Person, including without limitation any Joint Venture, except Permitted Investments. Notwithstanding the foregoing, in no event shall any Loan Party make any Investment which results in the making of any Restricted Junior Payment not otherwise permitted under the terms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6.8</w:t>
      </w:r>
      <w:r>
        <w:rPr>
          <w:sz w:val="20"/>
          <w:szCs w:val="20"/>
          <w:color w:val="auto"/>
        </w:rPr>
        <w:tab/>
      </w:r>
      <w:r>
        <w:rPr>
          <w:rFonts w:ascii="Times New Roman" w:cs="Times New Roman" w:eastAsia="Times New Roman" w:hAnsi="Times New Roman"/>
          <w:sz w:val="20"/>
          <w:szCs w:val="20"/>
          <w:u w:val="single" w:color="auto"/>
          <w:color w:val="auto"/>
        </w:rPr>
        <w:t>Minimum Qualified Cash</w:t>
      </w:r>
      <w:r>
        <w:rPr>
          <w:rFonts w:ascii="Times New Roman" w:cs="Times New Roman" w:eastAsia="Times New Roman" w:hAnsi="Times New Roman"/>
          <w:sz w:val="20"/>
          <w:szCs w:val="20"/>
          <w:color w:val="auto"/>
        </w:rPr>
        <w:t>.  The Loan Parties shall not permit Qualified Cash to be less than (a)</w:t>
      </w:r>
    </w:p>
    <w:p>
      <w:pPr>
        <w:spacing w:after="0" w:line="22" w:lineRule="exact"/>
        <w:rPr>
          <w:sz w:val="20"/>
          <w:szCs w:val="20"/>
          <w:color w:val="auto"/>
        </w:rPr>
      </w:pPr>
    </w:p>
    <w:p>
      <w:pPr>
        <w:jc w:val="both"/>
        <w:ind w:firstLine="8"/>
        <w:spacing w:after="0" w:line="242" w:lineRule="auto"/>
        <w:tabs>
          <w:tab w:leader="none" w:pos="493"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on the Initial Funding Date to the day that is immediately prior to the Credit Date in respect of the first Delayed Draw Term Loan made hereunder and (b) commencing on the Credit Date in respect of the first Delayed Draw Term Loan made hereunder, [***] (after giving effect to such Delayed Draw Term Loan).</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6.9 </w:t>
      </w:r>
      <w:r>
        <w:rPr>
          <w:rFonts w:ascii="Times New Roman" w:cs="Times New Roman" w:eastAsia="Times New Roman" w:hAnsi="Times New Roman"/>
          <w:sz w:val="20"/>
          <w:szCs w:val="20"/>
          <w:u w:val="single" w:color="auto"/>
          <w:color w:val="auto"/>
        </w:rPr>
        <w:t>Fundamental Changes; Disposition of Assets</w:t>
      </w:r>
      <w:r>
        <w:rPr>
          <w:rFonts w:ascii="Times New Roman" w:cs="Times New Roman" w:eastAsia="Times New Roman" w:hAnsi="Times New Roman"/>
          <w:sz w:val="20"/>
          <w:szCs w:val="20"/>
          <w:color w:val="auto"/>
        </w:rPr>
        <w:t>. No Loan Party shall, nor shall it permit any of its Subsidiaries to,</w:t>
      </w:r>
    </w:p>
    <w:p>
      <w:pPr>
        <w:spacing w:after="0" w:line="159" w:lineRule="exact"/>
        <w:rPr>
          <w:sz w:val="20"/>
          <w:szCs w:val="20"/>
          <w:color w:val="auto"/>
        </w:rPr>
      </w:pPr>
    </w:p>
    <w:p>
      <w:pPr>
        <w:jc w:val="both"/>
        <w:ind w:firstLine="1304"/>
        <w:spacing w:after="0" w:line="254" w:lineRule="auto"/>
        <w:tabs>
          <w:tab w:leader="none" w:pos="19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transaction of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74"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any Subsidiary of Borrower that is a Loan Party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and (y) any Subsidiary of Borrower that is not a Loan Party may be merged with or into Borrower or any other Subsidiary, or be liquidated, wound up or dissolved, or all or any part of its business, property or assets may be conveyed, sold, leased, transferred or otherwise disposed of, in one transaction or a series of transactions, to Company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of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 the case of such merger involving Borrower, Borrower shall be the continuing or surviving Person and in the case of such merger not involving Borrower but involving a Guarantor Subsidiary, the Guarantor Subsidiary shall be the continuing or surviving person; or</w:t>
      </w:r>
    </w:p>
    <w:p>
      <w:pPr>
        <w:spacing w:after="0" w:line="18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Permitted Acquisitions and other Permitted Investments; or</w:t>
      </w:r>
    </w:p>
    <w:p>
      <w:pPr>
        <w:spacing w:after="0" w:line="215"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 sell, lease or sublease (as lessor or sublessor), exchange, transfer or otherwise dispose of, or otherwise enter into or consummate any Asset Sale, in each case, in one transaction or a series of transactions, all or any part of its business, assets or property of any kind whatsoever (including, without limitation, any Product (including, without limitation, any Intellectual Property rights related thereto), any Product Agreement (including, without limitation, any of Company’s rights thereunder), and any Registration), whether real, personal or mixed and whether tangible or intangible, whether now owned or hereafter acquired, or, except, in each case pursuant to arms’ length transactions on market terms and for fair market value:</w:t>
      </w:r>
    </w:p>
    <w:p>
      <w:pPr>
        <w:spacing w:after="0" w:line="18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Product Transactions;</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Royalty Transaction;</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and other Permitted Investments;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7"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3" w:name="page304"/>
    <w:bookmarkEnd w:id="303"/>
    <w:p>
      <w:pPr>
        <w:ind w:left="660" w:firstLine="1292"/>
        <w:spacing w:after="0" w:line="268" w:lineRule="auto"/>
        <w:tabs>
          <w:tab w:leader="none" w:pos="260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unwinding or other termination of any Hedging Agreement or any Permitted Equity Derivative or the entry into any Permitted Equity Derivatives;</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or any Subsidiary may sell inventory and immaterial assets in the ordinary course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business;</w:t>
      </w:r>
    </w:p>
    <w:p>
      <w:pPr>
        <w:spacing w:after="0" w:line="193" w:lineRule="exact"/>
        <w:rPr>
          <w:rFonts w:ascii="Times New Roman" w:cs="Times New Roman" w:eastAsia="Times New Roman" w:hAnsi="Times New Roman"/>
          <w:sz w:val="19"/>
          <w:szCs w:val="19"/>
          <w:color w:val="auto"/>
        </w:rPr>
      </w:pPr>
    </w:p>
    <w:p>
      <w:pPr>
        <w:ind w:left="660" w:right="20" w:firstLine="1292"/>
        <w:spacing w:after="0" w:line="269" w:lineRule="auto"/>
        <w:tabs>
          <w:tab w:leader="none" w:pos="260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retired or surplus property, whether now owned or hereafter acquired, in the ordinary course of business;</w:t>
      </w:r>
    </w:p>
    <w:p>
      <w:pPr>
        <w:spacing w:after="0" w:line="159" w:lineRule="exact"/>
        <w:rPr>
          <w:rFonts w:ascii="Times New Roman" w:cs="Times New Roman" w:eastAsia="Times New Roman" w:hAnsi="Times New Roman"/>
          <w:sz w:val="20"/>
          <w:szCs w:val="20"/>
          <w:color w:val="auto"/>
        </w:rPr>
      </w:pPr>
    </w:p>
    <w:p>
      <w:pPr>
        <w:ind w:left="660" w:firstLine="1292"/>
        <w:spacing w:after="0" w:line="269" w:lineRule="auto"/>
        <w:tabs>
          <w:tab w:leader="none" w:pos="260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or waiver of contractual rights and settlement or waiver of contractual or litigation claims in the ordinary course of business;</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to Borrower or any Guarantor Subsidiary;</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any Subsidiary that is not a Loan Party;</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consisting of Permitted Liens and permitted Restricted Junior Payments;</w:t>
      </w:r>
    </w:p>
    <w:p>
      <w:pPr>
        <w:spacing w:after="0" w:line="215" w:lineRule="exact"/>
        <w:rPr>
          <w:rFonts w:ascii="Times New Roman" w:cs="Times New Roman" w:eastAsia="Times New Roman" w:hAnsi="Times New Roman"/>
          <w:sz w:val="20"/>
          <w:szCs w:val="20"/>
          <w:color w:val="auto"/>
        </w:rPr>
      </w:pPr>
    </w:p>
    <w:p>
      <w:pPr>
        <w:ind w:left="660" w:firstLine="1292"/>
        <w:spacing w:after="0" w:line="269" w:lineRule="auto"/>
        <w:tabs>
          <w:tab w:leader="none" w:pos="260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and the sale or disposition of Cash Equivalents for cash or other Cash Equivalents;</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41" w:lineRule="auto"/>
        <w:tabs>
          <w:tab w:leader="none" w:pos="260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assets (other than any direct or indirect disposition of Material Contracts, Product (Core), Product (Core) Intellectual Property Rights, Registration with respect to any Product (Core), accounts receivables or inventory in respect of any Product (Core) or any other assets necessary or material to the research, development, use or Commercialization of any Product Core) so long as at least [***] of the consideration paid in connection therewith shall be cash or Cash Equivalents paid substantially concurrently with consummation of the transaction and shall be in an amount not less than the fair market value of the property disposed 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purposes of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the following shall be deemed to be cash (x) any securities received by the Loan Parties or any Subsidiary from such transferee that are converted by such Person into cash or Cash Equivalents upon the closing of the applicable disposition, (y) any purchase price adjustment, milestone payment, royalty, earnout, contingent payment, back-end or other deferred payment of a similar nature, (z)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xml:space="preserve"> that is at that time outstanding, not to exceed [***], determined at the time of such disposition;</w:t>
      </w:r>
    </w:p>
    <w:p>
      <w:pPr>
        <w:spacing w:after="0" w:line="197" w:lineRule="exact"/>
        <w:rPr>
          <w:rFonts w:ascii="Times New Roman" w:cs="Times New Roman" w:eastAsia="Times New Roman" w:hAnsi="Times New Roman"/>
          <w:sz w:val="20"/>
          <w:szCs w:val="20"/>
          <w:color w:val="auto"/>
        </w:rPr>
      </w:pPr>
    </w:p>
    <w:p>
      <w:pPr>
        <w:ind w:left="660" w:right="20" w:firstLine="1292"/>
        <w:spacing w:after="0" w:line="269" w:lineRule="auto"/>
        <w:tabs>
          <w:tab w:leader="none" w:pos="260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in any Joint Venture to the other holders of Capital Stock in such Joint Venture for fair market value; and</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dispositions in an amount not to exceed [***].</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contained herein, no assignment, transfer, contribution, license, sublicense or other disposition of any Product (Core), Product (Core) Intellectual Property Rights or Registration with respect to any Product (Core) is permitted hereunder except as specifically permitted under this Agreement.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Disposal of Subsidiary Interests</w:t>
      </w:r>
      <w:r>
        <w:rPr>
          <w:rFonts w:ascii="Times New Roman" w:cs="Times New Roman" w:eastAsia="Times New Roman" w:hAnsi="Times New Roman"/>
          <w:sz w:val="20"/>
          <w:szCs w:val="20"/>
          <w:color w:val="auto"/>
        </w:rPr>
        <w:t xml:space="preserve">. Except for any sale of its interests in the Capital Stock of any of its Subsidiaries in compliance with the provisions of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no Loan Party shall,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4" w:name="page305"/>
    <w:bookmarkEnd w:id="304"/>
    <w:p>
      <w:pPr>
        <w:jc w:val="both"/>
        <w:spacing w:after="0" w:line="245" w:lineRule="auto"/>
        <w:rPr>
          <w:sz w:val="20"/>
          <w:szCs w:val="20"/>
          <w:color w:val="auto"/>
        </w:rPr>
      </w:pPr>
      <w:r>
        <w:rPr>
          <w:rFonts w:ascii="Times New Roman" w:cs="Times New Roman" w:eastAsia="Times New Roman" w:hAnsi="Times New Roman"/>
          <w:sz w:val="20"/>
          <w:szCs w:val="20"/>
          <w:color w:val="auto"/>
        </w:rPr>
        <w:t>shall it permit any of Borrower’s Subsidiaries to, in each case solely with respect to the interests of or in Loan Party,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Sales and Lease Backs</w:t>
      </w:r>
      <w:r>
        <w:rPr>
          <w:rFonts w:ascii="Times New Roman" w:cs="Times New Roman" w:eastAsia="Times New Roman" w:hAnsi="Times New Roman"/>
          <w:sz w:val="20"/>
          <w:szCs w:val="20"/>
          <w:color w:val="auto"/>
        </w:rPr>
        <w:t>. No Loan Party shall, nor shall it permit any of Borrower’s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which has been or is to be sold or transferred by such Loan Party to any Person (other than Borrower or any of its Subsidiaries) in connection with such lease.</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Transactions with Shareholders and Affiliates</w:t>
      </w:r>
      <w:r>
        <w:rPr>
          <w:rFonts w:ascii="Times New Roman" w:cs="Times New Roman" w:eastAsia="Times New Roman" w:hAnsi="Times New Roman"/>
          <w:sz w:val="20"/>
          <w:szCs w:val="20"/>
          <w:color w:val="auto"/>
        </w:rPr>
        <w:t xml:space="preserve">. No Loan Party shall, nor shall it permit any of Borrower’s Subsidiaries to, directly or indirectly, enter into or permit to exist any transaction (including the purchase, sale, lease or exchange of any property or the rendering of any service), or series of related transactions, with any Affiliate of Borrower or of any such holder with a value in excess of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and Borrower’s Subsidiaries may enter into or permit to exist any such transaction if Administrative Agent has consented thereto in writing prior to the consummation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foregoing restrictions shall not apply to any of the following:</w:t>
      </w:r>
    </w:p>
    <w:p>
      <w:pPr>
        <w:spacing w:after="0" w:line="184" w:lineRule="exact"/>
        <w:rPr>
          <w:sz w:val="20"/>
          <w:szCs w:val="20"/>
          <w:color w:val="auto"/>
        </w:rPr>
      </w:pPr>
    </w:p>
    <w:p>
      <w:pPr>
        <w:ind w:left="1960" w:hanging="656"/>
        <w:spacing w:after="0"/>
        <w:tabs>
          <w:tab w:leader="none" w:pos="196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among the Borrower and its Subsidiaries expressly permitted hereunder;</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fees paid to current or former members of the Board of Directors (or similar governing body) of Borrower and its Subsidiaries;</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arrangements for current and former officers and other employees of Borrower and its Subsidiaries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series of related transactions) that have a value not in excess of [***] in the aggregate during the term of this Agreement and that are, in the case of each such transaction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 and</w:t>
      </w:r>
    </w:p>
    <w:p>
      <w:pPr>
        <w:spacing w:after="0" w:line="18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described in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(including without limitation, any intercompany licenses or other arrangements existing on the Closing Date).</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From and after the Closing Date, no Loan Party shall, nor shall it permit any of its Subsidiaries to, engage in any material line of business other than the businesses engaged in by such Loan Party or its Subsidiaries on the Closing Date or any business reasonably related, complementary, incidental, ancillary thereto or any reasonable extensions thereto.</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Changes to Certain Agreements and Organizational Documents</w:t>
      </w:r>
      <w:r>
        <w:rPr>
          <w:rFonts w:ascii="Times New Roman" w:cs="Times New Roman" w:eastAsia="Times New Roman" w:hAnsi="Times New Roman"/>
          <w:sz w:val="20"/>
          <w:szCs w:val="20"/>
          <w:color w:val="auto"/>
        </w:rPr>
        <w:t>. No Loan Party shall amend or permit any 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5" w:name="page306"/>
    <w:bookmarkEnd w:id="305"/>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division pursuant to Section 18-217 of the Delaware Limited Liability Company Act (or any similar statute or provision under applicable law).</w:t>
      </w:r>
    </w:p>
    <w:p>
      <w:pPr>
        <w:spacing w:after="0" w:line="16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Accounting Methods</w:t>
      </w:r>
      <w:r>
        <w:rPr>
          <w:rFonts w:ascii="Times New Roman" w:cs="Times New Roman" w:eastAsia="Times New Roman" w:hAnsi="Times New Roman"/>
          <w:sz w:val="20"/>
          <w:szCs w:val="20"/>
          <w:color w:val="auto"/>
        </w:rPr>
        <w:t>. The Loan Parties will not and will not permit any of their Subsidiaries to modify or change its fiscal year or its method of accounting (other than as may be required to conform to GAAP).</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6.16 </w:t>
      </w:r>
      <w:r>
        <w:rPr>
          <w:rFonts w:ascii="Times New Roman" w:cs="Times New Roman" w:eastAsia="Times New Roman" w:hAnsi="Times New Roman"/>
          <w:sz w:val="20"/>
          <w:szCs w:val="20"/>
          <w:u w:val="single" w:color="auto"/>
          <w:color w:val="auto"/>
        </w:rPr>
        <w:t>Deposit Accounts and Securities Accounts</w:t>
      </w:r>
      <w:r>
        <w:rPr>
          <w:rFonts w:ascii="Times New Roman" w:cs="Times New Roman" w:eastAsia="Times New Roman" w:hAnsi="Times New Roman"/>
          <w:sz w:val="20"/>
          <w:szCs w:val="20"/>
          <w:color w:val="auto"/>
        </w:rPr>
        <w:t xml:space="preserve">. No Loan Party shall establish or maintain a Deposit Account or a Securities Account that is not subject to a Control Agreement except for Excluded Accounts or as otherwise permitted under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6.17 </w:t>
      </w:r>
      <w:r>
        <w:rPr>
          <w:rFonts w:ascii="Times New Roman" w:cs="Times New Roman" w:eastAsia="Times New Roman" w:hAnsi="Times New Roman"/>
          <w:sz w:val="20"/>
          <w:szCs w:val="20"/>
          <w:u w:val="single" w:color="auto"/>
          <w:color w:val="auto"/>
        </w:rPr>
        <w:t>Prepayments of Certain Indebtedness</w:t>
      </w:r>
      <w:r>
        <w:rPr>
          <w:rFonts w:ascii="Times New Roman" w:cs="Times New Roman" w:eastAsia="Times New Roman" w:hAnsi="Times New Roman"/>
          <w:sz w:val="20"/>
          <w:szCs w:val="20"/>
          <w:color w:val="auto"/>
        </w:rPr>
        <w:t xml:space="preserve">. No Loan Party shall, directly or indirectly, voluntarily purchase, redeem, defease or prepay any principal of, premium, if any, interest or other amount payable in respect of any Indebtedness for borrowed money with an aggregate principal amount outstanding that is in excess of [***] prior to its scheduled due date, other than (a) the Obligations, (b) Permitted Priority Indebtedness, (c) Indebtedness secured by a Permitted Lien if the asset securing such Indebtedness has been sold or otherwise disposed of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6.9</w:t>
      </w:r>
      <w:r>
        <w:rPr>
          <w:rFonts w:ascii="Times New Roman" w:cs="Times New Roman" w:eastAsia="Times New Roman" w:hAnsi="Times New Roman"/>
          <w:sz w:val="20"/>
          <w:szCs w:val="20"/>
          <w:color w:val="auto"/>
        </w:rPr>
        <w:t>, (d) converting (or exchanging) any Indebtedness to (or for) Qualified Capital Stock of Borrower, (e) issuance of Capital Stock (and cash in lieu of fractional shares in connection with such issuance) of the Borrower in connection with any conversion, exercise, repurchase, exchange, redemption, settlement or early termination or cancellation of Permitted Convertible Indebtedness, (f) the issuance of Permitted Convertible Indebtedness that constitutes Permitted Refinancing Indebtedness in exchange for other Permitted Convertible Indebtedness, (g) the redemption, purchase, exchange, early termination or cancellation of Permitted Convertible Indebtedness in an aggregate principal amount not to exceed the Net Cash Proceeds received by the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(h) as permitted under the applicable subordination agreement governing any subordinated Indebtedness.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6.18</w:t>
      </w:r>
      <w:r>
        <w:rPr>
          <w:sz w:val="20"/>
          <w:szCs w:val="20"/>
          <w:color w:val="auto"/>
        </w:rPr>
        <w:tab/>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None of the Loan Parties, nor any of their Affiliates or agents shall:</w:t>
      </w:r>
    </w:p>
    <w:p>
      <w:pPr>
        <w:spacing w:after="0" w:line="216" w:lineRule="exact"/>
        <w:rPr>
          <w:sz w:val="20"/>
          <w:szCs w:val="20"/>
          <w:color w:val="auto"/>
        </w:rPr>
      </w:pPr>
    </w:p>
    <w:p>
      <w:pPr>
        <w:ind w:right="20" w:firstLine="1304"/>
        <w:spacing w:after="0" w:line="269" w:lineRule="auto"/>
        <w:tabs>
          <w:tab w:leader="none" w:pos="194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any business or engage in any transaction or dealing with any Blocked Person, including the making or receiving any contribution of funds, goods or services to or for the benefit of any Blocked Person,</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 in, or otherwise engage in any transaction relating to, any property or interests in property blocked pursuant to the OFAC Sanctions Programs or</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or conspire to engage in any transaction that evades or avoids, or has the purpose of evading or avoiding, or attempts to violate, any of the prohibitions set forth in the OFAC Sanctions Programs, the USA PATRIOT Act or any other Anti-Terrorism Law.</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Borrower shall deliver to the Lenders any certification or other evidence requested from time to time by any Lender in its sole discretion, confirming Borrower’s compliance with this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6.19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Anti-Corruption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6" w:name="page307"/>
    <w:bookmarkEnd w:id="306"/>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6.20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Loan Parties will not and will not permit any of their Subsidiaries to use the proceeds of any 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6.21</w:t>
      </w:r>
      <w:r>
        <w:rPr>
          <w:sz w:val="20"/>
          <w:szCs w:val="20"/>
          <w:color w:val="auto"/>
        </w:rPr>
        <w:tab/>
      </w:r>
      <w:r>
        <w:rPr>
          <w:rFonts w:ascii="Times New Roman" w:cs="Times New Roman" w:eastAsia="Times New Roman" w:hAnsi="Times New Roman"/>
          <w:sz w:val="19"/>
          <w:szCs w:val="19"/>
          <w:u w:val="single" w:color="auto"/>
          <w:color w:val="auto"/>
        </w:rPr>
        <w:t>Products (Core) and Patent Rights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5" w:lineRule="auto"/>
        <w:tabs>
          <w:tab w:leader="none" w:pos="194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Borrower and its Subsidiaries shall not, without the prior written consent of the Required Lenders, which consent [***], other than any Permitted Product Transaction, sell, assign, out-license, partner or otherwise dispose of economic rights or intellectual property related to any Product (Core) in the United States to any Person, or enter into any agreement to do any of the foregoing to the extent the consummation thereof would not result in the repayment in full of the Loans and all other Obligations (other than inchoate indemnity obligations for which no claim has been made) and the termination of the Term Loan Commitments.</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shall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Guaranty of the Obligations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0"/>
          <w:szCs w:val="20"/>
          <w:u w:val="single" w:color="auto"/>
          <w:color w:val="auto"/>
        </w:rPr>
        <w:t>Guaranteed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Contribution by Guarantors</w:t>
      </w:r>
      <w:r>
        <w:rPr>
          <w:rFonts w:ascii="Times New Roman" w:cs="Times New Roman" w:eastAsia="Times New Roman" w:hAnsi="Times New Roman"/>
          <w:sz w:val="20"/>
          <w:szCs w:val="20"/>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solely for purposes of calculating the “</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with respect to any Guarantor for purposes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any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7" w:name="page308"/>
    <w:bookmarkEnd w:id="307"/>
    <w:p>
      <w:pPr>
        <w:jc w:val="both"/>
        <w:spacing w:after="0" w:line="242" w:lineRule="auto"/>
        <w:rPr>
          <w:sz w:val="20"/>
          <w:szCs w:val="20"/>
          <w:color w:val="auto"/>
        </w:rPr>
      </w:pPr>
      <w:r>
        <w:rPr>
          <w:rFonts w:ascii="Times New Roman" w:cs="Times New Roman" w:eastAsia="Times New Roman" w:hAnsi="Times New Roman"/>
          <w:sz w:val="20"/>
          <w:szCs w:val="20"/>
          <w:color w:val="auto"/>
        </w:rPr>
        <w:t>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20"/>
          <w:szCs w:val="20"/>
          <w:u w:val="single" w:color="auto"/>
          <w:color w:val="auto"/>
        </w:rPr>
        <w:t>Aggregate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all payments received on or before such date by such Guarantor from the other Guarantors as contributions under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be construed in any way to limit the liability of any Guarantor hereunder. Each Guarantor is a third party beneficiary to the contribution agreement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Payment by Guarantors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Guarantors hereby jointly and severally agree, in furtherance of the foregoing and 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Liability of Guarantors Absolute</w:t>
      </w:r>
      <w:r>
        <w:rPr>
          <w:rFonts w:ascii="Times New Roman" w:cs="Times New Roman" w:eastAsia="Times New Roman" w:hAnsi="Times New Roman"/>
          <w:sz w:val="20"/>
          <w:szCs w:val="20"/>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80" w:lineRule="exact"/>
        <w:rPr>
          <w:sz w:val="20"/>
          <w:szCs w:val="20"/>
          <w:color w:val="auto"/>
        </w:rPr>
      </w:pPr>
    </w:p>
    <w:p>
      <w:pPr>
        <w:ind w:firstLine="1304"/>
        <w:spacing w:after="0" w:line="269" w:lineRule="auto"/>
        <w:tabs>
          <w:tab w:leader="none" w:pos="194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Guaranty is a guaranty of payment when due and not of collectability. This Guaranty is a primary obligation of each Guarantor and not merely a contract of surety;</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may enforce this Guaranty upon the occurrence of an Event of Default notwithstanding the existence of any dispute between Company and any Beneficiary with respect to the existence of such Event of Default;</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8" w:name="page309"/>
    <w:bookmarkEnd w:id="308"/>
    <w:p>
      <w:pPr>
        <w:spacing w:after="0" w:line="268" w:lineRule="auto"/>
        <w:rPr>
          <w:sz w:val="20"/>
          <w:szCs w:val="20"/>
          <w:color w:val="auto"/>
        </w:rPr>
      </w:pPr>
      <w:r>
        <w:rPr>
          <w:rFonts w:ascii="Times New Roman" w:cs="Times New Roman" w:eastAsia="Times New Roman" w:hAnsi="Times New Roman"/>
          <w:sz w:val="20"/>
          <w:szCs w:val="20"/>
          <w:color w:val="auto"/>
        </w:rPr>
        <w:t>not, except to the extent satisfied by such Guarantor, limit, affect, modify or abridge any other Guarantor’s liability hereunder in respect of the Guaranteed Obligations;</w:t>
      </w:r>
    </w:p>
    <w:p>
      <w:pPr>
        <w:spacing w:after="0" w:line="161" w:lineRule="exact"/>
        <w:rPr>
          <w:sz w:val="20"/>
          <w:szCs w:val="20"/>
          <w:color w:val="auto"/>
        </w:rPr>
      </w:pPr>
    </w:p>
    <w:p>
      <w:pPr>
        <w:jc w:val="both"/>
        <w:ind w:firstLine="1304"/>
        <w:spacing w:after="0" w:line="241" w:lineRule="auto"/>
        <w:tabs>
          <w:tab w:leader="none" w:pos="194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w:t>
      </w:r>
    </w:p>
    <w:p>
      <w:pPr>
        <w:spacing w:after="0" w:line="190"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Company may allege or assert against any Beneficiary in respect of the Guaranteed Obligations, including failure of consideration, breach of warranty, payment, statute of frauds, statute of limitations, accord and satisfaction and usury; and (viii) any other act or thing or omission,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4860" w:hanging="105"/>
        <w:spacing w:after="0"/>
        <w:tabs>
          <w:tab w:leader="none" w:pos="48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9" w:name="page310"/>
    <w:bookmarkEnd w:id="309"/>
    <w:p>
      <w:pPr>
        <w:jc w:val="both"/>
        <w:spacing w:after="0" w:line="268" w:lineRule="auto"/>
        <w:rPr>
          <w:sz w:val="20"/>
          <w:szCs w:val="20"/>
          <w:color w:val="auto"/>
        </w:rPr>
      </w:pPr>
      <w:r>
        <w:rPr>
          <w:rFonts w:ascii="Times New Roman" w:cs="Times New Roman" w:eastAsia="Times New Roman" w:hAnsi="Times New Roman"/>
          <w:sz w:val="20"/>
          <w:szCs w:val="20"/>
          <w:color w:val="auto"/>
        </w:rPr>
        <w:t>or delay to do any other act or thing, which may or might in any manner or to any extent vary the risk of any Guarantor as an obligor in respect of the Guaranteed Obligations.</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Waivers by Guarantors</w:t>
      </w:r>
      <w:r>
        <w:rPr>
          <w:rFonts w:ascii="Times New Roman" w:cs="Times New Roman" w:eastAsia="Times New Roman" w:hAnsi="Times New Roman"/>
          <w:sz w:val="20"/>
          <w:szCs w:val="20"/>
          <w:color w:val="auto"/>
        </w:rPr>
        <w:t xml:space="preserve">. Each Guarantor hereby waives, for the benefit of Beneficiaries: (a) any right to require any 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in cash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2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Guarantors’ Rights of Subrogation, Contribution, Etc.</w:t>
      </w:r>
      <w:r>
        <w:rPr>
          <w:rFonts w:ascii="Times New Roman" w:cs="Times New Roman" w:eastAsia="Times New Roman" w:hAnsi="Times New Roman"/>
          <w:sz w:val="20"/>
          <w:szCs w:val="20"/>
          <w:color w:val="auto"/>
        </w:rPr>
        <w:t xml:space="preserve"> Until the Guaranteed Obligations shall have been indefeasibly paid in cash in full and the Delayed Draw Term Loan Commitments have been terminated,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and the Delayed Draw Term Loan Commitments have been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0" w:name="page311"/>
    <w:bookmarkEnd w:id="310"/>
    <w:p>
      <w:pPr>
        <w:jc w:val="both"/>
        <w:spacing w:after="0" w:line="244" w:lineRule="auto"/>
        <w:rPr>
          <w:sz w:val="20"/>
          <w:szCs w:val="20"/>
          <w:color w:val="auto"/>
        </w:rPr>
      </w:pPr>
      <w:r>
        <w:rPr>
          <w:rFonts w:ascii="Times New Roman" w:cs="Times New Roman" w:eastAsia="Times New Roman" w:hAnsi="Times New Roman"/>
          <w:sz w:val="20"/>
          <w:szCs w:val="20"/>
          <w:color w:val="auto"/>
        </w:rPr>
        <w:t>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7.7 </w:t>
      </w:r>
      <w:r>
        <w:rPr>
          <w:rFonts w:ascii="Times New Roman" w:cs="Times New Roman" w:eastAsia="Times New Roman" w:hAnsi="Times New Roman"/>
          <w:sz w:val="20"/>
          <w:szCs w:val="20"/>
          <w:u w:val="single" w:color="auto"/>
          <w:color w:val="auto"/>
        </w:rPr>
        <w:t>Subordination of Other Obligations</w:t>
      </w:r>
      <w:r>
        <w:rPr>
          <w:rFonts w:ascii="Times New Roman" w:cs="Times New Roman" w:eastAsia="Times New Roman" w:hAnsi="Times New Roman"/>
          <w:sz w:val="20"/>
          <w:szCs w:val="20"/>
          <w:color w:val="auto"/>
        </w:rPr>
        <w:t>. Any Indebtedness of Company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the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7.8 </w:t>
      </w:r>
      <w:r>
        <w:rPr>
          <w:rFonts w:ascii="Times New Roman" w:cs="Times New Roman" w:eastAsia="Times New Roman" w:hAnsi="Times New Roman"/>
          <w:sz w:val="20"/>
          <w:szCs w:val="20"/>
          <w:u w:val="single" w:color="auto"/>
          <w:color w:val="auto"/>
        </w:rPr>
        <w:t>Continuing Guaranty</w:t>
      </w:r>
      <w:r>
        <w:rPr>
          <w:rFonts w:ascii="Times New Roman" w:cs="Times New Roman" w:eastAsia="Times New Roman" w:hAnsi="Times New Roman"/>
          <w:sz w:val="20"/>
          <w:szCs w:val="20"/>
          <w:color w:val="auto"/>
        </w:rPr>
        <w:t>. This Guaranty is a continuing guaranty and shall remain in effect until all of the Guaranteed Obligations shall have been indefeasibly paid in full and the Delayed Draw Term Loan Commitments have been terminated. Each Guarantor hereby irrevocably waives any right to revoke this Guaranty as to future transactions giving rise to any Guaranteed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7.9 </w:t>
      </w:r>
      <w:r>
        <w:rPr>
          <w:rFonts w:ascii="Times New Roman" w:cs="Times New Roman" w:eastAsia="Times New Roman" w:hAnsi="Times New Roman"/>
          <w:sz w:val="20"/>
          <w:szCs w:val="20"/>
          <w:u w:val="single" w:color="auto"/>
          <w:color w:val="auto"/>
        </w:rPr>
        <w:t>Authority of Guarantors or Company</w:t>
      </w:r>
      <w:r>
        <w:rPr>
          <w:rFonts w:ascii="Times New Roman" w:cs="Times New Roman" w:eastAsia="Times New Roman" w:hAnsi="Times New Roman"/>
          <w:sz w:val="20"/>
          <w:szCs w:val="20"/>
          <w:color w:val="auto"/>
        </w:rPr>
        <w:t>. It is not necessary for any Beneficiary to inquire into the capacity or powers of any Guarantor or Company or the officers, directors or agents acting or purporting to act on behalf of any of them.</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Financial Condition of Company</w:t>
      </w:r>
      <w:r>
        <w:rPr>
          <w:rFonts w:ascii="Times New Roman" w:cs="Times New Roman" w:eastAsia="Times New Roman" w:hAnsi="Times New Roman"/>
          <w:sz w:val="20"/>
          <w:szCs w:val="20"/>
          <w:color w:val="auto"/>
        </w:rPr>
        <w:t>. Any Credit Extension may be made to Company or continued from time to time without notice to or authorization from any Guarantor regardless of the financial or other condition of Company at the time of any such grant or continuation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Bankruptcy, Etc.</w:t>
      </w:r>
    </w:p>
    <w:p>
      <w:pPr>
        <w:spacing w:after="0" w:line="216" w:lineRule="exact"/>
        <w:rPr>
          <w:sz w:val="20"/>
          <w:szCs w:val="20"/>
          <w:color w:val="auto"/>
        </w:rPr>
      </w:pPr>
    </w:p>
    <w:p>
      <w:pPr>
        <w:jc w:val="both"/>
        <w:ind w:firstLine="1304"/>
        <w:spacing w:after="0" w:line="243" w:lineRule="auto"/>
        <w:tabs>
          <w:tab w:leader="none" w:pos="19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1" w:name="page312"/>
    <w:bookmarkEnd w:id="311"/>
    <w:p>
      <w:pPr>
        <w:jc w:val="both"/>
        <w:ind w:firstLine="1304"/>
        <w:spacing w:after="0" w:line="242" w:lineRule="auto"/>
        <w:tabs>
          <w:tab w:leader="none" w:pos="19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91"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7.12 </w:t>
      </w:r>
      <w:r>
        <w:rPr>
          <w:rFonts w:ascii="Times New Roman" w:cs="Times New Roman" w:eastAsia="Times New Roman" w:hAnsi="Times New Roman"/>
          <w:sz w:val="20"/>
          <w:szCs w:val="20"/>
          <w:u w:val="single" w:color="auto"/>
          <w:color w:val="auto"/>
        </w:rPr>
        <w:t>Discharge of Guaranty Upon Sale of Guarantor</w:t>
      </w:r>
      <w:r>
        <w:rPr>
          <w:rFonts w:ascii="Times New Roman" w:cs="Times New Roman" w:eastAsia="Times New Roman" w:hAnsi="Times New Roman"/>
          <w:sz w:val="20"/>
          <w:szCs w:val="20"/>
          <w:color w:val="auto"/>
        </w:rPr>
        <w:t>. If all of the Capital Stock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If any one or more of the following conditions or events shall occur:</w:t>
      </w:r>
    </w:p>
    <w:p>
      <w:pPr>
        <w:spacing w:after="0" w:line="216" w:lineRule="exact"/>
        <w:rPr>
          <w:sz w:val="20"/>
          <w:szCs w:val="20"/>
          <w:color w:val="auto"/>
        </w:rPr>
      </w:pPr>
    </w:p>
    <w:p>
      <w:pPr>
        <w:jc w:val="both"/>
        <w:ind w:firstLine="1304"/>
        <w:spacing w:after="0" w:line="254" w:lineRule="auto"/>
        <w:tabs>
          <w:tab w:leader="none" w:pos="1944"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Company to pay (i) the principal of and premium, if any, on any Term Loan when due whether at stated maturity, by acceleration or otherwise; or (ii) within [***] when due any interest on any Term Loan or any fee or any other amount due hereunder; or</w:t>
      </w:r>
    </w:p>
    <w:p>
      <w:pPr>
        <w:spacing w:after="0" w:line="17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of any Loan Party or any Loan Party’s Subsidiaries to pay when due any principal of or interest on or any other amount payable in respect of one or more items of Indebtedness (other than Indebtedness referred to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in an individual principal amount of [***] or more or with an aggregate principal amount of [***] or more, in each case beyond the grace period, if any, provided therefor, or (ii) breach or default by any Loan Party with respect to any other material term of (A) one or more items of Indebtedness in the individual or aggregate principal amounts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2" w:name="page313"/>
    <w:bookmarkEnd w:id="312"/>
    <w:p>
      <w:pPr>
        <w:ind w:right="20"/>
        <w:spacing w:after="0" w:line="268" w:lineRule="auto"/>
        <w:rPr>
          <w:sz w:val="20"/>
          <w:szCs w:val="20"/>
          <w:color w:val="auto"/>
        </w:rPr>
      </w:pPr>
      <w:r>
        <w:rPr>
          <w:rFonts w:ascii="Times New Roman" w:cs="Times New Roman" w:eastAsia="Times New Roman" w:hAnsi="Times New Roman"/>
          <w:sz w:val="20"/>
          <w:szCs w:val="20"/>
          <w:color w:val="auto"/>
        </w:rPr>
        <w:t>prepay, redeem, repurchase or defease such Indebtedness, prior to its stated maturity or the stated maturity of any underlying obligation, as the case may be; or</w:t>
      </w:r>
    </w:p>
    <w:p>
      <w:pPr>
        <w:spacing w:after="0" w:line="161" w:lineRule="exact"/>
        <w:rPr>
          <w:sz w:val="20"/>
          <w:szCs w:val="20"/>
          <w:color w:val="auto"/>
        </w:rPr>
      </w:pPr>
    </w:p>
    <w:p>
      <w:pPr>
        <w:jc w:val="both"/>
        <w:ind w:firstLine="1304"/>
        <w:spacing w:after="0" w:line="254"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Failure of any Loan Party to perform or comply with any term or condition contained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5.1(a)-(h)</w:t>
      </w:r>
      <w:r>
        <w:rPr>
          <w:rFonts w:ascii="Times New Roman" w:cs="Times New Roman" w:eastAsia="Times New Roman" w:hAnsi="Times New Roman"/>
          <w:sz w:val="20"/>
          <w:szCs w:val="20"/>
          <w:color w:val="auto"/>
        </w:rPr>
        <w:t xml:space="preserve"> and (k)-(p),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5.13, Section 5.14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xml:space="preserve"> Any representation, warranty, certification or other statement made or deemed made by any Loan Party in any Loan Document or in any statement or certificate at any time given by any Loan Party or any of Borrower’s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not have been remedied or waived within [***] after the earlier of (i) an officer of such Loan Party becoming aware of such default, or (ii) receipt by Company of notice from Administrative Agent or any Lender of such default; or</w:t>
      </w:r>
    </w:p>
    <w:p>
      <w:pPr>
        <w:spacing w:after="0" w:line="184"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Appointment of Receiver, Etc.</w:t>
      </w:r>
      <w:r>
        <w:rPr>
          <w:rFonts w:ascii="Times New Roman" w:cs="Times New Roman" w:eastAsia="Times New Roman" w:hAnsi="Times New Roman"/>
          <w:sz w:val="20"/>
          <w:szCs w:val="20"/>
          <w:color w:val="auto"/>
        </w:rPr>
        <w:t xml:space="preserve"> (i) A court of competent jurisdiction shall enter a decree or order for relief in respect of Borrower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or over all or a substantial part of its property, shall have been entered; or there shall have occurred the involuntary appointment of an interim receiver, administrator, trustee or other custodian of Borrowers or any of its Subsidiaries for all or a substantial part of its property; or a warrant of attachment, execution or similar process shall have been issued against any substantial part of the property of Borrower or any of its Subsidiaries, and any such event described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continue for [***] without having been dismissed, bonded or discharged; or</w:t>
      </w:r>
    </w:p>
    <w:p>
      <w:pPr>
        <w:spacing w:after="0" w:line="197"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xml:space="preserve"> (i) Borrower or any of its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shall make any assignment for the benefit of creditors; or (ii) Borrower or any of its Subsidiaries shall be unable, or shall fail generally, or shall admit in writing its inability, to pay its debts as such debts become due; or the Board of Directors (or similar governing body) of Borrower or any of its Subsidiaries shall adopt any resolution or otherwise authorize any action to approve any of the actions referred to herein or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3"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-6508750</wp:posOffset>
            </wp:positionV>
            <wp:extent cx="3663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3" w:name="page314"/>
    <w:bookmarkEnd w:id="313"/>
    <w:p>
      <w:pPr>
        <w:jc w:val="both"/>
        <w:ind w:firstLine="1304"/>
        <w:spacing w:after="0" w:line="263" w:lineRule="auto"/>
        <w:tabs>
          <w:tab w:leader="none" w:pos="1944" w:val="left"/>
        </w:tabs>
        <w:numPr>
          <w:ilvl w:val="1"/>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Judgments and Attachments</w:t>
      </w:r>
      <w:r>
        <w:rPr>
          <w:rFonts w:ascii="Times New Roman" w:cs="Times New Roman" w:eastAsia="Times New Roman" w:hAnsi="Times New Roman"/>
          <w:sz w:val="19"/>
          <w:szCs w:val="19"/>
          <w:color w:val="auto"/>
        </w:rPr>
        <w:t>. Any money judgment, writ or warrant of attachment or similar process involving (i) in any individual case an amount in excess of [***] or (ii) in the aggregate at any time an amount in excess of</w:t>
      </w:r>
    </w:p>
    <w:p>
      <w:pPr>
        <w:spacing w:after="0" w:line="1" w:lineRule="exact"/>
        <w:rPr>
          <w:rFonts w:ascii="Times New Roman" w:cs="Times New Roman" w:eastAsia="Times New Roman" w:hAnsi="Times New Roman"/>
          <w:sz w:val="19"/>
          <w:szCs w:val="19"/>
          <w:color w:val="auto"/>
        </w:rPr>
      </w:pPr>
    </w:p>
    <w:p>
      <w:pPr>
        <w:jc w:val="both"/>
        <w:ind w:firstLine="8"/>
        <w:spacing w:after="0" w:line="241" w:lineRule="auto"/>
        <w:tabs>
          <w:tab w:leader="none" w:pos="50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either case to the extent not adequately covered by insurance as to which a solvent and unaffiliated insurance company has acknowledged coverage) shall be entered or filed against Borrower or any of its Subsidiaries or any of their respective assets and shall remain undischarged, unvacated, unbonded or unstayed for a period of [***] (or in any event later than [***] prior to the date of any proposed sale thereunder); or</w:t>
      </w:r>
    </w:p>
    <w:p>
      <w:pPr>
        <w:spacing w:after="0" w:line="18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w:t>
      </w:r>
      <w:r>
        <w:rPr>
          <w:rFonts w:ascii="Times New Roman" w:cs="Times New Roman" w:eastAsia="Times New Roman" w:hAnsi="Times New Roman"/>
          <w:sz w:val="20"/>
          <w:szCs w:val="20"/>
          <w:color w:val="auto"/>
        </w:rPr>
        <w:t>. Any order, judgment or decree shall be entered against any Loan Party or any of its Subsidiaries decreeing the dissolution or split up of such Loan Party or any of its Subsidiaries and such order shall remain undischarged or unstayed for a period in excess of [***]; or</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occur; or</w:t>
      </w:r>
    </w:p>
    <w:p>
      <w:pPr>
        <w:spacing w:after="0" w:line="21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w:t>
      </w:r>
      <w:r>
        <w:rPr>
          <w:rFonts w:ascii="Times New Roman" w:cs="Times New Roman" w:eastAsia="Times New Roman" w:hAnsi="Times New Roman"/>
          <w:sz w:val="20"/>
          <w:szCs w:val="20"/>
          <w:color w:val="auto"/>
        </w:rPr>
        <w:t>. The indictment of any Loan Party or any of its Subsidiaries under any criminal statute, or commencement of criminal or civil proceedings against any Loan Party or any of its Subsidiaries pursuant to which statute or proceedings the penalties or remedies sought or available include forfeiture to any Governmental Authority of any material portion of the property of such Person; or</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occurrence of any ERISA Event which, individually or in the aggregate, has resulted or would reasonably be expected to result in a Material Adverse Effect; or</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Event</w:t>
      </w:r>
      <w:r>
        <w:rPr>
          <w:rFonts w:ascii="Times New Roman" w:cs="Times New Roman" w:eastAsia="Times New Roman" w:hAnsi="Times New Roman"/>
          <w:sz w:val="20"/>
          <w:szCs w:val="20"/>
          <w:color w:val="auto"/>
        </w:rPr>
        <w:t>. (i) U.S. marketing approval of any Product (Core) is suspended pursuant to Section 505(e) of the Federal Food, Drug, and Cosmetic Act (21 U.S.C. § 355(e)) on a finding that there is an imminent hazard to the public health, or (ii) Borrower or any of its Affiliates receives a notification from FDA under Section 505(e) and 21 C.F.R. § 314.150 that FDA intends to withdraw U.S. marketing approval of any Product (Core) or such notification is published in the Federal Register (each, a “Regulatory Withdrawal Notice”) and that, notwithstanding the Company’s opportunity to request a hearing or otherwise oppose FDA’s actions, such Regulatory Withdrawal Notice is reasonably likely to result in the FDA’s withdrawal of U.S. marketing approval for such Product (Core) (as determined by an independent third party regulatory expert selected by Administrative Agent and reasonably acceptable to Borrower pursuant to the procedure set forth below).</w:t>
      </w:r>
    </w:p>
    <w:p>
      <w:pPr>
        <w:spacing w:after="0" w:line="18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Upon the occurrence and during the continuance of any Event of Default, Administrative Agent may, and shall at the request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4" w:name="page315"/>
    <w:bookmarkEnd w:id="314"/>
    <w:p>
      <w:pPr>
        <w:jc w:val="both"/>
        <w:ind w:firstLine="1304"/>
        <w:spacing w:after="0" w:line="246" w:lineRule="auto"/>
        <w:tabs>
          <w:tab w:leader="none" w:pos="19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that all or any portion of the Delayed Draw Term Loan Commitments shall immediately terminate and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and/or</w:t>
      </w:r>
    </w:p>
    <w:p>
      <w:pPr>
        <w:spacing w:after="0" w:line="184" w:lineRule="exact"/>
        <w:rPr>
          <w:rFonts w:ascii="Times New Roman" w:cs="Times New Roman" w:eastAsia="Times New Roman" w:hAnsi="Times New Roman"/>
          <w:sz w:val="20"/>
          <w:szCs w:val="20"/>
          <w:color w:val="auto"/>
        </w:rPr>
      </w:pPr>
    </w:p>
    <w:p>
      <w:pPr>
        <w:jc w:val="both"/>
        <w:ind w:right="20" w:firstLine="1304"/>
        <w:spacing w:after="0" w:line="254" w:lineRule="auto"/>
        <w:tabs>
          <w:tab w:leader="none" w:pos="19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any event specified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Rights Not Exclusive</w:t>
      </w:r>
      <w:r>
        <w:rPr>
          <w:rFonts w:ascii="Times New Roman" w:cs="Times New Roman" w:eastAsia="Times New Roman" w:hAnsi="Times New Roman"/>
          <w:sz w:val="20"/>
          <w:szCs w:val="20"/>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u w:val="single" w:color="auto"/>
          <w:color w:val="auto"/>
        </w:rPr>
        <w:t>Appointment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5" w:lineRule="auto"/>
        <w:tabs>
          <w:tab w:leader="none" w:pos="19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TAO Talents is hereby appointed Administrative Agent hereunder and under the other Loan Documents and each Lender hereby authorizes TAO Talents,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9.8(a)(ii)</w:t>
      </w:r>
      <w:r>
        <w:rPr>
          <w:rFonts w:ascii="Times New Roman" w:cs="Times New Roman" w:eastAsia="Times New Roman" w:hAnsi="Times New Roman"/>
          <w:sz w:val="20"/>
          <w:szCs w:val="20"/>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Powers and Duties</w:t>
      </w:r>
      <w:r>
        <w:rPr>
          <w:rFonts w:ascii="Times New Roman" w:cs="Times New Roman" w:eastAsia="Times New Roman" w:hAnsi="Times New Roman"/>
          <w:sz w:val="20"/>
          <w:szCs w:val="20"/>
          <w:color w:val="auto"/>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5" w:name="page316"/>
    <w:bookmarkEnd w:id="315"/>
    <w:p>
      <w:pPr>
        <w:spacing w:after="0" w:line="268" w:lineRule="auto"/>
        <w:rPr>
          <w:sz w:val="20"/>
          <w:szCs w:val="20"/>
          <w:color w:val="auto"/>
        </w:rPr>
      </w:pPr>
      <w:r>
        <w:rPr>
          <w:rFonts w:ascii="Times New Roman" w:cs="Times New Roman" w:eastAsia="Times New Roman" w:hAnsi="Times New Roman"/>
          <w:sz w:val="20"/>
          <w:szCs w:val="20"/>
          <w:color w:val="auto"/>
        </w:rPr>
        <w:t>shall be so construed as to impose upon Administrative Agent any obligations in respect hereof or any of the other Loan Documents except as expressly set forth herein or therein.</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General Immunity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2" w:lineRule="auto"/>
        <w:tabs>
          <w:tab w:leader="none" w:pos="19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Responsibility for Certain Matters</w:t>
      </w:r>
      <w:r>
        <w:rPr>
          <w:rFonts w:ascii="Times New Roman" w:cs="Times New Roman" w:eastAsia="Times New Roman" w:hAnsi="Times New Roman"/>
          <w:sz w:val="20"/>
          <w:szCs w:val="20"/>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87"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and until Administrative Agent has received any such direction, Administrative Agent may (but shall not be obligated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0"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6" w:name="page317"/>
    <w:bookmarkEnd w:id="316"/>
    <w:p>
      <w:pPr>
        <w:jc w:val="both"/>
        <w:spacing w:after="0" w:line="268" w:lineRule="auto"/>
        <w:rPr>
          <w:sz w:val="20"/>
          <w:szCs w:val="20"/>
          <w:color w:val="auto"/>
        </w:rPr>
      </w:pPr>
      <w:r>
        <w:rPr>
          <w:rFonts w:ascii="Times New Roman" w:cs="Times New Roman" w:eastAsia="Times New Roman" w:hAnsi="Times New Roman"/>
          <w:sz w:val="20"/>
          <w:szCs w:val="20"/>
          <w:color w:val="auto"/>
        </w:rPr>
        <w:t>to) take such action, or refrain from taking such action, with respect to such Default or Event of Default as it shall deem advisable or in the best interest of the Lenders.</w:t>
      </w:r>
    </w:p>
    <w:p>
      <w:pPr>
        <w:spacing w:after="0" w:line="16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Administrative Agent Entitled to Act as Lender</w:t>
      </w:r>
      <w:r>
        <w:rPr>
          <w:rFonts w:ascii="Times New Roman" w:cs="Times New Roman" w:eastAsia="Times New Roman" w:hAnsi="Times New Roman"/>
          <w:sz w:val="20"/>
          <w:szCs w:val="20"/>
          <w:color w:val="auto"/>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Lenders’ Representations, Warranties and Acknowledgment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without the prior written consent of Administrative Agent.</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Right to Indemnity</w:t>
      </w:r>
      <w:r>
        <w:rPr>
          <w:rFonts w:ascii="Times New Roman" w:cs="Times New Roman" w:eastAsia="Times New Roman" w:hAnsi="Times New Roman"/>
          <w:sz w:val="20"/>
          <w:szCs w:val="20"/>
          <w:color w:val="auto"/>
        </w:rPr>
        <w:t>. EACH LENDER, IN PROPORTION TO ITS PRO RATA SHARE, SEVERALLY AGREES TO INDEMNIFY ADMINISTRATIVE AGENT, ITS AFFILIATES AND ITS RESPECTIVE OFFICERS, PARTNERS, DIRECTORS, TRUSTEES, EMPLOYEES AND AGENTS OF ADMINISTRATIVE AGENT (EACH, AN “</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 REMEDIES OR PERFORMING ITS DUTIES HEREUNDER OR UNDER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7" w:name="page318"/>
    <w:bookmarkEnd w:id="317"/>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DOCUMENTS OR OTHERWISE IN ITS CAPACITY AS SUCH INDEMNITEE AGENT PARTY IN ANY WAY RELATING TO OR ARISING OUT OF THIS AGREEMENT OR THE OTHER LOAN DOCUMENTS, </w:t>
      </w:r>
      <w:r>
        <w:rPr>
          <w:rFonts w:ascii="Times New Roman" w:cs="Times New Roman" w:eastAsia="Times New Roman" w:hAnsi="Times New Roman"/>
          <w:sz w:val="19"/>
          <w:szCs w:val="19"/>
          <w:b w:val="1"/>
          <w:bCs w:val="1"/>
          <w:color w:val="auto"/>
        </w:rPr>
        <w:t>IN ALL CASES,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color w:val="auto"/>
        </w:rPr>
        <w:t>WHETHER OR NOT CAUSED BY OR ARISING, IN WHOLE OR IN PART, OUT OF THE COMPARATIVE, CONTRIBUTORY, OR SOLE NEGLIGENCE OF SUCH INDEMNITEE AGENT PARTY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41" w:lineRule="auto"/>
        <w:tabs>
          <w:tab w:leader="none" w:pos="19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may resign at any time by giving thirty days’ (or such shorter period as shall be agreed by the Required Lenders) prior written notice thereof to Lenders and Company. Upon any such notice of resignation, Required Lenders shall have the right, upon five Business Days’ notice to Company, to appoint a successor Administrative Agent.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inure to its benefit as to any actions taken or omitted to be taken by it while it was Administrative Agent hereunder.</w:t>
      </w:r>
    </w:p>
    <w:p>
      <w:pPr>
        <w:spacing w:after="0" w:line="190"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Administrative Agent may assign its rights and duties as Administrative Agent, as applicable, hereunder to an Affiliate of TAO Talents without the prior written consent of, or prior written notice to, Company or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and the Lenders may deem and treat such assigning Administrative Agent as Administrative Agent for all purposes hereof, unless and until such assigning Administrative Agent provides written notice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8" w:name="page319"/>
    <w:bookmarkEnd w:id="318"/>
    <w:p>
      <w:pPr>
        <w:ind w:right="20"/>
        <w:spacing w:after="0" w:line="268" w:lineRule="auto"/>
        <w:rPr>
          <w:sz w:val="20"/>
          <w:szCs w:val="20"/>
          <w:color w:val="auto"/>
        </w:rPr>
      </w:pPr>
      <w:r>
        <w:rPr>
          <w:rFonts w:ascii="Times New Roman" w:cs="Times New Roman" w:eastAsia="Times New Roman" w:hAnsi="Times New Roman"/>
          <w:sz w:val="20"/>
          <w:szCs w:val="20"/>
          <w:color w:val="auto"/>
        </w:rPr>
        <w:t>to Company and the Lenders of such assignment. Upon such assignment such Affiliate shall succeed to and become vested with all rights, powers, privileges and duties as Administrative Agent hereunder and under the other Loan Documents.</w:t>
      </w:r>
    </w:p>
    <w:p>
      <w:pPr>
        <w:spacing w:after="0" w:line="161" w:lineRule="exact"/>
        <w:rPr>
          <w:sz w:val="20"/>
          <w:szCs w:val="20"/>
          <w:color w:val="auto"/>
        </w:rPr>
      </w:pPr>
    </w:p>
    <w:p>
      <w:pPr>
        <w:jc w:val="both"/>
        <w:ind w:firstLine="1304"/>
        <w:spacing w:after="0" w:line="241" w:lineRule="auto"/>
        <w:tabs>
          <w:tab w:leader="none" w:pos="19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9.8</w:t>
      </w:r>
      <w:r>
        <w:rPr>
          <w:sz w:val="20"/>
          <w:szCs w:val="20"/>
          <w:color w:val="auto"/>
        </w:rPr>
        <w:tab/>
      </w:r>
      <w:r>
        <w:rPr>
          <w:rFonts w:ascii="Times New Roman" w:cs="Times New Roman" w:eastAsia="Times New Roman" w:hAnsi="Times New Roman"/>
          <w:sz w:val="19"/>
          <w:szCs w:val="19"/>
          <w:u w:val="single" w:color="auto"/>
          <w:color w:val="auto"/>
        </w:rPr>
        <w:t>Collateral Documents and Guaranty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1" w:lineRule="auto"/>
        <w:tabs>
          <w:tab w:leader="none" w:pos="194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under Collateral Documents and Guaranty</w:t>
      </w:r>
      <w:r>
        <w:rPr>
          <w:rFonts w:ascii="Times New Roman" w:cs="Times New Roman" w:eastAsia="Times New Roman" w:hAnsi="Times New Roman"/>
          <w:sz w:val="20"/>
          <w:szCs w:val="20"/>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without further written consent or authorization from Lenders, Administrative Agent (i) may execute any documents or instruments necessary to (A) release any Lien encumbering any item of Collateral that is the subject of a sale or other disposition of assets permitted hereby or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have otherwise consented, or (B) release any Guarantor from the Guaranty pursuant to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or with respect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have otherwise consented and (ii) shall (A) enter into an intercreditor agreement, in form and substance satisfactory to Administrative Agent in its sole discretion, with respect to Permitted Priority Indebtedness, (B) enter into the Senior Lender Intercreditor Agreement, (C) if requested by Borrower, enter into customary non-disturbance agreements, in form and substance reasonably satisfactory to the Administrative Agent, in connection with the entry by Borrower or any Subsidiary into any Permitted Product Agreement and (D) [***].</w:t>
      </w:r>
    </w:p>
    <w:p>
      <w:pPr>
        <w:spacing w:after="0" w:line="197"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Realize on Collateral and Enforce Guaranty</w:t>
      </w:r>
      <w:r>
        <w:rPr>
          <w:rFonts w:ascii="Times New Roman" w:cs="Times New Roman" w:eastAsia="Times New Roman" w:hAnsi="Times New Roman"/>
          <w:sz w:val="20"/>
          <w:szCs w:val="20"/>
          <w:color w:val="auto"/>
        </w:rPr>
        <w:t>. Anything contained in any of the Loan Documents to the contrary notwithstanding, Company,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9" w:name="page320"/>
    <w:bookmarkEnd w:id="319"/>
    <w:p>
      <w:pPr>
        <w:jc w:val="both"/>
        <w:spacing w:after="0" w:line="245" w:lineRule="auto"/>
        <w:rPr>
          <w:sz w:val="20"/>
          <w:szCs w:val="20"/>
          <w:color w:val="auto"/>
        </w:rPr>
      </w:pPr>
      <w:r>
        <w:rPr>
          <w:rFonts w:ascii="Times New Roman" w:cs="Times New Roman" w:eastAsia="Times New Roman" w:hAnsi="Times New Roman"/>
          <w:sz w:val="20"/>
          <w:szCs w:val="20"/>
          <w:color w:val="auto"/>
        </w:rPr>
        <w:t>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9.9 </w:t>
      </w:r>
      <w:r>
        <w:rPr>
          <w:rFonts w:ascii="Times New Roman" w:cs="Times New Roman" w:eastAsia="Times New Roman" w:hAnsi="Times New Roman"/>
          <w:sz w:val="20"/>
          <w:szCs w:val="20"/>
          <w:u w:val="single" w:color="auto"/>
          <w:color w:val="auto"/>
        </w:rPr>
        <w:t>Agency for Perfection</w:t>
      </w:r>
      <w:r>
        <w:rPr>
          <w:rFonts w:ascii="Times New Roman" w:cs="Times New Roman" w:eastAsia="Times New Roman" w:hAnsi="Times New Roman"/>
          <w:sz w:val="20"/>
          <w:szCs w:val="20"/>
          <w:color w:val="auto"/>
        </w:rPr>
        <w:t>. Administrative Agent and each Lender hereby appoints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90" w:lineRule="exact"/>
        <w:rPr>
          <w:sz w:val="20"/>
          <w:szCs w:val="20"/>
          <w:color w:val="auto"/>
        </w:rPr>
      </w:pPr>
    </w:p>
    <w:p>
      <w:pPr>
        <w:ind w:left="660"/>
        <w:spacing w:after="0"/>
        <w:tabs>
          <w:tab w:leader="none" w:pos="1940" w:val="left"/>
          <w:tab w:leader="none" w:pos="736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20"/>
          <w:szCs w:val="20"/>
          <w:u w:val="single" w:color="auto"/>
          <w:color w:val="auto"/>
        </w:rPr>
        <w:t>Reports and Other Information; Confidentiality; Disclaimers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By becoming a party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each Lender:</w:t>
      </w:r>
    </w:p>
    <w:p>
      <w:pPr>
        <w:spacing w:after="0" w:line="194" w:lineRule="exact"/>
        <w:rPr>
          <w:sz w:val="20"/>
          <w:szCs w:val="20"/>
          <w:color w:val="auto"/>
        </w:rPr>
      </w:pPr>
    </w:p>
    <w:p>
      <w:pPr>
        <w:jc w:val="both"/>
        <w:ind w:firstLine="1304"/>
        <w:spacing w:after="0" w:line="249"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Administrative Agent furnish such Lender or Administrative Agent, promptly after it becomes available, a copy of each field audit or examination report with respect to Borrower or its Subsidiaries (each a “</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prepared by or at the request of Administrative Agent, and Administrative Agent shall so furnish each Lender with such Reports,</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Administrative Agent does not (i) make any representation or warranty as to the accuracy of any Report, and (ii) shall not be liable for any information contained in any Report,</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purchase of, a loan or loans of Company, and (ii) to pay and protect,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0" w:name="page321"/>
    <w:bookmarkEnd w:id="320"/>
    <w:p>
      <w:pPr>
        <w:jc w:val="both"/>
        <w:spacing w:after="0" w:line="249" w:lineRule="auto"/>
        <w:rPr>
          <w:sz w:val="20"/>
          <w:szCs w:val="20"/>
          <w:color w:val="auto"/>
        </w:rPr>
      </w:pPr>
      <w:r>
        <w:rPr>
          <w:rFonts w:ascii="Times New Roman" w:cs="Times New Roman" w:eastAsia="Times New Roman" w:hAnsi="Times New Roman"/>
          <w:sz w:val="20"/>
          <w:szCs w:val="20"/>
          <w:color w:val="auto"/>
        </w:rPr>
        <w:t>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79"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0"/>
          <w:szCs w:val="20"/>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Company the additional reports or information reasonably specified by such Lender, and, upon receipt thereof from Company or such Subsidiary, Administrative Agent promptly shall provide a copy of same to such Lender, and (z) any time that Administrative Agent renders to Company a statement regarding the Loan Account, Administrative Agent shall send a copy of such statement to each Lender.</w:t>
      </w:r>
    </w:p>
    <w:p>
      <w:pPr>
        <w:spacing w:after="0" w:line="19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Subject to the limitations set forth below, upon the occurrence and during the continuance of an Event of Default, Administrative Agent is authorized by Company and the Lenders, from time to time in Administrative Agent’s sole discretion (but Administrative Agent shall have absolutely no obligation to), to make disbursements or advances to Company,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Company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20"/>
          <w:szCs w:val="20"/>
          <w:u w:val="single" w:color="auto"/>
          <w:color w:val="auto"/>
        </w:rPr>
        <w:t>Protective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xml:space="preserve">”). Protective Advances may be made even if the conditions precedent set forth in Article III have not been satisfied. The interest rate on all Protective Advances shall be at the Base Rate plus the Applicable Margin. Each Protective Advance shall be secured by the Liens in favor of Collateral Agent in and to the Collateral and shall constitute Obligations hereunder. The Protective Advances shall constitute Obligations hereunder which may be charged to the Loan Account in accordance with </w:t>
      </w:r>
      <w:r>
        <w:rPr>
          <w:rFonts w:ascii="Times New Roman" w:cs="Times New Roman" w:eastAsia="Times New Roman" w:hAnsi="Times New Roman"/>
          <w:sz w:val="20"/>
          <w:szCs w:val="20"/>
          <w:u w:val="single" w:color="auto"/>
          <w:color w:val="auto"/>
        </w:rPr>
        <w:t>Section 2.12(i)</w:t>
      </w:r>
      <w:r>
        <w:rPr>
          <w:rFonts w:ascii="Times New Roman" w:cs="Times New Roman" w:eastAsia="Times New Roman" w:hAnsi="Times New Roman"/>
          <w:sz w:val="20"/>
          <w:szCs w:val="20"/>
          <w:color w:val="auto"/>
        </w:rPr>
        <w:t xml:space="preserve">. Company shall pay the unpaid principal amount and all unpaid and accrued interest of each Protective Advance on the earlier of the Term Loan Maturity Date and the date on which demand for payment is made by Administrative Agent. Administrative Agent shall notify each Lender and Company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Rate for three (3) Business Days and thereafter at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Unless otherwise specifically provided herein, any notice or other communication herein required or permitted to be given to a Loan Party, Administrative Agent, shall be sent to such Person’s address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in the other relevant Loan Document, and in the case of any Lender, the address as indicated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 after depositing it in the United States mail with postage prepaid and properly addressed;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notice to Administrative Agent shall be effective until received by Administrative Agent.</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2"/>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and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Notices and other communications to the Lenders hereunder may be delivered or furnished by electronic communication (including e-mail and Internet or intranet websites)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has notified Administrative Agent that it is incapable of receiving notices under such Article by electronic communication.</w:t>
      </w:r>
    </w:p>
    <w:p>
      <w:pPr>
        <w:spacing w:after="0" w:line="185"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2"/>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w:t>
      </w:r>
    </w:p>
    <w:p>
      <w:pPr>
        <w:spacing w:after="0" w:line="1" w:lineRule="exact"/>
        <w:rPr>
          <w:rFonts w:ascii="Times New Roman" w:cs="Times New Roman" w:eastAsia="Times New Roman" w:hAnsi="Times New Roman"/>
          <w:sz w:val="20"/>
          <w:szCs w:val="20"/>
          <w:color w:val="auto"/>
        </w:rPr>
      </w:pPr>
    </w:p>
    <w:p>
      <w:pPr>
        <w:jc w:val="both"/>
        <w:ind w:firstLine="8"/>
        <w:spacing w:after="0" w:line="242" w:lineRule="auto"/>
        <w:tabs>
          <w:tab w:leader="none" w:pos="325" w:val="left"/>
        </w:tabs>
        <w:numPr>
          <w:ilvl w:val="0"/>
          <w:numId w:val="2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Whether or not the transactions contemplated hereby shall be consummated, Company agrees to pay promptly (a) all of Administrative Agent’s actual and reasonable costs and expenses of preparation, negotiation, execution and administration of the Loan Documents and any consents, amendments, waivers or other modifications thereto; (b) all the reasonable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Company; (c) all the actual costs and reasonable expenses of creating and perfecting Liens in favor of Administrative Agent, for the benefit of Secured Parties, including filing and recording fees, expenses and taxes, stamp or documentary taxes, search fees, title insurance premiums and reasonable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 ‘s actual costs and reasonable fees, expenses for, and disbursements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2" w:name="page323"/>
    <w:bookmarkEnd w:id="322"/>
    <w:p>
      <w:pPr>
        <w:jc w:val="both"/>
        <w:spacing w:after="0"/>
        <w:rPr>
          <w:sz w:val="20"/>
          <w:szCs w:val="20"/>
          <w:color w:val="auto"/>
        </w:rPr>
      </w:pPr>
      <w:r>
        <w:rPr>
          <w:rFonts w:ascii="Times New Roman" w:cs="Times New Roman" w:eastAsia="Times New Roman" w:hAnsi="Times New Roman"/>
          <w:sz w:val="20"/>
          <w:szCs w:val="20"/>
          <w:color w:val="auto"/>
        </w:rPr>
        <w:t xml:space="preserve">of Administrative Agent’s auditors, accountants, consultants or appraisers whether internal or external, and all reasonable attorneys’ fees (including allocated costs of internal counsel and expenses and disbursements of outside counsel) incurred by Administrative Agent; (e) all the actual costs and reasonable expenses (including the reasonable fees, expenses and disbursements of any appraisers, consultants, advisors and agents employed or retained by Administrative Agent and its counsel) in connection with the custody or preservation of any of the Collateral; (f) all the actual costs and reasonable expenses of Administrative Agent and Lenders in connection with the attendance at any meetings in connection with this Agreement and the other Loan Documents (including the meetings referred to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(g) all other actual and reasonable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attorneys’ fees (including allocated costs of internal counsel)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 Notwithstanding the foregoing, the amount obligated to be paid by Company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for costs and expenses incurred prior to the Closing Date, together with all costs and expenses payable by Company and its Subsidiaries related to the AYVAKIT/BLU-263 Purchase Agreement and any related transactions with Administrative Agent, the Lenders and/or their Affiliates prior to the Closing Date, shall not exceed [***], plus the actual cost of any collateral filing and recordation fees and searches, without the prior written consent of Company.</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5" w:lineRule="auto"/>
        <w:tabs>
          <w:tab w:leader="none" w:pos="1944"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PAYMENT OF EXPENSES PURSUANT TO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FROM AND AGAINST ANY AND ALL INDEMNIFIED LIABILITIES, </w:t>
      </w:r>
      <w:r>
        <w:rPr>
          <w:rFonts w:ascii="Times New Roman" w:cs="Times New Roman" w:eastAsia="Times New Roman" w:hAnsi="Times New Roman"/>
          <w:sz w:val="19"/>
          <w:szCs w:val="19"/>
          <w:b w:val="1"/>
          <w:bCs w:val="1"/>
          <w:color w:val="auto"/>
        </w:rPr>
        <w:t>IN ALL CASES, WHETHER OR NOT CAUSED BY OR ARISING, IN WHOLE</w:t>
      </w:r>
    </w:p>
    <w:p>
      <w:pPr>
        <w:spacing w:after="0" w:line="3" w:lineRule="exact"/>
        <w:rPr>
          <w:rFonts w:ascii="Times New Roman" w:cs="Times New Roman" w:eastAsia="Times New Roman" w:hAnsi="Times New Roman"/>
          <w:sz w:val="19"/>
          <w:szCs w:val="19"/>
          <w:color w:val="auto"/>
        </w:rPr>
      </w:pPr>
    </w:p>
    <w:p>
      <w:pPr>
        <w:jc w:val="both"/>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OR IN PART, OUT OF THE COMPARATIVE, CONTRIBUTORY, OR SOLE NEGLIGENCE OF SUCH INDEMNITEE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NO LOAN PARTY SHALL HAVE ANY OBLIGATION TO ANY INDEMNITEE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w:t>
      </w:r>
    </w:p>
    <w:p>
      <w:pPr>
        <w:spacing w:after="0" w:line="176"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ind w:left="4820" w:hanging="111"/>
        <w:spacing w:after="0"/>
        <w:tabs>
          <w:tab w:leader="none" w:pos="48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3" w:name="page324"/>
    <w:bookmarkEnd w:id="323"/>
    <w:p>
      <w:pPr>
        <w:jc w:val="both"/>
        <w:spacing w:after="0" w:line="245" w:lineRule="auto"/>
        <w:rPr>
          <w:sz w:val="20"/>
          <w:szCs w:val="20"/>
          <w:color w:val="auto"/>
        </w:rPr>
      </w:pPr>
      <w:r>
        <w:rPr>
          <w:rFonts w:ascii="Times New Roman" w:cs="Times New Roman" w:eastAsia="Times New Roman" w:hAnsi="Times New Roman"/>
          <w:sz w:val="20"/>
          <w:szCs w:val="20"/>
          <w:color w:val="auto"/>
        </w:rPr>
        <w:t>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Company hereby waives, releases and agrees not to sue upon any such claim or any such damages, whether or not accrued and whether or not known or suspected to exist in its favor.</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 xml:space="preserve">. In addition to any rights now or hereafter granted under applicable law and not by way of limitation of any 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74" w:lineRule="auto"/>
        <w:tabs>
          <w:tab w:leader="none" w:pos="1944"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Required Lenders’ Consent</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10.5(b)(i)</w:t>
      </w:r>
      <w:r>
        <w:rPr>
          <w:rFonts w:ascii="Times New Roman" w:cs="Times New Roman" w:eastAsia="Times New Roman" w:hAnsi="Times New Roman"/>
          <w:sz w:val="19"/>
          <w:szCs w:val="19"/>
          <w:color w:val="auto"/>
        </w:rPr>
        <w:t>, no amendment, modification, termination or waiver of any provision of the Loan Documents, or consent to any departure by any Loan Party therefrom, shall in any event be effective without the written consent of Administrative Agent and the Required Lenders.</w:t>
      </w:r>
    </w:p>
    <w:p>
      <w:pPr>
        <w:spacing w:after="0" w:line="156"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Affected Lenders’ Consent</w:t>
      </w:r>
      <w:r>
        <w:rPr>
          <w:rFonts w:ascii="Times New Roman" w:cs="Times New Roman" w:eastAsia="Times New Roman" w:hAnsi="Times New Roman"/>
          <w:sz w:val="20"/>
          <w:szCs w:val="20"/>
          <w:color w:val="auto"/>
        </w:rPr>
        <w:t>. Without the written consent of each Lender (other than a Defaulting Lender) that would be affected thereby, no amendment, modification, termination, or consent shall be effective if the effect thereof would:</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scheduled final maturity of any Loan or Note;</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reduce or postpone any scheduled repayment (but not prepayment);</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or any fee payable hereunder;</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time for payment of any such interest or fees;</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any Loan;</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terminate or waive any provision of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10.5(b)</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5" w:lineRule="exact"/>
        <w:rPr>
          <w:rFonts w:ascii="Times New Roman" w:cs="Times New Roman" w:eastAsia="Times New Roman" w:hAnsi="Times New Roman"/>
          <w:sz w:val="20"/>
          <w:szCs w:val="20"/>
          <w:color w:val="auto"/>
        </w:rPr>
      </w:pPr>
    </w:p>
    <w:p>
      <w:pPr>
        <w:ind w:left="4820" w:hanging="111"/>
        <w:spacing w:after="0"/>
        <w:tabs>
          <w:tab w:leader="none" w:pos="482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4" w:name="page325"/>
    <w:bookmarkEnd w:id="324"/>
    <w:p>
      <w:pPr>
        <w:ind w:left="2600" w:hanging="648"/>
        <w:spacing w:after="0"/>
        <w:tabs>
          <w:tab w:leader="none" w:pos="260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definition of “Required Lenders” or “Pro Rata Share”;</w:t>
      </w:r>
    </w:p>
    <w:p>
      <w:pPr>
        <w:spacing w:after="0" w:line="21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or all or substantially all of the Guarantors from the Guaranty except as expressly provided in the Loan Documents;</w:t>
      </w:r>
    </w:p>
    <w:p>
      <w:pPr>
        <w:spacing w:after="0" w:line="15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subordinate any of the Obligations or (y) any Lien created by this Agreement or any other Loan Document, except, in the case of this clause (y), Liens securing Permitted Priority Indebtedness, Permitted Product Transaction, Permitted Royalty Transaction or other transaction expressly permitted hereunder that is contemplated to have priority over the Liens securing the Obligations; or</w:t>
      </w:r>
    </w:p>
    <w:p>
      <w:pPr>
        <w:spacing w:after="0" w:line="17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Loan Party of any of its rights and obligations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Loan Document.</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Consents</w:t>
      </w:r>
      <w:r>
        <w:rPr>
          <w:rFonts w:ascii="Times New Roman" w:cs="Times New Roman" w:eastAsia="Times New Roman" w:hAnsi="Times New Roman"/>
          <w:sz w:val="20"/>
          <w:szCs w:val="20"/>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7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Amendments, Etc.</w:t>
      </w:r>
      <w:r>
        <w:rPr>
          <w:rFonts w:ascii="Times New Roman" w:cs="Times New Roman" w:eastAsia="Times New Roman" w:hAnsi="Times New Roman"/>
          <w:sz w:val="20"/>
          <w:szCs w:val="20"/>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shall be binding upon each Lender at the time outstanding, each future Lender and, if signed by a Loan Party, on such Loan Party.</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4" w:lineRule="auto"/>
        <w:tabs>
          <w:tab w:leader="none" w:pos="19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Indemnitees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the Register</w:t>
      </w:r>
      <w:r>
        <w:rPr>
          <w:rFonts w:ascii="Times New Roman" w:cs="Times New Roman" w:eastAsia="Times New Roman" w:hAnsi="Times New Roman"/>
          <w:sz w:val="20"/>
          <w:szCs w:val="20"/>
          <w:color w:val="auto"/>
        </w:rPr>
        <w:t xml:space="preserve">. Company, Administrative Agent and Lenders shall, in accordance with the Register provisions of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Prior to such recordation, all amounts owed with respect to the applicable Term Loan Commitment or Loan shall be owed to the Lender listed in the Register as the owner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820" w:hanging="111"/>
        <w:spacing w:after="0"/>
        <w:tabs>
          <w:tab w:leader="none" w:pos="48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5" w:name="page326"/>
    <w:bookmarkEnd w:id="325"/>
    <w:p>
      <w:pPr>
        <w:jc w:val="both"/>
        <w:ind w:left="-8" w:firstLine="1304"/>
        <w:spacing w:after="0" w:line="266" w:lineRule="auto"/>
        <w:tabs>
          <w:tab w:leader="none" w:pos="1936"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to Assign</w:t>
      </w:r>
      <w:r>
        <w:rPr>
          <w:rFonts w:ascii="Times New Roman" w:cs="Times New Roman" w:eastAsia="Times New Roman" w:hAnsi="Times New Roman"/>
          <w:sz w:val="19"/>
          <w:szCs w:val="19"/>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such assignment shall be of a uniform, and not varying, percentage of all rights and obligations under and in respect of any Loan and any related Commitments):</w:t>
      </w:r>
    </w:p>
    <w:p>
      <w:pPr>
        <w:spacing w:after="0" w:line="164" w:lineRule="exact"/>
        <w:rPr>
          <w:rFonts w:ascii="Times New Roman" w:cs="Times New Roman" w:eastAsia="Times New Roman" w:hAnsi="Times New Roman"/>
          <w:sz w:val="19"/>
          <w:szCs w:val="19"/>
          <w:color w:val="auto"/>
        </w:rPr>
      </w:pPr>
    </w:p>
    <w:p>
      <w:pPr>
        <w:ind w:left="-8" w:firstLine="1952"/>
        <w:spacing w:after="0" w:line="269" w:lineRule="auto"/>
        <w:tabs>
          <w:tab w:leader="none" w:pos="2584"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Person meeting the criteria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the term of “</w:t>
      </w:r>
      <w:r>
        <w:rPr>
          <w:rFonts w:ascii="Times New Roman" w:cs="Times New Roman" w:eastAsia="Times New Roman" w:hAnsi="Times New Roman"/>
          <w:sz w:val="20"/>
          <w:szCs w:val="20"/>
          <w:u w:val="single" w:color="auto"/>
          <w:color w:val="auto"/>
        </w:rPr>
        <w:t>Eligible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upon the giving of notice to Company and Administrative Agent; and</w:t>
      </w:r>
    </w:p>
    <w:p>
      <w:pPr>
        <w:spacing w:after="0" w:line="159" w:lineRule="exact"/>
        <w:rPr>
          <w:rFonts w:ascii="Times New Roman" w:cs="Times New Roman" w:eastAsia="Times New Roman" w:hAnsi="Times New Roman"/>
          <w:sz w:val="20"/>
          <w:szCs w:val="20"/>
          <w:color w:val="auto"/>
        </w:rPr>
      </w:pPr>
    </w:p>
    <w:p>
      <w:pPr>
        <w:jc w:val="both"/>
        <w:ind w:left="-8" w:firstLine="1952"/>
        <w:spacing w:after="0" w:line="245" w:lineRule="auto"/>
        <w:tabs>
          <w:tab w:leader="none" w:pos="2583"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Person otherwise constituting an Eligible Assignee with the consent of Company (so long as no Default or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Company shall not have responded in writing within [***] after receipt of written notice of the proposed assignment, Company shall be deemed to have approved such assignment) and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each such assignment pursuant to this </w:t>
      </w:r>
      <w:r>
        <w:rPr>
          <w:rFonts w:ascii="Times New Roman" w:cs="Times New Roman" w:eastAsia="Times New Roman" w:hAnsi="Times New Roman"/>
          <w:sz w:val="20"/>
          <w:szCs w:val="20"/>
          <w:u w:val="single" w:color="auto"/>
          <w:color w:val="auto"/>
        </w:rPr>
        <w:t>Section 10.6(c)(ii)</w:t>
      </w:r>
      <w:r>
        <w:rPr>
          <w:rFonts w:ascii="Times New Roman" w:cs="Times New Roman" w:eastAsia="Times New Roman" w:hAnsi="Times New Roman"/>
          <w:sz w:val="20"/>
          <w:szCs w:val="20"/>
          <w:color w:val="auto"/>
        </w:rPr>
        <w:t xml:space="preserve"> shall be in an aggregate amount of not less than [***] (or such lesser amount as may be agreed to by Company and Administrative Agent).</w:t>
      </w:r>
    </w:p>
    <w:p>
      <w:pPr>
        <w:spacing w:after="0" w:line="184" w:lineRule="exact"/>
        <w:rPr>
          <w:rFonts w:ascii="Times New Roman" w:cs="Times New Roman" w:eastAsia="Times New Roman" w:hAnsi="Times New Roman"/>
          <w:sz w:val="20"/>
          <w:szCs w:val="20"/>
          <w:color w:val="auto"/>
        </w:rPr>
      </w:pPr>
    </w:p>
    <w:p>
      <w:pPr>
        <w:jc w:val="both"/>
        <w:ind w:left="-8" w:firstLine="1304"/>
        <w:spacing w:after="0" w:line="249" w:lineRule="auto"/>
        <w:tabs>
          <w:tab w:leader="none" w:pos="1936"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w:t>
      </w:r>
      <w:r>
        <w:rPr>
          <w:rFonts w:ascii="Times New Roman" w:cs="Times New Roman" w:eastAsia="Times New Roman" w:hAnsi="Times New Roman"/>
          <w:sz w:val="20"/>
          <w:szCs w:val="20"/>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8" w:firstLine="1304"/>
        <w:spacing w:after="0" w:line="249" w:lineRule="auto"/>
        <w:tabs>
          <w:tab w:leader="none" w:pos="1936"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Assignment</w:t>
      </w:r>
      <w:r>
        <w:rPr>
          <w:rFonts w:ascii="Times New Roman" w:cs="Times New Roman" w:eastAsia="Times New Roman" w:hAnsi="Times New Roman"/>
          <w:sz w:val="20"/>
          <w:szCs w:val="20"/>
          <w:color w:val="auto"/>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Company and shall maintain a copy of such Assignment Agreement.</w:t>
      </w:r>
    </w:p>
    <w:p>
      <w:pPr>
        <w:spacing w:after="0" w:line="179" w:lineRule="exact"/>
        <w:rPr>
          <w:rFonts w:ascii="Times New Roman" w:cs="Times New Roman" w:eastAsia="Times New Roman" w:hAnsi="Times New Roman"/>
          <w:sz w:val="20"/>
          <w:szCs w:val="20"/>
          <w:color w:val="auto"/>
        </w:rPr>
      </w:pPr>
    </w:p>
    <w:p>
      <w:pPr>
        <w:jc w:val="both"/>
        <w:ind w:left="-8" w:firstLine="1304"/>
        <w:spacing w:after="0" w:line="260" w:lineRule="auto"/>
        <w:tabs>
          <w:tab w:leader="none" w:pos="1936"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Assignee</w:t>
      </w:r>
      <w:r>
        <w:rPr>
          <w:rFonts w:ascii="Times New Roman" w:cs="Times New Roman" w:eastAsia="Times New Roman" w:hAnsi="Times New Roman"/>
          <w:sz w:val="19"/>
          <w:szCs w:val="19"/>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w:t>
      </w:r>
    </w:p>
    <w:p>
      <w:pPr>
        <w:jc w:val="both"/>
        <w:ind w:left="-8" w:firstLine="8"/>
        <w:spacing w:after="0" w:line="239" w:lineRule="auto"/>
        <w:tabs>
          <w:tab w:leader="none" w:pos="289"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experience and expertise in the making of or investing in commitments or loans such as the applicable Term Loan Commitments or Loans, as the case may be;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 and</w:t>
      </w:r>
    </w:p>
    <w:p>
      <w:pPr>
        <w:spacing w:after="0" w:line="1" w:lineRule="exact"/>
        <w:rPr>
          <w:rFonts w:ascii="Times New Roman" w:cs="Times New Roman" w:eastAsia="Times New Roman" w:hAnsi="Times New Roman"/>
          <w:sz w:val="20"/>
          <w:szCs w:val="20"/>
          <w:color w:val="auto"/>
        </w:rPr>
      </w:pPr>
    </w:p>
    <w:p>
      <w:pPr>
        <w:ind w:left="-8" w:right="20" w:firstLine="8"/>
        <w:spacing w:after="0" w:line="246" w:lineRule="auto"/>
        <w:tabs>
          <w:tab w:leader="none" w:pos="38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does not own or control, or own or control any Person owning or controlling, any trade debt or Indebtedness of any Loan Party other than the Obligations or any Capital Stock of any Loan Party.</w:t>
      </w:r>
    </w:p>
    <w:p>
      <w:pPr>
        <w:spacing w:after="0" w:line="181" w:lineRule="exact"/>
        <w:rPr>
          <w:rFonts w:ascii="Times New Roman" w:cs="Times New Roman" w:eastAsia="Times New Roman" w:hAnsi="Times New Roman"/>
          <w:sz w:val="20"/>
          <w:szCs w:val="20"/>
          <w:color w:val="auto"/>
        </w:rPr>
      </w:pPr>
    </w:p>
    <w:p>
      <w:pPr>
        <w:jc w:val="both"/>
        <w:ind w:left="-8" w:firstLine="1304"/>
        <w:spacing w:after="0" w:line="242" w:lineRule="auto"/>
        <w:tabs>
          <w:tab w:leader="none" w:pos="1936"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Assignment</w:t>
      </w:r>
      <w:r>
        <w:rPr>
          <w:rFonts w:ascii="Times New Roman" w:cs="Times New Roman" w:eastAsia="Times New Roman" w:hAnsi="Times New Roman"/>
          <w:sz w:val="20"/>
          <w:szCs w:val="20"/>
          <w:color w:val="auto"/>
        </w:rPr>
        <w:t xml:space="preserve">. Subject to the terms and conditions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anything contained in any of the Loan Documents to the contrary notwithstanding, such assigning Lender shall continue to be entitled to the benefit of all indemnities hereunder as specified herein 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1" w:lineRule="exact"/>
        <w:rPr>
          <w:rFonts w:ascii="Times New Roman" w:cs="Times New Roman" w:eastAsia="Times New Roman" w:hAnsi="Times New Roman"/>
          <w:sz w:val="20"/>
          <w:szCs w:val="20"/>
          <w:color w:val="auto"/>
        </w:rPr>
      </w:pPr>
    </w:p>
    <w:p>
      <w:pPr>
        <w:ind w:left="4812" w:hanging="111"/>
        <w:spacing w:after="0"/>
        <w:tabs>
          <w:tab w:leader="none" w:pos="4812" w:val="left"/>
        </w:tabs>
        <w:numPr>
          <w:ilvl w:val="3"/>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326" w:name="page327"/>
    <w:bookmarkEnd w:id="326"/>
    <w:p>
      <w:pPr>
        <w:jc w:val="both"/>
        <w:spacing w:after="0" w:line="244" w:lineRule="auto"/>
        <w:rPr>
          <w:sz w:val="20"/>
          <w:szCs w:val="20"/>
          <w:color w:val="auto"/>
        </w:rPr>
      </w:pPr>
      <w:r>
        <w:rPr>
          <w:rFonts w:ascii="Times New Roman" w:cs="Times New Roman" w:eastAsia="Times New Roman" w:hAnsi="Times New Roman"/>
          <w:sz w:val="20"/>
          <w:szCs w:val="20"/>
          <w:color w:val="auto"/>
        </w:rPr>
        <w:t>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185" w:lineRule="exact"/>
        <w:rPr>
          <w:sz w:val="20"/>
          <w:szCs w:val="20"/>
          <w:color w:val="auto"/>
        </w:rPr>
      </w:pPr>
    </w:p>
    <w:p>
      <w:pPr>
        <w:ind w:left="1960" w:hanging="656"/>
        <w:spacing w:after="0"/>
        <w:tabs>
          <w:tab w:leader="none" w:pos="196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tabs>
          <w:tab w:leader="none" w:pos="2592"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Company agrees that each participant shall be entitled to the benefits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2.19(c)</w:t>
      </w:r>
      <w:r>
        <w:rPr>
          <w:rFonts w:ascii="Times New Roman" w:cs="Times New Roman" w:eastAsia="Times New Roman" w:hAnsi="Times New Roman"/>
          <w:sz w:val="20"/>
          <w:szCs w:val="20"/>
          <w:color w:val="auto"/>
        </w:rPr>
        <w:t xml:space="preserve"> (it being understood that the documentation required under Section 2.15(d)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participant shall not be entitled to the benefits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unless, at the time such participant is claiming such benefits, Company is notified of the participation sold to such participant and such participant agrees, for the benefit of Company, to comply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as though it were a Lender.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205"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Lender sells participations in its Commitments, Loans or in any other Obligation hereunder, such Lender shall, acting solely for this purpose as a non-fiduciary agent of Company, maintain a register on which it enters the name and address of all participants in the Commitments, Loans or Obligations held by it and the principal amount (and stated interest thereon) of the portion of such Commitments, Loans or Obligations which are the subject of the participation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5" w:lineRule="exact"/>
        <w:rPr>
          <w:rFonts w:ascii="Times New Roman" w:cs="Times New Roman" w:eastAsia="Times New Roman" w:hAnsi="Times New Roman"/>
          <w:sz w:val="19"/>
          <w:szCs w:val="19"/>
          <w:color w:val="auto"/>
        </w:rPr>
      </w:pPr>
    </w:p>
    <w:p>
      <w:pPr>
        <w:ind w:left="4820" w:hanging="111"/>
        <w:spacing w:after="0"/>
        <w:tabs>
          <w:tab w:leader="none" w:pos="4820"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7" w:name="page328"/>
    <w:bookmarkEnd w:id="327"/>
    <w:p>
      <w:pPr>
        <w:jc w:val="both"/>
        <w:spacing w:after="0" w:line="249" w:lineRule="auto"/>
        <w:rPr>
          <w:sz w:val="20"/>
          <w:szCs w:val="20"/>
          <w:color w:val="auto"/>
        </w:rPr>
      </w:pPr>
      <w:r>
        <w:rPr>
          <w:rFonts w:ascii="Times New Roman" w:cs="Times New Roman" w:eastAsia="Times New Roman" w:hAnsi="Times New Roman"/>
          <w:sz w:val="20"/>
          <w:szCs w:val="20"/>
          <w:color w:val="auto"/>
        </w:rPr>
        <w:t>Participant Register (and each Note shall expressly so provide). The Participant Register shall be available for inspection by Company at any reasonable time and from time to time upon reasonable prior notice. For the avoidance of doubt, Administrative Agent (in its capacity as administrative agent) shall not have any responsibility for maintaining a Participant Register.</w:t>
      </w:r>
    </w:p>
    <w:p>
      <w:pPr>
        <w:spacing w:after="0" w:line="179" w:lineRule="exact"/>
        <w:rPr>
          <w:sz w:val="20"/>
          <w:szCs w:val="20"/>
          <w:color w:val="auto"/>
        </w:rPr>
      </w:pPr>
    </w:p>
    <w:p>
      <w:pPr>
        <w:jc w:val="both"/>
        <w:ind w:firstLine="1304"/>
        <w:spacing w:after="0" w:line="256" w:lineRule="auto"/>
        <w:tabs>
          <w:tab w:leader="none" w:pos="1944"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Other Assignments</w:t>
      </w:r>
      <w:r>
        <w:rPr>
          <w:rFonts w:ascii="Times New Roman" w:cs="Times New Roman" w:eastAsia="Times New Roman" w:hAnsi="Times New Roman"/>
          <w:sz w:val="19"/>
          <w:szCs w:val="19"/>
          <w:color w:val="auto"/>
        </w:rPr>
        <w:t xml:space="preserve">. In addition to any other assignment permitted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10.6</w:t>
      </w:r>
      <w:r>
        <w:rPr>
          <w:rFonts w:ascii="Times New Roman" w:cs="Times New Roman" w:eastAsia="Times New Roman" w:hAnsi="Times New Roman"/>
          <w:sz w:val="19"/>
          <w:szCs w:val="19"/>
          <w:color w:val="auto"/>
        </w:rPr>
        <w:t xml:space="preserve">, any Lender or Administrative Agent may assign, pledge and/or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no Lender or Administrative Agent, as between Company and such Lender or Administrative Agent, shall be relieved of any of its obligations hereunder as a result of any such assignment and pledge;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Independence of Covenants</w:t>
      </w:r>
      <w:r>
        <w:rPr>
          <w:rFonts w:ascii="Times New Roman" w:cs="Times New Roman" w:eastAsia="Times New Roman" w:hAnsi="Times New Roman"/>
          <w:sz w:val="20"/>
          <w:szCs w:val="20"/>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Survival of Representations, Warranties and Agreements</w:t>
      </w:r>
      <w:r>
        <w:rPr>
          <w:rFonts w:ascii="Times New Roman" w:cs="Times New Roman" w:eastAsia="Times New Roman" w:hAnsi="Times New Roman"/>
          <w:sz w:val="20"/>
          <w:szCs w:val="20"/>
          <w:color w:val="auto"/>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and the agreements of Lenders set forth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shall survive the payment of the Term Loans and the termination hereof.</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No Waiver; Remedies Cumulative</w:t>
      </w:r>
      <w:r>
        <w:rPr>
          <w:rFonts w:ascii="Times New Roman" w:cs="Times New Roman" w:eastAsia="Times New Roman" w:hAnsi="Times New Roman"/>
          <w:sz w:val="20"/>
          <w:szCs w:val="20"/>
          <w:color w:val="auto"/>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Marshalling; Payments Set Aside</w:t>
      </w:r>
      <w:r>
        <w:rPr>
          <w:rFonts w:ascii="Times New Roman" w:cs="Times New Roman" w:eastAsia="Times New Roman" w:hAnsi="Times New Roman"/>
          <w:sz w:val="20"/>
          <w:szCs w:val="20"/>
          <w:color w:val="auto"/>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8" w:name="page329"/>
    <w:bookmarkEnd w:id="328"/>
    <w:p>
      <w:pPr>
        <w:jc w:val="both"/>
        <w:spacing w:after="0" w:line="249" w:lineRule="auto"/>
        <w:rPr>
          <w:sz w:val="20"/>
          <w:szCs w:val="20"/>
          <w:color w:val="auto"/>
        </w:rPr>
      </w:pPr>
      <w:r>
        <w:rPr>
          <w:rFonts w:ascii="Times New Roman" w:cs="Times New Roman" w:eastAsia="Times New Roman" w:hAnsi="Times New Roman"/>
          <w:sz w:val="20"/>
          <w:szCs w:val="20"/>
          <w:color w:val="auto"/>
        </w:rPr>
        <w:t>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Obligations Several; Independent Nature of Lenders’ Rights</w:t>
      </w:r>
      <w:r>
        <w:rPr>
          <w:rFonts w:ascii="Times New Roman" w:cs="Times New Roman" w:eastAsia="Times New Roman" w:hAnsi="Times New Roman"/>
          <w:sz w:val="20"/>
          <w:szCs w:val="20"/>
          <w:color w:val="auto"/>
        </w:rPr>
        <w:t xml:space="preserve">.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Section 10.13 </w:t>
      </w:r>
      <w:r>
        <w:rPr>
          <w:rFonts w:ascii="Times New Roman" w:cs="Times New Roman" w:eastAsia="Times New Roman" w:hAnsi="Times New Roman"/>
          <w:sz w:val="19"/>
          <w:szCs w:val="19"/>
          <w:u w:val="single" w:color="auto"/>
          <w:color w:val="auto"/>
        </w:rPr>
        <w:t>Contingent Payment Debt Instrument Rules</w:t>
      </w:r>
      <w:r>
        <w:rPr>
          <w:rFonts w:ascii="Times New Roman" w:cs="Times New Roman" w:eastAsia="Times New Roman" w:hAnsi="Times New Roman"/>
          <w:sz w:val="19"/>
          <w:szCs w:val="19"/>
          <w:color w:val="auto"/>
        </w:rPr>
        <w:t>. The parties hereto agree (i) that any contingency associated with the Term Loans is described in Treasury Regulations Section 1.1272-1(c) and/or Treasury Regulations Section 1.1275-2(h), and therefore no Term Loan is governed by the rules set out in Treasury Regulations Section 1.1275-4,</w:t>
      </w:r>
    </w:p>
    <w:p>
      <w:pPr>
        <w:jc w:val="both"/>
        <w:ind w:firstLine="8"/>
        <w:spacing w:after="0" w:line="257" w:lineRule="auto"/>
        <w:tabs>
          <w:tab w:leader="none" w:pos="302"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a Lender described in Sections 871(h)(3) or 881(c)(3) of the Internal Revenue Code, absent a change in law, all interest on the Term Loans is “portfolio interest” within the meaning of Sections 871(h) or 881(c) of the Internal Revenue Code, and therefore is exempt from withholding tax under Sections 1441(c)(9) and 1442(a) of the Internal Revenue Code, and (iii) to adhere to this Section 10.13 for U.S. federal income and any other applicable Tax purposes and not to take any action or file any Tax return, report or declaration inconsistent herewith unless otherwise required by applicable law.</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Original Issue Discount</w:t>
      </w:r>
      <w:r>
        <w:rPr>
          <w:rFonts w:ascii="Times New Roman" w:cs="Times New Roman" w:eastAsia="Times New Roman" w:hAnsi="Times New Roman"/>
          <w:sz w:val="20"/>
          <w:szCs w:val="20"/>
          <w:color w:val="auto"/>
        </w:rPr>
        <w:t>. For purposes of Sections 1272, 1273 and 1275 of the Internal Revenue Code, each Term Loan is being issued with original issue discount; please contact Michael Landsittel (MLandsittel@blueprintmedicines.com) to obtain information regarding the issue price, the amount of original issue discount and the yield to maturity.</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herein are included herein for convenience of reference only and shall not constitute a part hereof for any other purpose or be given any substantive effect.</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10.17</w:t>
      </w:r>
      <w:r>
        <w:rPr>
          <w:sz w:val="20"/>
          <w:szCs w:val="20"/>
          <w:color w:val="auto"/>
        </w:rPr>
        <w:tab/>
      </w: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9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JUDICIAL PROCEEDINGS BROUGHT AGAINST ANY LOAN PARTY ARISING OUT OF OR RELATING HERETO OR ANY OTHER LOAN DOCUMENT, OR ANY OF THE OBLIGATIONS, MAY BE BROUGHT IN ANY STATE OR FEDERAL COURT OF COMPETENT JURISDICTION IN THE STATE, COUNTY AND CITY OF NEW YORK. BY EXECUTING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820" w:hanging="111"/>
        <w:spacing w:after="0"/>
        <w:tabs>
          <w:tab w:leader="none" w:pos="48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9" w:name="page330"/>
    <w:bookmarkEnd w:id="329"/>
    <w:p>
      <w:pPr>
        <w:jc w:val="both"/>
        <w:spacing w:after="0" w:line="246" w:lineRule="auto"/>
        <w:rPr>
          <w:sz w:val="20"/>
          <w:szCs w:val="20"/>
          <w:color w:val="auto"/>
        </w:rPr>
      </w:pPr>
      <w:r>
        <w:rPr>
          <w:rFonts w:ascii="Times New Roman" w:cs="Times New Roman" w:eastAsia="Times New Roman" w:hAnsi="Times New Roman"/>
          <w:sz w:val="20"/>
          <w:szCs w:val="20"/>
          <w:color w:val="auto"/>
        </w:rPr>
        <w:t>DELIVERING THIS AGREEMENT, EACH LOAN PARTY, FOR ITSELF AND IN CONNECTION WITH ITS PROPERTIES, IRREVOCABLY (I) ACCEPTS GENERALLY AND UNCONDITIONALLY THE NON-EXCLUSIVE JURISDICTION AND VENUE OF SUCH COURTS; (II) WAIVES ANY DEFENSE OF FORUM NON CONVENIENS;</w:t>
      </w:r>
    </w:p>
    <w:p>
      <w:pPr>
        <w:spacing w:after="0" w:line="2" w:lineRule="exact"/>
        <w:rPr>
          <w:sz w:val="20"/>
          <w:szCs w:val="20"/>
          <w:color w:val="auto"/>
        </w:rPr>
      </w:pPr>
    </w:p>
    <w:p>
      <w:pPr>
        <w:jc w:val="both"/>
        <w:ind w:firstLine="8"/>
        <w:spacing w:after="0" w:line="252" w:lineRule="auto"/>
        <w:tabs>
          <w:tab w:leader="none" w:pos="396"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OR TO ANY PROCESS AGENT SELECTED FOR SUCH LOAN PARTY IN ACCORDANCE WITH </w:t>
      </w:r>
      <w:r>
        <w:rPr>
          <w:rFonts w:ascii="Times New Roman" w:cs="Times New Roman" w:eastAsia="Times New Roman" w:hAnsi="Times New Roman"/>
          <w:sz w:val="19"/>
          <w:szCs w:val="19"/>
          <w:u w:val="single" w:color="auto"/>
          <w:color w:val="auto"/>
        </w:rPr>
        <w:t>SECTION 3.1(U)</w:t>
      </w:r>
      <w:r>
        <w:rPr>
          <w:rFonts w:ascii="Times New Roman" w:cs="Times New Roman" w:eastAsia="Times New Roman" w:hAnsi="Times New Roman"/>
          <w:sz w:val="19"/>
          <w:szCs w:val="19"/>
          <w:color w:val="auto"/>
        </w:rPr>
        <w:t xml:space="preserve"> IS SUFFICIENT TO CONFER PERSONAL JURISDICTION OVER THE APPLICABLE LOAN PARTY IN ANY SUCH PROCEEDING IN ANY SUCH COURT, AND OTHERWISE CONSTITUTES EFFECTIVE AND BINDING SERVICE IN EVERY RESPECT; AND (iv)</w:t>
      </w:r>
    </w:p>
    <w:p>
      <w:pPr>
        <w:jc w:val="both"/>
        <w:ind w:right="2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AGREES THAT ADMINSTRATIVE AGENT AND LENDERS RETAIN THE RIGHT TO SERVE PROCESS IN ANY OTHER MANNER PERMITTED BY LAW OR TO BRING PROCEEDINGS AGAINST ANY LOAN PARTY IN THE COURTS OF ANY OTHER JURISDICTION.</w:t>
      </w:r>
    </w:p>
    <w:p>
      <w:pPr>
        <w:spacing w:after="0" w:line="186" w:lineRule="exact"/>
        <w:rPr>
          <w:rFonts w:ascii="Times New Roman" w:cs="Times New Roman" w:eastAsia="Times New Roman" w:hAnsi="Times New Roman"/>
          <w:sz w:val="19"/>
          <w:szCs w:val="19"/>
          <w:color w:val="auto"/>
        </w:rPr>
      </w:pPr>
    </w:p>
    <w:p>
      <w:pPr>
        <w:jc w:val="both"/>
        <w:ind w:firstLine="1304"/>
        <w:spacing w:after="0" w:line="243" w:lineRule="auto"/>
        <w:tabs>
          <w:tab w:leader="none" w:pos="1944"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HEREBY AGREES THAT PROCESS MAY BE SERVED ON IT BY CERTIFIED MAIL, RETURN RECEIPT REQUESTED, TO THE ADDRESSES PERTAINING TO IT AS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CT CORPORATION SYSTEM, LOCATED AT 155 FEDERAL STREET, SUITE 700, BOSTON, MA 02110 (ATTENTION: BLUEPRINT MEDICINES ADMINISTRATOR) AND HEREBY APPOINTS CT CORPORATION SYSTEM AS ITS AGENT TO RECEIVE SUCH SERVICE OF PROCESS. ANY AND ALL SERVICE OF PROCESS AND ANY OTHER NOTICE IN ANY SUCH ACTION, SUIT OR PROCEEDING SHALL BE EFFECTIVE AGAINST ANY LOAN PARTY IF GIVEN BY REGISTERED OR CERTIFIED MAIL, RETURN RECEIPT REQUESTED, OR BY ANY OTHER MEANS OR MAIL WHICH REQUIRES A SIGNED RECEIPT, POSTAGE PREPAID, MAILED AS PROVIDED ABOVE.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Section 10.18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xml:space="preserve">.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9"/>
          <w:szCs w:val="19"/>
          <w:u w:val="single" w:color="auto"/>
          <w:color w:val="auto"/>
        </w:rPr>
        <w:t>SECTION 10.18</w:t>
      </w:r>
      <w:r>
        <w:rPr>
          <w:rFonts w:ascii="Times New Roman" w:cs="Times New Roman" w:eastAsia="Times New Roman" w:hAnsi="Times New Roman"/>
          <w:sz w:val="19"/>
          <w:szCs w:val="19"/>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0" w:name="page331"/>
    <w:bookmarkEnd w:id="330"/>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10.19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Administrative Agent and Lender shall hold all non-public information regarding Company and its Subsidiaries and their businesses identified as such by Company and obtained by such Lender from Company or its Subsidiaries pursuant to the requirements hereof in accordance with such Lender’s customary procedures for handling confidential information of such nature, it being understood and agreed by Company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19"/>
          <w:szCs w:val="19"/>
          <w:u w:val="single" w:color="auto"/>
          <w:color w:val="auto"/>
        </w:rPr>
        <w:t>Section 10.19</w:t>
      </w:r>
      <w:r>
        <w:rPr>
          <w:rFonts w:ascii="Times New Roman" w:cs="Times New Roman" w:eastAsia="Times New Roman" w:hAnsi="Times New Roman"/>
          <w:sz w:val="19"/>
          <w:szCs w:val="19"/>
          <w:color w:val="auto"/>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(iii) disclosure to any rating agency when required by it, (iv) disclosure to any Lender’s financing sources,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any disclosure, such financing source is informed of the confidential nature of the information, (v) disclosures of such information to any actual or potential investors, members, and partners of Administrative Agent any Lender or their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unless specifically prohibited by applicable law or court order, Administrative Agent and Lender shall make reasonable efforts to notify Company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19"/>
          <w:szCs w:val="19"/>
          <w:u w:val="single" w:color="auto"/>
          <w:color w:val="auto"/>
        </w:rPr>
        <w:t>Trade Announcements</w:t>
      </w:r>
      <w:r>
        <w:rPr>
          <w:rFonts w:ascii="Times New Roman" w:cs="Times New Roman" w:eastAsia="Times New Roman" w:hAnsi="Times New Roman"/>
          <w:sz w:val="19"/>
          <w:szCs w:val="19"/>
          <w:color w:val="auto"/>
        </w:rPr>
        <w:t xml:space="preserve">”). No Loan Party shall (i) issue any Trade Announcement or (ii) disclose the name of any Administrative Agent or any Lender except in the case of clause (ii) (A) disclosures required by applicable law, regulation, legal process or the rules of the Securities and Exchange Commission, (B) on a confidential basis to the Company’s controlled Affiliates and Subsidiaries and the Company’s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w:t>
      </w:r>
      <w:r>
        <w:rPr>
          <w:rFonts w:ascii="Times New Roman" w:cs="Times New Roman" w:eastAsia="Times New Roman" w:hAnsi="Times New Roman"/>
          <w:sz w:val="19"/>
          <w:szCs w:val="19"/>
          <w:u w:val="single" w:color="auto"/>
          <w:color w:val="auto"/>
        </w:rPr>
        <w:t>Section 10.19</w:t>
      </w:r>
      <w:r>
        <w:rPr>
          <w:rFonts w:ascii="Times New Roman" w:cs="Times New Roman" w:eastAsia="Times New Roman" w:hAnsi="Times New Roman"/>
          <w:sz w:val="19"/>
          <w:szCs w:val="19"/>
          <w:color w:val="auto"/>
        </w:rPr>
        <w:t>, (D) to a Tax authority, to the extent reasonably necessary in connection with the Tax affairs of the Company and/or any of its Affiliates or</w:t>
      </w:r>
    </w:p>
    <w:p>
      <w:pPr>
        <w:spacing w:after="0" w:line="218" w:lineRule="exact"/>
        <w:rPr>
          <w:sz w:val="20"/>
          <w:szCs w:val="20"/>
          <w:color w:val="auto"/>
        </w:rPr>
      </w:pPr>
    </w:p>
    <w:p>
      <w:pPr>
        <w:ind w:left="320" w:hanging="312"/>
        <w:spacing w:after="0"/>
        <w:tabs>
          <w:tab w:leader="none" w:pos="32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approval of Administrative Agent and such Lender.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5" w:lineRule="exact"/>
        <w:rPr>
          <w:rFonts w:ascii="Times New Roman" w:cs="Times New Roman" w:eastAsia="Times New Roman" w:hAnsi="Times New Roman"/>
          <w:sz w:val="20"/>
          <w:szCs w:val="20"/>
          <w:color w:val="auto"/>
        </w:rPr>
      </w:pPr>
    </w:p>
    <w:p>
      <w:pPr>
        <w:ind w:left="4820" w:hanging="114"/>
        <w:spacing w:after="0"/>
        <w:tabs>
          <w:tab w:leader="none" w:pos="48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1" w:name="page332"/>
    <w:bookmarkEnd w:id="331"/>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10.20 </w:t>
      </w:r>
      <w:r>
        <w:rPr>
          <w:rFonts w:ascii="Times New Roman" w:cs="Times New Roman" w:eastAsia="Times New Roman" w:hAnsi="Times New Roman"/>
          <w:sz w:val="19"/>
          <w:szCs w:val="19"/>
          <w:u w:val="single" w:color="auto"/>
          <w:color w:val="auto"/>
        </w:rPr>
        <w:t>Usury Savings Clause</w:t>
      </w:r>
      <w:r>
        <w:rPr>
          <w:rFonts w:ascii="Times New Roman" w:cs="Times New Roman" w:eastAsia="Times New Roman" w:hAnsi="Times New Roman"/>
          <w:sz w:val="19"/>
          <w:szCs w:val="19"/>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Company.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w:t>
      </w:r>
    </w:p>
    <w:p>
      <w:pPr>
        <w:spacing w:after="0" w:line="7" w:lineRule="exact"/>
        <w:rPr>
          <w:sz w:val="20"/>
          <w:szCs w:val="20"/>
          <w:color w:val="auto"/>
        </w:rPr>
      </w:pPr>
    </w:p>
    <w:p>
      <w:pPr>
        <w:ind w:right="20" w:firstLine="8"/>
        <w:spacing w:after="0" w:line="246" w:lineRule="auto"/>
        <w:tabs>
          <w:tab w:leader="none" w:pos="27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amortize, prorate, allocate, and spread in equal or unequal parts the total amount of interest, throughout the contemplated term of the Obligations hereunder.</w:t>
      </w:r>
    </w:p>
    <w:p>
      <w:pPr>
        <w:spacing w:after="0" w:line="18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10.21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10.22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Agreement shall become effective upon the execution of a counterpart hereof by each of the parties hereto and receipt by Company and Administrative Agent of written notification of such execution and authorization of delivery thereof.</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10.23 </w:t>
      </w:r>
      <w:r>
        <w:rPr>
          <w:rFonts w:ascii="Times New Roman" w:cs="Times New Roman" w:eastAsia="Times New Roman" w:hAnsi="Times New Roman"/>
          <w:sz w:val="20"/>
          <w:szCs w:val="20"/>
          <w:u w:val="single" w:color="auto"/>
          <w:color w:val="auto"/>
        </w:rPr>
        <w:t>PATRIOT Act Notice</w:t>
      </w:r>
      <w:r>
        <w:rPr>
          <w:rFonts w:ascii="Times New Roman" w:cs="Times New Roman" w:eastAsia="Times New Roman" w:hAnsi="Times New Roman"/>
          <w:sz w:val="20"/>
          <w:szCs w:val="20"/>
          <w:color w:val="auto"/>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0"/>
          <w:szCs w:val="20"/>
          <w:color w:val="auto"/>
        </w:rPr>
        <w:t>Lender or Administrative Agent, as applicable, to identify the Loan Parties in connection with the PATRIOT Act.</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10.24 </w:t>
      </w:r>
      <w:r>
        <w:rPr>
          <w:rFonts w:ascii="Times New Roman" w:cs="Times New Roman" w:eastAsia="Times New Roman" w:hAnsi="Times New Roman"/>
          <w:sz w:val="20"/>
          <w:szCs w:val="20"/>
          <w:u w:val="single" w:color="auto"/>
          <w:color w:val="auto"/>
        </w:rPr>
        <w:t>Waiver of Immunity</w:t>
      </w:r>
      <w:r>
        <w:rPr>
          <w:rFonts w:ascii="Times New Roman" w:cs="Times New Roman" w:eastAsia="Times New Roman" w:hAnsi="Times New Roman"/>
          <w:sz w:val="20"/>
          <w:szCs w:val="20"/>
          <w:color w:val="auto"/>
        </w:rPr>
        <w:t xml:space="preserve">.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xml:space="preserve"> shall be to the fullest extent permitted under the Foreign Sovereign Immunities Act and are intended to be irrevocable for purposes of the Foreign Sovereign Immunities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3" w:name="page334"/>
    <w:bookmarkEnd w:id="333"/>
    <w:p>
      <w:pPr>
        <w:ind w:firstLine="1296"/>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3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00" w:lineRule="exact"/>
        <w:rPr>
          <w:sz w:val="20"/>
          <w:szCs w:val="20"/>
          <w:color w:val="auto"/>
        </w:rPr>
      </w:pPr>
    </w:p>
    <w:p>
      <w:pPr>
        <w:spacing w:after="0" w:line="262"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/s/ Kathryn Haviland</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Kathryn Haviland</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334" w:name="page335"/>
    <w:bookmarkEnd w:id="334"/>
    <w:p>
      <w:pPr>
        <w:ind w:left="4480"/>
        <w:spacing w:after="0"/>
        <w:rPr>
          <w:sz w:val="20"/>
          <w:szCs w:val="20"/>
          <w:color w:val="auto"/>
        </w:rPr>
      </w:pPr>
      <w:r>
        <w:rPr>
          <w:rFonts w:ascii="Times New Roman" w:cs="Times New Roman" w:eastAsia="Times New Roman" w:hAnsi="Times New Roman"/>
          <w:sz w:val="20"/>
          <w:szCs w:val="20"/>
          <w:b w:val="1"/>
          <w:bCs w:val="1"/>
          <w:color w:val="auto"/>
        </w:rPr>
        <w:t>TAO Talents,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tbl>
      <w:tblPr>
        <w:tblLayout w:type="fixed"/>
        <w:tblInd w:w="4480" w:type="dxa"/>
        <w:tblCellMar>
          <w:top w:w="0" w:type="dxa"/>
          <w:left w:w="0" w:type="dxa"/>
          <w:bottom w:w="0" w:type="dxa"/>
          <w:right w:w="0" w:type="dxa"/>
        </w:tblCellMar>
      </w:tblP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Joshua Peck</w:t>
            </w:r>
          </w:p>
        </w:tc>
      </w:tr>
      <w:tr>
        <w:trPr>
          <w:trHeight w:val="200"/>
        </w:trPr>
        <w:tc>
          <w:tcPr>
            <w:tcW w:w="680" w:type="dxa"/>
            <w:vAlign w:val="bottom"/>
          </w:tcPr>
          <w:p>
            <w:pPr>
              <w:spacing w:after="0"/>
              <w:rPr>
                <w:sz w:val="17"/>
                <w:szCs w:val="17"/>
                <w:color w:val="auto"/>
              </w:rPr>
            </w:pPr>
          </w:p>
        </w:tc>
        <w:tc>
          <w:tcPr>
            <w:tcW w:w="43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Joshua Peck</w:t>
            </w:r>
          </w:p>
        </w:tc>
      </w:tr>
      <w:tr>
        <w:trPr>
          <w:trHeight w:val="258"/>
        </w:trPr>
        <w:tc>
          <w:tcPr>
            <w:tcW w:w="68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2" w:right="999" w:bottom="1440" w:gutter="0" w:footer="0" w:header="0"/>
        </w:sectPr>
      </w:pPr>
    </w:p>
    <w:bookmarkStart w:id="335" w:name="page336"/>
    <w:bookmarkEnd w:id="335"/>
    <w:p>
      <w:pPr>
        <w:ind w:left="4480"/>
        <w:spacing w:after="0"/>
        <w:rPr>
          <w:sz w:val="20"/>
          <w:szCs w:val="20"/>
          <w:color w:val="auto"/>
        </w:rPr>
      </w:pPr>
      <w:r>
        <w:rPr>
          <w:rFonts w:ascii="Times New Roman" w:cs="Times New Roman" w:eastAsia="Times New Roman" w:hAnsi="Times New Roman"/>
          <w:sz w:val="20"/>
          <w:szCs w:val="20"/>
          <w:b w:val="1"/>
          <w:bCs w:val="1"/>
          <w:color w:val="auto"/>
        </w:rPr>
        <w:t>TAO Talents,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tbl>
      <w:tblPr>
        <w:tblLayout w:type="fixed"/>
        <w:tblInd w:w="4480" w:type="dxa"/>
        <w:tblCellMar>
          <w:top w:w="0" w:type="dxa"/>
          <w:left w:w="0" w:type="dxa"/>
          <w:bottom w:w="0" w:type="dxa"/>
          <w:right w:w="0" w:type="dxa"/>
        </w:tblCellMar>
      </w:tblPr>
      <w:tr>
        <w:trPr>
          <w:trHeight w:val="25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Joshua Peck</w:t>
            </w:r>
          </w:p>
        </w:tc>
      </w:tr>
      <w:tr>
        <w:trPr>
          <w:trHeight w:val="200"/>
        </w:trPr>
        <w:tc>
          <w:tcPr>
            <w:tcW w:w="760" w:type="dxa"/>
            <w:vAlign w:val="bottom"/>
          </w:tcPr>
          <w:p>
            <w:pPr>
              <w:spacing w:after="0"/>
              <w:rPr>
                <w:sz w:val="17"/>
                <w:szCs w:val="17"/>
                <w:color w:val="auto"/>
              </w:rPr>
            </w:pPr>
          </w:p>
        </w:tc>
        <w:tc>
          <w:tcPr>
            <w:tcW w:w="4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Joshua Peck</w:t>
            </w:r>
          </w:p>
        </w:tc>
      </w:tr>
      <w:tr>
        <w:trPr>
          <w:trHeight w:val="258"/>
        </w:trPr>
        <w:tc>
          <w:tcPr>
            <w:tcW w:w="7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558" w:right="99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20"/>
          <w:szCs w:val="20"/>
          <w:b w:val="1"/>
          <w:bCs w:val="1"/>
          <w:color w:val="auto"/>
        </w:rPr>
        <w:t>APPENDIX A-1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Initial Term Loan Commitment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460" w:type="dxa"/>
            <w:vAlign w:val="bottom"/>
          </w:tcPr>
          <w:p>
            <w:pPr>
              <w:ind w:left="1020"/>
              <w:spacing w:after="0"/>
              <w:rPr>
                <w:sz w:val="20"/>
                <w:szCs w:val="20"/>
                <w:color w:val="auto"/>
              </w:rPr>
            </w:pPr>
            <w:r>
              <w:rPr>
                <w:rFonts w:ascii="Times New Roman" w:cs="Times New Roman" w:eastAsia="Times New Roman" w:hAnsi="Times New Roman"/>
                <w:sz w:val="20"/>
                <w:szCs w:val="20"/>
                <w:b w:val="1"/>
                <w:bCs w:val="1"/>
                <w:color w:val="auto"/>
              </w:rPr>
              <w:t>Initial Term Loan Commitment</w:t>
            </w:r>
          </w:p>
        </w:tc>
        <w:tc>
          <w:tcPr>
            <w:tcW w:w="26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62"/>
        </w:trPr>
        <w:tc>
          <w:tcPr>
            <w:tcW w:w="2840" w:type="dxa"/>
            <w:vAlign w:val="bottom"/>
            <w:tcBorders>
              <w:bottom w:val="single" w:sz="8" w:color="auto"/>
            </w:tcBorders>
          </w:tcPr>
          <w:p>
            <w:pPr>
              <w:spacing w:after="0"/>
              <w:rPr>
                <w:sz w:val="5"/>
                <w:szCs w:val="5"/>
                <w:color w:val="auto"/>
              </w:rPr>
            </w:pPr>
          </w:p>
        </w:tc>
        <w:tc>
          <w:tcPr>
            <w:tcW w:w="44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39"/>
        </w:trPr>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TAO Talents, LLC</w:t>
            </w:r>
          </w:p>
        </w:tc>
        <w:tc>
          <w:tcPr>
            <w:tcW w:w="44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$150,000,000.00</w:t>
            </w:r>
          </w:p>
        </w:tc>
        <w:tc>
          <w:tcPr>
            <w:tcW w:w="26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100%</w:t>
            </w:r>
          </w:p>
        </w:tc>
      </w:tr>
      <w:tr>
        <w:trPr>
          <w:trHeight w:val="274"/>
        </w:trPr>
        <w:tc>
          <w:tcPr>
            <w:tcW w:w="2840" w:type="dxa"/>
            <w:vAlign w:val="bottom"/>
          </w:tcPr>
          <w:p>
            <w:pPr>
              <w:ind w:left="14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60" w:type="dxa"/>
            <w:vAlign w:val="bottom"/>
          </w:tcPr>
          <w:p>
            <w:pPr>
              <w:ind w:left="1020"/>
              <w:spacing w:after="0"/>
              <w:rPr>
                <w:sz w:val="20"/>
                <w:szCs w:val="20"/>
                <w:color w:val="auto"/>
              </w:rPr>
            </w:pPr>
            <w:r>
              <w:rPr>
                <w:rFonts w:ascii="Times New Roman" w:cs="Times New Roman" w:eastAsia="Times New Roman" w:hAnsi="Times New Roman"/>
                <w:sz w:val="20"/>
                <w:szCs w:val="20"/>
                <w:b w:val="1"/>
                <w:bCs w:val="1"/>
                <w:color w:val="auto"/>
              </w:rPr>
              <w:t>$150,000,000.00</w:t>
            </w:r>
          </w:p>
        </w:tc>
        <w:tc>
          <w:tcPr>
            <w:tcW w:w="26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20"/>
          <w:szCs w:val="20"/>
          <w:b w:val="1"/>
          <w:bCs w:val="1"/>
          <w:color w:val="auto"/>
        </w:rPr>
        <w:t>APPENDIX A-2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Delayed Draw Term Loan Commitments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Delayed Draw A Term Loans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Delayed Draw Term Loan Commitment</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61"/>
        </w:trPr>
        <w:tc>
          <w:tcPr>
            <w:tcW w:w="2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39"/>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TAO Talents, LLC</w:t>
            </w: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$100,000,000.00</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100%</w:t>
            </w:r>
          </w:p>
        </w:tc>
      </w:tr>
      <w:tr>
        <w:trPr>
          <w:trHeight w:val="274"/>
        </w:trPr>
        <w:tc>
          <w:tcPr>
            <w:tcW w:w="3200" w:type="dxa"/>
            <w:vAlign w:val="bottom"/>
            <w:gridSpan w:val="2"/>
          </w:tcPr>
          <w:p>
            <w:pPr>
              <w:ind w:left="14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709"/>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Delayed Draw B Term Loans:</w:t>
            </w:r>
          </w:p>
        </w:tc>
        <w:tc>
          <w:tcPr>
            <w:tcW w:w="4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702"/>
        </w:trPr>
        <w:tc>
          <w:tcPr>
            <w:tcW w:w="2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860" w:type="dxa"/>
            <w:vAlign w:val="bottom"/>
          </w:tcPr>
          <w:p>
            <w:pPr>
              <w:spacing w:after="0"/>
              <w:rPr>
                <w:sz w:val="24"/>
                <w:szCs w:val="24"/>
                <w:color w:val="auto"/>
              </w:rPr>
            </w:pP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Delayed Draw Term Loan Commitment</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62"/>
        </w:trPr>
        <w:tc>
          <w:tcPr>
            <w:tcW w:w="2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39"/>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TAO Talents, LLC</w:t>
            </w: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$150,000,000.00</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100%</w:t>
            </w:r>
          </w:p>
        </w:tc>
      </w:tr>
      <w:tr>
        <w:trPr>
          <w:trHeight w:val="274"/>
        </w:trPr>
        <w:tc>
          <w:tcPr>
            <w:tcW w:w="3200" w:type="dxa"/>
            <w:vAlign w:val="bottom"/>
            <w:gridSpan w:val="2"/>
          </w:tcPr>
          <w:p>
            <w:pPr>
              <w:ind w:left="14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54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$150,000,000.00</w:t>
            </w:r>
          </w:p>
        </w:tc>
        <w:tc>
          <w:tcPr>
            <w:tcW w:w="21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338" w:name="page339"/>
    <w:bookmarkEnd w:id="338"/>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TO FINANCING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Notice Addresses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45 Sidney Street</w:t>
      </w:r>
    </w:p>
    <w:p>
      <w:pPr>
        <w:ind w:left="660"/>
        <w:spacing w:after="0"/>
        <w:rPr>
          <w:sz w:val="20"/>
          <w:szCs w:val="20"/>
          <w:color w:val="auto"/>
        </w:rPr>
      </w:pPr>
      <w:r>
        <w:rPr>
          <w:rFonts w:ascii="Times New Roman" w:cs="Times New Roman" w:eastAsia="Times New Roman" w:hAnsi="Times New Roman"/>
          <w:sz w:val="20"/>
          <w:szCs w:val="20"/>
          <w:color w:val="auto"/>
        </w:rPr>
        <w:t>Cambridge, MA 02139</w:t>
      </w:r>
    </w:p>
    <w:p>
      <w:pPr>
        <w:ind w:left="660"/>
        <w:spacing w:after="0"/>
        <w:rPr>
          <w:sz w:val="20"/>
          <w:szCs w:val="20"/>
          <w:color w:val="auto"/>
        </w:rPr>
      </w:pPr>
      <w:r>
        <w:rPr>
          <w:rFonts w:ascii="Times New Roman" w:cs="Times New Roman" w:eastAsia="Times New Roman" w:hAnsi="Times New Roman"/>
          <w:sz w:val="20"/>
          <w:szCs w:val="20"/>
          <w:color w:val="auto"/>
        </w:rPr>
        <w:t>Attention: Michael Landsittel</w:t>
      </w:r>
    </w:p>
    <w:p>
      <w:pPr>
        <w:ind w:left="660"/>
        <w:spacing w:after="0"/>
        <w:rPr>
          <w:sz w:val="20"/>
          <w:szCs w:val="20"/>
          <w:color w:val="auto"/>
        </w:rPr>
      </w:pPr>
      <w:r>
        <w:rPr>
          <w:rFonts w:ascii="Times New Roman" w:cs="Times New Roman" w:eastAsia="Times New Roman" w:hAnsi="Times New Roman"/>
          <w:sz w:val="20"/>
          <w:szCs w:val="20"/>
          <w:color w:val="auto"/>
        </w:rPr>
        <w:t>Email: mlandsittel@blueprintmedicines.com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42"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0"/>
          <w:szCs w:val="20"/>
          <w:b w:val="1"/>
          <w:bCs w:val="1"/>
          <w:color w:val="auto"/>
        </w:rPr>
        <w:t>TAO Talents,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2100 McKinney Ave, Suite 1500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Dallas Texas 75201</w:t>
      </w:r>
    </w:p>
    <w:p>
      <w:pPr>
        <w:ind w:left="660"/>
        <w:spacing w:after="0"/>
        <w:rPr>
          <w:sz w:val="20"/>
          <w:szCs w:val="20"/>
          <w:color w:val="auto"/>
        </w:rPr>
      </w:pPr>
      <w:r>
        <w:rPr>
          <w:rFonts w:ascii="Times New Roman" w:cs="Times New Roman" w:eastAsia="Times New Roman" w:hAnsi="Times New Roman"/>
          <w:sz w:val="20"/>
          <w:szCs w:val="20"/>
          <w:color w:val="auto"/>
        </w:rPr>
        <w:t>Attn: Joshua Peck; Sixth Street Legal</w:t>
      </w:r>
    </w:p>
    <w:p>
      <w:pPr>
        <w:ind w:left="660"/>
        <w:spacing w:after="0"/>
        <w:rPr>
          <w:sz w:val="20"/>
          <w:szCs w:val="20"/>
          <w:color w:val="auto"/>
        </w:rPr>
      </w:pPr>
      <w:r>
        <w:rPr>
          <w:rFonts w:ascii="Times New Roman" w:cs="Times New Roman" w:eastAsia="Times New Roman" w:hAnsi="Times New Roman"/>
          <w:sz w:val="19"/>
          <w:szCs w:val="19"/>
          <w:color w:val="auto"/>
        </w:rPr>
        <w:t>E-mail: jpeck@sixthstreet.com; SixthStreetLegal@sixthstreet.com</w:t>
      </w:r>
    </w:p>
    <w:p>
      <w:pPr>
        <w:spacing w:after="0" w:line="205" w:lineRule="exact"/>
        <w:rPr>
          <w:sz w:val="20"/>
          <w:szCs w:val="20"/>
          <w:color w:val="auto"/>
        </w:rPr>
      </w:pPr>
    </w:p>
    <w:p>
      <w:pPr>
        <w:jc w:val="center"/>
        <w:ind w:right="7239"/>
        <w:spacing w:after="0"/>
        <w:rPr>
          <w:sz w:val="20"/>
          <w:szCs w:val="20"/>
          <w:color w:val="auto"/>
        </w:rPr>
      </w:pPr>
      <w:r>
        <w:rPr>
          <w:rFonts w:ascii="Times New Roman" w:cs="Times New Roman" w:eastAsia="Times New Roman" w:hAnsi="Times New Roman"/>
          <w:sz w:val="19"/>
          <w:szCs w:val="19"/>
          <w:color w:val="auto"/>
        </w:rPr>
        <w:t>in each case, 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Cooley LLP</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 Embarcadero Center, 20th Floor</w:t>
      </w:r>
    </w:p>
    <w:p>
      <w:pPr>
        <w:ind w:left="660"/>
        <w:spacing w:after="0"/>
        <w:rPr>
          <w:sz w:val="20"/>
          <w:szCs w:val="20"/>
          <w:color w:val="auto"/>
        </w:rPr>
      </w:pPr>
      <w:r>
        <w:rPr>
          <w:rFonts w:ascii="Times New Roman" w:cs="Times New Roman" w:eastAsia="Times New Roman" w:hAnsi="Times New Roman"/>
          <w:sz w:val="20"/>
          <w:szCs w:val="20"/>
          <w:color w:val="auto"/>
        </w:rPr>
        <w:t>San Francisco, CA 94111-4004</w:t>
      </w: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Mischi a Marca</w:t>
      </w: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20"/>
          <w:szCs w:val="20"/>
          <w:color w:val="auto"/>
        </w:rPr>
        <w:t>(415) 693-2148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42"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0"/>
          <w:szCs w:val="20"/>
          <w:color w:val="auto"/>
        </w:rPr>
        <w:t>TAO Talents,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 Lender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Agent’s Principal Office: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2100 McKinney Ave, Suite 1500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Dallas Texas 75201</w:t>
      </w:r>
    </w:p>
    <w:p>
      <w:pPr>
        <w:ind w:left="660"/>
        <w:spacing w:after="0"/>
        <w:rPr>
          <w:sz w:val="20"/>
          <w:szCs w:val="20"/>
          <w:color w:val="auto"/>
        </w:rPr>
      </w:pPr>
      <w:r>
        <w:rPr>
          <w:rFonts w:ascii="Times New Roman" w:cs="Times New Roman" w:eastAsia="Times New Roman" w:hAnsi="Times New Roman"/>
          <w:sz w:val="20"/>
          <w:szCs w:val="20"/>
          <w:color w:val="auto"/>
        </w:rPr>
        <w:t>Attn: Joshua Peck; Sixth Street Legal</w:t>
      </w:r>
    </w:p>
    <w:p>
      <w:pPr>
        <w:ind w:left="660"/>
        <w:spacing w:after="0"/>
        <w:rPr>
          <w:sz w:val="20"/>
          <w:szCs w:val="20"/>
          <w:color w:val="auto"/>
        </w:rPr>
      </w:pPr>
      <w:r>
        <w:rPr>
          <w:rFonts w:ascii="Times New Roman" w:cs="Times New Roman" w:eastAsia="Times New Roman" w:hAnsi="Times New Roman"/>
          <w:sz w:val="19"/>
          <w:szCs w:val="19"/>
          <w:color w:val="auto"/>
        </w:rPr>
        <w:t>E-mail: jpeck@sixthstreet.com; SixthStreetLegal@sixthstreet.com</w:t>
      </w:r>
    </w:p>
    <w:p>
      <w:pPr>
        <w:spacing w:after="0" w:line="205" w:lineRule="exact"/>
        <w:rPr>
          <w:sz w:val="20"/>
          <w:szCs w:val="20"/>
          <w:color w:val="auto"/>
        </w:rPr>
      </w:pPr>
    </w:p>
    <w:p>
      <w:pPr>
        <w:jc w:val="center"/>
        <w:ind w:right="7239"/>
        <w:spacing w:after="0"/>
        <w:rPr>
          <w:sz w:val="20"/>
          <w:szCs w:val="20"/>
          <w:color w:val="auto"/>
        </w:rPr>
      </w:pPr>
      <w:r>
        <w:rPr>
          <w:rFonts w:ascii="Times New Roman" w:cs="Times New Roman" w:eastAsia="Times New Roman" w:hAnsi="Times New Roman"/>
          <w:sz w:val="19"/>
          <w:szCs w:val="19"/>
          <w:color w:val="auto"/>
        </w:rPr>
        <w:t>in each case, 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Cooley LLP</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 Embarcadero Center, 20th Floor</w:t>
      </w:r>
    </w:p>
    <w:p>
      <w:pPr>
        <w:ind w:left="660"/>
        <w:spacing w:after="0"/>
        <w:rPr>
          <w:sz w:val="20"/>
          <w:szCs w:val="20"/>
          <w:color w:val="auto"/>
        </w:rPr>
      </w:pPr>
      <w:r>
        <w:rPr>
          <w:rFonts w:ascii="Times New Roman" w:cs="Times New Roman" w:eastAsia="Times New Roman" w:hAnsi="Times New Roman"/>
          <w:sz w:val="20"/>
          <w:szCs w:val="20"/>
          <w:color w:val="auto"/>
        </w:rPr>
        <w:t>San Francisco, CA 94111-4004</w:t>
      </w: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Mischi a Marca</w:t>
      </w: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20"/>
          <w:szCs w:val="20"/>
          <w:color w:val="auto"/>
        </w:rPr>
        <w:t>(415) 693-2148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46" w:right="1440" w:bottom="1440" w:gutter="0" w:footer="0" w:header="0"/>
        </w:sectPr>
      </w:pPr>
    </w:p>
    <w:bookmarkStart w:id="341" w:name="page342"/>
    <w:bookmarkEnd w:id="341"/>
    <w:p>
      <w:pPr>
        <w:jc w:val="center"/>
        <w:ind w:right="3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5.14</w:t>
      </w:r>
    </w:p>
    <w:p>
      <w:pPr>
        <w:spacing w:after="0" w:line="2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u w:val="single" w:color="auto"/>
          <w:color w:val="auto"/>
        </w:rPr>
        <w:t>Post-Closing Matters</w:t>
      </w:r>
    </w:p>
    <w:p>
      <w:pPr>
        <w:spacing w:after="0" w:line="220"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 xml:space="preserve">Within [***] after the Closing Date, Administrative Agent shall have received a certificate from Company’s insurance broker or other evidence satisfactory to it that all insurance required to be maintained pursuant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is in full force and effect, together with endorsements naming Administrative Agent, for the benefit of Secured Parties, as additional insured and loss payee thereunder to the extent required under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in each case, in form and substance reasonably satisfactory to Administrative Agent</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 xml:space="preserve">Within [***] after the Closing Date, each of Borrower and each Guarantor Subsidiary shall hold all of its cash and Cash Equivalents in a Deposit Account or Securities Account subject to a Control Agreement in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or in an Excluded Account.</w:t>
      </w:r>
    </w:p>
    <w:p>
      <w:pPr>
        <w:spacing w:after="0" w:line="174" w:lineRule="exact"/>
        <w:rPr>
          <w:sz w:val="20"/>
          <w:szCs w:val="20"/>
          <w:color w:val="auto"/>
        </w:rPr>
      </w:pPr>
    </w:p>
    <w:p>
      <w:pPr>
        <w:jc w:val="both"/>
        <w:ind w:right="600"/>
        <w:spacing w:after="0" w:line="254" w:lineRule="auto"/>
        <w:rPr>
          <w:sz w:val="20"/>
          <w:szCs w:val="20"/>
          <w:color w:val="auto"/>
        </w:rPr>
      </w:pPr>
      <w:r>
        <w:rPr>
          <w:rFonts w:ascii="Times New Roman" w:cs="Times New Roman" w:eastAsia="Times New Roman" w:hAnsi="Times New Roman"/>
          <w:sz w:val="20"/>
          <w:szCs w:val="20"/>
          <w:color w:val="auto"/>
        </w:rPr>
        <w:t>For a period of [***] following the Closing Date, Borrower shall use commercially reasonable efforts to obtain a collateral access waiver in form and substance reasonably satisfactory to Administrative Agent with respect to its headquarters location.</w:t>
      </w:r>
    </w:p>
    <w:p>
      <w:pPr>
        <w:spacing w:after="0" w:line="1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Within [***] after the Closing Date, each of Borrower and each Guarantor Subsidiary shall (i) cause 100% of the Capital Stock of Blueprint Medicines Security Corporation to constitute a “certificated security” for purposes of the UCC and deliver such stock certificates to the Administrative Agent, indorsed in blank by an “effective endorsement” (as defined in Section 8-107 of the UCC), and (ii) with respect to all other Subsidiaries, comply with Section 4.4.1(b) of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612140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320" w:top="342" w:right="1019" w:bottom="1440" w:gutter="0" w:footer="0" w:header="0"/>
        </w:sectPr>
      </w:pPr>
    </w:p>
    <w:bookmarkStart w:id="342" w:name="page343"/>
    <w:bookmarkEnd w:id="34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43" w:name="page344"/>
    <w:bookmarkEnd w:id="34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2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6"/>
        </w:trPr>
        <w:tc>
          <w:tcPr>
            <w:tcW w:w="2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44" w:name="page345"/>
    <w:bookmarkEnd w:id="34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June 30, 2022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
      <w:numFmt w:val="bullet"/>
      <w:start w:val="1"/>
    </w:lvl>
  </w:abstractNum>
  <w:abstractNum w:abstractNumId="2">
    <w:nsid w:val="14D53685"/>
    <w:multiLevelType w:val="hybridMultilevel"/>
    <w:lvl w:ilvl="0">
      <w:lvlJc w:val="left"/>
      <w:lvlText w:val="●"/>
      <w:numFmt w:val="bullet"/>
      <w:start w:val="1"/>
    </w:lvl>
  </w:abstractNum>
  <w:abstractNum w:abstractNumId="3">
    <w:nsid w:val="230F856C"/>
    <w:multiLevelType w:val="hybridMultilevel"/>
    <w:lvl w:ilvl="0">
      <w:lvlJc w:val="left"/>
      <w:lvlText w:val="●"/>
      <w:numFmt w:val="bullet"/>
      <w:start w:val="1"/>
    </w:lvl>
  </w:abstractNum>
  <w:abstractNum w:abstractNumId="4">
    <w:nsid w:val="6EAA85FB"/>
    <w:multiLevelType w:val="hybridMultilevel"/>
    <w:lvl w:ilvl="0">
      <w:lvlJc w:val="left"/>
      <w:lvlText w:val="(%1)"/>
      <w:numFmt w:val="lowerRoman"/>
      <w:start w:val="3"/>
    </w:lvl>
  </w:abstractNum>
  <w:abstractNum w:abstractNumId="5">
    <w:nsid w:val="3F06ECB2"/>
    <w:multiLevelType w:val="hybridMultilevel"/>
    <w:lvl w:ilvl="0">
      <w:lvlJc w:val="left"/>
      <w:lvlText w:val="(%1)"/>
      <w:numFmt w:val="lowerRoman"/>
      <w:start w:val="1"/>
    </w:lvl>
  </w:abstractNum>
  <w:abstractNum w:abstractNumId="6">
    <w:nsid w:val="3B594807"/>
    <w:multiLevelType w:val="hybridMultilevel"/>
    <w:lvl w:ilvl="0">
      <w:lvlJc w:val="left"/>
      <w:lvlText w:val="(%1)"/>
      <w:numFmt w:val="decimal"/>
      <w:start w:val="3"/>
    </w:lvl>
  </w:abstractNum>
  <w:abstractNum w:abstractNumId="7">
    <w:nsid w:val="6CAA2304"/>
    <w:multiLevelType w:val="hybridMultilevel"/>
    <w:lvl w:ilvl="0">
      <w:lvlJc w:val="left"/>
      <w:lvlText w:val="(%1)"/>
      <w:numFmt w:val="lowerRoman"/>
      <w:start w:val="1"/>
    </w:lvl>
  </w:abstractNum>
  <w:abstractNum w:abstractNumId="8">
    <w:nsid w:val="3F7C2FF4"/>
    <w:multiLevelType w:val="hybridMultilevel"/>
    <w:lvl w:ilvl="0">
      <w:lvlJc w:val="left"/>
      <w:lvlText w:val="%1."/>
      <w:numFmt w:val="decimal"/>
      <w:start w:val="852"/>
    </w:lvl>
  </w:abstractNum>
  <w:abstractNum w:abstractNumId="9">
    <w:nsid w:val="25413BEC"/>
    <w:multiLevelType w:val="hybridMultilevel"/>
    <w:lvl w:ilvl="0">
      <w:lvlJc w:val="left"/>
      <w:lvlText w:val="●"/>
      <w:numFmt w:val="bullet"/>
      <w:start w:val="1"/>
    </w:lvl>
  </w:abstractNum>
  <w:abstractNum w:abstractNumId="10">
    <w:nsid w:val="17180B0B"/>
    <w:multiLevelType w:val="hybridMultilevel"/>
    <w:lvl w:ilvl="0">
      <w:lvlJc w:val="left"/>
      <w:lvlText w:val="●"/>
      <w:numFmt w:val="bullet"/>
      <w:start w:val="1"/>
    </w:lvl>
  </w:abstractNum>
  <w:abstractNum w:abstractNumId="11">
    <w:nsid w:val="579328B9"/>
    <w:multiLevelType w:val="hybridMultilevel"/>
    <w:lvl w:ilvl="0">
      <w:lvlJc w:val="left"/>
      <w:lvlText w:val="●"/>
      <w:numFmt w:val="bullet"/>
      <w:start w:val="1"/>
    </w:lvl>
  </w:abstractNum>
  <w:abstractNum w:abstractNumId="12">
    <w:nsid w:val="5D205E20"/>
    <w:multiLevelType w:val="hybridMultilevel"/>
    <w:lvl w:ilvl="0">
      <w:lvlJc w:val="left"/>
      <w:lvlText w:val="●"/>
      <w:numFmt w:val="bullet"/>
      <w:start w:val="1"/>
    </w:lvl>
  </w:abstractNum>
  <w:abstractNum w:abstractNumId="13">
    <w:nsid w:val="11CCA8BA"/>
    <w:multiLevelType w:val="hybridMultilevel"/>
    <w:lvl w:ilvl="0">
      <w:lvlJc w:val="left"/>
      <w:lvlText w:val="●"/>
      <w:numFmt w:val="bullet"/>
      <w:start w:val="1"/>
    </w:lvl>
  </w:abstractNum>
  <w:abstractNum w:abstractNumId="14">
    <w:nsid w:val="4D32AB86"/>
    <w:multiLevelType w:val="hybridMultilevel"/>
    <w:lvl w:ilvl="0">
      <w:lvlJc w:val="left"/>
      <w:lvlText w:val="*"/>
      <w:numFmt w:val="bullet"/>
      <w:start w:val="1"/>
    </w:lvl>
  </w:abstractNum>
  <w:abstractNum w:abstractNumId="15">
    <w:nsid w:val="3F07ACC3"/>
    <w:multiLevelType w:val="hybridMultilevel"/>
    <w:lvl w:ilvl="0">
      <w:lvlJc w:val="left"/>
      <w:lvlText w:val="●"/>
      <w:numFmt w:val="bullet"/>
      <w:start w:val="1"/>
    </w:lvl>
  </w:abstractNum>
  <w:abstractNum w:abstractNumId="16">
    <w:nsid w:val="6B47F63E"/>
    <w:multiLevelType w:val="hybridMultilevel"/>
    <w:lvl w:ilvl="0">
      <w:lvlJc w:val="left"/>
      <w:lvlText w:val="●"/>
      <w:numFmt w:val="bullet"/>
      <w:start w:val="1"/>
    </w:lvl>
  </w:abstractNum>
  <w:abstractNum w:abstractNumId="17">
    <w:nsid w:val="5CB44A05"/>
    <w:multiLevelType w:val="hybridMultilevel"/>
    <w:lvl w:ilvl="0">
      <w:lvlJc w:val="left"/>
      <w:lvlText w:val="●"/>
      <w:numFmt w:val="bullet"/>
      <w:start w:val="1"/>
    </w:lvl>
  </w:abstractNum>
  <w:abstractNum w:abstractNumId="18">
    <w:nsid w:val="16CF80F1"/>
    <w:multiLevelType w:val="hybridMultilevel"/>
    <w:lvl w:ilvl="0">
      <w:lvlJc w:val="left"/>
      <w:lvlText w:val="●"/>
      <w:numFmt w:val="bullet"/>
      <w:start w:val="1"/>
    </w:lvl>
  </w:abstractNum>
  <w:abstractNum w:abstractNumId="19">
    <w:nsid w:val="1C695DEC"/>
    <w:multiLevelType w:val="hybridMultilevel"/>
    <w:lvl w:ilvl="0">
      <w:lvlJc w:val="left"/>
      <w:lvlText w:val="●"/>
      <w:numFmt w:val="bullet"/>
      <w:start w:val="1"/>
    </w:lvl>
  </w:abstractNum>
  <w:abstractNum w:abstractNumId="20">
    <w:nsid w:val="3FCFAED9"/>
    <w:multiLevelType w:val="hybridMultilevel"/>
    <w:lvl w:ilvl="0">
      <w:lvlJc w:val="left"/>
      <w:lvlText w:val="●"/>
      <w:numFmt w:val="bullet"/>
      <w:start w:val="1"/>
    </w:lvl>
    <w:lvl w:ilvl="1">
      <w:lvlJc w:val="left"/>
      <w:lvlText w:val="●"/>
      <w:numFmt w:val="bullet"/>
      <w:start w:val="1"/>
    </w:lvl>
  </w:abstractNum>
  <w:abstractNum w:abstractNumId="21">
    <w:nsid w:val="F856867"/>
    <w:multiLevelType w:val="hybridMultilevel"/>
    <w:lvl w:ilvl="0">
      <w:lvlJc w:val="left"/>
      <w:lvlText w:val="●"/>
      <w:numFmt w:val="bullet"/>
      <w:start w:val="1"/>
    </w:lvl>
  </w:abstractNum>
  <w:abstractNum w:abstractNumId="22">
    <w:nsid w:val="11B1CC33"/>
    <w:multiLevelType w:val="hybridMultilevel"/>
    <w:lvl w:ilvl="0">
      <w:lvlJc w:val="left"/>
      <w:lvlText w:val="●"/>
      <w:numFmt w:val="bullet"/>
      <w:start w:val="1"/>
    </w:lvl>
  </w:abstractNum>
  <w:abstractNum w:abstractNumId="23">
    <w:nsid w:val="2E22FBB7"/>
    <w:multiLevelType w:val="hybridMultilevel"/>
    <w:lvl w:ilvl="0">
      <w:lvlJc w:val="left"/>
      <w:lvlText w:val="&amp;"/>
      <w:numFmt w:val="bullet"/>
      <w:start w:val="1"/>
    </w:lvl>
  </w:abstractNum>
  <w:abstractNum w:abstractNumId="24">
    <w:nsid w:val="29934699"/>
    <w:multiLevelType w:val="hybridMultilevel"/>
    <w:lvl w:ilvl="0">
      <w:lvlJc w:val="left"/>
      <w:lvlText w:val="●"/>
      <w:numFmt w:val="bullet"/>
      <w:start w:val="1"/>
    </w:lvl>
  </w:abstractNum>
  <w:abstractNum w:abstractNumId="25">
    <w:nsid w:val="77485850"/>
    <w:multiLevelType w:val="hybridMultilevel"/>
    <w:lvl w:ilvl="0">
      <w:lvlJc w:val="left"/>
      <w:lvlText w:val="●"/>
      <w:numFmt w:val="bullet"/>
      <w:start w:val="1"/>
    </w:lvl>
  </w:abstractNum>
  <w:abstractNum w:abstractNumId="26">
    <w:nsid w:val="744939A3"/>
    <w:multiLevelType w:val="hybridMultilevel"/>
    <w:lvl w:ilvl="0">
      <w:lvlJc w:val="left"/>
      <w:lvlText w:val="●"/>
      <w:numFmt w:val="bullet"/>
      <w:start w:val="1"/>
    </w:lvl>
  </w:abstractNum>
  <w:abstractNum w:abstractNumId="27">
    <w:nsid w:val="4FA0D2E3"/>
    <w:multiLevelType w:val="hybridMultilevel"/>
    <w:lvl w:ilvl="0">
      <w:lvlJc w:val="left"/>
      <w:lvlText w:val="●"/>
      <w:numFmt w:val="bullet"/>
      <w:start w:val="1"/>
    </w:lvl>
  </w:abstractNum>
  <w:abstractNum w:abstractNumId="28">
    <w:nsid w:val="6B1D2C14"/>
    <w:multiLevelType w:val="hybridMultilevel"/>
    <w:lvl w:ilvl="0">
      <w:lvlJc w:val="left"/>
      <w:lvlText w:val="●"/>
      <w:numFmt w:val="bullet"/>
      <w:start w:val="1"/>
    </w:lvl>
  </w:abstractNum>
  <w:abstractNum w:abstractNumId="29">
    <w:nsid w:val="68B867D3"/>
    <w:multiLevelType w:val="hybridMultilevel"/>
    <w:lvl w:ilvl="0">
      <w:lvlJc w:val="left"/>
      <w:lvlText w:val="●"/>
      <w:numFmt w:val="bullet"/>
      <w:start w:val="1"/>
    </w:lvl>
  </w:abstractNum>
  <w:abstractNum w:abstractNumId="30">
    <w:nsid w:val="3F7F5DD9"/>
    <w:multiLevelType w:val="hybridMultilevel"/>
    <w:lvl w:ilvl="0">
      <w:lvlJc w:val="left"/>
      <w:lvlText w:val="●"/>
      <w:numFmt w:val="bullet"/>
      <w:start w:val="1"/>
    </w:lvl>
  </w:abstractNum>
  <w:abstractNum w:abstractNumId="31">
    <w:nsid w:val="2AE05A34"/>
    <w:multiLevelType w:val="hybridMultilevel"/>
    <w:lvl w:ilvl="0">
      <w:lvlJc w:val="left"/>
      <w:lvlText w:val="●"/>
      <w:numFmt w:val="bullet"/>
      <w:start w:val="1"/>
    </w:lvl>
  </w:abstractNum>
  <w:abstractNum w:abstractNumId="32">
    <w:nsid w:val="32794FF7"/>
    <w:multiLevelType w:val="hybridMultilevel"/>
    <w:lvl w:ilvl="0">
      <w:lvlJc w:val="left"/>
      <w:lvlText w:val="●"/>
      <w:numFmt w:val="bullet"/>
      <w:start w:val="1"/>
    </w:lvl>
  </w:abstractNum>
  <w:abstractNum w:abstractNumId="33">
    <w:nsid w:val="5454945E"/>
    <w:multiLevelType w:val="hybridMultilevel"/>
    <w:lvl w:ilvl="0">
      <w:lvlJc w:val="left"/>
      <w:lvlText w:val="●"/>
      <w:numFmt w:val="bullet"/>
      <w:start w:val="1"/>
    </w:lvl>
  </w:abstractNum>
  <w:abstractNum w:abstractNumId="34">
    <w:nsid w:val="4DEFDFA0"/>
    <w:multiLevelType w:val="hybridMultilevel"/>
    <w:lvl w:ilvl="0">
      <w:lvlJc w:val="left"/>
      <w:lvlText w:val="●"/>
      <w:numFmt w:val="bullet"/>
      <w:start w:val="1"/>
    </w:lvl>
  </w:abstractNum>
  <w:abstractNum w:abstractNumId="35">
    <w:nsid w:val="2123D5F2"/>
    <w:multiLevelType w:val="hybridMultilevel"/>
    <w:lvl w:ilvl="0">
      <w:lvlJc w:val="left"/>
      <w:lvlText w:val="(%1)"/>
      <w:numFmt w:val="lowerRoman"/>
      <w:start w:val="3"/>
    </w:lvl>
  </w:abstractNum>
  <w:abstractNum w:abstractNumId="36">
    <w:nsid w:val="135B8110"/>
    <w:multiLevelType w:val="hybridMultilevel"/>
    <w:lvl w:ilvl="0">
      <w:lvlJc w:val="left"/>
      <w:lvlText w:val="●"/>
      <w:numFmt w:val="bullet"/>
      <w:start w:val="1"/>
    </w:lvl>
  </w:abstractNum>
  <w:abstractNum w:abstractNumId="37">
    <w:nsid w:val="94927A8"/>
    <w:multiLevelType w:val="hybridMultilevel"/>
    <w:lvl w:ilvl="0">
      <w:lvlJc w:val="left"/>
      <w:lvlText w:val="●"/>
      <w:numFmt w:val="bullet"/>
      <w:start w:val="1"/>
    </w:lvl>
  </w:abstractNum>
  <w:abstractNum w:abstractNumId="38">
    <w:nsid w:val="DCDF8F6"/>
    <w:multiLevelType w:val="hybridMultilevel"/>
    <w:lvl w:ilvl="0">
      <w:lvlJc w:val="left"/>
      <w:lvlText w:val="●"/>
      <w:numFmt w:val="bullet"/>
      <w:start w:val="1"/>
    </w:lvl>
  </w:abstractNum>
  <w:abstractNum w:abstractNumId="39">
    <w:nsid w:val="52D7B105"/>
    <w:multiLevelType w:val="hybridMultilevel"/>
    <w:lvl w:ilvl="0">
      <w:lvlJc w:val="left"/>
      <w:lvlText w:val="●"/>
      <w:numFmt w:val="bullet"/>
      <w:start w:val="1"/>
    </w:lvl>
  </w:abstractNum>
  <w:abstractNum w:abstractNumId="40">
    <w:nsid w:val="2E8A6394"/>
    <w:multiLevelType w:val="hybridMultilevel"/>
    <w:lvl w:ilvl="0">
      <w:lvlJc w:val="left"/>
      <w:lvlText w:val="●"/>
      <w:numFmt w:val="bullet"/>
      <w:start w:val="1"/>
    </w:lvl>
  </w:abstractNum>
  <w:abstractNum w:abstractNumId="41">
    <w:nsid w:val="24E60401"/>
    <w:multiLevelType w:val="hybridMultilevel"/>
    <w:lvl w:ilvl="0">
      <w:lvlJc w:val="left"/>
      <w:lvlText w:val="●"/>
      <w:numFmt w:val="bullet"/>
      <w:start w:val="1"/>
    </w:lvl>
  </w:abstractNum>
  <w:abstractNum w:abstractNumId="42">
    <w:nsid w:val="2A6AD9BE"/>
    <w:multiLevelType w:val="hybridMultilevel"/>
    <w:lvl w:ilvl="0">
      <w:lvlJc w:val="left"/>
      <w:lvlText w:val="(%1)"/>
      <w:numFmt w:val="decimal"/>
      <w:start w:val="1"/>
    </w:lvl>
  </w:abstractNum>
  <w:abstractNum w:abstractNumId="43">
    <w:nsid w:val="BAAC1B4"/>
    <w:multiLevelType w:val="hybridMultilevel"/>
    <w:lvl w:ilvl="0">
      <w:lvlJc w:val="left"/>
      <w:lvlText w:val="●"/>
      <w:numFmt w:val="bullet"/>
      <w:start w:val="1"/>
    </w:lvl>
  </w:abstractNum>
  <w:abstractNum w:abstractNumId="44">
    <w:nsid w:val="36B2ACBC"/>
    <w:multiLevelType w:val="hybridMultilevel"/>
    <w:lvl w:ilvl="0">
      <w:lvlJc w:val="left"/>
      <w:lvlText w:val="●"/>
      <w:numFmt w:val="bullet"/>
      <w:start w:val="1"/>
    </w:lvl>
  </w:abstractNum>
  <w:abstractNum w:abstractNumId="45">
    <w:nsid w:val="779D8544"/>
    <w:multiLevelType w:val="hybridMultilevel"/>
    <w:lvl w:ilvl="0">
      <w:lvlJc w:val="left"/>
      <w:lvlText w:val="*"/>
      <w:numFmt w:val="bullet"/>
      <w:start w:val="1"/>
    </w:lvl>
    <w:lvl w:ilvl="1">
      <w:lvlJc w:val="left"/>
      <w:lvlText w:val="%2"/>
      <w:numFmt w:val="decimal"/>
      <w:start w:val="104"/>
    </w:lvl>
  </w:abstractNum>
  <w:abstractNum w:abstractNumId="46">
    <w:nsid w:val="4AB26E78"/>
    <w:multiLevelType w:val="hybridMultilevel"/>
    <w:lvl w:ilvl="0">
      <w:lvlJc w:val="left"/>
      <w:lvlText w:val="†"/>
      <w:numFmt w:val="bullet"/>
      <w:start w:val="1"/>
    </w:lvl>
  </w:abstractNum>
  <w:abstractNum w:abstractNumId="47">
    <w:nsid w:val="21FAA2FA"/>
    <w:multiLevelType w:val="hybridMultilevel"/>
    <w:lvl w:ilvl="0">
      <w:lvlJc w:val="left"/>
      <w:lvlText w:val="+"/>
      <w:numFmt w:val="bullet"/>
      <w:start w:val="1"/>
    </w:lvl>
  </w:abstractNum>
  <w:abstractNum w:abstractNumId="48">
    <w:nsid w:val="5451CF49"/>
    <w:multiLevelType w:val="hybridMultilevel"/>
    <w:lvl w:ilvl="0">
      <w:lvlJc w:val="left"/>
      <w:lvlText w:val="(%1)"/>
      <w:numFmt w:val="lowerLetter"/>
      <w:start w:val="1"/>
    </w:lvl>
  </w:abstractNum>
  <w:abstractNum w:abstractNumId="49">
    <w:nsid w:val="6181EF69"/>
    <w:multiLevelType w:val="hybridMultilevel"/>
    <w:lvl w:ilvl="0">
      <w:lvlJc w:val="left"/>
      <w:lvlText w:val="(%1)"/>
      <w:numFmt w:val="lowerLetter"/>
      <w:start w:val="4"/>
    </w:lvl>
  </w:abstractNum>
  <w:abstractNum w:abstractNumId="50">
    <w:nsid w:val="3E6400E6"/>
    <w:multiLevelType w:val="hybridMultilevel"/>
    <w:lvl w:ilvl="0">
      <w:lvlJc w:val="left"/>
      <w:lvlText w:val="(%1)"/>
      <w:numFmt w:val="lowerLetter"/>
      <w:start w:val="1"/>
    </w:lvl>
  </w:abstractNum>
  <w:abstractNum w:abstractNumId="51">
    <w:nsid w:val="14217E23"/>
    <w:multiLevelType w:val="hybridMultilevel"/>
    <w:lvl w:ilvl="0">
      <w:lvlJc w:val="left"/>
      <w:lvlText w:val="(%1)"/>
      <w:numFmt w:val="lowerLetter"/>
      <w:start w:val="2"/>
    </w:lvl>
  </w:abstractNum>
  <w:abstractNum w:abstractNumId="52">
    <w:nsid w:val="710757D0"/>
    <w:multiLevelType w:val="hybridMultilevel"/>
    <w:lvl w:ilvl="0">
      <w:lvlJc w:val="left"/>
      <w:lvlText w:val="(%1)"/>
      <w:numFmt w:val="lowerLetter"/>
      <w:start w:val="1"/>
    </w:lvl>
  </w:abstractNum>
  <w:abstractNum w:abstractNumId="53">
    <w:nsid w:val="5015CD1A"/>
    <w:multiLevelType w:val="hybridMultilevel"/>
    <w:lvl w:ilvl="0">
      <w:lvlJc w:val="left"/>
      <w:lvlText w:val="[***]"/>
      <w:numFmt w:val="bullet"/>
      <w:start w:val="1"/>
    </w:lvl>
  </w:abstractNum>
  <w:abstractNum w:abstractNumId="54">
    <w:nsid w:val="424479DA"/>
    <w:multiLevelType w:val="hybridMultilevel"/>
    <w:lvl w:ilvl="0">
      <w:lvlJc w:val="left"/>
      <w:lvlText w:val="(%1)"/>
      <w:numFmt w:val="lowerLetter"/>
      <w:start w:val="1"/>
    </w:lvl>
  </w:abstractNum>
  <w:abstractNum w:abstractNumId="55">
    <w:nsid w:val="1A9A9E69"/>
    <w:multiLevelType w:val="hybridMultilevel"/>
    <w:lvl w:ilvl="0">
      <w:lvlJc w:val="left"/>
      <w:lvlText w:val="[***]"/>
      <w:numFmt w:val="bullet"/>
      <w:start w:val="1"/>
    </w:lvl>
    <w:lvl w:ilvl="1">
      <w:lvlJc w:val="left"/>
      <w:lvlText w:val="(%2)"/>
      <w:numFmt w:val="lowerLetter"/>
      <w:start w:val="5"/>
    </w:lvl>
  </w:abstractNum>
  <w:abstractNum w:abstractNumId="56">
    <w:nsid w:val="475E256A"/>
    <w:multiLevelType w:val="hybridMultilevel"/>
    <w:lvl w:ilvl="0">
      <w:lvlJc w:val="left"/>
      <w:lvlText w:val="[***]"/>
      <w:numFmt w:val="bullet"/>
      <w:start w:val="1"/>
    </w:lvl>
    <w:lvl w:ilvl="1">
      <w:lvlJc w:val="left"/>
      <w:lvlText w:val="(%2)"/>
      <w:numFmt w:val="lowerLetter"/>
      <w:start w:val="6"/>
    </w:lvl>
  </w:abstractNum>
  <w:abstractNum w:abstractNumId="57">
    <w:nsid w:val="368DB37E"/>
    <w:multiLevelType w:val="hybridMultilevel"/>
    <w:lvl w:ilvl="0">
      <w:lvlJc w:val="left"/>
      <w:lvlText w:val="(%1)"/>
      <w:numFmt w:val="lowerLetter"/>
      <w:start w:val="1"/>
    </w:lvl>
  </w:abstractNum>
  <w:abstractNum w:abstractNumId="58">
    <w:nsid w:val="6A3B714C"/>
    <w:multiLevelType w:val="hybridMultilevel"/>
    <w:lvl w:ilvl="0">
      <w:lvlJc w:val="left"/>
      <w:lvlText w:val="(%1)"/>
      <w:numFmt w:val="lowerLetter"/>
      <w:start w:val="3"/>
    </w:lvl>
  </w:abstractNum>
  <w:abstractNum w:abstractNumId="59">
    <w:nsid w:val="327B517E"/>
    <w:multiLevelType w:val="hybridMultilevel"/>
    <w:lvl w:ilvl="0">
      <w:lvlJc w:val="left"/>
      <w:lvlText w:val="(%1)"/>
      <w:numFmt w:val="lowerLetter"/>
      <w:start w:val="8"/>
    </w:lvl>
  </w:abstractNum>
  <w:abstractNum w:abstractNumId="60">
    <w:nsid w:val="1F461B51"/>
    <w:multiLevelType w:val="hybridMultilevel"/>
    <w:lvl w:ilvl="0">
      <w:lvlJc w:val="left"/>
      <w:lvlText w:val="(%1)"/>
      <w:numFmt w:val="lowerRoman"/>
      <w:start w:val="1"/>
    </w:lvl>
  </w:abstractNum>
  <w:abstractNum w:abstractNumId="61">
    <w:nsid w:val="29BACF25"/>
    <w:multiLevelType w:val="hybridMultilevel"/>
    <w:lvl w:ilvl="0">
      <w:lvlJc w:val="left"/>
      <w:lvlText w:val="(%1)"/>
      <w:numFmt w:val="lowerLetter"/>
      <w:start w:val="10"/>
    </w:lvl>
  </w:abstractNum>
  <w:abstractNum w:abstractNumId="62">
    <w:nsid w:val="5D5BABB3"/>
    <w:multiLevelType w:val="hybridMultilevel"/>
    <w:lvl w:ilvl="0">
      <w:lvlJc w:val="left"/>
      <w:lvlText w:val="(%1)"/>
      <w:numFmt w:val="decimal"/>
      <w:start w:val="10"/>
    </w:lvl>
  </w:abstractNum>
  <w:abstractNum w:abstractNumId="63">
    <w:nsid w:val="51BF6B48"/>
    <w:multiLevelType w:val="hybridMultilevel"/>
    <w:lvl w:ilvl="0">
      <w:lvlJc w:val="left"/>
      <w:lvlText w:val="%1"/>
      <w:numFmt w:val="lowerLetter"/>
      <w:start w:val="1"/>
    </w:lvl>
    <w:lvl w:ilvl="1">
      <w:lvlJc w:val="left"/>
      <w:lvlText w:val="(%2)"/>
      <w:numFmt w:val="lowerLetter"/>
      <w:start w:val="1"/>
    </w:lvl>
  </w:abstractNum>
  <w:abstractNum w:abstractNumId="64">
    <w:nsid w:val="7E0F6384"/>
    <w:multiLevelType w:val="hybridMultilevel"/>
    <w:lvl w:ilvl="0">
      <w:lvlJc w:val="left"/>
      <w:lvlText w:val="(%1)"/>
      <w:numFmt w:val="lowerLetter"/>
      <w:start w:val="1"/>
    </w:lvl>
    <w:lvl w:ilvl="1">
      <w:lvlJc w:val="left"/>
      <w:lvlText w:val="%2"/>
      <w:numFmt w:val="lowerLetter"/>
      <w:start w:val="1"/>
    </w:lvl>
  </w:abstractNum>
  <w:abstractNum w:abstractNumId="65">
    <w:nsid w:val="2B4B8B53"/>
    <w:multiLevelType w:val="hybridMultilevel"/>
    <w:lvl w:ilvl="0">
      <w:lvlJc w:val="left"/>
      <w:lvlText w:val="[***]"/>
      <w:numFmt w:val="bullet"/>
      <w:start w:val="1"/>
    </w:lvl>
    <w:lvl w:ilvl="1">
      <w:lvlJc w:val="left"/>
      <w:lvlText w:val="(%2)"/>
      <w:numFmt w:val="lowerLetter"/>
      <w:start w:val="1"/>
    </w:lvl>
  </w:abstractNum>
  <w:abstractNum w:abstractNumId="66">
    <w:nsid w:val="72E3413A"/>
    <w:multiLevelType w:val="hybridMultilevel"/>
    <w:lvl w:ilvl="0">
      <w:lvlJc w:val="left"/>
      <w:lvlText w:val="[***]"/>
      <w:numFmt w:val="bullet"/>
      <w:start w:val="1"/>
    </w:lvl>
    <w:lvl w:ilvl="1">
      <w:lvlJc w:val="left"/>
      <w:lvlText w:val="(%2)"/>
      <w:numFmt w:val="lowerLetter"/>
      <w:start w:val="3"/>
    </w:lvl>
  </w:abstractNum>
  <w:abstractNum w:abstractNumId="67">
    <w:nsid w:val="116AE494"/>
    <w:multiLevelType w:val="hybridMultilevel"/>
    <w:lvl w:ilvl="0">
      <w:lvlJc w:val="left"/>
      <w:lvlText w:val="(%1)"/>
      <w:numFmt w:val="lowerLetter"/>
      <w:start w:val="4"/>
    </w:lvl>
  </w:abstractNum>
  <w:abstractNum w:abstractNumId="68">
    <w:nsid w:val="3494B2FB"/>
    <w:multiLevelType w:val="hybridMultilevel"/>
    <w:lvl w:ilvl="0">
      <w:lvlJc w:val="left"/>
      <w:lvlText w:val="%1"/>
      <w:numFmt w:val="lowerLetter"/>
      <w:start w:val="1"/>
    </w:lvl>
    <w:lvl w:ilvl="1">
      <w:lvlJc w:val="left"/>
      <w:lvlText w:val="(%2)"/>
      <w:numFmt w:val="lowerLetter"/>
      <w:start w:val="1"/>
    </w:lvl>
  </w:abstractNum>
  <w:abstractNum w:abstractNumId="69">
    <w:nsid w:val="B13A31"/>
    <w:multiLevelType w:val="hybridMultilevel"/>
    <w:lvl w:ilvl="0">
      <w:lvlJc w:val="left"/>
      <w:lvlText w:val="(%1)"/>
      <w:numFmt w:val="lowerLetter"/>
      <w:start w:val="9"/>
    </w:lvl>
    <w:lvl w:ilvl="1">
      <w:lvlJc w:val="left"/>
      <w:lvlText w:val="%2"/>
      <w:numFmt w:val="lowerLetter"/>
      <w:start w:val="1"/>
    </w:lvl>
  </w:abstractNum>
  <w:abstractNum w:abstractNumId="70">
    <w:nsid w:val="6442959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631F1690"/>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2">
    <w:nsid w:val="25973E32"/>
    <w:multiLevelType w:val="hybridMultilevel"/>
    <w:lvl w:ilvl="0">
      <w:lvlJc w:val="left"/>
      <w:lvlText w:val="(%1)"/>
      <w:numFmt w:val="lowerRoman"/>
      <w:start w:val="3"/>
    </w:lvl>
  </w:abstractNum>
  <w:abstractNum w:abstractNumId="73">
    <w:nsid w:val="EAD6F57"/>
    <w:multiLevelType w:val="hybridMultilevel"/>
    <w:lvl w:ilvl="0">
      <w:lvlJc w:val="left"/>
      <w:lvlText w:val="(%1)"/>
      <w:numFmt w:val="lowerLetter"/>
      <w:start w:val="1"/>
    </w:lvl>
  </w:abstractNum>
  <w:abstractNum w:abstractNumId="74">
    <w:nsid w:val="6EC9D844"/>
    <w:multiLevelType w:val="hybridMultilevel"/>
    <w:lvl w:ilvl="0">
      <w:lvlJc w:val="left"/>
      <w:lvlText w:val="(%1)"/>
      <w:numFmt w:val="lowerLetter"/>
      <w:start w:val="3"/>
    </w:lvl>
  </w:abstractNum>
  <w:abstractNum w:abstractNumId="75">
    <w:nsid w:val="5C49EAEE"/>
    <w:multiLevelType w:val="hybridMultilevel"/>
    <w:lvl w:ilvl="0">
      <w:lvlJc w:val="left"/>
      <w:lvlText w:val="(%1)"/>
      <w:numFmt w:val="lowerLetter"/>
      <w:start w:val="1"/>
    </w:lvl>
  </w:abstractNum>
  <w:abstractNum w:abstractNumId="76">
    <w:nsid w:val="64AF49B"/>
    <w:multiLevelType w:val="hybridMultilevel"/>
    <w:lvl w:ilvl="0">
      <w:lvlJc w:val="left"/>
      <w:lvlText w:val="%1"/>
      <w:numFmt w:val="lowerRoman"/>
      <w:start w:val="1"/>
    </w:lvl>
    <w:lvl w:ilvl="1">
      <w:lvlJc w:val="left"/>
      <w:lvlText w:val="(%2)"/>
      <w:numFmt w:val="lowerLetter"/>
      <w:start w:val="3"/>
    </w:lvl>
  </w:abstractNum>
  <w:abstractNum w:abstractNumId="77">
    <w:nsid w:val="397C46BC"/>
    <w:multiLevelType w:val="hybridMultilevel"/>
    <w:lvl w:ilvl="0">
      <w:lvlJc w:val="left"/>
      <w:lvlText w:val="(%1)"/>
      <w:numFmt w:val="lowerRoman"/>
      <w:start w:val="4"/>
    </w:lvl>
    <w:lvl w:ilvl="1">
      <w:lvlJc w:val="left"/>
      <w:lvlText w:val="%2"/>
      <w:numFmt w:val="lowerLetter"/>
      <w:start w:val="1"/>
    </w:lvl>
  </w:abstractNum>
  <w:abstractNum w:abstractNumId="78">
    <w:nsid w:val="7E448DE9"/>
    <w:multiLevelType w:val="hybridMultilevel"/>
    <w:lvl w:ilvl="0">
      <w:lvlJc w:val="left"/>
      <w:lvlText w:val="(%1)"/>
      <w:numFmt w:val="lowerLetter"/>
      <w:start w:val="1"/>
    </w:lvl>
  </w:abstractNum>
  <w:abstractNum w:abstractNumId="79">
    <w:nsid w:val="5A9CC3E5"/>
    <w:multiLevelType w:val="hybridMultilevel"/>
    <w:lvl w:ilvl="0">
      <w:lvlJc w:val="left"/>
      <w:lvlText w:val="(%1)"/>
      <w:numFmt w:val="lowerLetter"/>
      <w:start w:val="4"/>
    </w:lvl>
  </w:abstractNum>
  <w:abstractNum w:abstractNumId="80">
    <w:nsid w:val="1AFE3625"/>
    <w:multiLevelType w:val="hybridMultilevel"/>
    <w:lvl w:ilvl="0">
      <w:lvlJc w:val="left"/>
      <w:lvlText w:val="(%1)"/>
      <w:numFmt w:val="lowerLetter"/>
      <w:start w:val="1"/>
    </w:lvl>
  </w:abstractNum>
  <w:abstractNum w:abstractNumId="81">
    <w:nsid w:val="3CA88ECF"/>
    <w:multiLevelType w:val="hybridMultilevel"/>
    <w:lvl w:ilvl="0">
      <w:lvlJc w:val="left"/>
      <w:lvlText w:val="(%1)"/>
      <w:numFmt w:val="lowerLetter"/>
      <w:start w:val="4"/>
    </w:lvl>
  </w:abstractNum>
  <w:abstractNum w:abstractNumId="82">
    <w:nsid w:val="6EBE4208"/>
    <w:multiLevelType w:val="hybridMultilevel"/>
    <w:lvl w:ilvl="0">
      <w:lvlJc w:val="left"/>
      <w:lvlText w:val="(%1)"/>
      <w:numFmt w:val="lowerLetter"/>
      <w:start w:val="1"/>
    </w:lvl>
  </w:abstractNum>
  <w:abstractNum w:abstractNumId="83">
    <w:nsid w:val="C058DF5"/>
    <w:multiLevelType w:val="hybridMultilevel"/>
    <w:lvl w:ilvl="0">
      <w:lvlJc w:val="left"/>
      <w:lvlText w:val="(%1)"/>
      <w:numFmt w:val="lowerLetter"/>
      <w:start w:val="2"/>
    </w:lvl>
  </w:abstractNum>
  <w:abstractNum w:abstractNumId="84">
    <w:nsid w:val="CBE5BE9"/>
    <w:multiLevelType w:val="hybridMultilevel"/>
    <w:lvl w:ilvl="0">
      <w:lvlJc w:val="left"/>
      <w:lvlText w:val="(%1)"/>
      <w:numFmt w:val="lowerLetter"/>
      <w:start w:val="1"/>
    </w:lvl>
  </w:abstractNum>
  <w:abstractNum w:abstractNumId="85">
    <w:nsid w:val="3102BBE2"/>
    <w:multiLevelType w:val="hybridMultilevel"/>
    <w:lvl w:ilvl="0">
      <w:lvlJc w:val="left"/>
      <w:lvlText w:val="(%1)"/>
      <w:numFmt w:val="lowerLetter"/>
      <w:start w:val="1"/>
    </w:lvl>
  </w:abstractNum>
  <w:abstractNum w:abstractNumId="86">
    <w:nsid w:val="26A02C5E"/>
    <w:multiLevelType w:val="hybridMultilevel"/>
    <w:lvl w:ilvl="0">
      <w:lvlJc w:val="left"/>
      <w:lvlText w:val="(%1)"/>
      <w:numFmt w:val="lowerLetter"/>
      <w:start w:val="1"/>
    </w:lvl>
    <w:lvl w:ilvl="1">
      <w:lvlJc w:val="left"/>
      <w:lvlText w:val="(%2)"/>
      <w:numFmt w:val="lowerRoman"/>
      <w:start w:val="1"/>
    </w:lvl>
  </w:abstractNum>
  <w:abstractNum w:abstractNumId="87">
    <w:nsid w:val="541C8153"/>
    <w:multiLevelType w:val="hybridMultilevel"/>
    <w:lvl w:ilvl="0">
      <w:lvlJc w:val="left"/>
      <w:lvlText w:val="%1"/>
      <w:numFmt w:val="lowerLetter"/>
      <w:start w:val="1"/>
    </w:lvl>
    <w:lvl w:ilvl="1">
      <w:lvlJc w:val="left"/>
      <w:lvlText w:val="(%2)"/>
      <w:numFmt w:val="lowerRoman"/>
      <w:start w:val="3"/>
    </w:lvl>
  </w:abstractNum>
  <w:abstractNum w:abstractNumId="88">
    <w:nsid w:val="67906F60"/>
    <w:multiLevelType w:val="hybridMultilevel"/>
    <w:lvl w:ilvl="0">
      <w:lvlJc w:val="left"/>
      <w:lvlText w:val="(%1)"/>
      <w:numFmt w:val="lowerLetter"/>
      <w:start w:val="2"/>
    </w:lvl>
    <w:lvl w:ilvl="1">
      <w:lvlJc w:val="left"/>
      <w:lvlText w:val="%2"/>
      <w:numFmt w:val="lowerRoman"/>
      <w:start w:val="1"/>
    </w:lvl>
  </w:abstractNum>
  <w:abstractNum w:abstractNumId="89">
    <w:nsid w:val="10DB9DAA"/>
    <w:multiLevelType w:val="hybridMultilevel"/>
    <w:lvl w:ilvl="0">
      <w:lvlJc w:val="left"/>
      <w:lvlText w:val="[***]"/>
      <w:numFmt w:val="bullet"/>
      <w:start w:val="1"/>
    </w:lvl>
  </w:abstractNum>
  <w:abstractNum w:abstractNumId="90">
    <w:nsid w:val="697D2D2"/>
    <w:multiLevelType w:val="hybridMultilevel"/>
    <w:lvl w:ilvl="0">
      <w:lvlJc w:val="left"/>
      <w:lvlText w:val="(%1)"/>
      <w:numFmt w:val="lowerLetter"/>
      <w:start w:val="1"/>
    </w:lvl>
  </w:abstractNum>
  <w:abstractNum w:abstractNumId="91">
    <w:nsid w:val="6D68AB2"/>
    <w:multiLevelType w:val="hybridMultilevel"/>
    <w:lvl w:ilvl="0">
      <w:lvlJc w:val="left"/>
      <w:lvlText w:val="(%1)"/>
      <w:numFmt w:val="lowerLetter"/>
      <w:start w:val="6"/>
    </w:lvl>
  </w:abstractNum>
  <w:abstractNum w:abstractNumId="92">
    <w:nsid w:val="3A966CD0"/>
    <w:multiLevelType w:val="hybridMultilevel"/>
    <w:lvl w:ilvl="0">
      <w:lvlJc w:val="left"/>
      <w:lvlText w:val="(%1)"/>
      <w:numFmt w:val="lowerLetter"/>
      <w:start w:val="1"/>
    </w:lvl>
  </w:abstractNum>
  <w:abstractNum w:abstractNumId="93">
    <w:nsid w:val="63F37E85"/>
    <w:multiLevelType w:val="hybridMultilevel"/>
    <w:lvl w:ilvl="0">
      <w:lvlJc w:val="left"/>
      <w:lvlText w:val="(%1)"/>
      <w:numFmt w:val="lowerLetter"/>
      <w:start w:val="1"/>
    </w:lvl>
  </w:abstractNum>
  <w:abstractNum w:abstractNumId="94">
    <w:nsid w:val="5895F5FA"/>
    <w:multiLevelType w:val="hybridMultilevel"/>
    <w:lvl w:ilvl="0">
      <w:lvlJc w:val="left"/>
      <w:lvlText w:val="(%1)"/>
      <w:numFmt w:val="lowerRoman"/>
      <w:start w:val="2"/>
    </w:lvl>
  </w:abstractNum>
  <w:abstractNum w:abstractNumId="95">
    <w:nsid w:val="38A5D054"/>
    <w:multiLevelType w:val="hybridMultilevel"/>
    <w:lvl w:ilvl="0">
      <w:lvlJc w:val="left"/>
      <w:lvlText w:val="(%1)"/>
      <w:numFmt w:val="lowerLetter"/>
      <w:start w:val="1"/>
    </w:lvl>
  </w:abstractNum>
  <w:abstractNum w:abstractNumId="96">
    <w:nsid w:val="F3F09D8"/>
    <w:multiLevelType w:val="hybridMultilevel"/>
    <w:lvl w:ilvl="0">
      <w:lvlJc w:val="left"/>
      <w:lvlText w:val="[***]"/>
      <w:numFmt w:val="bullet"/>
      <w:start w:val="1"/>
    </w:lvl>
  </w:abstractNum>
  <w:abstractNum w:abstractNumId="97">
    <w:nsid w:val="4B793735"/>
    <w:multiLevelType w:val="hybridMultilevel"/>
    <w:lvl w:ilvl="0">
      <w:lvlJc w:val="left"/>
      <w:lvlText w:val="(%1)"/>
      <w:numFmt w:val="lowerLetter"/>
      <w:start w:val="1"/>
    </w:lvl>
  </w:abstractNum>
  <w:abstractNum w:abstractNumId="98">
    <w:nsid w:val="4A10B4E8"/>
    <w:multiLevelType w:val="hybridMultilevel"/>
    <w:lvl w:ilvl="0">
      <w:lvlJc w:val="left"/>
      <w:lvlText w:val="(%1)"/>
      <w:numFmt w:val="lowerLetter"/>
      <w:start w:val="8"/>
    </w:lvl>
  </w:abstractNum>
  <w:abstractNum w:abstractNumId="99">
    <w:nsid w:val="43D3BCD4"/>
    <w:multiLevelType w:val="hybridMultilevel"/>
    <w:lvl w:ilvl="0">
      <w:lvlJc w:val="left"/>
      <w:lvlText w:val="(%1)"/>
      <w:numFmt w:val="lowerLetter"/>
      <w:start w:val="2"/>
    </w:lvl>
  </w:abstractNum>
  <w:abstractNum w:abstractNumId="100">
    <w:nsid w:val="4C2A7166"/>
    <w:multiLevelType w:val="hybridMultilevel"/>
    <w:lvl w:ilvl="0">
      <w:lvlJc w:val="left"/>
      <w:lvlText w:val="(%1)"/>
      <w:numFmt w:val="lowerLetter"/>
      <w:start w:val="1"/>
    </w:lvl>
  </w:abstractNum>
  <w:abstractNum w:abstractNumId="101">
    <w:nsid w:val="2E534A82"/>
    <w:multiLevelType w:val="hybridMultilevel"/>
    <w:lvl w:ilvl="0">
      <w:lvlJc w:val="left"/>
      <w:lvlText w:val="(%1)"/>
      <w:numFmt w:val="lowerLetter"/>
      <w:start w:val="2"/>
    </w:lvl>
  </w:abstractNum>
  <w:abstractNum w:abstractNumId="102">
    <w:nsid w:val="26F2D364"/>
    <w:multiLevelType w:val="hybridMultilevel"/>
    <w:lvl w:ilvl="0">
      <w:lvlJc w:val="left"/>
      <w:lvlText w:val="(%1)"/>
      <w:numFmt w:val="lowerLetter"/>
      <w:start w:val="1"/>
    </w:lvl>
  </w:abstractNum>
  <w:abstractNum w:abstractNumId="103">
    <w:nsid w:val="71C1AF98"/>
    <w:multiLevelType w:val="hybridMultilevel"/>
    <w:lvl w:ilvl="0">
      <w:lvlJc w:val="left"/>
      <w:lvlText w:val="%1"/>
      <w:numFmt w:val="lowerLetter"/>
      <w:start w:val="1"/>
    </w:lvl>
    <w:lvl w:ilvl="1">
      <w:lvlJc w:val="left"/>
      <w:lvlText w:val="(%2)"/>
      <w:numFmt w:val="lowerLetter"/>
      <w:start w:val="1"/>
    </w:lvl>
  </w:abstractNum>
  <w:abstractNum w:abstractNumId="104">
    <w:nsid w:val="3D00B9D9"/>
    <w:multiLevelType w:val="hybridMultilevel"/>
    <w:lvl w:ilvl="0">
      <w:lvlJc w:val="left"/>
      <w:lvlText w:val="(%1)"/>
      <w:numFmt w:val="lowerLetter"/>
      <w:start w:val="9"/>
    </w:lvl>
    <w:lvl w:ilvl="1">
      <w:lvlJc w:val="left"/>
      <w:lvlText w:val="%2"/>
      <w:numFmt w:val="lowerLetter"/>
      <w:start w:val="1"/>
    </w:lvl>
  </w:abstractNum>
  <w:abstractNum w:abstractNumId="105">
    <w:nsid w:val="15BCABA8"/>
    <w:multiLevelType w:val="hybridMultilevel"/>
    <w:lvl w:ilvl="0">
      <w:lvlJc w:val="left"/>
      <w:lvlText w:val="(%1)"/>
      <w:numFmt w:val="lowerLetter"/>
      <w:start w:val="5"/>
    </w:lvl>
    <w:lvl w:ilvl="1">
      <w:lvlJc w:val="left"/>
      <w:lvlText w:val="(%2)"/>
      <w:numFmt w:val="lowerLetter"/>
      <w:start w:val="9"/>
    </w:lvl>
  </w:abstractNum>
  <w:abstractNum w:abstractNumId="106">
    <w:nsid w:val="4E0B9A87"/>
    <w:multiLevelType w:val="hybridMultilevel"/>
    <w:lvl w:ilvl="0">
      <w:lvlJc w:val="left"/>
      <w:lvlText w:val="(%1)"/>
      <w:numFmt w:val="lowerRoman"/>
      <w:start w:val="2"/>
    </w:lvl>
  </w:abstractNum>
  <w:abstractNum w:abstractNumId="107">
    <w:nsid w:val="434BAE75"/>
    <w:multiLevelType w:val="hybridMultilevel"/>
    <w:lvl w:ilvl="0">
      <w:lvlJc w:val="left"/>
      <w:lvlText w:val="(%1)"/>
      <w:numFmt w:val="lowerLetter"/>
      <w:start w:val="8"/>
    </w:lvl>
    <w:lvl w:ilvl="1">
      <w:lvlJc w:val="left"/>
      <w:lvlText w:val="(%2)"/>
      <w:numFmt w:val="lowerRoman"/>
      <w:start w:val="1"/>
    </w:lvl>
  </w:abstractNum>
  <w:abstractNum w:abstractNumId="108">
    <w:nsid w:val="4F38F265"/>
    <w:multiLevelType w:val="hybridMultilevel"/>
    <w:lvl w:ilvl="0">
      <w:lvlJc w:val="left"/>
      <w:lvlText w:val="%1"/>
      <w:numFmt w:val="lowerLetter"/>
      <w:start w:val="1"/>
    </w:lvl>
    <w:lvl w:ilvl="1">
      <w:lvlJc w:val="left"/>
      <w:lvlText w:val="(%2)"/>
      <w:numFmt w:val="lowerRoman"/>
      <w:start w:val="8"/>
    </w:lvl>
  </w:abstractNum>
  <w:abstractNum w:abstractNumId="109">
    <w:nsid w:val="4C502870"/>
    <w:multiLevelType w:val="hybridMultilevel"/>
    <w:lvl w:ilvl="0">
      <w:lvlJc w:val="left"/>
      <w:lvlText w:val="(%1)"/>
      <w:numFmt w:val="lowerLetter"/>
      <w:start w:val="9"/>
    </w:lvl>
    <w:lvl w:ilvl="1">
      <w:lvlJc w:val="left"/>
      <w:lvlText w:val="(%2)"/>
      <w:numFmt w:val="lowerRoman"/>
      <w:start w:val="1"/>
    </w:lvl>
  </w:abstractNum>
  <w:abstractNum w:abstractNumId="110">
    <w:nsid w:val="1DE8725A"/>
    <w:multiLevelType w:val="hybridMultilevel"/>
    <w:lvl w:ilvl="0">
      <w:lvlJc w:val="left"/>
      <w:lvlText w:val="%1"/>
      <w:numFmt w:val="lowerLetter"/>
      <w:start w:val="1"/>
    </w:lvl>
    <w:lvl w:ilvl="1">
      <w:lvlJc w:val="left"/>
      <w:lvlText w:val="(%2)"/>
      <w:numFmt w:val="lowerRoman"/>
      <w:start w:val="4"/>
    </w:lvl>
  </w:abstractNum>
  <w:abstractNum w:abstractNumId="111">
    <w:nsid w:val="6A37288A"/>
    <w:multiLevelType w:val="hybridMultilevel"/>
    <w:lvl w:ilvl="0">
      <w:lvlJc w:val="left"/>
      <w:lvlText w:val="(%1)"/>
      <w:numFmt w:val="lowerLetter"/>
      <w:start w:val="12"/>
    </w:lvl>
    <w:lvl w:ilvl="1">
      <w:lvlJc w:val="left"/>
      <w:lvlText w:val="%2"/>
      <w:numFmt w:val="lowerRoman"/>
      <w:start w:val="1"/>
    </w:lvl>
  </w:abstractNum>
  <w:abstractNum w:abstractNumId="112">
    <w:nsid w:val="8F8B73F"/>
    <w:multiLevelType w:val="hybridMultilevel"/>
    <w:lvl w:ilvl="0">
      <w:lvlJc w:val="left"/>
      <w:lvlText w:val="(%1)"/>
      <w:numFmt w:val="lowerLetter"/>
      <w:start w:val="14"/>
    </w:lvl>
    <w:lvl w:ilvl="1">
      <w:lvlJc w:val="left"/>
      <w:lvlText w:val="(%2)"/>
      <w:numFmt w:val="lowerRoman"/>
      <w:start w:val="1"/>
    </w:lvl>
  </w:abstractNum>
  <w:abstractNum w:abstractNumId="113">
    <w:nsid w:val="CA6B462"/>
    <w:multiLevelType w:val="hybridMultilevel"/>
    <w:lvl w:ilvl="0">
      <w:lvlJc w:val="left"/>
      <w:lvlText w:val="%1"/>
      <w:numFmt w:val="lowerLetter"/>
      <w:start w:val="1"/>
    </w:lvl>
    <w:lvl w:ilvl="1">
      <w:lvlJc w:val="left"/>
      <w:lvlText w:val="(%2)"/>
      <w:numFmt w:val="lowerRoman"/>
      <w:start w:val="4"/>
    </w:lvl>
  </w:abstractNum>
  <w:abstractNum w:abstractNumId="114">
    <w:nsid w:val="763CB680"/>
    <w:multiLevelType w:val="hybridMultilevel"/>
    <w:lvl w:ilvl="0">
      <w:lvlJc w:val="left"/>
      <w:lvlText w:val="(%1)"/>
      <w:numFmt w:val="lowerLetter"/>
      <w:start w:val="19"/>
    </w:lvl>
    <w:lvl w:ilvl="1">
      <w:lvlJc w:val="left"/>
      <w:lvlText w:val="%2"/>
      <w:numFmt w:val="lowerRoman"/>
      <w:start w:val="1"/>
    </w:lvl>
  </w:abstractNum>
  <w:abstractNum w:abstractNumId="115">
    <w:nsid w:val="15B71329"/>
    <w:multiLevelType w:val="hybridMultilevel"/>
    <w:lvl w:ilvl="0">
      <w:lvlJc w:val="left"/>
      <w:lvlText w:val="(%1)"/>
      <w:numFmt w:val="lowerLetter"/>
      <w:start w:val="21"/>
    </w:lvl>
  </w:abstractNum>
  <w:abstractNum w:abstractNumId="116">
    <w:nsid w:val="3DA97044"/>
    <w:multiLevelType w:val="hybridMultilevel"/>
    <w:lvl w:ilvl="0">
      <w:lvlJc w:val="left"/>
      <w:lvlText w:val="%1"/>
      <w:numFmt w:val="lowerLetter"/>
      <w:start w:val="1"/>
    </w:lvl>
    <w:lvl w:ilvl="1">
      <w:lvlJc w:val="left"/>
      <w:lvlText w:val="(%2)"/>
      <w:numFmt w:val="lowerLetter"/>
      <w:start w:val="1"/>
    </w:lvl>
  </w:abstractNum>
  <w:abstractNum w:abstractNumId="117">
    <w:nsid w:val="1CDCE2DE"/>
    <w:multiLevelType w:val="hybridMultilevel"/>
    <w:lvl w:ilvl="0">
      <w:lvlJc w:val="left"/>
      <w:lvlText w:val="(%1)"/>
      <w:numFmt w:val="lowerLetter"/>
      <w:start w:val="61"/>
    </w:lvl>
    <w:lvl w:ilvl="1">
      <w:lvlJc w:val="left"/>
      <w:lvlText w:val="(%2)"/>
      <w:numFmt w:val="lowerLetter"/>
      <w:start w:val="5"/>
    </w:lvl>
  </w:abstractNum>
  <w:abstractNum w:abstractNumId="118">
    <w:nsid w:val="69D3947C"/>
    <w:multiLevelType w:val="hybridMultilevel"/>
    <w:lvl w:ilvl="0">
      <w:lvlJc w:val="left"/>
      <w:lvlText w:val="(%1)"/>
      <w:numFmt w:val="lowerLetter"/>
      <w:start w:val="1"/>
    </w:lvl>
  </w:abstractNum>
  <w:abstractNum w:abstractNumId="119">
    <w:nsid w:val="2539DFA5"/>
    <w:multiLevelType w:val="hybridMultilevel"/>
    <w:lvl w:ilvl="0">
      <w:lvlJc w:val="left"/>
      <w:lvlText w:val="(%1)"/>
      <w:numFmt w:val="lowerLetter"/>
      <w:start w:val="5"/>
    </w:lvl>
  </w:abstractNum>
  <w:abstractNum w:abstractNumId="120">
    <w:nsid w:val="2DB88089"/>
    <w:multiLevelType w:val="hybridMultilevel"/>
    <w:lvl w:ilvl="0">
      <w:lvlJc w:val="left"/>
      <w:lvlText w:val="(%1)"/>
      <w:numFmt w:val="lowerLetter"/>
      <w:start w:val="1"/>
    </w:lvl>
  </w:abstractNum>
  <w:abstractNum w:abstractNumId="121">
    <w:nsid w:val="706B674E"/>
    <w:multiLevelType w:val="hybridMultilevel"/>
    <w:lvl w:ilvl="0">
      <w:lvlJc w:val="left"/>
      <w:lvlText w:val="[***]"/>
      <w:numFmt w:val="bullet"/>
      <w:start w:val="1"/>
    </w:lvl>
    <w:lvl w:ilvl="1">
      <w:lvlJc w:val="left"/>
      <w:lvlText w:val="(%2)"/>
      <w:numFmt w:val="lowerLetter"/>
      <w:start w:val="1"/>
    </w:lvl>
  </w:abstractNum>
  <w:abstractNum w:abstractNumId="122">
    <w:nsid w:val="2C106A57"/>
    <w:multiLevelType w:val="hybridMultilevel"/>
    <w:lvl w:ilvl="0">
      <w:lvlJc w:val="left"/>
      <w:lvlText w:val="[***]"/>
      <w:numFmt w:val="bullet"/>
      <w:start w:val="1"/>
    </w:lvl>
    <w:lvl w:ilvl="1">
      <w:lvlJc w:val="left"/>
      <w:lvlText w:val="(%2)"/>
      <w:numFmt w:val="lowerLetter"/>
      <w:start w:val="4"/>
    </w:lvl>
  </w:abstractNum>
  <w:abstractNum w:abstractNumId="123">
    <w:nsid w:val="684EED59"/>
    <w:multiLevelType w:val="hybridMultilevel"/>
    <w:lvl w:ilvl="0">
      <w:lvlJc w:val="left"/>
      <w:lvlText w:val="(%1)"/>
      <w:numFmt w:val="lowerLetter"/>
      <w:start w:val="1"/>
    </w:lvl>
  </w:abstractNum>
  <w:abstractNum w:abstractNumId="124">
    <w:nsid w:val="545EE5D3"/>
    <w:multiLevelType w:val="hybridMultilevel"/>
    <w:lvl w:ilvl="0">
      <w:lvlJc w:val="left"/>
      <w:lvlText w:val="%1"/>
      <w:numFmt w:val="upperLetter"/>
      <w:start w:val="1"/>
    </w:lvl>
    <w:lvl w:ilvl="1">
      <w:lvlJc w:val="left"/>
      <w:lvlText w:val="(%2)"/>
      <w:numFmt w:val="lowerLetter"/>
      <w:start w:val="2"/>
    </w:lvl>
  </w:abstractNum>
  <w:abstractNum w:abstractNumId="125">
    <w:nsid w:val="4A66051"/>
    <w:multiLevelType w:val="hybridMultilevel"/>
    <w:lvl w:ilvl="0">
      <w:lvlJc w:val="left"/>
      <w:lvlText w:val="(%1)"/>
      <w:numFmt w:val="upperLetter"/>
      <w:start w:val="1"/>
    </w:lvl>
    <w:lvl w:ilvl="1">
      <w:lvlJc w:val="left"/>
      <w:lvlText w:val="(%2)"/>
      <w:numFmt w:val="lowerLetter"/>
      <w:start w:val="3"/>
    </w:lvl>
  </w:abstractNum>
  <w:abstractNum w:abstractNumId="126">
    <w:nsid w:val="20F4BDAD"/>
    <w:multiLevelType w:val="hybridMultilevel"/>
    <w:lvl w:ilvl="0">
      <w:lvlJc w:val="left"/>
      <w:lvlText w:val="[***]"/>
      <w:numFmt w:val="bullet"/>
      <w:start w:val="1"/>
    </w:lvl>
  </w:abstractNum>
  <w:abstractNum w:abstractNumId="127">
    <w:nsid w:val="639DEFAC"/>
    <w:multiLevelType w:val="hybridMultilevel"/>
    <w:lvl w:ilvl="0">
      <w:lvlJc w:val="left"/>
      <w:lvlText w:val="(%1)"/>
      <w:numFmt w:val="lowerLetter"/>
      <w:start w:val="1"/>
    </w:lvl>
  </w:abstractNum>
  <w:abstractNum w:abstractNumId="128">
    <w:nsid w:val="501F9786"/>
    <w:multiLevelType w:val="hybridMultilevel"/>
    <w:lvl w:ilvl="0">
      <w:lvlJc w:val="left"/>
      <w:lvlText w:val="(%1)"/>
      <w:numFmt w:val="lowerLetter"/>
      <w:start w:val="4"/>
    </w:lvl>
  </w:abstractNum>
  <w:abstractNum w:abstractNumId="129">
    <w:nsid w:val="6B057295"/>
    <w:multiLevelType w:val="hybridMultilevel"/>
    <w:lvl w:ilvl="0">
      <w:lvlJc w:val="left"/>
      <w:lvlText w:val="(%1)"/>
      <w:numFmt w:val="lowerLetter"/>
      <w:start w:val="1"/>
    </w:lvl>
  </w:abstractNum>
  <w:abstractNum w:abstractNumId="130">
    <w:nsid w:val="2771AC80"/>
    <w:multiLevelType w:val="hybridMultilevel"/>
    <w:lvl w:ilvl="0">
      <w:lvlJc w:val="left"/>
      <w:lvlText w:val="(%1)"/>
      <w:numFmt w:val="lowerLetter"/>
      <w:start w:val="1"/>
    </w:lvl>
  </w:abstractNum>
  <w:abstractNum w:abstractNumId="131">
    <w:nsid w:val="1C4A08EC"/>
    <w:multiLevelType w:val="hybridMultilevel"/>
    <w:lvl w:ilvl="0">
      <w:lvlJc w:val="left"/>
      <w:lvlText w:val="(%1)"/>
      <w:numFmt w:val="lowerLetter"/>
      <w:start w:val="3"/>
    </w:lvl>
  </w:abstractNum>
  <w:abstractNum w:abstractNumId="132">
    <w:nsid w:val="1958BD17"/>
    <w:multiLevelType w:val="hybridMultilevel"/>
    <w:lvl w:ilvl="0">
      <w:lvlJc w:val="left"/>
      <w:lvlText w:val="(%1)"/>
      <w:numFmt w:val="lowerLetter"/>
      <w:start w:val="1"/>
    </w:lvl>
  </w:abstractNum>
  <w:abstractNum w:abstractNumId="133">
    <w:nsid w:val="4E647FE4"/>
    <w:multiLevelType w:val="hybridMultilevel"/>
    <w:lvl w:ilvl="0">
      <w:lvlJc w:val="left"/>
      <w:lvlText w:val="(%1)"/>
      <w:numFmt w:val="lowerLetter"/>
      <w:start w:val="1"/>
    </w:lvl>
  </w:abstractNum>
  <w:abstractNum w:abstractNumId="134">
    <w:nsid w:val="E0BB885"/>
    <w:multiLevelType w:val="hybridMultilevel"/>
    <w:lvl w:ilvl="0">
      <w:lvlJc w:val="left"/>
      <w:lvlText w:val="(%1)"/>
      <w:numFmt w:val="lowerLetter"/>
      <w:start w:val="1"/>
    </w:lvl>
  </w:abstractNum>
  <w:abstractNum w:abstractNumId="135">
    <w:nsid w:val="565976F1"/>
    <w:multiLevelType w:val="hybridMultilevel"/>
    <w:lvl w:ilvl="0">
      <w:lvlJc w:val="left"/>
      <w:lvlText w:val="(%1)"/>
      <w:numFmt w:val="lowerLetter"/>
      <w:start w:val="4"/>
    </w:lvl>
  </w:abstractNum>
  <w:abstractNum w:abstractNumId="136">
    <w:nsid w:val="64212B8C"/>
    <w:multiLevelType w:val="hybridMultilevel"/>
    <w:lvl w:ilvl="0">
      <w:lvlJc w:val="left"/>
      <w:lvlText w:val="(%1)"/>
      <w:numFmt w:val="lowerLetter"/>
      <w:start w:val="1"/>
    </w:lvl>
  </w:abstractNum>
  <w:abstractNum w:abstractNumId="137">
    <w:nsid w:val="5C17530C"/>
    <w:multiLevelType w:val="hybridMultilevel"/>
    <w:lvl w:ilvl="0">
      <w:lvlJc w:val="left"/>
      <w:lvlText w:val="(%1)"/>
      <w:numFmt w:val="lowerLetter"/>
      <w:start w:val="1"/>
    </w:lvl>
  </w:abstractNum>
  <w:abstractNum w:abstractNumId="138">
    <w:nsid w:val="19A52566"/>
    <w:multiLevelType w:val="hybridMultilevel"/>
    <w:lvl w:ilvl="0">
      <w:lvlJc w:val="left"/>
      <w:lvlText w:val="(%1)"/>
      <w:numFmt w:val="lowerLetter"/>
      <w:start w:val="1"/>
    </w:lvl>
  </w:abstractNum>
  <w:abstractNum w:abstractNumId="139">
    <w:nsid w:val="335A1DF1"/>
    <w:multiLevelType w:val="hybridMultilevel"/>
    <w:lvl w:ilvl="0">
      <w:lvlJc w:val="left"/>
      <w:lvlText w:val="(%1)"/>
      <w:numFmt w:val="lowerLetter"/>
      <w:start w:val="1"/>
    </w:lvl>
    <w:lvl w:ilvl="1">
      <w:lvlJc w:val="left"/>
      <w:lvlText w:val="(%2)"/>
      <w:numFmt w:val="lowerLetter"/>
      <w:start w:val="9"/>
    </w:lvl>
  </w:abstractNum>
  <w:abstractNum w:abstractNumId="140">
    <w:nsid w:val="28677B7C"/>
    <w:multiLevelType w:val="hybridMultilevel"/>
    <w:lvl w:ilvl="0">
      <w:lvlJc w:val="left"/>
      <w:lvlText w:val="(%1)"/>
      <w:numFmt w:val="lowerRoman"/>
      <w:start w:val="2"/>
    </w:lvl>
  </w:abstractNum>
  <w:abstractNum w:abstractNumId="141">
    <w:nsid w:val="378D97C0"/>
    <w:multiLevelType w:val="hybridMultilevel"/>
    <w:lvl w:ilvl="0">
      <w:lvlJc w:val="left"/>
      <w:lvlText w:val="(%1)"/>
      <w:numFmt w:val="lowerRoman"/>
      <w:start w:val="5"/>
    </w:lvl>
  </w:abstractNum>
  <w:abstractNum w:abstractNumId="142">
    <w:nsid w:val="1D91467C"/>
    <w:multiLevelType w:val="hybridMultilevel"/>
    <w:lvl w:ilvl="0">
      <w:lvlJc w:val="left"/>
      <w:lvlText w:val="(%1)"/>
      <w:numFmt w:val="lowerRoman"/>
      <w:start w:val="6"/>
    </w:lvl>
  </w:abstractNum>
  <w:abstractNum w:abstractNumId="143">
    <w:nsid w:val="316032BB"/>
    <w:multiLevelType w:val="hybridMultilevel"/>
    <w:lvl w:ilvl="0">
      <w:lvlJc w:val="left"/>
      <w:lvlText w:val="(%1)"/>
      <w:numFmt w:val="lowerLetter"/>
      <w:start w:val="2"/>
    </w:lvl>
  </w:abstractNum>
  <w:abstractNum w:abstractNumId="144">
    <w:nsid w:val="44344C22"/>
    <w:multiLevelType w:val="hybridMultilevel"/>
    <w:lvl w:ilvl="0">
      <w:lvlJc w:val="left"/>
      <w:lvlText w:val="(%1)"/>
      <w:numFmt w:val="lowerLetter"/>
      <w:start w:val="1"/>
    </w:lvl>
  </w:abstractNum>
  <w:abstractNum w:abstractNumId="145">
    <w:nsid w:val="13CDFCFC"/>
    <w:multiLevelType w:val="hybridMultilevel"/>
    <w:lvl w:ilvl="0">
      <w:lvlJc w:val="left"/>
      <w:lvlText w:val="(%1)"/>
      <w:numFmt w:val="lowerLetter"/>
      <w:start w:val="1"/>
    </w:lvl>
  </w:abstractNum>
  <w:abstractNum w:abstractNumId="146">
    <w:nsid w:val="471745E4"/>
    <w:multiLevelType w:val="hybridMultilevel"/>
    <w:lvl w:ilvl="0">
      <w:lvlJc w:val="left"/>
      <w:lvlText w:val="[***]"/>
      <w:numFmt w:val="bullet"/>
      <w:start w:val="1"/>
    </w:lvl>
    <w:lvl w:ilvl="1">
      <w:lvlJc w:val="left"/>
      <w:lvlText w:val="(%2)"/>
      <w:numFmt w:val="lowerLetter"/>
      <w:start w:val="2"/>
    </w:lvl>
  </w:abstractNum>
  <w:abstractNum w:abstractNumId="147">
    <w:nsid w:val="1DDBC66"/>
    <w:multiLevelType w:val="hybridMultilevel"/>
    <w:lvl w:ilvl="0">
      <w:lvlJc w:val="left"/>
      <w:lvlText w:val="(%1)"/>
      <w:numFmt w:val="lowerLetter"/>
      <w:start w:val="1"/>
    </w:lvl>
  </w:abstractNum>
  <w:abstractNum w:abstractNumId="148">
    <w:nsid w:val="30AADFDA"/>
    <w:multiLevelType w:val="hybridMultilevel"/>
    <w:lvl w:ilvl="0">
      <w:lvlJc w:val="left"/>
      <w:lvlText w:val="(%1)"/>
      <w:numFmt w:val="lowerLetter"/>
      <w:start w:val="1"/>
    </w:lvl>
  </w:abstractNum>
  <w:abstractNum w:abstractNumId="149">
    <w:nsid w:val="30EADA61"/>
    <w:multiLevelType w:val="hybridMultilevel"/>
    <w:lvl w:ilvl="0">
      <w:lvlJc w:val="left"/>
      <w:lvlText w:val="(%1)"/>
      <w:numFmt w:val="lowerLetter"/>
      <w:start w:val="1"/>
    </w:lvl>
  </w:abstractNum>
  <w:abstractNum w:abstractNumId="150">
    <w:nsid w:val="27179C0B"/>
    <w:multiLevelType w:val="hybridMultilevel"/>
    <w:lvl w:ilvl="0">
      <w:lvlJc w:val="left"/>
      <w:lvlText w:val="(%1)"/>
      <w:numFmt w:val="lowerLetter"/>
      <w:start w:val="1"/>
    </w:lvl>
  </w:abstractNum>
  <w:abstractNum w:abstractNumId="151">
    <w:nsid w:val="5E636063"/>
    <w:multiLevelType w:val="hybridMultilevel"/>
    <w:lvl w:ilvl="0">
      <w:lvlJc w:val="left"/>
      <w:lvlText w:val="(%1)"/>
      <w:numFmt w:val="lowerLetter"/>
      <w:start w:val="1"/>
    </w:lvl>
    <w:lvl w:ilvl="1">
      <w:lvlJc w:val="left"/>
      <w:lvlText w:val="(%2)"/>
      <w:numFmt w:val="lowerRoman"/>
      <w:start w:val="1"/>
    </w:lvl>
  </w:abstractNum>
  <w:abstractNum w:abstractNumId="152">
    <w:nsid w:val="215641AF"/>
    <w:multiLevelType w:val="hybridMultilevel"/>
    <w:lvl w:ilvl="0">
      <w:lvlJc w:val="left"/>
      <w:lvlText w:val="(%1)"/>
      <w:numFmt w:val="lowerLetter"/>
      <w:start w:val="25"/>
    </w:lvl>
  </w:abstractNum>
  <w:abstractNum w:abstractNumId="153">
    <w:nsid w:val="53280662"/>
    <w:multiLevelType w:val="hybridMultilevel"/>
    <w:lvl w:ilvl="0">
      <w:lvlJc w:val="left"/>
      <w:lvlText w:val="(%1)"/>
      <w:numFmt w:val="lowerLetter"/>
      <w:start w:val="1"/>
    </w:lvl>
  </w:abstractNum>
  <w:abstractNum w:abstractNumId="154">
    <w:nsid w:val="46B24DBC"/>
    <w:multiLevelType w:val="hybridMultilevel"/>
    <w:lvl w:ilvl="0">
      <w:lvlJc w:val="left"/>
      <w:lvlText w:val="(%1)"/>
      <w:numFmt w:val="lowerLetter"/>
      <w:start w:val="1"/>
    </w:lvl>
  </w:abstractNum>
  <w:abstractNum w:abstractNumId="155">
    <w:nsid w:val="75B52783"/>
    <w:multiLevelType w:val="hybridMultilevel"/>
    <w:lvl w:ilvl="0">
      <w:lvlJc w:val="left"/>
      <w:lvlText w:val="(%1)"/>
      <w:numFmt w:val="lowerLetter"/>
      <w:start w:val="6"/>
    </w:lvl>
  </w:abstractNum>
  <w:abstractNum w:abstractNumId="156">
    <w:nsid w:val="57CE66B4"/>
    <w:multiLevelType w:val="hybridMultilevel"/>
    <w:lvl w:ilvl="0">
      <w:lvlJc w:val="left"/>
      <w:lvlText w:val="(%1)"/>
      <w:numFmt w:val="lowerLetter"/>
      <w:start w:val="1"/>
    </w:lvl>
  </w:abstractNum>
  <w:abstractNum w:abstractNumId="157">
    <w:nsid w:val="67A70B69"/>
    <w:multiLevelType w:val="hybridMultilevel"/>
    <w:lvl w:ilvl="0">
      <w:lvlJc w:val="left"/>
      <w:lvlText w:val="(%1)"/>
      <w:numFmt w:val="lowerRoman"/>
      <w:start w:val="1"/>
    </w:lvl>
  </w:abstractNum>
  <w:abstractNum w:abstractNumId="158">
    <w:nsid w:val="5953172F"/>
    <w:multiLevelType w:val="hybridMultilevel"/>
    <w:lvl w:ilvl="0">
      <w:lvlJc w:val="left"/>
      <w:lvlText w:val="(%1)"/>
      <w:numFmt w:val="lowerLetter"/>
      <w:start w:val="2"/>
    </w:lvl>
  </w:abstractNum>
  <w:abstractNum w:abstractNumId="159">
    <w:nsid w:val="27EDFE3A"/>
    <w:multiLevelType w:val="hybridMultilevel"/>
    <w:lvl w:ilvl="0">
      <w:lvlJc w:val="left"/>
      <w:lvlText w:val="(%1)"/>
      <w:numFmt w:val="lowerLetter"/>
      <w:start w:val="1"/>
    </w:lvl>
  </w:abstractNum>
  <w:abstractNum w:abstractNumId="160">
    <w:nsid w:val="52AC7DFF"/>
    <w:multiLevelType w:val="hybridMultilevel"/>
    <w:lvl w:ilvl="0">
      <w:lvlJc w:val="left"/>
      <w:lvlText w:val="(%1)"/>
      <w:numFmt w:val="lowerLetter"/>
      <w:start w:val="2"/>
    </w:lvl>
  </w:abstractNum>
  <w:abstractNum w:abstractNumId="161">
    <w:nsid w:val="C4C3AF"/>
    <w:multiLevelType w:val="hybridMultilevel"/>
    <w:lvl w:ilvl="0">
      <w:lvlJc w:val="left"/>
      <w:lvlText w:val="(%1)"/>
      <w:numFmt w:val="lowerLetter"/>
      <w:start w:val="1"/>
    </w:lvl>
    <w:lvl w:ilvl="1">
      <w:lvlJc w:val="left"/>
      <w:lvlText w:val="-"/>
      <w:numFmt w:val="bullet"/>
      <w:start w:val="1"/>
    </w:lvl>
  </w:abstractNum>
  <w:abstractNum w:abstractNumId="162">
    <w:nsid w:val="44380727"/>
    <w:multiLevelType w:val="hybridMultilevel"/>
    <w:lvl w:ilvl="0">
      <w:lvlJc w:val="left"/>
      <w:lvlText w:val="(%1)"/>
      <w:numFmt w:val="lowerLetter"/>
      <w:start w:val="3"/>
    </w:lvl>
  </w:abstractNum>
  <w:abstractNum w:abstractNumId="163">
    <w:nsid w:val="6C053B16"/>
    <w:multiLevelType w:val="hybridMultilevel"/>
    <w:lvl w:ilvl="0">
      <w:lvlJc w:val="left"/>
      <w:lvlText w:val="(%1)"/>
      <w:numFmt w:val="lowerLetter"/>
      <w:start w:val="1"/>
    </w:lvl>
  </w:abstractNum>
  <w:abstractNum w:abstractNumId="164">
    <w:nsid w:val="4F294393"/>
    <w:multiLevelType w:val="hybridMultilevel"/>
    <w:lvl w:ilvl="0">
      <w:lvlJc w:val="left"/>
      <w:lvlText w:val="(%1)"/>
      <w:numFmt w:val="lowerLetter"/>
      <w:start w:val="1"/>
    </w:lvl>
  </w:abstractNum>
  <w:abstractNum w:abstractNumId="165">
    <w:nsid w:val="5243BFAC"/>
    <w:multiLevelType w:val="hybridMultilevel"/>
    <w:lvl w:ilvl="0">
      <w:lvlJc w:val="left"/>
      <w:lvlText w:val="(%1)"/>
      <w:numFmt w:val="lowerLetter"/>
      <w:start w:val="2"/>
    </w:lvl>
  </w:abstractNum>
  <w:abstractNum w:abstractNumId="166">
    <w:nsid w:val="425EB207"/>
    <w:multiLevelType w:val="hybridMultilevel"/>
    <w:lvl w:ilvl="0">
      <w:lvlJc w:val="left"/>
      <w:lvlText w:val="(%1)"/>
      <w:numFmt w:val="lowerLetter"/>
      <w:start w:val="4"/>
    </w:lvl>
  </w:abstractNum>
  <w:abstractNum w:abstractNumId="167">
    <w:nsid w:val="334A6F1F"/>
    <w:multiLevelType w:val="hybridMultilevel"/>
    <w:lvl w:ilvl="0">
      <w:lvlJc w:val="left"/>
      <w:lvlText w:val="(%1)"/>
      <w:numFmt w:val="lowerLetter"/>
      <w:start w:val="1"/>
    </w:lvl>
  </w:abstractNum>
  <w:abstractNum w:abstractNumId="168">
    <w:nsid w:val="2E5B12B8"/>
    <w:multiLevelType w:val="hybridMultilevel"/>
    <w:lvl w:ilvl="0">
      <w:lvlJc w:val="left"/>
      <w:lvlText w:val="(%1)"/>
      <w:numFmt w:val="lowerRoman"/>
      <w:start w:val="10"/>
    </w:lvl>
  </w:abstractNum>
  <w:abstractNum w:abstractNumId="169">
    <w:nsid w:val="5C03D76D"/>
    <w:multiLevelType w:val="hybridMultilevel"/>
    <w:lvl w:ilvl="0">
      <w:lvlJc w:val="left"/>
      <w:lvlText w:val="(%1)"/>
      <w:numFmt w:val="lowerLetter"/>
      <w:start w:val="1"/>
    </w:lvl>
  </w:abstractNum>
  <w:abstractNum w:abstractNumId="170">
    <w:nsid w:val="66A48D11"/>
    <w:multiLevelType w:val="hybridMultilevel"/>
    <w:lvl w:ilvl="0">
      <w:lvlJc w:val="left"/>
      <w:lvlText w:val="(%1)"/>
      <w:numFmt w:val="lowerLetter"/>
      <w:start w:val="1"/>
    </w:lvl>
    <w:lvl w:ilvl="1">
      <w:lvlJc w:val="left"/>
      <w:lvlText w:val="-"/>
      <w:numFmt w:val="bullet"/>
      <w:start w:val="1"/>
    </w:lvl>
  </w:abstractNum>
  <w:abstractNum w:abstractNumId="171">
    <w:nsid w:val="56C28E34"/>
    <w:multiLevelType w:val="hybridMultilevel"/>
    <w:lvl w:ilvl="0">
      <w:lvlJc w:val="left"/>
      <w:lvlText w:val="(%1)"/>
      <w:numFmt w:val="lowerLetter"/>
      <w:start w:val="6"/>
    </w:lvl>
    <w:lvl w:ilvl="1">
      <w:lvlJc w:val="left"/>
      <w:lvlText w:val="-"/>
      <w:numFmt w:val="bullet"/>
      <w:start w:val="1"/>
    </w:lvl>
  </w:abstractNum>
  <w:abstractNum w:abstractNumId="172">
    <w:nsid w:val="13916F2D"/>
    <w:multiLevelType w:val="hybridMultilevel"/>
    <w:lvl w:ilvl="0">
      <w:lvlJc w:val="left"/>
      <w:lvlText w:val="(%1)"/>
      <w:numFmt w:val="lowerLetter"/>
      <w:start w:val="16"/>
    </w:lvl>
  </w:abstractNum>
  <w:abstractNum w:abstractNumId="173">
    <w:nsid w:val="435D38D"/>
    <w:multiLevelType w:val="hybridMultilevel"/>
    <w:lvl w:ilvl="0">
      <w:lvlJc w:val="left"/>
      <w:lvlText w:val="(%1)"/>
      <w:numFmt w:val="lowerLetter"/>
      <w:start w:val="1"/>
    </w:lvl>
    <w:lvl w:ilvl="1">
      <w:lvlJc w:val="left"/>
      <w:lvlText w:val="-"/>
      <w:numFmt w:val="bullet"/>
      <w:start w:val="1"/>
    </w:lvl>
  </w:abstractNum>
  <w:abstractNum w:abstractNumId="174">
    <w:nsid w:val="822C0EF"/>
    <w:multiLevelType w:val="hybridMultilevel"/>
    <w:lvl w:ilvl="0">
      <w:lvlJc w:val="left"/>
      <w:lvlText w:val="(%1)"/>
      <w:numFmt w:val="lowerLetter"/>
      <w:start w:val="18"/>
    </w:lvl>
  </w:abstractNum>
  <w:abstractNum w:abstractNumId="175">
    <w:nsid w:val="57C5BB4F"/>
    <w:multiLevelType w:val="hybridMultilevel"/>
    <w:lvl w:ilvl="0">
      <w:lvlJc w:val="left"/>
      <w:lvlText w:val="(%1)"/>
      <w:numFmt w:val="lowerLetter"/>
      <w:start w:val="27"/>
    </w:lvl>
  </w:abstractNum>
  <w:abstractNum w:abstractNumId="176">
    <w:nsid w:val="1803D089"/>
    <w:multiLevelType w:val="hybridMultilevel"/>
    <w:lvl w:ilvl="0">
      <w:lvlJc w:val="left"/>
      <w:lvlText w:val="(%1)"/>
      <w:numFmt w:val="lowerLetter"/>
      <w:start w:val="1"/>
    </w:lvl>
    <w:lvl w:ilvl="1">
      <w:lvlJc w:val="left"/>
      <w:lvlText w:val="-"/>
      <w:numFmt w:val="bullet"/>
      <w:start w:val="1"/>
    </w:lvl>
  </w:abstractNum>
  <w:abstractNum w:abstractNumId="177">
    <w:nsid w:val="4F3A06D4"/>
    <w:multiLevelType w:val="hybridMultilevel"/>
    <w:lvl w:ilvl="0">
      <w:lvlJc w:val="left"/>
      <w:lvlText w:val="(%1)"/>
      <w:numFmt w:val="lowerLetter"/>
      <w:start w:val="4"/>
    </w:lvl>
    <w:lvl w:ilvl="1">
      <w:lvlJc w:val="left"/>
      <w:lvlText w:val="-"/>
      <w:numFmt w:val="bullet"/>
      <w:start w:val="1"/>
    </w:lvl>
  </w:abstractNum>
  <w:abstractNum w:abstractNumId="178">
    <w:nsid w:val="59A377B6"/>
    <w:multiLevelType w:val="hybridMultilevel"/>
    <w:lvl w:ilvl="0">
      <w:lvlJc w:val="left"/>
      <w:lvlText w:val="(%1)"/>
      <w:numFmt w:val="lowerLetter"/>
      <w:start w:val="17"/>
    </w:lvl>
  </w:abstractNum>
  <w:abstractNum w:abstractNumId="179">
    <w:nsid w:val="48AEB063"/>
    <w:multiLevelType w:val="hybridMultilevel"/>
    <w:lvl w:ilvl="0">
      <w:lvlJc w:val="left"/>
      <w:lvlText w:val="(%1)"/>
      <w:numFmt w:val="lowerLetter"/>
      <w:start w:val="27"/>
    </w:lvl>
    <w:lvl w:ilvl="1">
      <w:lvlJc w:val="left"/>
      <w:lvlText w:val="-"/>
      <w:numFmt w:val="bullet"/>
      <w:start w:val="1"/>
    </w:lvl>
  </w:abstractNum>
  <w:abstractNum w:abstractNumId="180">
    <w:nsid w:val="24E135"/>
    <w:multiLevelType w:val="hybridMultilevel"/>
    <w:lvl w:ilvl="0">
      <w:lvlJc w:val="left"/>
      <w:lvlText w:val="(%1)"/>
      <w:numFmt w:val="lowerLetter"/>
      <w:start w:val="30"/>
    </w:lvl>
  </w:abstractNum>
  <w:abstractNum w:abstractNumId="181">
    <w:nsid w:val="BB13C1"/>
    <w:multiLevelType w:val="hybridMultilevel"/>
    <w:lvl w:ilvl="0">
      <w:lvlJc w:val="left"/>
      <w:lvlText w:val="(%1)"/>
      <w:numFmt w:val="lowerLetter"/>
      <w:start w:val="1"/>
    </w:lvl>
  </w:abstractNum>
  <w:abstractNum w:abstractNumId="182">
    <w:nsid w:val="271210C7"/>
    <w:multiLevelType w:val="hybridMultilevel"/>
    <w:lvl w:ilvl="0">
      <w:lvlJc w:val="left"/>
      <w:lvlText w:val="(%1)"/>
      <w:numFmt w:val="lowerLetter"/>
      <w:start w:val="1"/>
    </w:lvl>
    <w:lvl w:ilvl="1">
      <w:lvlJc w:val="left"/>
      <w:lvlText w:val="-"/>
      <w:numFmt w:val="bullet"/>
      <w:start w:val="1"/>
    </w:lvl>
  </w:abstractNum>
  <w:abstractNum w:abstractNumId="183">
    <w:nsid w:val="217B22E4"/>
    <w:multiLevelType w:val="hybridMultilevel"/>
    <w:lvl w:ilvl="0">
      <w:lvlJc w:val="left"/>
      <w:lvlText w:val="(%1)"/>
      <w:numFmt w:val="lowerLetter"/>
      <w:start w:val="3"/>
    </w:lvl>
  </w:abstractNum>
  <w:abstractNum w:abstractNumId="184">
    <w:nsid w:val="53E31A24"/>
    <w:multiLevelType w:val="hybridMultilevel"/>
    <w:lvl w:ilvl="0">
      <w:lvlJc w:val="left"/>
      <w:lvlText w:val="(%1)"/>
      <w:numFmt w:val="lowerLetter"/>
      <w:start w:val="1"/>
    </w:lvl>
  </w:abstractNum>
  <w:abstractNum w:abstractNumId="185">
    <w:nsid w:val="6DC45E8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6">
    <w:nsid w:val="17304A6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87">
    <w:nsid w:val="2BB180D8"/>
    <w:multiLevelType w:val="hybridMultilevel"/>
    <w:lvl w:ilvl="0">
      <w:lvlJc w:val="left"/>
      <w:lvlText w:val="(%1)"/>
      <w:numFmt w:val="lowerLetter"/>
      <w:start w:val="2"/>
    </w:lvl>
  </w:abstractNum>
  <w:abstractNum w:abstractNumId="188">
    <w:nsid w:val="556B69ED"/>
    <w:multiLevelType w:val="hybridMultilevel"/>
    <w:lvl w:ilvl="0">
      <w:lvlJc w:val="left"/>
      <w:lvlText w:val="(%1)"/>
      <w:numFmt w:val="lowerLetter"/>
      <w:start w:val="1"/>
    </w:lvl>
  </w:abstractNum>
  <w:abstractNum w:abstractNumId="189">
    <w:nsid w:val="70836196"/>
    <w:multiLevelType w:val="hybridMultilevel"/>
    <w:lvl w:ilvl="0">
      <w:lvlJc w:val="left"/>
      <w:lvlText w:val="(%1)"/>
      <w:numFmt w:val="lowerLetter"/>
      <w:start w:val="1"/>
    </w:lvl>
    <w:lvl w:ilvl="1">
      <w:lvlJc w:val="left"/>
      <w:lvlText w:val="-"/>
      <w:numFmt w:val="bullet"/>
      <w:start w:val="1"/>
    </w:lvl>
  </w:abstractNum>
  <w:abstractNum w:abstractNumId="190">
    <w:nsid w:val="539F7F12"/>
    <w:multiLevelType w:val="hybridMultilevel"/>
    <w:lvl w:ilvl="0">
      <w:lvlJc w:val="left"/>
      <w:lvlText w:val="(%1)"/>
      <w:numFmt w:val="upperLetter"/>
      <w:start w:val="2"/>
    </w:lvl>
    <w:lvl w:ilvl="1">
      <w:lvlJc w:val="left"/>
      <w:lvlText w:val="-"/>
      <w:numFmt w:val="bullet"/>
      <w:start w:val="1"/>
    </w:lvl>
  </w:abstractNum>
  <w:abstractNum w:abstractNumId="191">
    <w:nsid w:val="2817E7E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2">
    <w:nsid w:val="71482545"/>
    <w:multiLevelType w:val="hybridMultilevel"/>
    <w:lvl w:ilvl="0">
      <w:lvlJc w:val="left"/>
      <w:lvlText w:val="(%1)"/>
      <w:numFmt w:val="lowerRoman"/>
      <w:start w:val="3"/>
    </w:lvl>
  </w:abstractNum>
  <w:abstractNum w:abstractNumId="193">
    <w:nsid w:val="17D7863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94">
    <w:nsid w:val="141D23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5">
    <w:nsid w:val="407168D8"/>
    <w:multiLevelType w:val="hybridMultilevel"/>
    <w:lvl w:ilvl="0">
      <w:lvlJc w:val="left"/>
      <w:lvlText w:val="(%1)"/>
      <w:numFmt w:val="decimal"/>
      <w:start w:val="15"/>
    </w:lvl>
    <w:lvl w:ilvl="1">
      <w:lvlJc w:val="left"/>
      <w:lvlText w:val="(%2)"/>
      <w:numFmt w:val="lowerLetter"/>
      <w:start w:val="3"/>
    </w:lvl>
    <w:lvl w:ilvl="2">
      <w:lvlJc w:val="left"/>
      <w:lvlText w:val="(%3)"/>
      <w:numFmt w:val="lowerRoman"/>
      <w:start w:val="1"/>
    </w:lvl>
  </w:abstractNum>
  <w:abstractNum w:abstractNumId="196">
    <w:nsid w:val="6A1B45E5"/>
    <w:multiLevelType w:val="hybridMultilevel"/>
    <w:lvl w:ilvl="0">
      <w:lvlJc w:val="left"/>
      <w:lvlText w:val="(%1)"/>
      <w:numFmt w:val="lowerLetter"/>
      <w:start w:val="1"/>
    </w:lvl>
  </w:abstractNum>
  <w:abstractNum w:abstractNumId="197">
    <w:nsid w:val="567BD50A"/>
    <w:multiLevelType w:val="hybridMultilevel"/>
    <w:lvl w:ilvl="0">
      <w:lvlJc w:val="left"/>
      <w:lvlText w:val="(%1)"/>
      <w:numFmt w:val="lowerLetter"/>
      <w:start w:val="1"/>
    </w:lvl>
    <w:lvl w:ilvl="1">
      <w:lvlJc w:val="left"/>
      <w:lvlText w:val="-"/>
      <w:numFmt w:val="bullet"/>
      <w:start w:val="1"/>
    </w:lvl>
  </w:abstractNum>
  <w:abstractNum w:abstractNumId="198">
    <w:nsid w:val="73BBD7F8"/>
    <w:multiLevelType w:val="hybridMultilevel"/>
    <w:lvl w:ilvl="0">
      <w:lvlJc w:val="left"/>
      <w:lvlText w:val="(%1)"/>
      <w:numFmt w:val="lowerLetter"/>
      <w:start w:val="4"/>
    </w:lvl>
  </w:abstractNum>
  <w:abstractNum w:abstractNumId="199">
    <w:nsid w:val="1876589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0">
    <w:nsid w:val="327FAC77"/>
    <w:multiLevelType w:val="hybridMultilevel"/>
    <w:lvl w:ilvl="0">
      <w:lvlJc w:val="left"/>
      <w:lvlText w:val="(%1)"/>
      <w:numFmt w:val="lowerLetter"/>
      <w:start w:val="1"/>
    </w:lvl>
  </w:abstractNum>
  <w:abstractNum w:abstractNumId="201">
    <w:nsid w:val="5A60650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2">
    <w:nsid w:val="6F38E6D1"/>
    <w:multiLevelType w:val="hybridMultilevel"/>
    <w:lvl w:ilvl="0">
      <w:lvlJc w:val="left"/>
      <w:lvlText w:val="(%1)"/>
      <w:numFmt w:val="lowerRoman"/>
      <w:start w:val="2"/>
    </w:lvl>
  </w:abstractNum>
  <w:abstractNum w:abstractNumId="203">
    <w:nsid w:val="46111BA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4">
    <w:nsid w:val="5E963896"/>
    <w:multiLevelType w:val="hybridMultilevel"/>
    <w:lvl w:ilvl="0">
      <w:lvlJc w:val="left"/>
      <w:lvlText w:val="(%1)"/>
      <w:numFmt w:val="lowerLetter"/>
      <w:start w:val="4"/>
    </w:lvl>
  </w:abstractNum>
  <w:abstractNum w:abstractNumId="205">
    <w:nsid w:val="775BA7C1"/>
    <w:multiLevelType w:val="hybridMultilevel"/>
    <w:lvl w:ilvl="0">
      <w:lvlJc w:val="left"/>
      <w:lvlText w:val="(%1)"/>
      <w:numFmt w:val="lowerLetter"/>
      <w:start w:val="1"/>
    </w:lvl>
  </w:abstractNum>
  <w:abstractNum w:abstractNumId="206">
    <w:nsid w:val="1DD6D6F4"/>
    <w:multiLevelType w:val="hybridMultilevel"/>
    <w:lvl w:ilvl="0">
      <w:lvlJc w:val="left"/>
      <w:lvlText w:val="(%1)"/>
      <w:numFmt w:val="lowerLetter"/>
      <w:start w:val="2"/>
    </w:lvl>
    <w:lvl w:ilvl="1">
      <w:lvlJc w:val="left"/>
      <w:lvlText w:val="-"/>
      <w:numFmt w:val="bullet"/>
      <w:start w:val="1"/>
    </w:lvl>
  </w:abstractNum>
  <w:abstractNum w:abstractNumId="207">
    <w:nsid w:val="769A091F"/>
    <w:multiLevelType w:val="hybridMultilevel"/>
    <w:lvl w:ilvl="0">
      <w:lvlJc w:val="left"/>
      <w:lvlText w:val="(%1)"/>
      <w:numFmt w:val="lowerLetter"/>
      <w:start w:val="1"/>
    </w:lvl>
  </w:abstractNum>
  <w:abstractNum w:abstractNumId="208">
    <w:nsid w:val="4695AE95"/>
    <w:multiLevelType w:val="hybridMultilevel"/>
    <w:lvl w:ilvl="0">
      <w:lvlJc w:val="left"/>
      <w:lvlText w:val="(%1)"/>
      <w:numFmt w:val="lowerLetter"/>
      <w:start w:val="7"/>
    </w:lvl>
    <w:lvl w:ilvl="1">
      <w:lvlJc w:val="left"/>
      <w:lvlText w:val="-"/>
      <w:numFmt w:val="bullet"/>
      <w:start w:val="1"/>
    </w:lvl>
  </w:abstractNum>
  <w:abstractNum w:abstractNumId="209">
    <w:nsid w:val="777A4EAA"/>
    <w:multiLevelType w:val="hybridMultilevel"/>
    <w:lvl w:ilvl="0">
      <w:lvlJc w:val="left"/>
      <w:lvlText w:val="(%1)"/>
      <w:numFmt w:val="lowerLetter"/>
      <w:start w:val="10"/>
    </w:lvl>
  </w:abstractNum>
  <w:abstractNum w:abstractNumId="210">
    <w:nsid w:val="3F48B982"/>
    <w:multiLevelType w:val="hybridMultilevel"/>
    <w:lvl w:ilvl="0">
      <w:lvlJc w:val="left"/>
      <w:lvlText w:val="(%1)"/>
      <w:numFmt w:val="lowerLetter"/>
      <w:start w:val="1"/>
    </w:lvl>
    <w:lvl w:ilvl="1">
      <w:lvlJc w:val="left"/>
      <w:lvlText w:val="-"/>
      <w:numFmt w:val="bullet"/>
      <w:start w:val="1"/>
    </w:lvl>
  </w:abstractNum>
  <w:abstractNum w:abstractNumId="211">
    <w:nsid w:val="46BA8FCA"/>
    <w:multiLevelType w:val="hybridMultilevel"/>
    <w:lvl w:ilvl="0">
      <w:lvlJc w:val="left"/>
      <w:lvlText w:val="(%1)"/>
      <w:numFmt w:val="lowerLetter"/>
      <w:start w:val="2"/>
    </w:lvl>
  </w:abstractNum>
  <w:abstractNum w:abstractNumId="212">
    <w:nsid w:val="7835626C"/>
    <w:multiLevelType w:val="hybridMultilevel"/>
    <w:lvl w:ilvl="0">
      <w:lvlJc w:val="left"/>
      <w:lvlText w:val="(%1)"/>
      <w:numFmt w:val="lowerLetter"/>
      <w:start w:val="1"/>
    </w:lvl>
    <w:lvl w:ilvl="1">
      <w:lvlJc w:val="left"/>
      <w:lvlText w:val="-"/>
      <w:numFmt w:val="bullet"/>
      <w:start w:val="1"/>
    </w:lvl>
  </w:abstractNum>
  <w:abstractNum w:abstractNumId="213">
    <w:nsid w:val="665ACA49"/>
    <w:multiLevelType w:val="hybridMultilevel"/>
    <w:lvl w:ilvl="0">
      <w:lvlJc w:val="left"/>
      <w:lvlText w:val="(%1)"/>
      <w:numFmt w:val="lowerLetter"/>
      <w:start w:val="2"/>
    </w:lvl>
  </w:abstractNum>
  <w:abstractNum w:abstractNumId="214">
    <w:nsid w:val="6835B2AE"/>
    <w:multiLevelType w:val="hybridMultilevel"/>
    <w:lvl w:ilvl="0">
      <w:lvlJc w:val="left"/>
      <w:lvlText w:val="(%1)"/>
      <w:numFmt w:val="lowerRoman"/>
      <w:start w:val="1"/>
    </w:lvl>
  </w:abstractNum>
  <w:abstractNum w:abstractNumId="215">
    <w:nsid w:val="4C187C90"/>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16">
    <w:nsid w:val="541F28CD"/>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17">
    <w:nsid w:val="7F65FD16"/>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218">
    <w:nsid w:val="77C9FD68"/>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19">
    <w:nsid w:val="298A92BA"/>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20">
    <w:nsid w:val="6FE95EAC"/>
    <w:multiLevelType w:val="hybridMultilevel"/>
    <w:lvl w:ilvl="0">
      <w:lvlJc w:val="left"/>
      <w:lvlText w:val="(%1)"/>
      <w:numFmt w:val="lowerLetter"/>
      <w:start w:val="1"/>
    </w:lvl>
    <w:lvl w:ilvl="1">
      <w:lvlJc w:val="left"/>
      <w:lvlText w:val="(%2)"/>
      <w:numFmt w:val="lowerRoman"/>
      <w:start w:val="1"/>
    </w:lvl>
  </w:abstractNum>
  <w:abstractNum w:abstractNumId="221">
    <w:nsid w:val="4B697C7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22">
    <w:nsid w:val="51A27AA6"/>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223">
    <w:nsid w:val="613183F2"/>
    <w:multiLevelType w:val="hybridMultilevel"/>
    <w:lvl w:ilvl="0">
      <w:lvlJc w:val="left"/>
      <w:lvlText w:val="(%1)"/>
      <w:numFmt w:val="lowerLetter"/>
      <w:start w:val="5"/>
    </w:lvl>
  </w:abstractNum>
  <w:abstractNum w:abstractNumId="224">
    <w:nsid w:val="634102B4"/>
    <w:multiLevelType w:val="hybridMultilevel"/>
    <w:lvl w:ilvl="0">
      <w:lvlJc w:val="left"/>
      <w:lvlText w:val="(%1)"/>
      <w:numFmt w:val="lowerLetter"/>
      <w:start w:val="1"/>
    </w:lvl>
    <w:lvl w:ilvl="1">
      <w:lvlJc w:val="left"/>
      <w:lvlText w:val="-"/>
      <w:numFmt w:val="bullet"/>
      <w:start w:val="1"/>
    </w:lvl>
  </w:abstractNum>
  <w:abstractNum w:abstractNumId="225">
    <w:nsid w:val="65BF9DA8"/>
    <w:multiLevelType w:val="hybridMultilevel"/>
    <w:lvl w:ilvl="0">
      <w:lvlJc w:val="left"/>
      <w:lvlText w:val="(%1)"/>
      <w:numFmt w:val="lowerLetter"/>
      <w:start w:val="5"/>
    </w:lvl>
  </w:abstractNum>
  <w:abstractNum w:abstractNumId="226">
    <w:nsid w:val="21A2ECCA"/>
    <w:multiLevelType w:val="hybridMultilevel"/>
    <w:lvl w:ilvl="0">
      <w:lvlJc w:val="left"/>
      <w:lvlText w:val="(%1)"/>
      <w:numFmt w:val="lowerLetter"/>
      <w:start w:val="1"/>
    </w:lvl>
    <w:lvl w:ilvl="1">
      <w:lvlJc w:val="left"/>
      <w:lvlText w:val="-"/>
      <w:numFmt w:val="bullet"/>
      <w:start w:val="1"/>
    </w:lvl>
  </w:abstractNum>
  <w:abstractNum w:abstractNumId="227">
    <w:nsid w:val="4D5C4899"/>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28">
    <w:nsid w:val="3C3B72B2"/>
    <w:multiLevelType w:val="hybridMultilevel"/>
    <w:lvl w:ilvl="0">
      <w:lvlJc w:val="left"/>
      <w:lvlText w:val="(%1)"/>
      <w:numFmt w:val="lowerLetter"/>
      <w:start w:val="10"/>
    </w:lvl>
    <w:lvl w:ilvl="1">
      <w:lvlJc w:val="left"/>
      <w:lvlText w:val="-"/>
      <w:numFmt w:val="bullet"/>
      <w:start w:val="1"/>
    </w:lvl>
  </w:abstractNum>
  <w:abstractNum w:abstractNumId="229">
    <w:nsid w:val="155EC4C2"/>
    <w:multiLevelType w:val="hybridMultilevel"/>
    <w:lvl w:ilvl="0">
      <w:lvlJc w:val="left"/>
      <w:lvlText w:val="(%1)"/>
      <w:numFmt w:val="lowerLetter"/>
      <w:start w:val="19"/>
    </w:lvl>
  </w:abstractNum>
  <w:abstractNum w:abstractNumId="230">
    <w:nsid w:val="65D2A13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1">
    <w:nsid w:val="6EBB1F2A"/>
    <w:multiLevelType w:val="hybridMultilevel"/>
    <w:lvl w:ilvl="0">
      <w:lvlJc w:val="left"/>
      <w:lvlText w:val="%1"/>
      <w:numFmt w:val="lowerLetter"/>
      <w:start w:val="1"/>
    </w:lvl>
    <w:lvl w:ilvl="1">
      <w:lvlJc w:val="left"/>
      <w:lvlText w:val="(%2)"/>
      <w:numFmt w:val="lowerLetter"/>
      <w:start w:val="35"/>
    </w:lvl>
  </w:abstractNum>
  <w:abstractNum w:abstractNumId="232">
    <w:nsid w:val="6FBF29CB"/>
    <w:multiLevelType w:val="hybridMultilevel"/>
    <w:lvl w:ilvl="0">
      <w:lvlJc w:val="left"/>
      <w:lvlText w:val="(%1)"/>
      <w:numFmt w:val="lowerLetter"/>
      <w:start w:val="5"/>
    </w:lvl>
    <w:lvl w:ilvl="1">
      <w:lvlJc w:val="left"/>
      <w:lvlText w:val="(%2)"/>
      <w:numFmt w:val="lowerLetter"/>
      <w:start w:val="9"/>
    </w:lvl>
  </w:abstractNum>
  <w:abstractNum w:abstractNumId="233">
    <w:nsid w:val="550B8808"/>
    <w:multiLevelType w:val="hybridMultilevel"/>
    <w:lvl w:ilvl="0">
      <w:lvlJc w:val="left"/>
      <w:lvlText w:val="%1"/>
      <w:numFmt w:val="lowerLetter"/>
      <w:start w:val="1"/>
    </w:lvl>
    <w:lvl w:ilvl="1">
      <w:lvlJc w:val="left"/>
      <w:lvlText w:val="(%2)"/>
      <w:numFmt w:val="lowerLetter"/>
      <w:start w:val="35"/>
    </w:lvl>
  </w:abstractNum>
  <w:abstractNum w:abstractNumId="234">
    <w:nsid w:val="34CC3ACF"/>
    <w:multiLevelType w:val="hybridMultilevel"/>
    <w:lvl w:ilvl="0">
      <w:lvlJc w:val="left"/>
      <w:lvlText w:val="(%1)"/>
      <w:numFmt w:val="lowerLetter"/>
      <w:start w:val="7"/>
    </w:lvl>
    <w:lvl w:ilvl="1">
      <w:lvlJc w:val="left"/>
      <w:lvlText w:val="%2"/>
      <w:numFmt w:val="lowerLetter"/>
      <w:start w:val="1"/>
    </w:lvl>
  </w:abstractNum>
  <w:abstractNum w:abstractNumId="235">
    <w:nsid w:val="4E556261"/>
    <w:multiLevelType w:val="hybridMultilevel"/>
    <w:lvl w:ilvl="0">
      <w:lvlJc w:val="left"/>
      <w:lvlText w:val="(%1)"/>
      <w:numFmt w:val="lowerLetter"/>
      <w:start w:val="1"/>
    </w:lvl>
  </w:abstractNum>
  <w:abstractNum w:abstractNumId="236">
    <w:nsid w:val="4C672FC9"/>
    <w:multiLevelType w:val="hybridMultilevel"/>
    <w:lvl w:ilvl="0">
      <w:lvlJc w:val="left"/>
      <w:lvlText w:val="(%1)"/>
      <w:numFmt w:val="lowerLetter"/>
      <w:start w:val="1"/>
    </w:lvl>
  </w:abstractNum>
  <w:abstractNum w:abstractNumId="237">
    <w:nsid w:val="52A311C3"/>
    <w:multiLevelType w:val="hybridMultilevel"/>
    <w:lvl w:ilvl="0">
      <w:lvlJc w:val="left"/>
      <w:lvlText w:val="(%1)"/>
      <w:numFmt w:val="lowerLetter"/>
      <w:start w:val="1"/>
    </w:lvl>
  </w:abstractNum>
  <w:abstractNum w:abstractNumId="238">
    <w:nsid w:val="44EF6B80"/>
    <w:multiLevelType w:val="hybridMultilevel"/>
    <w:lvl w:ilvl="0">
      <w:lvlJc w:val="left"/>
      <w:lvlText w:val="(%1)"/>
      <w:numFmt w:val="lowerLetter"/>
      <w:start w:val="1"/>
    </w:lvl>
  </w:abstractNum>
  <w:abstractNum w:abstractNumId="239">
    <w:nsid w:val="12FCDE5E"/>
    <w:multiLevelType w:val="hybridMultilevel"/>
    <w:lvl w:ilvl="0">
      <w:lvlJc w:val="left"/>
      <w:lvlText w:val="(%1)"/>
      <w:numFmt w:val="lowerLetter"/>
      <w:start w:val="1"/>
    </w:lvl>
    <w:lvl w:ilvl="1">
      <w:lvlJc w:val="left"/>
      <w:lvlText w:val="-"/>
      <w:numFmt w:val="bullet"/>
      <w:start w:val="1"/>
    </w:lvl>
  </w:abstractNum>
  <w:abstractNum w:abstractNumId="240">
    <w:nsid w:val="4A1D606E"/>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241">
    <w:nsid w:val="4382503"/>
    <w:multiLevelType w:val="hybridMultilevel"/>
    <w:lvl w:ilvl="0">
      <w:lvlJc w:val="left"/>
      <w:lvlText w:val="(%1)"/>
      <w:numFmt w:val="lowerLetter"/>
      <w:start w:val="5"/>
    </w:lvl>
  </w:abstractNum>
  <w:abstractNum w:abstractNumId="242">
    <w:nsid w:val="59B76E28"/>
    <w:multiLevelType w:val="hybridMultilevel"/>
    <w:lvl w:ilvl="0">
      <w:lvlJc w:val="left"/>
      <w:lvlText w:val="(%1)"/>
      <w:numFmt w:val="lowerLetter"/>
      <w:start w:val="1"/>
    </w:lvl>
    <w:lvl w:ilvl="1">
      <w:lvlJc w:val="left"/>
      <w:lvlText w:val="-"/>
      <w:numFmt w:val="bullet"/>
      <w:start w:val="1"/>
    </w:lvl>
  </w:abstractNum>
  <w:abstractNum w:abstractNumId="243">
    <w:nsid w:val="4252C2DA"/>
    <w:multiLevelType w:val="hybridMultilevel"/>
    <w:lvl w:ilvl="0">
      <w:lvlJc w:val="left"/>
      <w:lvlText w:val="(%1)"/>
      <w:numFmt w:val="lowerLetter"/>
      <w:start w:val="4"/>
    </w:lvl>
  </w:abstractNum>
  <w:abstractNum w:abstractNumId="244">
    <w:nsid w:val="6A92EF4C"/>
    <w:multiLevelType w:val="hybridMultilevel"/>
    <w:lvl w:ilvl="0">
      <w:lvlJc w:val="left"/>
      <w:lvlText w:val="(%1)"/>
      <w:numFmt w:val="lowerRoman"/>
      <w:start w:val="1"/>
    </w:lvl>
    <w:lvl w:ilvl="1">
      <w:lvlJc w:val="left"/>
      <w:lvlText w:val="-"/>
      <w:numFmt w:val="bullet"/>
      <w:start w:val="1"/>
    </w:lvl>
  </w:abstractNum>
  <w:abstractNum w:abstractNumId="245">
    <w:nsid w:val="41ED20D7"/>
    <w:multiLevelType w:val="hybridMultilevel"/>
    <w:lvl w:ilvl="0">
      <w:lvlJc w:val="left"/>
      <w:lvlText w:val="(%1)"/>
      <w:numFmt w:val="lowerLetter"/>
      <w:start w:val="2"/>
    </w:lvl>
  </w:abstractNum>
  <w:abstractNum w:abstractNumId="246">
    <w:nsid w:val="E6B3F6A"/>
    <w:multiLevelType w:val="hybridMultilevel"/>
    <w:lvl w:ilvl="0">
      <w:lvlJc w:val="left"/>
      <w:lvlText w:val="(%1)"/>
      <w:numFmt w:val="lowerLetter"/>
      <w:start w:val="5"/>
    </w:lvl>
  </w:abstractNum>
  <w:abstractNum w:abstractNumId="247">
    <w:nsid w:val="3EB21819"/>
    <w:multiLevelType w:val="hybridMultilevel"/>
    <w:lvl w:ilvl="0">
      <w:lvlJc w:val="left"/>
      <w:lvlText w:val="(%1)"/>
      <w:numFmt w:val="lowerLetter"/>
      <w:start w:val="1"/>
    </w:lvl>
    <w:lvl w:ilvl="1">
      <w:lvlJc w:val="left"/>
      <w:lvlText w:val="-"/>
      <w:numFmt w:val="bullet"/>
      <w:start w:val="1"/>
    </w:lvl>
  </w:abstractNum>
  <w:abstractNum w:abstractNumId="248">
    <w:nsid w:val="41531DED"/>
    <w:multiLevelType w:val="hybridMultilevel"/>
    <w:lvl w:ilvl="0">
      <w:lvlJc w:val="left"/>
      <w:lvlText w:val="(%1)"/>
      <w:numFmt w:val="lowerLetter"/>
      <w:start w:val="4"/>
    </w:lvl>
    <w:lvl w:ilvl="1">
      <w:lvlJc w:val="left"/>
      <w:lvlText w:val="-"/>
      <w:numFmt w:val="bullet"/>
      <w:start w:val="1"/>
    </w:lvl>
  </w:abstractNum>
  <w:abstractNum w:abstractNumId="249">
    <w:nsid w:val="6353CD2"/>
    <w:multiLevelType w:val="hybridMultilevel"/>
    <w:lvl w:ilvl="0">
      <w:lvlJc w:val="left"/>
      <w:lvlText w:val="(%1)"/>
      <w:numFmt w:val="lowerLetter"/>
      <w:start w:val="10"/>
    </w:lvl>
    <w:lvl w:ilvl="1">
      <w:lvlJc w:val="left"/>
      <w:lvlText w:val="(%2)"/>
      <w:numFmt w:val="lowerRoman"/>
      <w:start w:val="1"/>
    </w:lvl>
  </w:abstractNum>
  <w:abstractNum w:abstractNumId="250">
    <w:nsid w:val="683CAAD3"/>
    <w:multiLevelType w:val="hybridMultilevel"/>
    <w:lvl w:ilvl="0">
      <w:lvlJc w:val="left"/>
      <w:lvlText w:val="(%1)"/>
      <w:numFmt w:val="lowerLetter"/>
      <w:start w:val="12"/>
    </w:lvl>
    <w:lvl w:ilvl="1">
      <w:lvlJc w:val="left"/>
      <w:lvlText w:val="-"/>
      <w:numFmt w:val="bullet"/>
      <w:start w:val="1"/>
    </w:lvl>
  </w:abstractNum>
  <w:abstractNum w:abstractNumId="251">
    <w:nsid w:val="313C7C99"/>
    <w:multiLevelType w:val="hybridMultilevel"/>
    <w:lvl w:ilvl="0">
      <w:lvlJc w:val="left"/>
      <w:lvlText w:val="(%1)"/>
      <w:numFmt w:val="lowerLetter"/>
      <w:start w:val="13"/>
    </w:lvl>
    <w:lvl w:ilvl="1">
      <w:lvlJc w:val="left"/>
      <w:lvlText w:val="(%2)"/>
      <w:numFmt w:val="lowerRoman"/>
      <w:start w:val="1"/>
    </w:lvl>
  </w:abstractNum>
  <w:abstractNum w:abstractNumId="252">
    <w:nsid w:val="519EB94C"/>
    <w:multiLevelType w:val="hybridMultilevel"/>
    <w:lvl w:ilvl="0">
      <w:lvlJc w:val="left"/>
      <w:lvlText w:val="(%1)"/>
      <w:numFmt w:val="lowerLetter"/>
      <w:start w:val="16"/>
    </w:lvl>
    <w:lvl w:ilvl="1">
      <w:lvlJc w:val="left"/>
      <w:lvlText w:val="-"/>
      <w:numFmt w:val="bullet"/>
      <w:start w:val="1"/>
    </w:lvl>
  </w:abstractNum>
  <w:abstractNum w:abstractNumId="253">
    <w:nsid w:val="39DF2579"/>
    <w:multiLevelType w:val="hybridMultilevel"/>
    <w:lvl w:ilvl="0">
      <w:lvlJc w:val="left"/>
      <w:lvlText w:val="%1"/>
      <w:numFmt w:val="upperLetter"/>
      <w:start w:val="1"/>
    </w:lvl>
    <w:lvl w:ilvl="1">
      <w:lvlJc w:val="left"/>
      <w:lvlText w:val="(%2)"/>
      <w:numFmt w:val="lowerLetter"/>
      <w:start w:val="18"/>
    </w:lvl>
  </w:abstractNum>
  <w:abstractNum w:abstractNumId="254">
    <w:nsid w:val="126E008B"/>
    <w:multiLevelType w:val="hybridMultilevel"/>
    <w:lvl w:ilvl="0">
      <w:lvlJc w:val="left"/>
      <w:lvlText w:val="(%1)"/>
      <w:numFmt w:val="upperLetter"/>
      <w:start w:val="3"/>
    </w:lvl>
    <w:lvl w:ilvl="1">
      <w:lvlJc w:val="left"/>
      <w:lvlText w:val="%2"/>
      <w:numFmt w:val="lowerLetter"/>
      <w:start w:val="1"/>
    </w:lvl>
  </w:abstractNum>
  <w:abstractNum w:abstractNumId="255">
    <w:nsid w:val="34DFBC00"/>
    <w:multiLevelType w:val="hybridMultilevel"/>
    <w:lvl w:ilvl="0">
      <w:lvlJc w:val="left"/>
      <w:lvlText w:val="(%1)"/>
      <w:numFmt w:val="lowerLetter"/>
      <w:start w:val="1"/>
    </w:lvl>
  </w:abstractNum>
  <w:abstractNum w:abstractNumId="256">
    <w:nsid w:val="1F9EC322"/>
    <w:multiLevelType w:val="hybridMultilevel"/>
    <w:lvl w:ilvl="0">
      <w:lvlJc w:val="left"/>
      <w:lvlText w:val="(%1)"/>
      <w:numFmt w:val="lowerLetter"/>
      <w:start w:val="1"/>
    </w:lvl>
    <w:lvl w:ilvl="1">
      <w:lvlJc w:val="left"/>
      <w:lvlText w:val="-"/>
      <w:numFmt w:val="bullet"/>
      <w:start w:val="1"/>
    </w:lvl>
  </w:abstractNum>
  <w:abstractNum w:abstractNumId="257">
    <w:nsid w:val="3410ED56"/>
    <w:multiLevelType w:val="hybridMultilevel"/>
    <w:lvl w:ilvl="0">
      <w:lvlJc w:val="left"/>
      <w:lvlText w:val="(%1)"/>
      <w:numFmt w:val="lowerLetter"/>
      <w:start w:val="1"/>
    </w:lvl>
  </w:abstractNum>
  <w:abstractNum w:abstractNumId="258">
    <w:nsid w:val="23C049A"/>
    <w:multiLevelType w:val="hybridMultilevel"/>
    <w:lvl w:ilvl="0">
      <w:lvlJc w:val="left"/>
      <w:lvlText w:val="(%1)"/>
      <w:numFmt w:val="lowerLetter"/>
      <w:start w:val="1"/>
    </w:lvl>
    <w:lvl w:ilvl="1">
      <w:lvlJc w:val="left"/>
      <w:lvlText w:val="-"/>
      <w:numFmt w:val="bullet"/>
      <w:start w:val="1"/>
    </w:lvl>
  </w:abstractNum>
  <w:abstractNum w:abstractNumId="259">
    <w:nsid w:val="5BDA35D4"/>
    <w:multiLevelType w:val="hybridMultilevel"/>
    <w:lvl w:ilvl="0">
      <w:lvlJc w:val="left"/>
      <w:lvlText w:val="(%1)"/>
      <w:numFmt w:val="lowerLetter"/>
      <w:start w:val="1"/>
    </w:lvl>
  </w:abstractNum>
  <w:abstractNum w:abstractNumId="260">
    <w:nsid w:val="496FB218"/>
    <w:multiLevelType w:val="hybridMultilevel"/>
    <w:lvl w:ilvl="0">
      <w:lvlJc w:val="left"/>
      <w:lvlText w:val="(%1)"/>
      <w:numFmt w:val="lowerLetter"/>
      <w:start w:val="1"/>
    </w:lvl>
    <w:lvl w:ilvl="1">
      <w:lvlJc w:val="left"/>
      <w:lvlText w:val="-"/>
      <w:numFmt w:val="bullet"/>
      <w:start w:val="1"/>
    </w:lvl>
  </w:abstractNum>
  <w:abstractNum w:abstractNumId="261">
    <w:nsid w:val="680EA5D1"/>
    <w:multiLevelType w:val="hybridMultilevel"/>
    <w:lvl w:ilvl="0">
      <w:lvlJc w:val="left"/>
      <w:lvlText w:val="(%1)"/>
      <w:numFmt w:val="lowerLetter"/>
      <w:start w:val="1"/>
    </w:lvl>
  </w:abstractNum>
  <w:abstractNum w:abstractNumId="262">
    <w:nsid w:val="4A9554FE"/>
    <w:multiLevelType w:val="hybridMultilevel"/>
    <w:lvl w:ilvl="0">
      <w:lvlJc w:val="left"/>
      <w:lvlText w:val="[***]"/>
      <w:numFmt w:val="bullet"/>
      <w:start w:val="1"/>
    </w:lvl>
  </w:abstractNum>
  <w:abstractNum w:abstractNumId="263">
    <w:nsid w:val="392EDBE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4">
    <w:nsid w:val="3D1A2DD9"/>
    <w:multiLevelType w:val="hybridMultilevel"/>
    <w:lvl w:ilvl="0">
      <w:lvlJc w:val="left"/>
      <w:lvlText w:val="(%1)"/>
      <w:numFmt w:val="lowerRoman"/>
      <w:start w:val="4"/>
    </w:lvl>
  </w:abstractNum>
  <w:abstractNum w:abstractNumId="265">
    <w:nsid w:val="7F618FCD"/>
    <w:multiLevelType w:val="hybridMultilevel"/>
    <w:lvl w:ilvl="0">
      <w:lvlJc w:val="left"/>
      <w:lvlText w:val="(%1)"/>
      <w:numFmt w:val="lowerLetter"/>
      <w:start w:val="1"/>
    </w:lvl>
  </w:abstractNum>
  <w:abstractNum w:abstractNumId="266">
    <w:nsid w:val="7843E45"/>
    <w:multiLevelType w:val="hybridMultilevel"/>
    <w:lvl w:ilvl="0">
      <w:lvlJc w:val="left"/>
      <w:lvlText w:val="(%1)"/>
      <w:numFmt w:val="lowerLetter"/>
      <w:start w:val="1"/>
    </w:lvl>
  </w:abstractNum>
  <w:abstractNum w:abstractNumId="267">
    <w:nsid w:val="9815DA3"/>
    <w:multiLevelType w:val="hybridMultilevel"/>
    <w:lvl w:ilvl="0">
      <w:lvlJc w:val="left"/>
      <w:lvlText w:val="(%1)"/>
      <w:numFmt w:val="lowerLetter"/>
      <w:start w:val="1"/>
    </w:lvl>
  </w:abstractNum>
  <w:abstractNum w:abstractNumId="268">
    <w:nsid w:val="5204A191"/>
    <w:multiLevelType w:val="hybridMultilevel"/>
    <w:lvl w:ilvl="0">
      <w:lvlJc w:val="left"/>
      <w:lvlText w:val="(%1)"/>
      <w:numFmt w:val="lowerLetter"/>
      <w:start w:val="1"/>
    </w:lvl>
    <w:lvl w:ilvl="1">
      <w:lvlJc w:val="left"/>
      <w:lvlText w:val="-"/>
      <w:numFmt w:val="bullet"/>
      <w:start w:val="1"/>
    </w:lvl>
  </w:abstractNum>
  <w:abstractNum w:abstractNumId="269">
    <w:nsid w:val="4C73A9C6"/>
    <w:multiLevelType w:val="hybridMultilevel"/>
    <w:lvl w:ilvl="0">
      <w:lvlJc w:val="left"/>
      <w:lvlText w:val="(%1)"/>
      <w:numFmt w:val="lowerLetter"/>
      <w:start w:val="5"/>
    </w:lvl>
    <w:lvl w:ilvl="1">
      <w:lvlJc w:val="left"/>
      <w:lvlText w:val="-"/>
      <w:numFmt w:val="bullet"/>
      <w:start w:val="1"/>
    </w:lvl>
  </w:abstractNum>
  <w:abstractNum w:abstractNumId="270">
    <w:nsid w:val="1C7E3C01"/>
    <w:multiLevelType w:val="hybridMultilevel"/>
    <w:lvl w:ilvl="0">
      <w:lvlJc w:val="left"/>
      <w:lvlText w:val="(%1)"/>
      <w:numFmt w:val="lowerLetter"/>
      <w:start w:val="1"/>
    </w:lvl>
    <w:lvl w:ilvl="1">
      <w:lvlJc w:val="left"/>
      <w:lvlText w:val="-"/>
      <w:numFmt w:val="bullet"/>
      <w:start w:val="1"/>
    </w:lvl>
  </w:abstractNum>
  <w:abstractNum w:abstractNumId="271">
    <w:nsid w:val="1C2201FF"/>
    <w:multiLevelType w:val="hybridMultilevel"/>
    <w:lvl w:ilvl="0">
      <w:lvlJc w:val="left"/>
      <w:lvlText w:val="(%1)"/>
      <w:numFmt w:val="lowerLetter"/>
      <w:start w:val="2"/>
    </w:lvl>
  </w:abstractNum>
  <w:abstractNum w:abstractNumId="272">
    <w:nsid w:val="50ABCEC9"/>
    <w:multiLevelType w:val="hybridMultilevel"/>
    <w:lvl w:ilvl="0">
      <w:lvlJc w:val="left"/>
      <w:lvlText w:val="(%1)"/>
      <w:numFmt w:val="lowerLetter"/>
      <w:start w:val="1"/>
    </w:lvl>
    <w:lvl w:ilvl="1">
      <w:lvlJc w:val="left"/>
      <w:lvlText w:val="-"/>
      <w:numFmt w:val="bullet"/>
      <w:start w:val="1"/>
    </w:lvl>
  </w:abstractNum>
  <w:abstractNum w:abstractNumId="273">
    <w:nsid w:val="7635AA2A"/>
    <w:multiLevelType w:val="hybridMultilevel"/>
    <w:lvl w:ilvl="0">
      <w:lvlJc w:val="left"/>
      <w:lvlText w:val="(%1)"/>
      <w:numFmt w:val="lowerLetter"/>
      <w:start w:val="3"/>
    </w:lvl>
    <w:lvl w:ilvl="1">
      <w:lvlJc w:val="left"/>
      <w:lvlText w:val="-"/>
      <w:numFmt w:val="bullet"/>
      <w:start w:val="1"/>
    </w:lvl>
  </w:abstractNum>
  <w:abstractNum w:abstractNumId="274">
    <w:nsid w:val="5E74C4D9"/>
    <w:multiLevelType w:val="hybridMultilevel"/>
    <w:lvl w:ilvl="0">
      <w:lvlJc w:val="left"/>
      <w:lvlText w:val="[***]"/>
      <w:numFmt w:val="bullet"/>
      <w:start w:val="1"/>
    </w:lvl>
    <w:lvl w:ilvl="1">
      <w:lvlJc w:val="left"/>
      <w:lvlText w:val="(%2)"/>
      <w:numFmt w:val="lowerLetter"/>
      <w:start w:val="8"/>
    </w:lvl>
  </w:abstractNum>
  <w:abstractNum w:abstractNumId="275">
    <w:nsid w:val="3B3EBE15"/>
    <w:multiLevelType w:val="hybridMultilevel"/>
    <w:lvl w:ilvl="0">
      <w:lvlJc w:val="left"/>
      <w:lvlText w:val="[***]"/>
      <w:numFmt w:val="bullet"/>
      <w:start w:val="1"/>
    </w:lvl>
    <w:lvl w:ilvl="1">
      <w:lvlJc w:val="left"/>
      <w:lvlText w:val="(%2)"/>
      <w:numFmt w:val="lowerLetter"/>
      <w:start w:val="9"/>
    </w:lvl>
  </w:abstractNum>
  <w:abstractNum w:abstractNumId="276">
    <w:nsid w:val="3822CB01"/>
    <w:multiLevelType w:val="hybridMultilevel"/>
    <w:lvl w:ilvl="0">
      <w:lvlJc w:val="left"/>
      <w:lvlText w:val="(%1)"/>
      <w:numFmt w:val="lowerLetter"/>
      <w:start w:val="1"/>
    </w:lvl>
  </w:abstractNum>
  <w:abstractNum w:abstractNumId="277">
    <w:nsid w:val="6CE00443"/>
    <w:multiLevelType w:val="hybridMultilevel"/>
    <w:lvl w:ilvl="0">
      <w:lvlJc w:val="left"/>
      <w:lvlText w:val="(%1)"/>
      <w:numFmt w:val="lowerLetter"/>
      <w:start w:val="1"/>
    </w:lvl>
  </w:abstractNum>
  <w:abstractNum w:abstractNumId="278">
    <w:nsid w:val="79F0D62F"/>
    <w:multiLevelType w:val="hybridMultilevel"/>
    <w:lvl w:ilvl="0">
      <w:lvlJc w:val="left"/>
      <w:lvlText w:val="(%1)"/>
      <w:numFmt w:val="lowerLetter"/>
      <w:start w:val="1"/>
    </w:lvl>
    <w:lvl w:ilvl="1">
      <w:lvlJc w:val="left"/>
      <w:lvlText w:val="-"/>
      <w:numFmt w:val="bullet"/>
      <w:start w:val="1"/>
    </w:lvl>
  </w:abstractNum>
  <w:abstractNum w:abstractNumId="279">
    <w:nsid w:val="7975E8EE"/>
    <w:multiLevelType w:val="hybridMultilevel"/>
    <w:lvl w:ilvl="0">
      <w:lvlJc w:val="left"/>
      <w:lvlText w:val="(%1)"/>
      <w:numFmt w:val="lowerLetter"/>
      <w:start w:val="1"/>
    </w:lvl>
  </w:abstractNum>
  <w:abstractNum w:abstractNumId="280">
    <w:nsid w:val="73154115"/>
    <w:multiLevelType w:val="hybridMultilevel"/>
    <w:lvl w:ilvl="0">
      <w:lvlJc w:val="left"/>
      <w:lvlText w:val="(%1)"/>
      <w:numFmt w:val="lowerLetter"/>
      <w:start w:val="1"/>
    </w:lvl>
    <w:lvl w:ilvl="1">
      <w:lvlJc w:val="left"/>
      <w:lvlText w:val="-"/>
      <w:numFmt w:val="bullet"/>
      <w:start w:val="1"/>
    </w:lvl>
  </w:abstractNum>
  <w:abstractNum w:abstractNumId="281">
    <w:nsid w:val="622D8102"/>
    <w:multiLevelType w:val="hybridMultilevel"/>
    <w:lvl w:ilvl="0">
      <w:lvlJc w:val="left"/>
      <w:lvlText w:val="(%1)"/>
      <w:numFmt w:val="lowerLetter"/>
      <w:start w:val="3"/>
    </w:lvl>
  </w:abstractNum>
  <w:abstractNum w:abstractNumId="282">
    <w:nsid w:val="2AB26587"/>
    <w:multiLevelType w:val="hybridMultilevel"/>
    <w:lvl w:ilvl="0">
      <w:lvlJc w:val="left"/>
      <w:lvlText w:val="(%1)"/>
      <w:numFmt w:val="lowerLetter"/>
      <w:start w:val="1"/>
    </w:lvl>
    <w:lvl w:ilvl="1">
      <w:lvlJc w:val="left"/>
      <w:lvlText w:val="-"/>
      <w:numFmt w:val="bullet"/>
      <w:start w:val="1"/>
    </w:lvl>
  </w:abstractNum>
  <w:abstractNum w:abstractNumId="283">
    <w:nsid w:val="44B3FA61"/>
    <w:multiLevelType w:val="hybridMultilevel"/>
    <w:lvl w:ilvl="0">
      <w:lvlJc w:val="left"/>
      <w:lvlText w:val="(%1)"/>
      <w:numFmt w:val="lowerLetter"/>
      <w:start w:val="1"/>
    </w:lvl>
    <w:lvl w:ilvl="1">
      <w:lvlJc w:val="left"/>
      <w:lvlText w:val="-"/>
      <w:numFmt w:val="bullet"/>
      <w:start w:val="1"/>
    </w:lvl>
  </w:abstractNum>
  <w:abstractNum w:abstractNumId="284">
    <w:nsid w:val="1C0CA6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85">
    <w:nsid w:val="3D20661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86">
    <w:nsid w:val="7993B662"/>
    <w:multiLevelType w:val="hybridMultilevel"/>
    <w:lvl w:ilvl="0">
      <w:lvlJc w:val="left"/>
      <w:lvlText w:val="(%1)"/>
      <w:numFmt w:val="lowerLetter"/>
      <w:start w:val="1"/>
    </w:lvl>
    <w:lvl w:ilvl="1">
      <w:lvlJc w:val="left"/>
      <w:lvlText w:val="-"/>
      <w:numFmt w:val="bullet"/>
      <w:start w:val="1"/>
    </w:lvl>
  </w:abstractNum>
  <w:abstractNum w:abstractNumId="287">
    <w:nsid w:val="3BAB699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8">
    <w:nsid w:val="71315369"/>
    <w:multiLevelType w:val="hybridMultilevel"/>
    <w:lvl w:ilvl="0">
      <w:lvlJc w:val="left"/>
      <w:lvlText w:val="%1"/>
      <w:numFmt w:val="lowerLetter"/>
      <w:start w:val="1"/>
    </w:lvl>
    <w:lvl w:ilvl="1">
      <w:lvlJc w:val="left"/>
      <w:lvlText w:val="(%2)"/>
      <w:numFmt w:val="lowerRoman"/>
      <w:start w:val="7"/>
    </w:lvl>
  </w:abstractNum>
  <w:abstractNum w:abstractNumId="289">
    <w:nsid w:val="7BCFBAFC"/>
    <w:multiLevelType w:val="hybridMultilevel"/>
    <w:lvl w:ilvl="0">
      <w:lvlJc w:val="left"/>
      <w:lvlText w:val="(%1)"/>
      <w:numFmt w:val="lowerLetter"/>
      <w:start w:val="3"/>
    </w:lvl>
    <w:lvl w:ilvl="1">
      <w:lvlJc w:val="left"/>
      <w:lvlText w:val="%2"/>
      <w:numFmt w:val="lowerRoman"/>
      <w:start w:val="1"/>
    </w:lvl>
  </w:abstractNum>
  <w:abstractNum w:abstractNumId="290">
    <w:nsid w:val="17859F72"/>
    <w:multiLevelType w:val="hybridMultilevel"/>
    <w:lvl w:ilvl="0">
      <w:lvlJc w:val="left"/>
      <w:lvlText w:val="(%1)"/>
      <w:numFmt w:val="lowerLetter"/>
      <w:start w:val="1"/>
    </w:lvl>
    <w:lvl w:ilvl="1">
      <w:lvlJc w:val="left"/>
      <w:lvlText w:val="-"/>
      <w:numFmt w:val="bullet"/>
      <w:start w:val="1"/>
    </w:lvl>
  </w:abstractNum>
  <w:abstractNum w:abstractNumId="291">
    <w:nsid w:val="3AA1058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292">
    <w:nsid w:val="63DE60CD"/>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3">
    <w:nsid w:val="621AF471"/>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294">
    <w:nsid w:val="73CFE165"/>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295">
    <w:nsid w:val="20F88EA6"/>
    <w:multiLevelType w:val="hybridMultilevel"/>
    <w:lvl w:ilvl="0">
      <w:lvlJc w:val="left"/>
      <w:lvlText w:val="(%1)"/>
      <w:numFmt w:val="lowerRoman"/>
      <w:start w:val="1"/>
    </w:lvl>
  </w:abstractNum>
  <w:abstractNum w:abstractNumId="296">
    <w:nsid w:val="617C843E"/>
    <w:multiLevelType w:val="hybridMultilevel"/>
    <w:lvl w:ilvl="0">
      <w:lvlJc w:val="left"/>
      <w:lvlText w:val="(%1)"/>
      <w:numFmt w:val="lowerRoman"/>
      <w:start w:val="2"/>
    </w:lvl>
  </w:abstractNum>
  <w:abstractNum w:abstractNumId="297">
    <w:nsid w:val="7B541FAB"/>
    <w:multiLevelType w:val="hybridMultilevel"/>
    <w:lvl w:ilvl="0">
      <w:lvlJc w:val="left"/>
      <w:lvlText w:val="(%1)"/>
      <w:numFmt w:val="lowerLetter"/>
      <w:start w:val="1"/>
    </w:lvl>
    <w:lvl w:ilvl="1">
      <w:lvlJc w:val="left"/>
      <w:lvlText w:val="-"/>
      <w:numFmt w:val="bullet"/>
      <w:start w:val="1"/>
    </w:lvl>
  </w:abstractNum>
  <w:abstractNum w:abstractNumId="298">
    <w:nsid w:val="2A79EC49"/>
    <w:multiLevelType w:val="hybridMultilevel"/>
    <w:lvl w:ilvl="0">
      <w:lvlJc w:val="left"/>
      <w:lvlText w:val="(%1)"/>
      <w:numFmt w:val="upperLetter"/>
      <w:start w:val="61"/>
    </w:lvl>
    <w:lvl w:ilvl="1">
      <w:lvlJc w:val="left"/>
      <w:lvlText w:val="(%2)"/>
      <w:numFmt w:val="lowerLetter"/>
      <w:start w:val="2"/>
    </w:lvl>
  </w:abstractNum>
  <w:abstractNum w:abstractNumId="299">
    <w:nsid w:val="338125CF"/>
    <w:multiLevelType w:val="hybridMultilevel"/>
    <w:lvl w:ilvl="0">
      <w:lvlJc w:val="left"/>
      <w:lvlText w:val="(%1)"/>
      <w:numFmt w:val="upperLetter"/>
      <w:start w:val="5"/>
    </w:lvl>
    <w:lvl w:ilvl="1">
      <w:lvlJc w:val="left"/>
      <w:lvlText w:val="-"/>
      <w:numFmt w:val="bullet"/>
      <w:start w:val="1"/>
    </w:lvl>
  </w:abstractNum>
  <w:abstractNum w:abstractNumId="300">
    <w:nsid w:val="47C7C971"/>
    <w:multiLevelType w:val="hybridMultilevel"/>
    <w:lvl w:ilvl="0">
      <w:lvlJc w:val="left"/>
      <w:lvlText w:val="(%1)"/>
      <w:numFmt w:val="lowerLetter"/>
      <w:start w:val="3"/>
    </w:lvl>
  </w:abstractNum>
  <w:abstractNum w:abstractNumId="301">
    <w:nsid w:val="46F8284B"/>
    <w:multiLevelType w:val="hybridMultilevel"/>
    <w:lvl w:ilvl="0">
      <w:lvlJc w:val="left"/>
      <w:lvlText w:val="%1."/>
      <w:numFmt w:val="decimal"/>
      <w:start w:val="1"/>
    </w:lvl>
    <w:lvl w:ilvl="1">
      <w:lvlJc w:val="left"/>
      <w:lvlText w:val="(%2)"/>
      <w:numFmt w:val="lowerLetter"/>
      <w:start w:val="1"/>
    </w:lvl>
  </w:abstractNum>
  <w:abstractNum w:abstractNumId="302">
    <w:nsid w:val="4FA327CE"/>
    <w:multiLevelType w:val="hybridMultilevel"/>
    <w:lvl w:ilvl="0">
      <w:lvlJc w:val="left"/>
      <w:lvlText w:val="%1."/>
      <w:numFmt w:val="decimal"/>
      <w:start w:val="1"/>
    </w:lvl>
    <w:lvl w:ilvl="1">
      <w:lvlJc w:val="left"/>
      <w:lvlText w:val="(%2)"/>
      <w:numFmt w:val="lowerLetter"/>
      <w:start w:val="1"/>
    </w:lvl>
  </w:abstractNum>
  <w:abstractNum w:abstractNumId="303">
    <w:nsid w:val="187398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2022-08-02T15:44:15Z</dcterms:created>
  <dcterms:modified xsi:type="dcterms:W3CDTF">2022-08-02T15:44:15Z</dcterms:modified>
</cp:coreProperties>
</file>