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As filed with the Securities and Exchange Commission on February 13, 2020</w:t>
      </w:r>
    </w:p>
    <w:p>
      <w:pPr>
        <w:spacing w:after="0" w:line="13" w:lineRule="exact"/>
        <w:rPr>
          <w:sz w:val="24"/>
          <w:szCs w:val="24"/>
          <w:color w:val="auto"/>
        </w:rPr>
      </w:pPr>
    </w:p>
    <w:p>
      <w:pPr>
        <w:ind w:left="9240"/>
        <w:spacing w:after="0"/>
        <w:rPr>
          <w:sz w:val="20"/>
          <w:szCs w:val="20"/>
          <w:color w:val="auto"/>
        </w:rPr>
      </w:pPr>
      <w:r>
        <w:rPr>
          <w:rFonts w:ascii="Arial" w:cs="Arial" w:eastAsia="Arial" w:hAnsi="Arial"/>
          <w:sz w:val="11"/>
          <w:szCs w:val="1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UNITED STATES</w:t>
      </w:r>
    </w:p>
    <w:p>
      <w:pPr>
        <w:jc w:val="center"/>
        <w:ind w:right="-19"/>
        <w:spacing w:after="0" w:line="216" w:lineRule="auto"/>
        <w:rPr>
          <w:sz w:val="20"/>
          <w:szCs w:val="20"/>
          <w:color w:val="auto"/>
        </w:rPr>
      </w:pPr>
      <w:r>
        <w:rPr>
          <w:rFonts w:ascii="Arial" w:cs="Arial" w:eastAsia="Arial" w:hAnsi="Arial"/>
          <w:sz w:val="13"/>
          <w:szCs w:val="13"/>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12" w:lineRule="exact"/>
        <w:rPr>
          <w:sz w:val="24"/>
          <w:szCs w:val="24"/>
          <w:color w:val="auto"/>
        </w:rPr>
      </w:pPr>
    </w:p>
    <w:p>
      <w:pPr>
        <w:ind w:left="4920"/>
        <w:spacing w:after="0"/>
        <w:rPr>
          <w:sz w:val="20"/>
          <w:szCs w:val="20"/>
          <w:color w:val="auto"/>
        </w:rPr>
      </w:pPr>
      <w:r>
        <w:rPr>
          <w:rFonts w:ascii="Arial" w:cs="Arial" w:eastAsia="Arial" w:hAnsi="Arial"/>
          <w:sz w:val="13"/>
          <w:szCs w:val="13"/>
          <w:b w:val="1"/>
          <w:bCs w:val="1"/>
          <w:color w:val="auto"/>
        </w:rPr>
        <w:t>FORM S-3</w:t>
      </w:r>
    </w:p>
    <w:p>
      <w:pPr>
        <w:ind w:left="4340"/>
        <w:spacing w:after="0" w:line="216" w:lineRule="auto"/>
        <w:rPr>
          <w:sz w:val="20"/>
          <w:szCs w:val="20"/>
          <w:color w:val="auto"/>
        </w:rPr>
      </w:pPr>
      <w:r>
        <w:rPr>
          <w:rFonts w:ascii="Arial" w:cs="Arial" w:eastAsia="Arial" w:hAnsi="Arial"/>
          <w:sz w:val="13"/>
          <w:szCs w:val="13"/>
          <w:b w:val="1"/>
          <w:bCs w:val="1"/>
          <w:i w:val="1"/>
          <w:iCs w:val="1"/>
          <w:color w:val="auto"/>
        </w:rPr>
        <w:t>REGISTRATION STATEMENT</w:t>
      </w:r>
    </w:p>
    <w:p>
      <w:pPr>
        <w:spacing w:after="0" w:line="1" w:lineRule="exact"/>
        <w:rPr>
          <w:sz w:val="24"/>
          <w:szCs w:val="24"/>
          <w:color w:val="auto"/>
        </w:rPr>
      </w:pPr>
    </w:p>
    <w:p>
      <w:pPr>
        <w:ind w:left="4080"/>
        <w:spacing w:after="0"/>
        <w:rPr>
          <w:sz w:val="20"/>
          <w:szCs w:val="20"/>
          <w:color w:val="auto"/>
        </w:rPr>
      </w:pPr>
      <w:r>
        <w:rPr>
          <w:rFonts w:ascii="Arial" w:cs="Arial" w:eastAsia="Arial" w:hAnsi="Arial"/>
          <w:sz w:val="13"/>
          <w:szCs w:val="13"/>
          <w:b w:val="1"/>
          <w:bCs w:val="1"/>
          <w:i w:val="1"/>
          <w:iCs w:val="1"/>
          <w:color w:val="auto"/>
        </w:rPr>
        <w:t>UNDER THE SECURITIES ACT OF 1933</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Blueprint Medicines Corporation</w:t>
      </w: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400"/>
          </w:cols>
          <w:pgMar w:left="740" w:top="233" w:right="759" w:bottom="1440" w:gutter="0" w:footer="0" w:header="0"/>
        </w:sectPr>
      </w:pPr>
    </w:p>
    <w:p>
      <w:pPr>
        <w:spacing w:after="0" w:line="79" w:lineRule="exact"/>
        <w:rPr>
          <w:sz w:val="24"/>
          <w:szCs w:val="24"/>
          <w:color w:val="auto"/>
        </w:rPr>
      </w:pPr>
    </w:p>
    <w:p>
      <w:pPr>
        <w:ind w:left="2880"/>
        <w:spacing w:after="0"/>
        <w:rPr>
          <w:sz w:val="20"/>
          <w:szCs w:val="20"/>
          <w:color w:val="auto"/>
        </w:rPr>
      </w:pPr>
      <w:r>
        <w:rPr>
          <w:rFonts w:ascii="Arial" w:cs="Arial" w:eastAsia="Arial" w:hAnsi="Arial"/>
          <w:sz w:val="13"/>
          <w:szCs w:val="13"/>
          <w:b w:val="1"/>
          <w:bCs w:val="1"/>
          <w:color w:val="auto"/>
        </w:rPr>
        <w:t>Delaware</w:t>
      </w:r>
    </w:p>
    <w:p>
      <w:pPr>
        <w:ind w:left="2460"/>
        <w:spacing w:after="0" w:line="216" w:lineRule="auto"/>
        <w:rPr>
          <w:sz w:val="20"/>
          <w:szCs w:val="20"/>
          <w:color w:val="auto"/>
        </w:rPr>
      </w:pPr>
      <w:r>
        <w:rPr>
          <w:rFonts w:ascii="Arial" w:cs="Arial" w:eastAsia="Arial" w:hAnsi="Arial"/>
          <w:sz w:val="13"/>
          <w:szCs w:val="13"/>
          <w:color w:val="auto"/>
        </w:rPr>
        <w:t>(State or other jurisdiction</w:t>
      </w:r>
    </w:p>
    <w:p>
      <w:pPr>
        <w:spacing w:after="0" w:line="1" w:lineRule="exact"/>
        <w:rPr>
          <w:sz w:val="24"/>
          <w:szCs w:val="24"/>
          <w:color w:val="auto"/>
        </w:rPr>
      </w:pPr>
    </w:p>
    <w:p>
      <w:pPr>
        <w:ind w:left="2380"/>
        <w:spacing w:after="0"/>
        <w:rPr>
          <w:sz w:val="20"/>
          <w:szCs w:val="20"/>
          <w:color w:val="auto"/>
        </w:rPr>
      </w:pPr>
      <w:r>
        <w:rPr>
          <w:rFonts w:ascii="Arial" w:cs="Arial" w:eastAsia="Arial" w:hAnsi="Arial"/>
          <w:sz w:val="11"/>
          <w:szCs w:val="11"/>
          <w:color w:val="auto"/>
        </w:rPr>
        <w:t>of incorporation or organization)</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260"/>
        <w:spacing w:after="0"/>
        <w:rPr>
          <w:sz w:val="20"/>
          <w:szCs w:val="20"/>
          <w:color w:val="auto"/>
        </w:rPr>
      </w:pPr>
      <w:r>
        <w:rPr>
          <w:rFonts w:ascii="Arial" w:cs="Arial" w:eastAsia="Arial" w:hAnsi="Arial"/>
          <w:sz w:val="13"/>
          <w:szCs w:val="13"/>
          <w:b w:val="1"/>
          <w:bCs w:val="1"/>
          <w:color w:val="auto"/>
        </w:rPr>
        <w:t>26-3632015</w:t>
      </w:r>
    </w:p>
    <w:p>
      <w:pPr>
        <w:ind w:left="120"/>
        <w:spacing w:after="0" w:line="216" w:lineRule="auto"/>
        <w:rPr>
          <w:sz w:val="20"/>
          <w:szCs w:val="20"/>
          <w:color w:val="auto"/>
        </w:rPr>
      </w:pPr>
      <w:r>
        <w:rPr>
          <w:rFonts w:ascii="Arial" w:cs="Arial" w:eastAsia="Arial" w:hAnsi="Arial"/>
          <w:sz w:val="13"/>
          <w:szCs w:val="13"/>
          <w:color w:val="auto"/>
        </w:rPr>
        <w:t>(I.R.S. Employer</w:t>
      </w:r>
    </w:p>
    <w:p>
      <w:pPr>
        <w:spacing w:after="0" w:line="1" w:lineRule="exact"/>
        <w:rPr>
          <w:sz w:val="24"/>
          <w:szCs w:val="24"/>
          <w:color w:val="auto"/>
        </w:rPr>
      </w:pPr>
    </w:p>
    <w:p>
      <w:pPr>
        <w:spacing w:after="0"/>
        <w:rPr>
          <w:sz w:val="20"/>
          <w:szCs w:val="20"/>
          <w:color w:val="auto"/>
        </w:rPr>
      </w:pPr>
      <w:r>
        <w:rPr>
          <w:rFonts w:ascii="Arial" w:cs="Arial" w:eastAsia="Arial" w:hAnsi="Arial"/>
          <w:sz w:val="11"/>
          <w:szCs w:val="11"/>
          <w:color w:val="auto"/>
        </w:rPr>
        <w:t>Identification Number)</w:t>
      </w:r>
    </w:p>
    <w:p>
      <w:pPr>
        <w:spacing w:after="0" w:line="21" w:lineRule="exact"/>
        <w:rPr>
          <w:sz w:val="24"/>
          <w:szCs w:val="24"/>
          <w:color w:val="auto"/>
        </w:rPr>
      </w:pPr>
    </w:p>
    <w:p>
      <w:pPr>
        <w:sectPr>
          <w:pgSz w:w="11900" w:h="16838" w:orient="portrait"/>
          <w:cols w:equalWidth="0" w:num="2">
            <w:col w:w="6000" w:space="720"/>
            <w:col w:w="3680"/>
          </w:cols>
          <w:pgMar w:left="740" w:top="233" w:right="75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45 Sidney Street</w:t>
      </w:r>
    </w:p>
    <w:p>
      <w:pPr>
        <w:jc w:val="center"/>
        <w:ind w:right="-19"/>
        <w:spacing w:after="0" w:line="216" w:lineRule="auto"/>
        <w:rPr>
          <w:sz w:val="20"/>
          <w:szCs w:val="20"/>
          <w:color w:val="auto"/>
        </w:rPr>
      </w:pPr>
      <w:r>
        <w:rPr>
          <w:rFonts w:ascii="Arial" w:cs="Arial" w:eastAsia="Arial" w:hAnsi="Arial"/>
          <w:sz w:val="13"/>
          <w:szCs w:val="13"/>
          <w:b w:val="1"/>
          <w:bCs w:val="1"/>
          <w:color w:val="auto"/>
        </w:rPr>
        <w:t>Cambridge, Massachusetts 02139</w:t>
      </w:r>
    </w:p>
    <w:p>
      <w:pPr>
        <w:jc w:val="center"/>
        <w:ind w:right="-19"/>
        <w:spacing w:after="0" w:line="217" w:lineRule="auto"/>
        <w:rPr>
          <w:sz w:val="20"/>
          <w:szCs w:val="20"/>
          <w:color w:val="auto"/>
        </w:rPr>
      </w:pPr>
      <w:r>
        <w:rPr>
          <w:rFonts w:ascii="Arial" w:cs="Arial" w:eastAsia="Arial" w:hAnsi="Arial"/>
          <w:sz w:val="13"/>
          <w:szCs w:val="13"/>
          <w:b w:val="1"/>
          <w:bCs w:val="1"/>
          <w:color w:val="auto"/>
        </w:rPr>
        <w:t>(617) 374-7580</w:t>
      </w:r>
    </w:p>
    <w:p>
      <w:pPr>
        <w:jc w:val="center"/>
        <w:ind w:right="-19"/>
        <w:spacing w:after="0"/>
        <w:rPr>
          <w:sz w:val="20"/>
          <w:szCs w:val="20"/>
          <w:color w:val="auto"/>
        </w:rPr>
      </w:pPr>
      <w:r>
        <w:rPr>
          <w:rFonts w:ascii="Arial" w:cs="Arial" w:eastAsia="Arial" w:hAnsi="Arial"/>
          <w:sz w:val="11"/>
          <w:szCs w:val="11"/>
          <w:color w:val="auto"/>
        </w:rPr>
        <w:t>(Address, Including Zip Code, and Telephone Number,</w:t>
      </w:r>
    </w:p>
    <w:p>
      <w:pPr>
        <w:sectPr>
          <w:pgSz w:w="11900" w:h="16838" w:orient="portrait"/>
          <w:cols w:equalWidth="0" w:num="1">
            <w:col w:w="10400"/>
          </w:cols>
          <w:pgMar w:left="740" w:top="233" w:right="75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61595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Jeffrey W. Albers</w:t>
      </w:r>
    </w:p>
    <w:p>
      <w:pPr>
        <w:jc w:val="center"/>
        <w:ind w:right="-19"/>
        <w:spacing w:after="0" w:line="216" w:lineRule="auto"/>
        <w:rPr>
          <w:sz w:val="20"/>
          <w:szCs w:val="20"/>
          <w:color w:val="auto"/>
        </w:rPr>
      </w:pPr>
      <w:r>
        <w:rPr>
          <w:rFonts w:ascii="Arial" w:cs="Arial" w:eastAsia="Arial" w:hAnsi="Arial"/>
          <w:sz w:val="13"/>
          <w:szCs w:val="13"/>
          <w:b w:val="1"/>
          <w:bCs w:val="1"/>
          <w:color w:val="auto"/>
        </w:rPr>
        <w:t>President and Chief Executive Officer</w:t>
      </w:r>
    </w:p>
    <w:p>
      <w:pPr>
        <w:jc w:val="center"/>
        <w:ind w:right="-19"/>
        <w:spacing w:after="0" w:line="217" w:lineRule="auto"/>
        <w:rPr>
          <w:sz w:val="20"/>
          <w:szCs w:val="20"/>
          <w:color w:val="auto"/>
        </w:rPr>
      </w:pPr>
      <w:r>
        <w:rPr>
          <w:rFonts w:ascii="Arial" w:cs="Arial" w:eastAsia="Arial" w:hAnsi="Arial"/>
          <w:sz w:val="13"/>
          <w:szCs w:val="13"/>
          <w:b w:val="1"/>
          <w:bCs w:val="1"/>
          <w:color w:val="auto"/>
        </w:rPr>
        <w:t>Blueprint Medicines Corporation</w:t>
      </w:r>
    </w:p>
    <w:p>
      <w:pPr>
        <w:jc w:val="center"/>
        <w:ind w:right="-19"/>
        <w:spacing w:after="0" w:line="217" w:lineRule="auto"/>
        <w:rPr>
          <w:sz w:val="20"/>
          <w:szCs w:val="20"/>
          <w:color w:val="auto"/>
        </w:rPr>
      </w:pPr>
      <w:r>
        <w:rPr>
          <w:rFonts w:ascii="Arial" w:cs="Arial" w:eastAsia="Arial" w:hAnsi="Arial"/>
          <w:sz w:val="13"/>
          <w:szCs w:val="13"/>
          <w:b w:val="1"/>
          <w:bCs w:val="1"/>
          <w:color w:val="auto"/>
        </w:rPr>
        <w:t>45 Sidney Street</w:t>
      </w:r>
    </w:p>
    <w:p>
      <w:pPr>
        <w:jc w:val="center"/>
        <w:ind w:right="-19"/>
        <w:spacing w:after="0" w:line="217" w:lineRule="auto"/>
        <w:rPr>
          <w:sz w:val="20"/>
          <w:szCs w:val="20"/>
          <w:color w:val="auto"/>
        </w:rPr>
      </w:pPr>
      <w:r>
        <w:rPr>
          <w:rFonts w:ascii="Arial" w:cs="Arial" w:eastAsia="Arial" w:hAnsi="Arial"/>
          <w:sz w:val="13"/>
          <w:szCs w:val="13"/>
          <w:b w:val="1"/>
          <w:bCs w:val="1"/>
          <w:color w:val="auto"/>
        </w:rPr>
        <w:t>Cambridge, Massachusetts 02139</w:t>
      </w:r>
    </w:p>
    <w:p>
      <w:pPr>
        <w:jc w:val="center"/>
        <w:ind w:right="-19"/>
        <w:spacing w:after="0" w:line="217" w:lineRule="auto"/>
        <w:rPr>
          <w:sz w:val="20"/>
          <w:szCs w:val="20"/>
          <w:color w:val="auto"/>
        </w:rPr>
      </w:pPr>
      <w:r>
        <w:rPr>
          <w:rFonts w:ascii="Arial" w:cs="Arial" w:eastAsia="Arial" w:hAnsi="Arial"/>
          <w:sz w:val="13"/>
          <w:szCs w:val="13"/>
          <w:b w:val="1"/>
          <w:bCs w:val="1"/>
          <w:color w:val="auto"/>
        </w:rPr>
        <w:t>(617) 374-7580</w:t>
      </w:r>
    </w:p>
    <w:p>
      <w:pPr>
        <w:jc w:val="center"/>
        <w:ind w:right="-19"/>
        <w:spacing w:after="0" w:line="216" w:lineRule="auto"/>
        <w:rPr>
          <w:sz w:val="20"/>
          <w:szCs w:val="20"/>
          <w:color w:val="auto"/>
        </w:rPr>
      </w:pPr>
      <w:r>
        <w:rPr>
          <w:rFonts w:ascii="Arial" w:cs="Arial" w:eastAsia="Arial" w:hAnsi="Arial"/>
          <w:sz w:val="13"/>
          <w:szCs w:val="13"/>
          <w:color w:val="auto"/>
        </w:rPr>
        <w:t>(Name, Address, Including Zip Code, and Telephone Number,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62230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Copy to:</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Kingsley L. Taft</w:t>
      </w:r>
    </w:p>
    <w:p>
      <w:pPr>
        <w:jc w:val="center"/>
        <w:ind w:right="-19"/>
        <w:spacing w:after="0" w:line="216" w:lineRule="auto"/>
        <w:rPr>
          <w:sz w:val="20"/>
          <w:szCs w:val="20"/>
          <w:color w:val="auto"/>
        </w:rPr>
      </w:pPr>
      <w:r>
        <w:rPr>
          <w:rFonts w:ascii="Arial" w:cs="Arial" w:eastAsia="Arial" w:hAnsi="Arial"/>
          <w:sz w:val="13"/>
          <w:szCs w:val="13"/>
          <w:b w:val="1"/>
          <w:bCs w:val="1"/>
          <w:color w:val="auto"/>
        </w:rPr>
        <w:t>Danielle M. Lauzon</w:t>
      </w:r>
    </w:p>
    <w:p>
      <w:pPr>
        <w:jc w:val="center"/>
        <w:ind w:right="-19"/>
        <w:spacing w:after="0" w:line="217" w:lineRule="auto"/>
        <w:rPr>
          <w:sz w:val="20"/>
          <w:szCs w:val="20"/>
          <w:color w:val="auto"/>
        </w:rPr>
      </w:pPr>
      <w:r>
        <w:rPr>
          <w:rFonts w:ascii="Arial" w:cs="Arial" w:eastAsia="Arial" w:hAnsi="Arial"/>
          <w:sz w:val="13"/>
          <w:szCs w:val="13"/>
          <w:b w:val="1"/>
          <w:bCs w:val="1"/>
          <w:color w:val="auto"/>
        </w:rPr>
        <w:t>Goodwin Procter LLP</w:t>
      </w:r>
    </w:p>
    <w:p>
      <w:pPr>
        <w:jc w:val="center"/>
        <w:ind w:right="-19"/>
        <w:spacing w:after="0" w:line="217" w:lineRule="auto"/>
        <w:rPr>
          <w:sz w:val="20"/>
          <w:szCs w:val="20"/>
          <w:color w:val="auto"/>
        </w:rPr>
      </w:pPr>
      <w:r>
        <w:rPr>
          <w:rFonts w:ascii="Arial" w:cs="Arial" w:eastAsia="Arial" w:hAnsi="Arial"/>
          <w:sz w:val="13"/>
          <w:szCs w:val="13"/>
          <w:b w:val="1"/>
          <w:bCs w:val="1"/>
          <w:color w:val="auto"/>
        </w:rPr>
        <w:t>100 Northern Avenue</w:t>
      </w:r>
    </w:p>
    <w:p>
      <w:pPr>
        <w:jc w:val="center"/>
        <w:ind w:right="-19"/>
        <w:spacing w:after="0" w:line="217" w:lineRule="auto"/>
        <w:rPr>
          <w:sz w:val="20"/>
          <w:szCs w:val="20"/>
          <w:color w:val="auto"/>
        </w:rPr>
      </w:pPr>
      <w:r>
        <w:rPr>
          <w:rFonts w:ascii="Arial" w:cs="Arial" w:eastAsia="Arial" w:hAnsi="Arial"/>
          <w:sz w:val="13"/>
          <w:szCs w:val="13"/>
          <w:b w:val="1"/>
          <w:bCs w:val="1"/>
          <w:color w:val="auto"/>
        </w:rPr>
        <w:t>Boston, Massachusetts 02210</w:t>
      </w:r>
    </w:p>
    <w:p>
      <w:pPr>
        <w:jc w:val="center"/>
        <w:ind w:right="-19"/>
        <w:spacing w:after="0"/>
        <w:rPr>
          <w:sz w:val="20"/>
          <w:szCs w:val="20"/>
          <w:color w:val="auto"/>
        </w:rPr>
      </w:pPr>
      <w:r>
        <w:rPr>
          <w:rFonts w:ascii="Arial" w:cs="Arial" w:eastAsia="Arial" w:hAnsi="Arial"/>
          <w:sz w:val="13"/>
          <w:szCs w:val="13"/>
          <w:b w:val="1"/>
          <w:bCs w:val="1"/>
          <w:color w:val="auto"/>
        </w:rPr>
        <w:t>(617) 570-1000</w:t>
      </w:r>
    </w:p>
    <w:p>
      <w:pPr>
        <w:spacing w:after="0" w:line="12"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From time to time after this registration statement becomes effective.</w:t>
      </w:r>
    </w:p>
    <w:p>
      <w:pPr>
        <w:spacing w:after="0" w:line="15"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41" w:lineRule="exact"/>
        <w:rPr>
          <w:sz w:val="24"/>
          <w:szCs w:val="24"/>
          <w:color w:val="auto"/>
        </w:rPr>
      </w:pPr>
    </w:p>
    <w:p>
      <w:pPr>
        <w:ind w:left="20" w:right="80" w:firstLine="324"/>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20" w:right="180" w:firstLine="324"/>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20" w:right="360" w:firstLine="324"/>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0" w:right="60" w:firstLine="324"/>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20" w:right="80" w:firstLine="324"/>
        <w:spacing w:after="0" w:line="161"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ind w:left="20" w:right="40" w:firstLine="324"/>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40" w:top="233" w:right="759" w:bottom="1440" w:gutter="0" w:footer="0" w:header="0"/>
          <w:type w:val="continuous"/>
        </w:sectPr>
      </w:pPr>
    </w:p>
    <w:p>
      <w:pPr>
        <w:spacing w:after="0" w:line="29"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Large accelerated filer</w:t>
      </w:r>
    </w:p>
    <w:p>
      <w:pPr>
        <w:spacing w:after="0" w:line="32"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ind w:left="20"/>
        <w:spacing w:after="0" w:line="105" w:lineRule="exact"/>
        <w:rPr>
          <w:sz w:val="20"/>
          <w:szCs w:val="20"/>
          <w:color w:val="auto"/>
        </w:rPr>
      </w:pPr>
      <w:r>
        <w:rPr>
          <w:rFonts w:ascii="MS PGothic" w:cs="MS PGothic" w:eastAsia="MS PGothic" w:hAnsi="MS PGothic"/>
          <w:sz w:val="12"/>
          <w:szCs w:val="12"/>
          <w:color w:val="auto"/>
        </w:rPr>
        <w:t>☒</w:t>
      </w:r>
    </w:p>
    <w:p>
      <w:pPr>
        <w:spacing w:after="0" w:line="59"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80"/>
        <w:spacing w:after="0"/>
        <w:rPr>
          <w:sz w:val="20"/>
          <w:szCs w:val="20"/>
          <w:color w:val="auto"/>
        </w:rPr>
      </w:pPr>
      <w:r>
        <w:rPr>
          <w:rFonts w:ascii="Arial" w:cs="Arial" w:eastAsia="Arial" w:hAnsi="Arial"/>
          <w:sz w:val="12"/>
          <w:szCs w:val="12"/>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2" w:lineRule="exact"/>
        <w:rPr>
          <w:sz w:val="24"/>
          <w:szCs w:val="24"/>
          <w:color w:val="auto"/>
        </w:rPr>
      </w:pP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15" w:lineRule="exact"/>
        <w:rPr>
          <w:sz w:val="20"/>
          <w:szCs w:val="20"/>
          <w:color w:val="auto"/>
        </w:rPr>
      </w:pPr>
      <w:r>
        <w:rPr>
          <w:rFonts w:ascii="MS PGothic" w:cs="MS PGothic" w:eastAsia="MS PGothic" w:hAnsi="MS PGothic"/>
          <w:sz w:val="13"/>
          <w:szCs w:val="13"/>
          <w:color w:val="auto"/>
        </w:rPr>
        <w:t>☐</w:t>
      </w:r>
    </w:p>
    <w:p>
      <w:pPr>
        <w:spacing w:after="0" w:line="49" w:lineRule="exact"/>
        <w:rPr>
          <w:sz w:val="24"/>
          <w:szCs w:val="24"/>
          <w:color w:val="auto"/>
        </w:rPr>
      </w:pPr>
    </w:p>
    <w:p>
      <w:pPr>
        <w:ind w:left="40"/>
        <w:spacing w:after="0" w:line="91" w:lineRule="exact"/>
        <w:rPr>
          <w:sz w:val="20"/>
          <w:szCs w:val="20"/>
          <w:color w:val="auto"/>
        </w:rPr>
      </w:pPr>
      <w:r>
        <w:rPr>
          <w:rFonts w:ascii="MS PGothic" w:cs="MS PGothic" w:eastAsia="MS PGothic" w:hAnsi="MS PGothic"/>
          <w:sz w:val="9"/>
          <w:szCs w:val="9"/>
          <w:color w:val="auto"/>
        </w:rPr>
        <w:t>☐</w:t>
      </w:r>
    </w:p>
    <w:p>
      <w:pPr>
        <w:spacing w:after="0" w:line="59" w:lineRule="exact"/>
        <w:rPr>
          <w:sz w:val="24"/>
          <w:szCs w:val="24"/>
          <w:color w:val="auto"/>
        </w:rPr>
      </w:pPr>
    </w:p>
    <w:p>
      <w:pPr>
        <w:ind w:left="40"/>
        <w:spacing w:after="0" w:line="91" w:lineRule="exact"/>
        <w:rPr>
          <w:sz w:val="20"/>
          <w:szCs w:val="20"/>
          <w:color w:val="auto"/>
        </w:rPr>
      </w:pPr>
      <w:r>
        <w:rPr>
          <w:rFonts w:ascii="MS PGothic" w:cs="MS PGothic" w:eastAsia="MS PGothic" w:hAnsi="MS PGothic"/>
          <w:sz w:val="9"/>
          <w:szCs w:val="9"/>
          <w:color w:val="auto"/>
        </w:rPr>
        <w:t>☐</w:t>
      </w:r>
    </w:p>
    <w:p>
      <w:pPr>
        <w:spacing w:after="0" w:line="241" w:lineRule="exact"/>
        <w:rPr>
          <w:sz w:val="24"/>
          <w:szCs w:val="24"/>
          <w:color w:val="auto"/>
        </w:rPr>
      </w:pPr>
    </w:p>
    <w:p>
      <w:pPr>
        <w:sectPr>
          <w:pgSz w:w="11900" w:h="16838" w:orient="portrait"/>
          <w:cols w:equalWidth="0" w:num="4">
            <w:col w:w="3840" w:space="40"/>
            <w:col w:w="740" w:space="720"/>
            <w:col w:w="1360" w:space="40"/>
            <w:col w:w="3660"/>
          </w:cols>
          <w:pgMar w:left="740" w:top="233" w:right="759" w:bottom="1440" w:gutter="0" w:footer="0" w:header="0"/>
          <w:type w:val="continuous"/>
        </w:sectPr>
      </w:pPr>
    </w:p>
    <w:p>
      <w:pPr>
        <w:spacing w:after="0" w:line="42" w:lineRule="exact"/>
        <w:rPr>
          <w:sz w:val="24"/>
          <w:szCs w:val="24"/>
          <w:color w:val="auto"/>
        </w:rPr>
      </w:pPr>
    </w:p>
    <w:p>
      <w:pPr>
        <w:ind w:left="80"/>
        <w:spacing w:after="0"/>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3880" w:type="dxa"/>
            <w:vAlign w:val="bottom"/>
            <w:gridSpan w:val="4"/>
          </w:tcPr>
          <w:p>
            <w:pPr>
              <w:ind w:left="20"/>
              <w:spacing w:after="0"/>
              <w:rPr>
                <w:sz w:val="20"/>
                <w:szCs w:val="20"/>
                <w:color w:val="auto"/>
              </w:rPr>
            </w:pPr>
            <w:r>
              <w:rPr>
                <w:rFonts w:ascii="Arial" w:cs="Arial" w:eastAsia="Arial" w:hAnsi="Arial"/>
                <w:sz w:val="13"/>
                <w:szCs w:val="13"/>
                <w:color w:val="auto"/>
              </w:rPr>
              <w:t>pursuant to Section 7(a)(2)(B) of the Securities Act.</w:t>
            </w:r>
          </w:p>
        </w:tc>
        <w:tc>
          <w:tcPr>
            <w:tcW w:w="2660" w:type="dxa"/>
            <w:vAlign w:val="bottom"/>
            <w:gridSpan w:val="2"/>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18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60" w:type="dxa"/>
            <w:vAlign w:val="bottom"/>
            <w:gridSpan w:val="2"/>
          </w:tcPr>
          <w:p>
            <w:pPr>
              <w:ind w:left="120"/>
              <w:spacing w:after="0"/>
              <w:rPr>
                <w:sz w:val="20"/>
                <w:szCs w:val="20"/>
                <w:color w:val="auto"/>
              </w:rPr>
            </w:pPr>
            <w:r>
              <w:rPr>
                <w:rFonts w:ascii="Arial" w:cs="Arial" w:eastAsia="Arial" w:hAnsi="Arial"/>
                <w:sz w:val="13"/>
                <w:szCs w:val="13"/>
                <w:b w:val="1"/>
                <w:bCs w:val="1"/>
                <w:color w:val="auto"/>
              </w:rPr>
              <w:t>CALCULATION OF REGISTRATION FEE</w:t>
            </w:r>
          </w:p>
        </w:tc>
        <w:tc>
          <w:tcPr>
            <w:tcW w:w="18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7"/>
        </w:trPr>
        <w:tc>
          <w:tcPr>
            <w:tcW w:w="2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1940" w:type="dxa"/>
            <w:vAlign w:val="bottom"/>
            <w:tcBorders>
              <w:right w:val="single" w:sz="8" w:color="auto"/>
            </w:tcBorders>
          </w:tcPr>
          <w:p>
            <w:pPr>
              <w:ind w:left="400"/>
              <w:spacing w:after="0" w:line="112" w:lineRule="exact"/>
              <w:rPr>
                <w:sz w:val="20"/>
                <w:szCs w:val="20"/>
                <w:color w:val="auto"/>
              </w:rPr>
            </w:pPr>
            <w:r>
              <w:rPr>
                <w:rFonts w:ascii="Arial" w:cs="Arial" w:eastAsia="Arial" w:hAnsi="Arial"/>
                <w:sz w:val="11"/>
                <w:szCs w:val="11"/>
                <w:color w:val="auto"/>
              </w:rPr>
              <w:t>Title of each class of</w:t>
            </w:r>
          </w:p>
        </w:tc>
        <w:tc>
          <w:tcPr>
            <w:tcW w:w="66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1"/>
                <w:szCs w:val="11"/>
                <w:color w:val="auto"/>
                <w:w w:val="91"/>
              </w:rPr>
              <w:t>Proposed Maximum Offering</w:t>
            </w:r>
          </w:p>
        </w:tc>
        <w:tc>
          <w:tcPr>
            <w:tcW w:w="300" w:type="dxa"/>
            <w:vAlign w:val="bottom"/>
          </w:tcPr>
          <w:p>
            <w:pPr>
              <w:spacing w:after="0"/>
              <w:rPr>
                <w:sz w:val="9"/>
                <w:szCs w:val="9"/>
                <w:color w:val="auto"/>
              </w:rPr>
            </w:pPr>
          </w:p>
        </w:tc>
        <w:tc>
          <w:tcPr>
            <w:tcW w:w="1820" w:type="dxa"/>
            <w:vAlign w:val="bottom"/>
            <w:tcBorders>
              <w:right w:val="single" w:sz="8" w:color="auto"/>
            </w:tcBorders>
          </w:tcPr>
          <w:p>
            <w:pPr>
              <w:jc w:val="center"/>
              <w:ind w:right="186"/>
              <w:spacing w:after="0" w:line="112" w:lineRule="exact"/>
              <w:rPr>
                <w:sz w:val="20"/>
                <w:szCs w:val="20"/>
                <w:color w:val="auto"/>
              </w:rPr>
            </w:pPr>
            <w:r>
              <w:rPr>
                <w:rFonts w:ascii="Arial" w:cs="Arial" w:eastAsia="Arial" w:hAnsi="Arial"/>
                <w:sz w:val="11"/>
                <w:szCs w:val="11"/>
                <w:color w:val="auto"/>
                <w:w w:val="88"/>
              </w:rPr>
              <w:t>Proposed Maximum Aggregate</w:t>
            </w:r>
          </w:p>
        </w:tc>
        <w:tc>
          <w:tcPr>
            <w:tcW w:w="2020" w:type="dxa"/>
            <w:vAlign w:val="bottom"/>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9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1"/>
                <w:szCs w:val="11"/>
                <w:color w:val="auto"/>
              </w:rPr>
              <w:t>securities to be registered</w:t>
            </w:r>
          </w:p>
        </w:tc>
        <w:tc>
          <w:tcPr>
            <w:tcW w:w="192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1"/>
                <w:szCs w:val="11"/>
                <w:color w:val="auto"/>
              </w:rPr>
              <w:t>Amount to be Registered (1)(2)</w:t>
            </w:r>
          </w:p>
        </w:tc>
        <w:tc>
          <w:tcPr>
            <w:tcW w:w="236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11"/>
                <w:szCs w:val="11"/>
                <w:color w:val="auto"/>
                <w:w w:val="91"/>
              </w:rPr>
              <w:t>Price Per Unit (1)(2)</w:t>
            </w:r>
          </w:p>
        </w:tc>
        <w:tc>
          <w:tcPr>
            <w:tcW w:w="30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jc w:val="center"/>
              <w:ind w:right="186"/>
              <w:spacing w:after="0"/>
              <w:rPr>
                <w:sz w:val="20"/>
                <w:szCs w:val="20"/>
                <w:color w:val="auto"/>
              </w:rPr>
            </w:pPr>
            <w:r>
              <w:rPr>
                <w:rFonts w:ascii="Arial" w:cs="Arial" w:eastAsia="Arial" w:hAnsi="Arial"/>
                <w:sz w:val="11"/>
                <w:szCs w:val="11"/>
                <w:color w:val="auto"/>
                <w:w w:val="92"/>
              </w:rPr>
              <w:t>Offering Price (1)(2)</w:t>
            </w:r>
          </w:p>
        </w:tc>
        <w:tc>
          <w:tcPr>
            <w:tcW w:w="2020" w:type="dxa"/>
            <w:vAlign w:val="bottom"/>
            <w:tcBorders>
              <w:bottom w:val="single" w:sz="8" w:color="auto"/>
            </w:tcBorders>
          </w:tcPr>
          <w:p>
            <w:pPr>
              <w:ind w:left="440"/>
              <w:spacing w:after="0"/>
              <w:rPr>
                <w:sz w:val="20"/>
                <w:szCs w:val="20"/>
                <w:color w:val="auto"/>
              </w:rPr>
            </w:pPr>
            <w:r>
              <w:rPr>
                <w:rFonts w:ascii="Arial" w:cs="Arial" w:eastAsia="Arial" w:hAnsi="Arial"/>
                <w:sz w:val="11"/>
                <w:szCs w:val="11"/>
                <w:color w:val="auto"/>
              </w:rPr>
              <w:t>Amount of Registration Fee (3)</w:t>
            </w:r>
          </w:p>
        </w:tc>
      </w:tr>
      <w:tr>
        <w:trPr>
          <w:trHeight w:val="105"/>
        </w:trPr>
        <w:tc>
          <w:tcPr>
            <w:tcW w:w="20" w:type="dxa"/>
            <w:vAlign w:val="bottom"/>
          </w:tcPr>
          <w:p>
            <w:pPr>
              <w:spacing w:after="0"/>
              <w:rPr>
                <w:sz w:val="9"/>
                <w:szCs w:val="9"/>
                <w:color w:val="auto"/>
              </w:rPr>
            </w:pPr>
          </w:p>
        </w:tc>
        <w:tc>
          <w:tcPr>
            <w:tcW w:w="1940" w:type="dxa"/>
            <w:vAlign w:val="bottom"/>
            <w:tcBorders>
              <w:right w:val="single" w:sz="8" w:color="auto"/>
            </w:tcBorders>
          </w:tcPr>
          <w:p>
            <w:pPr>
              <w:ind w:left="120"/>
              <w:spacing w:after="0" w:line="105" w:lineRule="exact"/>
              <w:rPr>
                <w:sz w:val="20"/>
                <w:szCs w:val="20"/>
                <w:color w:val="auto"/>
              </w:rPr>
            </w:pPr>
            <w:r>
              <w:rPr>
                <w:rFonts w:ascii="Arial" w:cs="Arial" w:eastAsia="Arial" w:hAnsi="Arial"/>
                <w:sz w:val="11"/>
                <w:szCs w:val="11"/>
                <w:color w:val="auto"/>
              </w:rPr>
              <w:t>Common Stock, par value $0.001</w:t>
            </w:r>
          </w:p>
        </w:tc>
        <w:tc>
          <w:tcPr>
            <w:tcW w:w="66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20" w:type="dxa"/>
            <w:vAlign w:val="bottom"/>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9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1"/>
                <w:szCs w:val="11"/>
                <w:color w:val="auto"/>
              </w:rPr>
              <w:t>per share</w:t>
            </w:r>
          </w:p>
        </w:tc>
        <w:tc>
          <w:tcPr>
            <w:tcW w:w="660" w:type="dxa"/>
            <w:vAlign w:val="bottom"/>
            <w:tcBorders>
              <w:bottom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1940" w:type="dxa"/>
            <w:vAlign w:val="bottom"/>
            <w:tcBorders>
              <w:bottom w:val="single" w:sz="8" w:color="auto"/>
              <w:right w:val="single" w:sz="8" w:color="auto"/>
            </w:tcBorders>
          </w:tcPr>
          <w:p>
            <w:pPr>
              <w:ind w:left="120"/>
              <w:spacing w:after="0" w:line="115" w:lineRule="exact"/>
              <w:rPr>
                <w:sz w:val="20"/>
                <w:szCs w:val="20"/>
                <w:color w:val="auto"/>
              </w:rPr>
            </w:pPr>
            <w:r>
              <w:rPr>
                <w:rFonts w:ascii="Arial" w:cs="Arial" w:eastAsia="Arial" w:hAnsi="Arial"/>
                <w:sz w:val="11"/>
                <w:szCs w:val="11"/>
                <w:color w:val="auto"/>
              </w:rPr>
              <w:t>Preferred Stock</w:t>
            </w:r>
          </w:p>
        </w:tc>
        <w:tc>
          <w:tcPr>
            <w:tcW w:w="6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1940" w:type="dxa"/>
            <w:vAlign w:val="bottom"/>
            <w:tcBorders>
              <w:bottom w:val="single" w:sz="8" w:color="auto"/>
              <w:right w:val="single" w:sz="8" w:color="auto"/>
            </w:tcBorders>
          </w:tcPr>
          <w:p>
            <w:pPr>
              <w:ind w:left="120"/>
              <w:spacing w:after="0" w:line="115" w:lineRule="exact"/>
              <w:rPr>
                <w:sz w:val="20"/>
                <w:szCs w:val="20"/>
                <w:color w:val="auto"/>
              </w:rPr>
            </w:pPr>
            <w:r>
              <w:rPr>
                <w:rFonts w:ascii="Arial" w:cs="Arial" w:eastAsia="Arial" w:hAnsi="Arial"/>
                <w:sz w:val="11"/>
                <w:szCs w:val="11"/>
                <w:color w:val="auto"/>
              </w:rPr>
              <w:t>Debt Securities</w:t>
            </w:r>
          </w:p>
        </w:tc>
        <w:tc>
          <w:tcPr>
            <w:tcW w:w="6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1940" w:type="dxa"/>
            <w:vAlign w:val="bottom"/>
            <w:tcBorders>
              <w:bottom w:val="single" w:sz="8" w:color="auto"/>
              <w:right w:val="single" w:sz="8" w:color="auto"/>
            </w:tcBorders>
          </w:tcPr>
          <w:p>
            <w:pPr>
              <w:ind w:left="120"/>
              <w:spacing w:after="0" w:line="115" w:lineRule="exact"/>
              <w:rPr>
                <w:sz w:val="20"/>
                <w:szCs w:val="20"/>
                <w:color w:val="auto"/>
              </w:rPr>
            </w:pPr>
            <w:r>
              <w:rPr>
                <w:rFonts w:ascii="Arial" w:cs="Arial" w:eastAsia="Arial" w:hAnsi="Arial"/>
                <w:sz w:val="11"/>
                <w:szCs w:val="11"/>
                <w:color w:val="auto"/>
              </w:rPr>
              <w:t>Purchase Contracts</w:t>
            </w:r>
          </w:p>
        </w:tc>
        <w:tc>
          <w:tcPr>
            <w:tcW w:w="6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1940" w:type="dxa"/>
            <w:vAlign w:val="bottom"/>
            <w:tcBorders>
              <w:bottom w:val="single" w:sz="8" w:color="auto"/>
              <w:right w:val="single" w:sz="8" w:color="auto"/>
            </w:tcBorders>
          </w:tcPr>
          <w:p>
            <w:pPr>
              <w:ind w:left="120"/>
              <w:spacing w:after="0" w:line="115" w:lineRule="exact"/>
              <w:rPr>
                <w:sz w:val="20"/>
                <w:szCs w:val="20"/>
                <w:color w:val="auto"/>
              </w:rPr>
            </w:pPr>
            <w:r>
              <w:rPr>
                <w:rFonts w:ascii="Arial" w:cs="Arial" w:eastAsia="Arial" w:hAnsi="Arial"/>
                <w:sz w:val="11"/>
                <w:szCs w:val="11"/>
                <w:color w:val="auto"/>
              </w:rPr>
              <w:t>Purchase Units</w:t>
            </w:r>
          </w:p>
        </w:tc>
        <w:tc>
          <w:tcPr>
            <w:tcW w:w="6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1940" w:type="dxa"/>
            <w:vAlign w:val="bottom"/>
            <w:tcBorders>
              <w:bottom w:val="single" w:sz="8" w:color="auto"/>
              <w:right w:val="single" w:sz="8" w:color="auto"/>
            </w:tcBorders>
          </w:tcPr>
          <w:p>
            <w:pPr>
              <w:ind w:left="120"/>
              <w:spacing w:after="0" w:line="115" w:lineRule="exact"/>
              <w:rPr>
                <w:sz w:val="20"/>
                <w:szCs w:val="20"/>
                <w:color w:val="auto"/>
              </w:rPr>
            </w:pPr>
            <w:r>
              <w:rPr>
                <w:rFonts w:ascii="Arial" w:cs="Arial" w:eastAsia="Arial" w:hAnsi="Arial"/>
                <w:sz w:val="11"/>
                <w:szCs w:val="11"/>
                <w:color w:val="auto"/>
              </w:rPr>
              <w:t>Warrants</w:t>
            </w:r>
          </w:p>
        </w:tc>
        <w:tc>
          <w:tcPr>
            <w:tcW w:w="6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940" w:type="dxa"/>
            <w:vAlign w:val="bottom"/>
            <w:tcBorders>
              <w:bottom w:val="single" w:sz="8" w:color="auto"/>
              <w:right w:val="single" w:sz="8" w:color="auto"/>
            </w:tcBorders>
          </w:tcPr>
          <w:p>
            <w:pPr>
              <w:ind w:left="380"/>
              <w:spacing w:after="0" w:line="115" w:lineRule="exact"/>
              <w:rPr>
                <w:sz w:val="20"/>
                <w:szCs w:val="20"/>
                <w:color w:val="auto"/>
              </w:rPr>
            </w:pPr>
            <w:r>
              <w:rPr>
                <w:rFonts w:ascii="Arial" w:cs="Arial" w:eastAsia="Arial" w:hAnsi="Arial"/>
                <w:sz w:val="11"/>
                <w:szCs w:val="11"/>
                <w:color w:val="auto"/>
              </w:rPr>
              <w:t>Total (4)</w:t>
            </w:r>
          </w:p>
        </w:tc>
        <w:tc>
          <w:tcPr>
            <w:tcW w:w="6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20" w:type="dxa"/>
            <w:vAlign w:val="bottom"/>
          </w:tcPr>
          <w:p>
            <w:pPr>
              <w:spacing w:after="0"/>
              <w:rPr>
                <w:sz w:val="9"/>
                <w:szCs w:val="9"/>
                <w:color w:val="auto"/>
              </w:rPr>
            </w:pPr>
          </w:p>
        </w:tc>
      </w:tr>
    </w:tbl>
    <w:p>
      <w:pPr>
        <w:spacing w:after="0" w:line="94" w:lineRule="exact"/>
        <w:rPr>
          <w:sz w:val="24"/>
          <w:szCs w:val="24"/>
          <w:color w:val="auto"/>
        </w:rPr>
      </w:pPr>
    </w:p>
    <w:p>
      <w:pPr>
        <w:ind w:left="660" w:right="20" w:hanging="325"/>
        <w:spacing w:after="0" w:line="275" w:lineRule="auto"/>
        <w:tabs>
          <w:tab w:leader="none" w:pos="660" w:val="left"/>
        </w:tabs>
        <w:numPr>
          <w:ilvl w:val="0"/>
          <w:numId w:val="1"/>
        </w:numPr>
        <w:rPr>
          <w:rFonts w:ascii="Arial" w:cs="Arial" w:eastAsia="Arial" w:hAnsi="Arial"/>
          <w:sz w:val="11"/>
          <w:szCs w:val="11"/>
          <w:color w:val="auto"/>
        </w:rPr>
      </w:pPr>
      <w:r>
        <w:rPr>
          <w:rFonts w:ascii="Arial" w:cs="Arial" w:eastAsia="Arial" w:hAnsi="Arial"/>
          <w:sz w:val="11"/>
          <w:szCs w:val="11"/>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 w:lineRule="exact"/>
        <w:rPr>
          <w:rFonts w:ascii="Arial" w:cs="Arial" w:eastAsia="Arial" w:hAnsi="Arial"/>
          <w:sz w:val="11"/>
          <w:szCs w:val="11"/>
          <w:color w:val="auto"/>
        </w:rPr>
      </w:pPr>
    </w:p>
    <w:p>
      <w:pPr>
        <w:ind w:left="660" w:hanging="325"/>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Not applicable pursuant to General Instruction II.E of Form S-3 under the Securities Act.</w:t>
      </w:r>
    </w:p>
    <w:p>
      <w:pPr>
        <w:spacing w:after="0" w:line="26" w:lineRule="exact"/>
        <w:rPr>
          <w:rFonts w:ascii="Arial" w:cs="Arial" w:eastAsia="Arial" w:hAnsi="Arial"/>
          <w:sz w:val="13"/>
          <w:szCs w:val="13"/>
          <w:color w:val="auto"/>
        </w:rPr>
      </w:pPr>
    </w:p>
    <w:p>
      <w:pPr>
        <w:ind w:left="660" w:right="40" w:hanging="325"/>
        <w:spacing w:after="0" w:line="237" w:lineRule="auto"/>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accordance with Rules 456(b) and 457(r) under the Securities Act, the registrant is deferring payment of all registration fees and will pay the registration fees subsequently in advance or on a “pay-as-you-go” basis.</w:t>
      </w:r>
    </w:p>
    <w:p>
      <w:pPr>
        <w:spacing w:after="0" w:line="15" w:lineRule="exact"/>
        <w:rPr>
          <w:rFonts w:ascii="Arial" w:cs="Arial" w:eastAsia="Arial" w:hAnsi="Arial"/>
          <w:sz w:val="13"/>
          <w:szCs w:val="13"/>
          <w:color w:val="auto"/>
        </w:rPr>
      </w:pPr>
    </w:p>
    <w:p>
      <w:pPr>
        <w:ind w:left="660" w:hanging="325"/>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securities registered hereunder may be sold separately or in a combination with other securities registered hereby.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6122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66122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233"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Blueprint Medicines Corporation</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Units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74295</wp:posOffset>
            </wp:positionV>
            <wp:extent cx="1431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53" w:lineRule="exact"/>
        <w:rPr>
          <w:sz w:val="20"/>
          <w:szCs w:val="20"/>
          <w:color w:val="auto"/>
        </w:rPr>
      </w:pPr>
    </w:p>
    <w:p>
      <w:pPr>
        <w:ind w:right="99" w:firstLine="6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66" w:lineRule="exact"/>
        <w:rPr>
          <w:sz w:val="20"/>
          <w:szCs w:val="20"/>
          <w:color w:val="auto"/>
        </w:rPr>
      </w:pPr>
    </w:p>
    <w:p>
      <w:pPr>
        <w:jc w:val="both"/>
        <w:ind w:right="159" w:firstLine="648"/>
        <w:spacing w:after="0" w:line="312" w:lineRule="auto"/>
        <w:rPr>
          <w:sz w:val="20"/>
          <w:szCs w:val="20"/>
          <w:color w:val="auto"/>
        </w:rPr>
      </w:pPr>
      <w:r>
        <w:rPr>
          <w:rFonts w:ascii="Arial" w:cs="Arial" w:eastAsia="Arial" w:hAnsi="Arial"/>
          <w:sz w:val="16"/>
          <w:szCs w:val="16"/>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126365</wp:posOffset>
            </wp:positionV>
            <wp:extent cx="14319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82" w:lineRule="exact"/>
        <w:rPr>
          <w:sz w:val="20"/>
          <w:szCs w:val="20"/>
          <w:color w:val="auto"/>
        </w:rPr>
      </w:pPr>
    </w:p>
    <w:p>
      <w:pPr>
        <w:jc w:val="both"/>
        <w:ind w:right="419" w:firstLine="648"/>
        <w:spacing w:after="0" w:line="289" w:lineRule="auto"/>
        <w:rPr>
          <w:sz w:val="20"/>
          <w:szCs w:val="20"/>
          <w:color w:val="auto"/>
        </w:rPr>
      </w:pPr>
      <w:r>
        <w:rPr>
          <w:rFonts w:ascii="Arial" w:cs="Arial" w:eastAsia="Arial" w:hAnsi="Arial"/>
          <w:sz w:val="17"/>
          <w:szCs w:val="17"/>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43180</wp:posOffset>
            </wp:positionV>
            <wp:extent cx="14319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52" w:lineRule="exact"/>
        <w:rPr>
          <w:sz w:val="20"/>
          <w:szCs w:val="20"/>
          <w:color w:val="auto"/>
        </w:rPr>
      </w:pPr>
    </w:p>
    <w:p>
      <w:pPr>
        <w:ind w:right="39"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106045</wp:posOffset>
            </wp:positionV>
            <wp:extent cx="14319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date of this prospectus is 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906780</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220" w:type="dxa"/>
            <w:vAlign w:val="bottom"/>
            <w:gridSpan w:val="17"/>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1840" w:type="dxa"/>
            <w:vAlign w:val="bottom"/>
          </w:tcPr>
          <w:p>
            <w:pPr>
              <w:spacing w:after="0"/>
              <w:rPr>
                <w:sz w:val="17"/>
                <w:szCs w:val="17"/>
                <w:color w:val="auto"/>
              </w:rPr>
            </w:pPr>
          </w:p>
        </w:tc>
      </w:tr>
      <w:tr>
        <w:trPr>
          <w:trHeight w:val="777"/>
        </w:trPr>
        <w:tc>
          <w:tcPr>
            <w:tcW w:w="7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0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24"/>
                <w:szCs w:val="24"/>
                <w:color w:val="auto"/>
              </w:rPr>
            </w:pPr>
          </w:p>
        </w:tc>
      </w:tr>
      <w:tr>
        <w:trPr>
          <w:trHeight w:val="351"/>
        </w:trPr>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4980" w:type="dxa"/>
            <w:vAlign w:val="bottom"/>
            <w:gridSpan w:val="9"/>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RISK FACTORS</w:t>
              </w:r>
            </w:hyperlink>
          </w:p>
        </w:tc>
        <w:tc>
          <w:tcPr>
            <w:tcW w:w="5960" w:type="dxa"/>
            <w:vAlign w:val="bottom"/>
            <w:gridSpan w:val="14"/>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382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WHERE YOU CAN FIND MORE INFORMATION</w:t>
              </w:r>
            </w:hyperlink>
          </w:p>
        </w:tc>
        <w:tc>
          <w:tcPr>
            <w:tcW w:w="3400" w:type="dxa"/>
            <w:vAlign w:val="bottom"/>
            <w:gridSpan w:val="2"/>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2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INCORPORATION BY REFERENCE</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29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FORWARD-LOOKING STATEMENTS</w:t>
              </w:r>
            </w:hyperlink>
          </w:p>
        </w:tc>
        <w:tc>
          <w:tcPr>
            <w:tcW w:w="4280" w:type="dxa"/>
            <w:vAlign w:val="bottom"/>
            <w:gridSpan w:val="5"/>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2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BLUEPRINT MEDICINES CORPORATION</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3320" w:type="dxa"/>
            <w:vAlign w:val="bottom"/>
            <w:tcBorders>
              <w:top w:val="single" w:sz="8" w:color="0000EE"/>
            </w:tcBorders>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900" w:type="dxa"/>
            <w:vAlign w:val="bottom"/>
            <w:gridSpan w:val="3"/>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1580" w:type="dxa"/>
            <w:vAlign w:val="bottom"/>
            <w:tcBorders>
              <w:top w:val="single" w:sz="8" w:color="0000EE"/>
            </w:tcBorders>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DILUTION</w:t>
              </w:r>
            </w:hyperlink>
          </w:p>
        </w:tc>
        <w:tc>
          <w:tcPr>
            <w:tcW w:w="5640" w:type="dxa"/>
            <w:vAlign w:val="bottom"/>
            <w:gridSpan w:val="11"/>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288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DESCRIPTION OF CAPITAL STOCK</w:t>
              </w:r>
            </w:hyperlink>
          </w:p>
        </w:tc>
        <w:tc>
          <w:tcPr>
            <w:tcW w:w="4340" w:type="dxa"/>
            <w:vAlign w:val="bottom"/>
            <w:gridSpan w:val="6"/>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722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DESCRIPTION OF DEBT SECURITIES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722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DESCRIPTION OF PURCHASE CONTRACTS AND PURCHASE UNITS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5540" w:type="dxa"/>
            <w:vAlign w:val="bottom"/>
            <w:tcBorders>
              <w:top w:val="single" w:sz="8" w:color="0000EE"/>
            </w:tcBorders>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DESCRIPTION OF WARRANTS</w:t>
              </w:r>
            </w:hyperlink>
          </w:p>
        </w:tc>
        <w:tc>
          <w:tcPr>
            <w:tcW w:w="16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20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2"/>
          </w:tcPr>
          <w:p>
            <w:pPr>
              <w:spacing w:after="0"/>
              <w:rPr>
                <w:sz w:val="24"/>
                <w:szCs w:val="24"/>
                <w:color w:val="auto"/>
              </w:rPr>
            </w:pPr>
          </w:p>
        </w:tc>
        <w:tc>
          <w:tcPr>
            <w:tcW w:w="4740" w:type="dxa"/>
            <w:vAlign w:val="bottom"/>
            <w:gridSpan w:val="8"/>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LEGAL MATTERS</w:t>
              </w:r>
            </w:hyperlink>
          </w:p>
        </w:tc>
        <w:tc>
          <w:tcPr>
            <w:tcW w:w="5760" w:type="dxa"/>
            <w:vAlign w:val="bottom"/>
            <w:gridSpan w:val="12"/>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72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45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1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3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We use “AYVAKIT” and “Blueprint Medicines” as trademarks in the United States and other countries. This prospectus and the information incorporated herein by reference contains references to trademarks, service marks and trade names owned by us or other companies. Solely for convenience, trademarks, service marks and trade names referred to in this prospectus and the information incorporated herein, including logos, artwork, and other visual displays, may appear without the </w:t>
      </w:r>
      <w:r>
        <w:rPr>
          <w:rFonts w:ascii="Arial" w:cs="Arial" w:eastAsia="Arial" w:hAnsi="Arial"/>
          <w:sz w:val="7"/>
          <w:szCs w:val="7"/>
          <w:color w:val="auto"/>
        </w:rPr>
        <w:t>®</w:t>
      </w:r>
      <w:r>
        <w:rPr>
          <w:rFonts w:ascii="Arial" w:cs="Arial" w:eastAsia="Arial" w:hAnsi="Arial"/>
          <w:sz w:val="17"/>
          <w:szCs w:val="17"/>
          <w:color w:val="auto"/>
        </w:rPr>
        <w:t xml:space="preserve">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prospectus, any applicable prospectus supplement or any related free writing prospectus are the property of their respective owners.</w:t>
      </w:r>
    </w:p>
    <w:p>
      <w:pPr>
        <w:spacing w:after="0" w:line="178"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Unless otherwise stated, all references in this prospectus, any applicable prospectus supplement and any related free writing prospectus to “us,” “our,” “Blueprint,” “Blueprint Medicines,” “we,” the “Company” and similar designations refer, collectively, to Blueprint Medicines Corporation,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39" w:firstLine="636"/>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w:t>
      </w:r>
      <w:hyperlink r:id="rId21">
        <w:r>
          <w:rPr>
            <w:rFonts w:ascii="Arial" w:cs="Arial" w:eastAsia="Arial" w:hAnsi="Arial"/>
            <w:sz w:val="17"/>
            <w:szCs w:val="17"/>
            <w:u w:val="single" w:color="auto"/>
            <w:color w:val="0000EE"/>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2019, which is on file with the SEC and is incorporated herein by reference, and any of our subsequent filings with the SEC, before making an investment decision pursuant to this prospectus and any accompanying prospectus supplement relating to a specific offering.</w:t>
      </w:r>
    </w:p>
    <w:p>
      <w:pPr>
        <w:spacing w:after="0" w:line="138" w:lineRule="exact"/>
        <w:rPr>
          <w:sz w:val="20"/>
          <w:szCs w:val="20"/>
          <w:color w:val="auto"/>
        </w:rPr>
      </w:pPr>
    </w:p>
    <w:p>
      <w:pPr>
        <w:ind w:right="159" w:firstLine="636"/>
        <w:spacing w:after="0" w:line="264"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w:t>
      </w:r>
    </w:p>
    <w:p>
      <w:pPr>
        <w:spacing w:after="0" w:line="11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15" w:lineRule="exact"/>
        <w:rPr>
          <w:sz w:val="20"/>
          <w:szCs w:val="20"/>
          <w:color w:val="auto"/>
        </w:rPr>
      </w:pPr>
    </w:p>
    <w:p>
      <w:pPr>
        <w:ind w:left="1300" w:right="140" w:hanging="325"/>
        <w:spacing w:after="0" w:line="258" w:lineRule="auto"/>
        <w:tabs>
          <w:tab w:leader="none" w:pos="1300" w:val="left"/>
        </w:tabs>
        <w:numPr>
          <w:ilvl w:val="0"/>
          <w:numId w:val="2"/>
        </w:numPr>
        <w:rPr>
          <w:rFonts w:ascii="Arial" w:cs="Arial" w:eastAsia="Arial" w:hAnsi="Arial"/>
          <w:sz w:val="18"/>
          <w:szCs w:val="18"/>
          <w:color w:val="0000EE"/>
        </w:rPr>
      </w:pPr>
      <w:hyperlink r:id="rId21">
        <w:r>
          <w:rPr>
            <w:rFonts w:ascii="Arial" w:cs="Arial" w:eastAsia="Arial" w:hAnsi="Arial"/>
            <w:sz w:val="18"/>
            <w:szCs w:val="18"/>
            <w:u w:val="single" w:color="auto"/>
            <w:color w:val="0000EE"/>
          </w:rPr>
          <w:t>Annual Report on Form 10-K for the fiscal year ended December 31, 2019, which was filed with the SEC</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on February 13, 2020</w:t>
        </w:r>
        <w:r>
          <w:rPr>
            <w:rFonts w:ascii="Arial" w:cs="Arial" w:eastAsia="Arial" w:hAnsi="Arial"/>
            <w:sz w:val="18"/>
            <w:szCs w:val="18"/>
            <w:color w:val="000000"/>
          </w:rPr>
          <w:t>;</w:t>
        </w:r>
      </w:hyperlink>
    </w:p>
    <w:p>
      <w:pPr>
        <w:spacing w:after="0" w:line="1" w:lineRule="exact"/>
        <w:rPr>
          <w:rFonts w:ascii="Arial" w:cs="Arial" w:eastAsia="Arial" w:hAnsi="Arial"/>
          <w:sz w:val="18"/>
          <w:szCs w:val="18"/>
          <w:color w:val="0000EE"/>
        </w:rPr>
      </w:pPr>
    </w:p>
    <w:p>
      <w:pPr>
        <w:ind w:left="1300" w:right="60" w:hanging="325"/>
        <w:spacing w:after="0" w:line="250" w:lineRule="auto"/>
        <w:tabs>
          <w:tab w:leader="none" w:pos="1300" w:val="left"/>
        </w:tabs>
        <w:numPr>
          <w:ilvl w:val="0"/>
          <w:numId w:val="2"/>
        </w:numPr>
        <w:rPr>
          <w:rFonts w:ascii="Arial" w:cs="Arial" w:eastAsia="Arial" w:hAnsi="Arial"/>
          <w:sz w:val="18"/>
          <w:szCs w:val="18"/>
          <w:color w:val="0000EE"/>
        </w:rPr>
      </w:pPr>
      <w:hyperlink r:id="rId23">
        <w:r>
          <w:rPr>
            <w:rFonts w:ascii="Arial" w:cs="Arial" w:eastAsia="Arial" w:hAnsi="Arial"/>
            <w:sz w:val="18"/>
            <w:szCs w:val="18"/>
            <w:color w:val="auto"/>
          </w:rPr>
          <w:t xml:space="preserve">The information specifically incorporated by reference into our </w:t>
        </w:r>
        <w:r>
          <w:rPr>
            <w:rFonts w:ascii="Arial" w:cs="Arial" w:eastAsia="Arial" w:hAnsi="Arial"/>
            <w:sz w:val="18"/>
            <w:szCs w:val="18"/>
            <w:u w:val="single" w:color="auto"/>
            <w:color w:val="0000EE"/>
          </w:rPr>
          <w:t>Annual Report on Form 10-K for the fiscal</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 xml:space="preserve">year ended December 31, 2018 </w:t>
        </w:r>
        <w:r>
          <w:rPr>
            <w:rFonts w:ascii="Arial" w:cs="Arial" w:eastAsia="Arial" w:hAnsi="Arial"/>
            <w:sz w:val="18"/>
            <w:szCs w:val="18"/>
            <w:u w:val="single" w:color="auto"/>
            <w:color w:val="000000"/>
          </w:rPr>
          <w:t>from our</w:t>
        </w:r>
        <w:r>
          <w:rPr>
            <w:rFonts w:ascii="Arial" w:cs="Arial" w:eastAsia="Arial" w:hAnsi="Arial"/>
            <w:sz w:val="18"/>
            <w:szCs w:val="18"/>
            <w:u w:val="single" w:color="auto"/>
            <w:color w:val="0000EE"/>
          </w:rPr>
          <w:t xml:space="preserve"> definitive proxy statement (other than information furnished</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rather than filed) for the 2019 Annual Meeting of Stockholders, which was filed with the SEC on April 29,</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2019</w:t>
        </w:r>
        <w:r>
          <w:rPr>
            <w:rFonts w:ascii="Arial" w:cs="Arial" w:eastAsia="Arial" w:hAnsi="Arial"/>
            <w:sz w:val="18"/>
            <w:szCs w:val="18"/>
            <w:color w:val="000000"/>
          </w:rPr>
          <w:t>; and</w:t>
        </w:r>
      </w:hyperlink>
    </w:p>
    <w:p>
      <w:pPr>
        <w:spacing w:after="0" w:line="1" w:lineRule="exact"/>
        <w:rPr>
          <w:rFonts w:ascii="Arial" w:cs="Arial" w:eastAsia="Arial" w:hAnsi="Arial"/>
          <w:sz w:val="18"/>
          <w:szCs w:val="18"/>
          <w:color w:val="0000EE"/>
        </w:rPr>
      </w:pPr>
    </w:p>
    <w:p>
      <w:pPr>
        <w:ind w:left="1300" w:right="140" w:hanging="325"/>
        <w:spacing w:after="0" w:line="323" w:lineRule="auto"/>
        <w:tabs>
          <w:tab w:leader="none" w:pos="1300" w:val="left"/>
        </w:tabs>
        <w:numPr>
          <w:ilvl w:val="0"/>
          <w:numId w:val="2"/>
        </w:numPr>
        <w:rPr>
          <w:rFonts w:ascii="Arial" w:cs="Arial" w:eastAsia="Arial" w:hAnsi="Arial"/>
          <w:sz w:val="16"/>
          <w:szCs w:val="16"/>
          <w:color w:val="0000EE"/>
        </w:rPr>
      </w:pPr>
      <w:hyperlink r:id="rId25">
        <w:r>
          <w:rPr>
            <w:rFonts w:ascii="Arial" w:cs="Arial" w:eastAsia="Arial" w:hAnsi="Arial"/>
            <w:sz w:val="16"/>
            <w:szCs w:val="16"/>
            <w:color w:val="auto"/>
          </w:rPr>
          <w:t xml:space="preserve">The description of our common stock contained in our </w:t>
        </w:r>
        <w:r>
          <w:rPr>
            <w:rFonts w:ascii="Arial" w:cs="Arial" w:eastAsia="Arial" w:hAnsi="Arial"/>
            <w:sz w:val="16"/>
            <w:szCs w:val="16"/>
            <w:u w:val="single" w:color="auto"/>
            <w:color w:val="0000EE"/>
          </w:rPr>
          <w:t>Registration Statement on Form 8-A filed on April</w:t>
        </w:r>
      </w:hyperlink>
      <w:r>
        <w:rPr>
          <w:rFonts w:ascii="Arial" w:cs="Arial" w:eastAsia="Arial" w:hAnsi="Arial"/>
          <w:sz w:val="16"/>
          <w:szCs w:val="16"/>
          <w:color w:val="auto"/>
        </w:rPr>
        <w:t xml:space="preserve"> </w:t>
      </w:r>
      <w:hyperlink r:id="rId25">
        <w:r>
          <w:rPr>
            <w:rFonts w:ascii="Arial" w:cs="Arial" w:eastAsia="Arial" w:hAnsi="Arial"/>
            <w:sz w:val="16"/>
            <w:szCs w:val="16"/>
            <w:u w:val="single" w:color="auto"/>
            <w:color w:val="0000EE"/>
          </w:rPr>
          <w:t>27, 2015</w:t>
        </w:r>
        <w:r>
          <w:rPr>
            <w:rFonts w:ascii="Arial" w:cs="Arial" w:eastAsia="Arial" w:hAnsi="Arial"/>
            <w:sz w:val="16"/>
            <w:szCs w:val="16"/>
            <w:color w:val="000000"/>
          </w:rPr>
          <w:t>, including any amendments or reports filed for the purpose of updating such description.</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3716020</wp:posOffset>
            </wp:positionH>
            <wp:positionV relativeFrom="paragraph">
              <wp:posOffset>-751205</wp:posOffset>
            </wp:positionV>
            <wp:extent cx="28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-202565</wp:posOffset>
            </wp:positionV>
            <wp:extent cx="28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8"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7"/>
          <w:szCs w:val="17"/>
          <w:color w:val="auto"/>
        </w:rPr>
        <w:t>You may request a copy of these filings, at no cost, by contacting us, either orally or in writing, at the following:</w:t>
      </w:r>
    </w:p>
    <w:p>
      <w:pPr>
        <w:spacing w:after="0" w:line="16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Blueprint Medicines Corporation</w:t>
      </w:r>
    </w:p>
    <w:p>
      <w:pPr>
        <w:spacing w:after="0" w:line="23"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45 Sidney Street</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Phone: (617) 714-6674</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E-mail: ir@blueprintmedicines.com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39" w:firstLine="648"/>
        <w:spacing w:after="0" w:line="284"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ongoing clinical trials and any planned clinical trials for avapritinib, pralsetinib, fisogatinib and BLU-263, and our research and development programs; our ability to advance drug candidates into, and successfully complete, clinical trials; the timing or likelihood of regulatory actions, filings and approvals for our drug candidates and our ability to successfully expand the indication for avapritinib, obtain marketing approval for avapritinib in additional jurisdictions and obtain marketing approval for pralsetinib; our ability and plans in continuing to build out our commercial infrastructure and successfully launching, marketing and selling AYVAKIT™ (avapritinib) and any future drug candidate for which we receive marketing approval in the U.S. and Europe; the rate and degree of market acceptance of AYVAKIT and any current and future drug candidates for which we receive marketing approval; the pricing and reimbursement of AYVAKIT and any future drugs for which we receive marketing approval; our ability to successfully develop manufacturing processes for our drug and drug candidates and secure manufacturing, packaging and labeling arrangements for development activities and commercial production; the implementation of our business model and strategic plans for our business, drug and drug candidates and technology; the scope of protection we are able to establish and maintain for intellectual property rights covering our drug, drug candidates and technology; the potential benefits of our collaborations with F. Hoffmann-La Roche Ltd and Hoffmann-La Roche Inc. and CStone Pharmaceuticals, as well as our ability to maintain these collaborations and establish other strategic collaborations; the potential benefits of our exclusive license agreement with Clementia Pharmaceuticals, Inc.; the development of a companion diagnostic test for AYVAKIT to identify patients with a PDGFRA D842V mutation or companion diagnostic tests for our current or future drug candidates; our financial performance and estimates of our expenses, future revenues, capital requirements and our needs for future financing; and developments relating to our competitors and our industry.</w:t>
      </w:r>
    </w:p>
    <w:p>
      <w:pPr>
        <w:spacing w:after="0" w:line="349" w:lineRule="exact"/>
        <w:rPr>
          <w:sz w:val="20"/>
          <w:szCs w:val="20"/>
          <w:color w:val="auto"/>
        </w:rPr>
      </w:pPr>
    </w:p>
    <w:p>
      <w:pPr>
        <w:ind w:right="79" w:firstLine="648"/>
        <w:spacing w:after="0" w:line="290" w:lineRule="auto"/>
        <w:rPr>
          <w:sz w:val="20"/>
          <w:szCs w:val="20"/>
          <w:color w:val="auto"/>
        </w:rPr>
      </w:pPr>
      <w:r>
        <w:rPr>
          <w:rFonts w:ascii="Arial" w:cs="Arial" w:eastAsia="Arial" w:hAnsi="Arial"/>
          <w:sz w:val="16"/>
          <w:szCs w:val="16"/>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were incorporated in Delaware on October 14, 2008. Our mailing address and principal executive offices are located at 45 Sidney Street, Cambridge, Massachusetts 02139, and our telephone number is (617) 714-6674. We maintain an Internet website at the following address: www.blueprintmedicines.com. The information on, or that can be accessed through, our website does not constitute part of this prospectus, and you should not rely on any such information in making the decision whether to purchase our common stock. Our common stock trades on the Nasdaq Global Select Market under the symbol “BPMC.”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59" w:firstLine="648"/>
        <w:spacing w:after="0" w:line="290"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of our drug candidates and to discover additional drug candidates, commercialization cost for any approved drugs, the acquisition or licensing of other drugs or drug candidates, business or technologies,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125" w:lineRule="exact"/>
        <w:rPr>
          <w:sz w:val="20"/>
          <w:szCs w:val="20"/>
          <w:color w:val="auto"/>
        </w:rPr>
      </w:pPr>
    </w:p>
    <w:p>
      <w:pPr>
        <w:ind w:left="1300" w:hanging="3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3" w:lineRule="exact"/>
        <w:rPr>
          <w:rFonts w:ascii="Arial" w:cs="Arial" w:eastAsia="Arial" w:hAnsi="Arial"/>
          <w:sz w:val="18"/>
          <w:szCs w:val="18"/>
          <w:color w:val="auto"/>
        </w:rPr>
      </w:pPr>
    </w:p>
    <w:p>
      <w:pPr>
        <w:ind w:left="1300" w:hanging="325"/>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increase in such net tangible book value per share attributable to the cash payments made by the purchasers in the offering; and</w:t>
      </w:r>
    </w:p>
    <w:p>
      <w:pPr>
        <w:ind w:left="1300" w:right="560" w:hanging="325"/>
        <w:spacing w:after="0" w:line="261"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Annual Meeting. </w:t>
      </w:r>
      <w:r>
        <w:rPr>
          <w:rFonts w:ascii="Arial" w:cs="Arial" w:eastAsia="Arial" w:hAnsi="Arial"/>
          <w:sz w:val="17"/>
          <w:szCs w:val="17"/>
          <w:color w:val="auto"/>
        </w:rPr>
        <w:t>Annual meetings of our stockholders are held on the date designated in accordance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common stock is entitled to one vote for each share held on all matters to be voted</w:t>
      </w:r>
      <w:r>
        <w:rPr>
          <w:rFonts w:ascii="Arial" w:cs="Arial" w:eastAsia="Arial" w:hAnsi="Arial"/>
          <w:sz w:val="18"/>
          <w:szCs w:val="18"/>
          <w:i w:val="1"/>
          <w:iCs w:val="1"/>
          <w:color w:val="auto"/>
        </w:rPr>
        <w:t xml:space="preserve"> </w:t>
      </w:r>
      <w:r>
        <w:rPr>
          <w:rFonts w:ascii="Arial" w:cs="Arial" w:eastAsia="Arial" w:hAnsi="Arial"/>
          <w:sz w:val="18"/>
          <w:szCs w:val="18"/>
          <w:color w:val="auto"/>
        </w:rPr>
        <w:t>upon by stockholders.</w:t>
      </w:r>
    </w:p>
    <w:p>
      <w:pPr>
        <w:spacing w:after="0" w:line="11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common stock, after any preferences of holders of any preferred stock,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dividends when and if declared by the board of directors out of legally available funds.</w:t>
      </w:r>
    </w:p>
    <w:p>
      <w:pPr>
        <w:spacing w:after="0" w:line="11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Liquidation and Dissolution</w:t>
      </w:r>
      <w:r>
        <w:rPr>
          <w:rFonts w:ascii="Arial" w:cs="Arial" w:eastAsia="Arial" w:hAnsi="Arial"/>
          <w:sz w:val="17"/>
          <w:szCs w:val="17"/>
          <w:color w:val="auto"/>
        </w:rPr>
        <w:t>. If we are liquidated or dissolved, the holders of the common stock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 in our assets available for 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the common stock have no right to convert the stock into any other security, have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or purchase additional stock or to maintain their proportionate ownership interest. The common stock does not have cumulative voting rights. Holders of shares of the common stock are not required to make additional capital contributions.</w:t>
      </w:r>
    </w:p>
    <w:p>
      <w:pPr>
        <w:spacing w:after="0" w:line="13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Nasdaq Global Select Market. </w:t>
      </w:r>
      <w:r>
        <w:rPr>
          <w:rFonts w:ascii="Arial" w:cs="Arial" w:eastAsia="Arial" w:hAnsi="Arial"/>
          <w:sz w:val="18"/>
          <w:szCs w:val="18"/>
          <w:color w:val="auto"/>
        </w:rPr>
        <w:t>Our common stock is listed on the Nasdaq Global Select Market under the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symbol “BPMC.”</w:t>
      </w:r>
    </w:p>
    <w:p>
      <w:pPr>
        <w:spacing w:after="0" w:line="11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Computershare Trust Company, N.A. is the transfer agent and registrar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4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154" w:lineRule="exact"/>
        <w:rPr>
          <w:sz w:val="20"/>
          <w:szCs w:val="20"/>
          <w:color w:val="auto"/>
        </w:rPr>
      </w:pPr>
    </w:p>
    <w:p>
      <w:pPr>
        <w:ind w:left="1300" w:hanging="325"/>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designation and stated value per share of the preferred stock and the number of shares offered;</w:t>
      </w:r>
    </w:p>
    <w:p>
      <w:pPr>
        <w:spacing w:after="0" w:line="34" w:lineRule="exact"/>
        <w:rPr>
          <w:rFonts w:ascii="Arial" w:cs="Arial" w:eastAsia="Arial" w:hAnsi="Arial"/>
          <w:sz w:val="17"/>
          <w:szCs w:val="17"/>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9" w:lineRule="exact"/>
        <w:rPr>
          <w:rFonts w:ascii="Arial" w:cs="Arial" w:eastAsia="Arial" w:hAnsi="Arial"/>
          <w:sz w:val="18"/>
          <w:szCs w:val="18"/>
          <w:color w:val="auto"/>
        </w:rPr>
      </w:pPr>
    </w:p>
    <w:p>
      <w:pPr>
        <w:ind w:left="1300" w:right="20" w:hanging="325"/>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9" w:lineRule="exact"/>
        <w:rPr>
          <w:rFonts w:ascii="Arial" w:cs="Arial" w:eastAsia="Arial" w:hAnsi="Arial"/>
          <w:sz w:val="18"/>
          <w:szCs w:val="18"/>
          <w:color w:val="auto"/>
        </w:rPr>
      </w:pPr>
    </w:p>
    <w:p>
      <w:pPr>
        <w:ind w:left="1300" w:hanging="325"/>
        <w:spacing w:after="0" w:line="28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other than the currency of the United States, the currency or currencies including composite currencies in which the preferred stock is denominated and/or in which payments will or may be payable;</w:t>
      </w:r>
    </w:p>
    <w:p>
      <w:pPr>
        <w:spacing w:after="0" w:line="1" w:lineRule="exact"/>
        <w:rPr>
          <w:rFonts w:ascii="Arial" w:cs="Arial" w:eastAsia="Arial" w:hAnsi="Arial"/>
          <w:sz w:val="16"/>
          <w:szCs w:val="16"/>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conversion provisions;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4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provided in the applicable prospectus supplement, the preferred stock will,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rights and rights upon our liquidation, dissolution or winding up of our affairs, rank:</w:t>
      </w:r>
    </w:p>
    <w:p>
      <w:pPr>
        <w:spacing w:after="0" w:line="130" w:lineRule="exact"/>
        <w:rPr>
          <w:sz w:val="20"/>
          <w:szCs w:val="20"/>
          <w:color w:val="auto"/>
        </w:rPr>
      </w:pPr>
    </w:p>
    <w:p>
      <w:pPr>
        <w:ind w:left="1300" w:right="120" w:hanging="325"/>
        <w:spacing w:after="0" w:line="274"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senior to our common stock and to all equity securities ranking junior to such preferred stock with respect to dividend rights or rights upon our liquidation, dissolution or winding up of our affairs;</w:t>
      </w:r>
    </w:p>
    <w:p>
      <w:pPr>
        <w:ind w:left="1300" w:right="140" w:hanging="325"/>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 w:lineRule="exact"/>
        <w:rPr>
          <w:rFonts w:ascii="Arial" w:cs="Arial" w:eastAsia="Arial" w:hAnsi="Arial"/>
          <w:sz w:val="18"/>
          <w:szCs w:val="18"/>
          <w:color w:val="auto"/>
        </w:rPr>
      </w:pPr>
    </w:p>
    <w:p>
      <w:pPr>
        <w:ind w:left="1300" w:right="180" w:hanging="325"/>
        <w:spacing w:after="0" w:line="25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9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the preferred stock of each series will be entitled to receive, when, as and if declared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1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series of cumulative preferred stock will accrue from the date we initially issue shares of such series or such other date specified in the applicable prospectus supplement.</w:t>
      </w:r>
    </w:p>
    <w:p>
      <w:pPr>
        <w:spacing w:after="0" w:line="13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54"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Upon any voluntary or involuntary liquidation, dissolution or winding up of our affairs,</w:t>
      </w:r>
      <w:r>
        <w:rPr>
          <w:rFonts w:ascii="Arial" w:cs="Arial" w:eastAsia="Arial" w:hAnsi="Arial"/>
          <w:sz w:val="17"/>
          <w:szCs w:val="17"/>
          <w:i w:val="1"/>
          <w:iCs w:val="1"/>
          <w:color w:val="auto"/>
        </w:rPr>
        <w:t xml:space="preserve"> </w:t>
      </w:r>
      <w:r>
        <w:rPr>
          <w:rFonts w:ascii="Arial" w:cs="Arial" w:eastAsia="Arial" w:hAnsi="Arial"/>
          <w:sz w:val="17"/>
          <w:szCs w:val="17"/>
          <w:color w:val="auto"/>
        </w:rPr>
        <w:t>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4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If so provided in the applicable prospectus supplement, the preferred stock will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redemption or redemption at our option, as a whole or in part, in each case upon the terms, at the times and at the redemption prices set forth in such prospectus supplement.</w:t>
      </w:r>
    </w:p>
    <w:p>
      <w:pPr>
        <w:spacing w:after="0" w:line="14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32" w:lineRule="exact"/>
        <w:rPr>
          <w:sz w:val="20"/>
          <w:szCs w:val="20"/>
          <w:color w:val="auto"/>
        </w:rPr>
      </w:pPr>
    </w:p>
    <w:p>
      <w:pPr>
        <w:ind w:left="1300" w:right="300" w:hanging="325"/>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240" w:hanging="325"/>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85" w:lineRule="exact"/>
        <w:rPr>
          <w:sz w:val="20"/>
          <w:szCs w:val="20"/>
          <w:color w:val="auto"/>
        </w:rPr>
      </w:pPr>
    </w:p>
    <w:p>
      <w:pPr>
        <w:ind w:left="1300" w:right="160" w:hanging="325"/>
        <w:spacing w:after="0" w:line="25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2" w:lineRule="exact"/>
        <w:rPr>
          <w:rFonts w:ascii="Arial" w:cs="Arial" w:eastAsia="Arial" w:hAnsi="Arial"/>
          <w:sz w:val="18"/>
          <w:szCs w:val="18"/>
          <w:color w:val="auto"/>
        </w:rPr>
      </w:pPr>
    </w:p>
    <w:p>
      <w:pPr>
        <w:ind w:left="1300" w:right="160" w:hanging="325"/>
        <w:spacing w:after="0" w:line="25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5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6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3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41" w:lineRule="exact"/>
        <w:rPr>
          <w:sz w:val="20"/>
          <w:szCs w:val="20"/>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9" w:lineRule="exact"/>
        <w:rPr>
          <w:rFonts w:ascii="Arial" w:cs="Arial" w:eastAsia="Arial" w:hAnsi="Arial"/>
          <w:sz w:val="18"/>
          <w:szCs w:val="18"/>
          <w:color w:val="auto"/>
        </w:rPr>
      </w:pPr>
    </w:p>
    <w:p>
      <w:pPr>
        <w:ind w:left="1300" w:right="400" w:hanging="325"/>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9" w:lineRule="exact"/>
        <w:rPr>
          <w:rFonts w:ascii="Arial" w:cs="Arial" w:eastAsia="Arial" w:hAnsi="Arial"/>
          <w:sz w:val="18"/>
          <w:szCs w:val="18"/>
          <w:color w:val="auto"/>
        </w:rPr>
      </w:pPr>
    </w:p>
    <w:p>
      <w:pPr>
        <w:ind w:left="1300" w:right="400" w:hanging="325"/>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specific number of shares to be redeemed from each such holder if fewer than all the shares of any series are to be redeemed.</w:t>
      </w:r>
    </w:p>
    <w:p>
      <w:pPr>
        <w:spacing w:after="0" w:line="1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3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applicable prospectus supplement.</w:t>
      </w:r>
    </w:p>
    <w:p>
      <w:pPr>
        <w:spacing w:after="0" w:line="11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04"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The terms and conditions, if any, upon which any series of preferred stock is convertible into</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will be set forth in the applicable prospectus supplement relating thereto. Such terms will include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33"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the preferred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earlier of the date on which all registrable shares have been sold and the date the registration rights terminate pursuant to the terms of the Investors’ Rights Agreement.</w:t>
      </w:r>
    </w:p>
    <w:p>
      <w:pPr>
        <w:spacing w:after="0" w:line="115"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The holders of at least a majority of our registrable shares may require us to file a</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under the Securities Act on a Form S-1 or Form S-3, if available, at our expense with respect to the resale of their registrable shares, and we are required to use our best efforts to effect the registration.</w:t>
      </w:r>
    </w:p>
    <w:p>
      <w:pPr>
        <w:spacing w:after="0" w:line="11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register any of our securities under the Securities Act for our own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the account of any other 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3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w:t>
      </w:r>
      <w:r>
        <w:rPr>
          <w:rFonts w:ascii="Arial" w:cs="Arial" w:eastAsia="Arial" w:hAnsi="Arial"/>
          <w:sz w:val="18"/>
          <w:szCs w:val="18"/>
          <w:i w:val="1"/>
          <w:iCs w:val="1"/>
          <w:color w:val="auto"/>
        </w:rPr>
        <w:t xml:space="preserve"> </w:t>
      </w:r>
      <w:r>
        <w:rPr>
          <w:rFonts w:ascii="Arial" w:cs="Arial" w:eastAsia="Arial" w:hAnsi="Arial"/>
          <w:sz w:val="18"/>
          <w:szCs w:val="18"/>
          <w:color w:val="auto"/>
        </w:rPr>
        <w:t>demand or piggyback registration. The 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of our Certificate of Incorporation and Bylaws and Delaware Law That May Have Anti-takeover Effects</w:t>
      </w:r>
    </w:p>
    <w:p>
      <w:pPr>
        <w:spacing w:after="0" w:line="198" w:lineRule="exact"/>
        <w:rPr>
          <w:sz w:val="20"/>
          <w:szCs w:val="20"/>
          <w:color w:val="auto"/>
        </w:rPr>
      </w:pPr>
    </w:p>
    <w:p>
      <w:pPr>
        <w:ind w:right="100" w:firstLine="648"/>
        <w:spacing w:after="0" w:line="221" w:lineRule="exact"/>
        <w:rPr>
          <w:sz w:val="20"/>
          <w:szCs w:val="20"/>
          <w:color w:val="auto"/>
        </w:rPr>
      </w:pPr>
      <w:r>
        <w:rPr>
          <w:rFonts w:ascii="Arial" w:cs="Arial" w:eastAsia="Arial" w:hAnsi="Arial"/>
          <w:sz w:val="16"/>
          <w:szCs w:val="16"/>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w:t>
      </w:r>
      <w:r>
        <w:rPr>
          <w:rFonts w:ascii="MS PGothic" w:cs="MS PGothic" w:eastAsia="MS PGothic" w:hAnsi="MS PGothic"/>
          <w:sz w:val="16"/>
          <w:szCs w:val="16"/>
          <w:color w:val="auto"/>
        </w:rPr>
        <w:t>‑</w:t>
      </w:r>
      <w:r>
        <w:rPr>
          <w:rFonts w:ascii="Arial" w:cs="Arial" w:eastAsia="Arial" w:hAnsi="Arial"/>
          <w:sz w:val="16"/>
          <w:szCs w:val="16"/>
          <w:color w:val="auto"/>
        </w:rPr>
        <w:t>negotiated takeover attempts. These provisions include the items described below.</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Board Composition and Filling Vacancies. </w:t>
      </w:r>
      <w:r>
        <w:rPr>
          <w:rFonts w:ascii="Arial" w:cs="Arial" w:eastAsia="Arial" w:hAnsi="Arial"/>
          <w:sz w:val="17"/>
          <w:szCs w:val="17"/>
          <w:color w:val="auto"/>
        </w:rPr>
        <w:t>In accordance with our certificate of incorporation, our board is divided</w:t>
      </w:r>
      <w:r>
        <w:rPr>
          <w:rFonts w:ascii="Arial" w:cs="Arial" w:eastAsia="Arial" w:hAnsi="Arial"/>
          <w:sz w:val="17"/>
          <w:szCs w:val="17"/>
          <w:i w:val="1"/>
          <w:iCs w:val="1"/>
          <w:color w:val="auto"/>
        </w:rPr>
        <w:t xml:space="preserve"> </w:t>
      </w:r>
      <w:r>
        <w:rPr>
          <w:rFonts w:ascii="Arial" w:cs="Arial" w:eastAsia="Arial" w:hAnsi="Arial"/>
          <w:sz w:val="17"/>
          <w:szCs w:val="17"/>
          <w:color w:val="auto"/>
        </w:rPr>
        <w:t>into three classes serving three-year 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24"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No Written Consent of Stockholders. </w:t>
      </w:r>
      <w:r>
        <w:rPr>
          <w:rFonts w:ascii="Arial" w:cs="Arial" w:eastAsia="Arial" w:hAnsi="Arial"/>
          <w:sz w:val="18"/>
          <w:szCs w:val="18"/>
          <w:color w:val="auto"/>
        </w:rPr>
        <w:t>Our certificate of incorporation provides that all stockholder actions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taken by a vote of the stockholders at an annual or special meeting, and that stockholders may not take any action by written consent in lieu of a meeting.</w:t>
      </w:r>
    </w:p>
    <w:p>
      <w:pPr>
        <w:spacing w:after="0" w:line="12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Meetings of Stockholders. </w:t>
      </w:r>
      <w:r>
        <w:rPr>
          <w:rFonts w:ascii="Arial" w:cs="Arial" w:eastAsia="Arial" w:hAnsi="Arial"/>
          <w:sz w:val="17"/>
          <w:szCs w:val="17"/>
          <w:color w:val="auto"/>
        </w:rPr>
        <w:t>Our bylaws provide that only a majority of the members of our board of directors then in</w:t>
      </w:r>
      <w:r>
        <w:rPr>
          <w:rFonts w:ascii="Arial" w:cs="Arial" w:eastAsia="Arial" w:hAnsi="Arial"/>
          <w:sz w:val="17"/>
          <w:szCs w:val="17"/>
          <w:i w:val="1"/>
          <w:iCs w:val="1"/>
          <w:color w:val="auto"/>
        </w:rPr>
        <w:t xml:space="preserve"> </w:t>
      </w:r>
      <w:r>
        <w:rPr>
          <w:rFonts w:ascii="Arial" w:cs="Arial" w:eastAsia="Arial" w:hAnsi="Arial"/>
          <w:sz w:val="17"/>
          <w:szCs w:val="17"/>
          <w:color w:val="auto"/>
        </w:rPr>
        <w:t>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1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1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Amendment to Certificate of Incorporation and Bylaws. </w:t>
      </w:r>
      <w:r>
        <w:rPr>
          <w:rFonts w:ascii="Arial" w:cs="Arial" w:eastAsia="Arial" w:hAnsi="Arial"/>
          <w:sz w:val="17"/>
          <w:szCs w:val="17"/>
          <w:color w:val="auto"/>
        </w:rPr>
        <w:t>As required by the Delaware General Corporation Law, any</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2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Blank Check Preferred Stock. </w:t>
      </w:r>
      <w:r>
        <w:rPr>
          <w:rFonts w:ascii="Arial" w:cs="Arial" w:eastAsia="Arial" w:hAnsi="Arial"/>
          <w:sz w:val="17"/>
          <w:szCs w:val="17"/>
          <w:color w:val="auto"/>
        </w:rPr>
        <w:t>Our certificate of incorporation provides for 5,000,000 authorized shares of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2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Section 203 of the Delaware General Corporation Law. </w:t>
      </w:r>
      <w:r>
        <w:rPr>
          <w:rFonts w:ascii="Arial" w:cs="Arial" w:eastAsia="Arial" w:hAnsi="Arial"/>
          <w:sz w:val="17"/>
          <w:szCs w:val="17"/>
          <w:color w:val="auto"/>
        </w:rPr>
        <w:t>We are subject to the provisions of Section 203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19" w:lineRule="exact"/>
        <w:rPr>
          <w:sz w:val="20"/>
          <w:szCs w:val="20"/>
          <w:color w:val="auto"/>
        </w:rPr>
      </w:pPr>
    </w:p>
    <w:p>
      <w:pPr>
        <w:ind w:left="1300" w:right="140" w:hanging="325"/>
        <w:spacing w:after="0" w:line="274"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before the stockholder became interested, the board of directors approved either the business combination or the transaction which resulted in the stockholder becoming an interested stockholder;</w:t>
      </w:r>
    </w:p>
    <w:p>
      <w:pPr>
        <w:ind w:left="1300" w:right="40" w:hanging="325"/>
        <w:spacing w:after="0" w:line="281"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 w:lineRule="exact"/>
        <w:rPr>
          <w:rFonts w:ascii="Arial" w:cs="Arial" w:eastAsia="Arial" w:hAnsi="Arial"/>
          <w:sz w:val="16"/>
          <w:szCs w:val="16"/>
          <w:color w:val="auto"/>
        </w:rPr>
      </w:pPr>
    </w:p>
    <w:p>
      <w:pPr>
        <w:ind w:left="1300" w:right="40" w:hanging="325"/>
        <w:spacing w:after="0" w:line="216" w:lineRule="exact"/>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outstanding voting stock that is not owned by the interested stockholder.</w:t>
      </w:r>
    </w:p>
    <w:p>
      <w:pPr>
        <w:spacing w:after="0" w:line="16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0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Exclusive Jurisdiction of Certain Actions</w:t>
      </w:r>
      <w:r>
        <w:rPr>
          <w:rFonts w:ascii="Arial" w:cs="Arial" w:eastAsia="Arial" w:hAnsi="Arial"/>
          <w:sz w:val="18"/>
          <w:szCs w:val="18"/>
          <w:color w:val="auto"/>
        </w:rPr>
        <w:t>. Our certificate of incorporation requires, to the fullest extent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that derivative actions brought in 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9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w:t>
      </w:r>
    </w:p>
    <w:p>
      <w:pPr>
        <w:spacing w:after="0" w:line="185" w:lineRule="exact"/>
        <w:rPr>
          <w:sz w:val="20"/>
          <w:szCs w:val="20"/>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 and</w:t>
      </w:r>
    </w:p>
    <w:p>
      <w:pPr>
        <w:spacing w:after="0" w:line="9" w:lineRule="exact"/>
        <w:rPr>
          <w:rFonts w:ascii="Arial" w:cs="Arial" w:eastAsia="Arial" w:hAnsi="Arial"/>
          <w:sz w:val="18"/>
          <w:szCs w:val="18"/>
          <w:color w:val="auto"/>
        </w:rPr>
      </w:pPr>
    </w:p>
    <w:p>
      <w:pPr>
        <w:ind w:left="1300" w:right="160" w:hanging="325"/>
        <w:spacing w:after="0" w:line="261"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 us to reopen a series to issue substantially identical additional debt securities without the consent of the holders of the debt securities of such series.</w:t>
      </w:r>
    </w:p>
    <w:p>
      <w:pPr>
        <w:spacing w:after="0" w:line="1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3" w:lineRule="exact"/>
        <w:rPr>
          <w:rFonts w:ascii="Arial" w:cs="Arial" w:eastAsia="Arial" w:hAnsi="Arial"/>
          <w:sz w:val="18"/>
          <w:szCs w:val="18"/>
          <w:color w:val="auto"/>
        </w:rPr>
      </w:pPr>
    </w:p>
    <w:p>
      <w:pPr>
        <w:ind w:left="1300" w:right="100" w:hanging="325"/>
        <w:spacing w:after="0" w:line="277"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line="253"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3" w:lineRule="exact"/>
        <w:rPr>
          <w:rFonts w:ascii="Arial" w:cs="Arial" w:eastAsia="Arial" w:hAnsi="Arial"/>
          <w:sz w:val="18"/>
          <w:szCs w:val="18"/>
          <w:color w:val="auto"/>
        </w:rPr>
      </w:pPr>
    </w:p>
    <w:p>
      <w:pPr>
        <w:ind w:left="1300" w:right="2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 w:lineRule="exact"/>
        <w:rPr>
          <w:rFonts w:ascii="Arial" w:cs="Arial" w:eastAsia="Arial" w:hAnsi="Arial"/>
          <w:sz w:val="18"/>
          <w:szCs w:val="18"/>
          <w:color w:val="auto"/>
        </w:rPr>
      </w:pPr>
    </w:p>
    <w:p>
      <w:pPr>
        <w:ind w:left="1300" w:right="58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ind w:left="1300" w:right="14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date or dates, or the method for determining the date or dates, from which interest will accrue;</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record dates for interest payment dates, or the method by which such dates will be determined;</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9" w:lineRule="exact"/>
        <w:rPr>
          <w:rFonts w:ascii="Arial" w:cs="Arial" w:eastAsia="Arial" w:hAnsi="Arial"/>
          <w:sz w:val="18"/>
          <w:szCs w:val="18"/>
          <w:color w:val="auto"/>
        </w:rPr>
      </w:pPr>
    </w:p>
    <w:p>
      <w:pPr>
        <w:ind w:left="1300" w:right="28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or make-whole amount, and interest on, the debt securities will be payable;</w:t>
      </w: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where the debt securities may be surrendered for registration of transfer or conversion or exchange;</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9" w:lineRule="exact"/>
        <w:rPr>
          <w:rFonts w:ascii="Arial" w:cs="Arial" w:eastAsia="Arial" w:hAnsi="Arial"/>
          <w:sz w:val="18"/>
          <w:szCs w:val="18"/>
          <w:color w:val="auto"/>
        </w:rPr>
      </w:pPr>
    </w:p>
    <w:p>
      <w:pPr>
        <w:jc w:val="both"/>
        <w:ind w:left="1300" w:right="120" w:hanging="325"/>
        <w:spacing w:after="0" w:line="265"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ind w:left="1300" w:right="16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1" w:lineRule="exact"/>
        <w:rPr>
          <w:rFonts w:ascii="Arial" w:cs="Arial" w:eastAsia="Arial" w:hAnsi="Arial"/>
          <w:sz w:val="18"/>
          <w:szCs w:val="18"/>
          <w:color w:val="auto"/>
        </w:rPr>
      </w:pPr>
    </w:p>
    <w:p>
      <w:pPr>
        <w:ind w:left="1300" w:right="8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1" w:lineRule="exact"/>
        <w:rPr>
          <w:rFonts w:ascii="Arial" w:cs="Arial" w:eastAsia="Arial" w:hAnsi="Arial"/>
          <w:sz w:val="18"/>
          <w:szCs w:val="18"/>
          <w:color w:val="auto"/>
        </w:rPr>
      </w:pPr>
    </w:p>
    <w:p>
      <w:pPr>
        <w:ind w:left="1300" w:right="6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2" w:lineRule="exact"/>
        <w:rPr>
          <w:rFonts w:ascii="Arial" w:cs="Arial" w:eastAsia="Arial" w:hAnsi="Arial"/>
          <w:sz w:val="18"/>
          <w:szCs w:val="18"/>
          <w:color w:val="auto"/>
        </w:rPr>
      </w:pPr>
    </w:p>
    <w:p>
      <w:pPr>
        <w:jc w:val="both"/>
        <w:ind w:left="1300" w:right="42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2" w:lineRule="exact"/>
        <w:rPr>
          <w:rFonts w:ascii="Arial" w:cs="Arial" w:eastAsia="Arial" w:hAnsi="Arial"/>
          <w:sz w:val="18"/>
          <w:szCs w:val="18"/>
          <w:color w:val="auto"/>
        </w:rPr>
      </w:pPr>
    </w:p>
    <w:p>
      <w:pPr>
        <w:ind w:left="1300" w:right="24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ind w:left="1300" w:right="10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applicability, if any, of the defeasance and covenant defeasance provisions described in this prospectus or in the applicable indenture;</w:t>
      </w:r>
    </w:p>
    <w:p>
      <w:pPr>
        <w:ind w:left="1300" w:right="4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w:t>
      </w:r>
    </w:p>
    <w:p>
      <w:pPr>
        <w:ind w:left="1300" w:right="60" w:hanging="325"/>
        <w:spacing w:after="0" w:line="25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220" w:hanging="325"/>
        <w:spacing w:after="0" w:line="256"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other terms of such debt securities not inconsistent with the provisions of the applicable indenture.</w:t>
      </w:r>
    </w:p>
    <w:p>
      <w:pPr>
        <w:spacing w:after="0" w:line="330" w:lineRule="exact"/>
        <w:rPr>
          <w:sz w:val="20"/>
          <w:szCs w:val="20"/>
          <w:color w:val="auto"/>
        </w:rPr>
      </w:pPr>
    </w:p>
    <w:p>
      <w:pPr>
        <w:ind w:right="460" w:firstLine="648"/>
        <w:spacing w:after="0" w:line="302"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54"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Except as described under “—Merger, Consolidation or Sale of Assets” or as may be set forth in any prospectus supplement, the debt securities will not contain any provisions that (i) would limit our ability to incur indebtedness or</w:t>
      </w:r>
    </w:p>
    <w:p>
      <w:pPr>
        <w:ind w:firstLine="3"/>
        <w:spacing w:after="0" w:line="271"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7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71"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during which we hold the funds.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12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Unless otherwise provided in the applicable prospectus supplement, the debt securities of any series will be issuable in denominations of $1,000 and integral multiples of $1,000. Unless otherwise provided in the applicable prospectus supplement, interest on the debt securities shall be computed on the basis of a 360-day year composed of twelve 30-</w:t>
      </w:r>
    </w:p>
    <w:p>
      <w:pPr>
        <w:spacing w:after="0"/>
        <w:rPr>
          <w:sz w:val="20"/>
          <w:szCs w:val="20"/>
          <w:color w:val="auto"/>
        </w:rPr>
      </w:pPr>
      <w:r>
        <w:rPr>
          <w:rFonts w:ascii="Arial" w:cs="Arial" w:eastAsia="Arial" w:hAnsi="Arial"/>
          <w:sz w:val="18"/>
          <w:szCs w:val="18"/>
          <w:color w:val="auto"/>
        </w:rPr>
        <w:t>day months.</w:t>
      </w:r>
    </w:p>
    <w:p>
      <w:pPr>
        <w:spacing w:after="0" w:line="211"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Subject to the limitations imposed upon debt securities that are evidenced by book entry in the records of a depository company rather than by physical delivery of a note, a holder of debt securities of any series may:</w:t>
      </w:r>
    </w:p>
    <w:p>
      <w:pPr>
        <w:spacing w:after="0" w:line="29" w:lineRule="exact"/>
        <w:rPr>
          <w:sz w:val="20"/>
          <w:szCs w:val="20"/>
          <w:color w:val="auto"/>
        </w:rPr>
      </w:pPr>
    </w:p>
    <w:p>
      <w:pPr>
        <w:ind w:left="1300" w:right="160" w:hanging="325"/>
        <w:spacing w:after="0" w:line="288"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ind w:left="1300" w:right="80" w:hanging="325"/>
        <w:spacing w:after="0" w:line="26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1300" w:right="80" w:hanging="325"/>
        <w:spacing w:after="0" w:line="271"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ind w:left="1300" w:right="400" w:hanging="325"/>
        <w:spacing w:after="0" w:line="281"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register the transfer of or exchange any debt security, or portion thereof, so selected for redemption, in whole or in part, except the unredeemed portion of any debt security being redeemed in part; and</w:t>
      </w:r>
    </w:p>
    <w:p>
      <w:pPr>
        <w:spacing w:after="0" w:line="1" w:lineRule="exact"/>
        <w:rPr>
          <w:rFonts w:ascii="Arial" w:cs="Arial" w:eastAsia="Arial" w:hAnsi="Arial"/>
          <w:sz w:val="16"/>
          <w:szCs w:val="16"/>
          <w:color w:val="auto"/>
        </w:rPr>
      </w:pPr>
    </w:p>
    <w:p>
      <w:pPr>
        <w:ind w:left="1300" w:right="140" w:hanging="325"/>
        <w:spacing w:after="0" w:line="290"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security that has been surrendered for repayment at the option of the holder, except the portion, if any, of such debt security not to be so repaid.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indentures provide that we may, without the consent of the holders of any outstanding debt securities,</w:t>
      </w:r>
    </w:p>
    <w:p>
      <w:pPr>
        <w:spacing w:after="0" w:line="35" w:lineRule="exact"/>
        <w:rPr>
          <w:sz w:val="20"/>
          <w:szCs w:val="20"/>
          <w:color w:val="auto"/>
        </w:rPr>
      </w:pPr>
    </w:p>
    <w:p>
      <w:pPr>
        <w:ind w:right="420" w:firstLine="3"/>
        <w:spacing w:after="0" w:line="261"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 with, (ii) sell, lease or convey all or substantially all of our assets to, or (iii) merge with or into, any other entity provided that:</w:t>
      </w:r>
    </w:p>
    <w:p>
      <w:pPr>
        <w:spacing w:after="0" w:line="89" w:lineRule="exact"/>
        <w:rPr>
          <w:rFonts w:ascii="Arial" w:cs="Arial" w:eastAsia="Arial" w:hAnsi="Arial"/>
          <w:sz w:val="18"/>
          <w:szCs w:val="18"/>
          <w:color w:val="auto"/>
        </w:rPr>
      </w:pPr>
    </w:p>
    <w:p>
      <w:pPr>
        <w:ind w:left="1300" w:right="20" w:hanging="325"/>
        <w:spacing w:after="0" w:line="291"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either we are the continuing entity, or the successor entity, if other than us, assumes the obligations (a) to pay the principal of, and any premium or make-whole amount, and interest on, all of the debt securities and</w:t>
      </w:r>
    </w:p>
    <w:p>
      <w:pPr>
        <w:ind w:left="1300"/>
        <w:spacing w:after="0"/>
        <w:rPr>
          <w:rFonts w:ascii="Arial" w:cs="Arial" w:eastAsia="Arial" w:hAnsi="Arial"/>
          <w:sz w:val="16"/>
          <w:szCs w:val="16"/>
          <w:color w:val="auto"/>
        </w:rPr>
      </w:pPr>
      <w:r>
        <w:rPr>
          <w:rFonts w:ascii="Arial" w:cs="Arial" w:eastAsia="Arial" w:hAnsi="Arial"/>
          <w:sz w:val="16"/>
          <w:szCs w:val="16"/>
          <w:color w:val="auto"/>
        </w:rPr>
        <w:t>(b) to duly perform and observe all of the covenants and conditions contained in the applicable indenture;</w:t>
      </w:r>
    </w:p>
    <w:p>
      <w:pPr>
        <w:spacing w:after="0" w:line="32" w:lineRule="exact"/>
        <w:rPr>
          <w:rFonts w:ascii="Arial" w:cs="Arial" w:eastAsia="Arial" w:hAnsi="Arial"/>
          <w:sz w:val="16"/>
          <w:szCs w:val="16"/>
          <w:color w:val="auto"/>
        </w:rPr>
      </w:pPr>
    </w:p>
    <w:p>
      <w:pPr>
        <w:ind w:left="1300" w:right="160" w:hanging="325"/>
        <w:spacing w:after="0" w:line="250"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 officers’ certificate and legal opinion covering such conditions are delivered to each applicable trustee.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1300" w:right="220" w:hanging="325"/>
        <w:spacing w:after="0" w:line="258"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90 days unless such date has been extended or deferred;</w:t>
      </w:r>
    </w:p>
    <w:p>
      <w:pPr>
        <w:spacing w:after="0" w:line="1" w:lineRule="exact"/>
        <w:rPr>
          <w:rFonts w:ascii="Arial" w:cs="Arial" w:eastAsia="Arial" w:hAnsi="Arial"/>
          <w:sz w:val="18"/>
          <w:szCs w:val="18"/>
          <w:color w:val="auto"/>
        </w:rPr>
      </w:pPr>
    </w:p>
    <w:p>
      <w:pPr>
        <w:ind w:left="130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when due and payable unless such date has been extended or deferred;</w:t>
      </w:r>
    </w:p>
    <w:p>
      <w:pPr>
        <w:ind w:left="1300" w:right="16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90 days after written notice described below;</w:t>
      </w:r>
    </w:p>
    <w:p>
      <w:pPr>
        <w:ind w:left="1300" w:hanging="325"/>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and</w:t>
      </w:r>
    </w:p>
    <w:p>
      <w:pPr>
        <w:spacing w:after="0" w:line="32" w:lineRule="exact"/>
        <w:rPr>
          <w:rFonts w:ascii="Arial" w:cs="Arial" w:eastAsia="Arial" w:hAnsi="Arial"/>
          <w:sz w:val="16"/>
          <w:szCs w:val="16"/>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3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all debt securities then outstanding under the applicable indenture may rescind and annul such declaration and its consequences if:</w:t>
      </w:r>
    </w:p>
    <w:p>
      <w:pPr>
        <w:spacing w:after="0" w:line="76" w:lineRule="exact"/>
        <w:rPr>
          <w:sz w:val="20"/>
          <w:szCs w:val="20"/>
          <w:color w:val="auto"/>
        </w:rPr>
      </w:pPr>
    </w:p>
    <w:p>
      <w:pPr>
        <w:ind w:left="1300" w:hanging="325"/>
        <w:spacing w:after="0" w:line="271"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ind w:left="1300" w:hanging="325"/>
        <w:spacing w:after="0" w:line="261"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35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indentures require each trustee to give notice to the holders of debt securities within the later of 90 days after an event of default and 30 days after the event of default is actually known to a responsible officer of such trustee, unless such default has been cured or waived. However, the trustee may withhold notice if specified persons of such trustee consider such withholding to be in the interest of the holders of debt securities.</w:t>
      </w:r>
    </w:p>
    <w:p>
      <w:pPr>
        <w:spacing w:after="0" w:line="18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83" w:lineRule="exact"/>
        <w:rPr>
          <w:sz w:val="20"/>
          <w:szCs w:val="20"/>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may be unduly prejudicial to the holders of debt securities of the series not joining the proceeding.</w:t>
      </w:r>
    </w:p>
    <w:p>
      <w:pPr>
        <w:spacing w:after="0" w:line="398"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12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 indentures provide that modifications and amendments may be made only with the consent of the affected holders of a majority in principal amount of all outstanding debt securities in that series issued under that indenture.</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170"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9" w:lineRule="exact"/>
        <w:rPr>
          <w:rFonts w:ascii="Arial" w:cs="Arial" w:eastAsia="Arial" w:hAnsi="Arial"/>
          <w:sz w:val="18"/>
          <w:szCs w:val="18"/>
          <w:color w:val="auto"/>
        </w:rPr>
      </w:pPr>
    </w:p>
    <w:p>
      <w:pPr>
        <w:ind w:left="1300" w:right="220" w:hanging="325"/>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9" w:lineRule="exact"/>
        <w:rPr>
          <w:rFonts w:ascii="Arial" w:cs="Arial" w:eastAsia="Arial" w:hAnsi="Arial"/>
          <w:sz w:val="18"/>
          <w:szCs w:val="18"/>
          <w:color w:val="auto"/>
        </w:rPr>
      </w:pPr>
    </w:p>
    <w:p>
      <w:pPr>
        <w:ind w:left="1300" w:right="460" w:hanging="325"/>
        <w:spacing w:after="0" w:line="290"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make any change that does not adversely affect the rights of any securityholder in any material respect;</w:t>
      </w:r>
    </w:p>
    <w:p>
      <w:pPr>
        <w:spacing w:after="0" w:line="46" w:lineRule="exact"/>
        <w:rPr>
          <w:rFonts w:ascii="Arial" w:cs="Arial" w:eastAsia="Arial" w:hAnsi="Arial"/>
          <w:sz w:val="16"/>
          <w:szCs w:val="16"/>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9" w:lineRule="exact"/>
        <w:rPr>
          <w:rFonts w:ascii="Arial" w:cs="Arial" w:eastAsia="Arial" w:hAnsi="Arial"/>
          <w:sz w:val="18"/>
          <w:szCs w:val="18"/>
          <w:color w:val="auto"/>
        </w:rPr>
      </w:pPr>
    </w:p>
    <w:p>
      <w:pPr>
        <w:ind w:left="1300" w:right="220" w:hanging="325"/>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 or</w:t>
      </w:r>
    </w:p>
    <w:p>
      <w:pPr>
        <w:ind w:left="1300" w:hanging="325"/>
        <w:spacing w:after="0" w:line="290"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cure any ambiguity, defect or inconsistency in an indenture, provided that such action shall not adversely affect the interests of holders of debt securities of any series issued under such indenture.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0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8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4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70" w:lineRule="exact"/>
        <w:rPr>
          <w:sz w:val="20"/>
          <w:szCs w:val="20"/>
          <w:color w:val="auto"/>
        </w:rPr>
      </w:pPr>
    </w:p>
    <w:p>
      <w:pPr>
        <w:ind w:left="1300" w:right="80" w:hanging="325"/>
        <w:spacing w:after="0" w:line="272"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60" w:hanging="325"/>
        <w:spacing w:after="0" w:line="25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respect of principal and any premium or make-whole amount, and interest to the date of such deposit if such debt securities have become due and payable or, if they have not, to the stated maturity or redemption date;</w:t>
      </w: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9" w:lineRule="exact"/>
        <w:rPr>
          <w:rFonts w:ascii="Arial" w:cs="Arial" w:eastAsia="Arial" w:hAnsi="Arial"/>
          <w:sz w:val="18"/>
          <w:szCs w:val="18"/>
          <w:color w:val="auto"/>
        </w:rPr>
      </w:pPr>
    </w:p>
    <w:p>
      <w:pPr>
        <w:ind w:left="1300" w:right="260" w:hanging="325"/>
        <w:spacing w:after="0" w:line="261"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35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1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12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121" w:lineRule="exact"/>
        <w:rPr>
          <w:sz w:val="20"/>
          <w:szCs w:val="20"/>
          <w:color w:val="auto"/>
        </w:rPr>
      </w:pPr>
    </w:p>
    <w:p>
      <w:pPr>
        <w:ind w:right="99" w:firstLine="636"/>
        <w:spacing w:after="0" w:line="253" w:lineRule="auto"/>
        <w:rPr>
          <w:sz w:val="20"/>
          <w:szCs w:val="20"/>
          <w:color w:val="auto"/>
        </w:rPr>
      </w:pPr>
      <w:r>
        <w:rPr>
          <w:rFonts w:ascii="Arial" w:cs="Arial" w:eastAsia="Arial" w:hAnsi="Arial"/>
          <w:sz w:val="18"/>
          <w:szCs w:val="18"/>
          <w:color w:val="auto"/>
        </w:rPr>
        <w:t>We may issue purchase contracts, including contracts obligating holders to purchase from or sell to us, and obligating us to sell to or purchase from the holders, a specified number of shares of our common stock or preferred stock at a future date or dates, which we refer to in this prospectus as purchase contracts. The price per share of common stock or preferred stock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or preferred stock under the purchase contracts.</w:t>
      </w:r>
    </w:p>
    <w:p>
      <w:pPr>
        <w:spacing w:after="0" w:line="157" w:lineRule="exact"/>
        <w:rPr>
          <w:sz w:val="20"/>
          <w:szCs w:val="20"/>
          <w:color w:val="auto"/>
        </w:rPr>
      </w:pPr>
    </w:p>
    <w:p>
      <w:pPr>
        <w:ind w:right="59" w:firstLine="636"/>
        <w:spacing w:after="0" w:line="312" w:lineRule="auto"/>
        <w:rPr>
          <w:sz w:val="20"/>
          <w:szCs w:val="20"/>
          <w:color w:val="auto"/>
        </w:rPr>
      </w:pPr>
      <w:r>
        <w:rPr>
          <w:rFonts w:ascii="Arial" w:cs="Arial" w:eastAsia="Arial" w:hAnsi="Arial"/>
          <w:sz w:val="16"/>
          <w:szCs w:val="16"/>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20" w:lineRule="exact"/>
        <w:rPr>
          <w:sz w:val="20"/>
          <w:szCs w:val="20"/>
          <w:color w:val="auto"/>
        </w:rPr>
      </w:pPr>
    </w:p>
    <w:p>
      <w:pPr>
        <w:ind w:right="699" w:firstLine="636"/>
        <w:spacing w:after="0" w:line="277"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right="240" w:firstLine="636"/>
        <w:spacing w:after="0" w:line="273" w:lineRule="auto"/>
        <w:rPr>
          <w:sz w:val="20"/>
          <w:szCs w:val="20"/>
          <w:color w:val="auto"/>
        </w:rPr>
      </w:pPr>
      <w:r>
        <w:rPr>
          <w:rFonts w:ascii="Arial" w:cs="Arial" w:eastAsia="Arial" w:hAnsi="Arial"/>
          <w:sz w:val="17"/>
          <w:szCs w:val="17"/>
          <w:color w:val="auto"/>
        </w:rPr>
        <w:t>We may issue warrants to purchase debt securities, common stock or preferred stock. We may offer warrants separately or together with one or more additional warrants, debt securities, common stock or preferred stock,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138" w:lineRule="exact"/>
        <w:rPr>
          <w:sz w:val="20"/>
          <w:szCs w:val="20"/>
          <w:color w:val="auto"/>
        </w:rPr>
      </w:pPr>
    </w:p>
    <w:p>
      <w:pPr>
        <w:ind w:left="1300" w:right="600" w:hanging="325"/>
        <w:spacing w:after="0" w:line="258"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currency or currency units in which the offering price, if any, and the exercise price are payable;</w:t>
      </w:r>
    </w:p>
    <w:p>
      <w:pPr>
        <w:spacing w:after="0" w:line="20" w:lineRule="exact"/>
        <w:rPr>
          <w:rFonts w:ascii="Arial" w:cs="Arial" w:eastAsia="Arial" w:hAnsi="Arial"/>
          <w:sz w:val="17"/>
          <w:szCs w:val="17"/>
          <w:color w:val="auto"/>
        </w:rPr>
      </w:pPr>
    </w:p>
    <w:p>
      <w:pPr>
        <w:jc w:val="both"/>
        <w:ind w:left="1300" w:right="16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9" w:lineRule="exact"/>
        <w:rPr>
          <w:rFonts w:ascii="Arial" w:cs="Arial" w:eastAsia="Arial" w:hAnsi="Arial"/>
          <w:sz w:val="18"/>
          <w:szCs w:val="18"/>
          <w:color w:val="auto"/>
        </w:rPr>
      </w:pPr>
    </w:p>
    <w:p>
      <w:pPr>
        <w:ind w:left="130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9" w:lineRule="exact"/>
        <w:rPr>
          <w:rFonts w:ascii="Arial" w:cs="Arial" w:eastAsia="Arial" w:hAnsi="Arial"/>
          <w:sz w:val="18"/>
          <w:szCs w:val="18"/>
          <w:color w:val="auto"/>
        </w:rPr>
      </w:pPr>
    </w:p>
    <w:p>
      <w:pPr>
        <w:ind w:left="1300" w:right="6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ind w:left="1300" w:right="14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9" w:lineRule="exact"/>
        <w:rPr>
          <w:rFonts w:ascii="Arial" w:cs="Arial" w:eastAsia="Arial" w:hAnsi="Arial"/>
          <w:sz w:val="18"/>
          <w:szCs w:val="18"/>
          <w:color w:val="auto"/>
        </w:rPr>
      </w:pPr>
    </w:p>
    <w:p>
      <w:pPr>
        <w:ind w:left="1300" w:right="66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ind w:left="1300" w:right="6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or preferred stock with which the warrants are issued and, the number of warrants issued with each security;</w:t>
      </w:r>
    </w:p>
    <w:p>
      <w:pPr>
        <w:ind w:left="1300" w:right="54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or preferred stock will be separately transferable;</w:t>
      </w:r>
    </w:p>
    <w:p>
      <w:pPr>
        <w:ind w:left="1300" w:right="560" w:hanging="325"/>
        <w:spacing w:after="0" w:line="265"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of shares of common stock or the number of shares of preferred stock purchasable upon exercise of a warrant and the price at which those shares may be purchased;</w:t>
      </w:r>
    </w:p>
    <w:p>
      <w:pPr>
        <w:ind w:left="1300" w:hanging="325"/>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applicable, the minimum or maximum amount of the warrants that may be exercised at any one time;</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130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9" w:lineRule="exact"/>
        <w:rPr>
          <w:rFonts w:ascii="Arial" w:cs="Arial" w:eastAsia="Arial" w:hAnsi="Arial"/>
          <w:sz w:val="18"/>
          <w:szCs w:val="18"/>
          <w:color w:val="auto"/>
        </w:rPr>
      </w:pPr>
    </w:p>
    <w:p>
      <w:pPr>
        <w:ind w:left="1300" w:right="160" w:hanging="325"/>
        <w:spacing w:after="0" w:line="261"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sell securities:</w:t>
      </w:r>
    </w:p>
    <w:p>
      <w:pPr>
        <w:spacing w:after="0" w:line="170" w:lineRule="exact"/>
        <w:rPr>
          <w:sz w:val="20"/>
          <w:szCs w:val="20"/>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9" w:lineRule="exact"/>
        <w:rPr>
          <w:rFonts w:ascii="Arial" w:cs="Arial" w:eastAsia="Arial" w:hAnsi="Arial"/>
          <w:sz w:val="18"/>
          <w:szCs w:val="18"/>
          <w:color w:val="auto"/>
        </w:rPr>
      </w:pPr>
    </w:p>
    <w:p>
      <w:pPr>
        <w:ind w:left="1300" w:right="400" w:hanging="325"/>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1" w:lineRule="exact"/>
        <w:rPr>
          <w:rFonts w:ascii="Arial" w:cs="Arial" w:eastAsia="Arial" w:hAnsi="Arial"/>
          <w:sz w:val="18"/>
          <w:szCs w:val="18"/>
          <w:color w:val="auto"/>
        </w:rPr>
      </w:pPr>
    </w:p>
    <w:p>
      <w:pPr>
        <w:ind w:left="1300" w:right="220" w:hanging="325"/>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170" w:lineRule="exact"/>
        <w:rPr>
          <w:sz w:val="20"/>
          <w:szCs w:val="20"/>
          <w:color w:val="auto"/>
        </w:rPr>
      </w:pPr>
    </w:p>
    <w:p>
      <w:pPr>
        <w:ind w:right="520" w:firstLine="636"/>
        <w:spacing w:after="0" w:line="277"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62" w:lineRule="exact"/>
        <w:rPr>
          <w:sz w:val="20"/>
          <w:szCs w:val="20"/>
          <w:color w:val="auto"/>
        </w:rPr>
      </w:pPr>
    </w:p>
    <w:p>
      <w:pPr>
        <w:ind w:right="160" w:firstLine="636"/>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85" w:lineRule="exact"/>
        <w:rPr>
          <w:sz w:val="20"/>
          <w:szCs w:val="20"/>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prospectus supplement will describe the method of distribution of the securities and any applicable restrictions.</w:t>
      </w:r>
    </w:p>
    <w:p>
      <w:pPr>
        <w:spacing w:after="0" w:line="208" w:lineRule="exact"/>
        <w:rPr>
          <w:sz w:val="20"/>
          <w:szCs w:val="20"/>
          <w:color w:val="auto"/>
        </w:rPr>
      </w:pPr>
    </w:p>
    <w:p>
      <w:pPr>
        <w:ind w:right="60" w:firstLine="636"/>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43" w:lineRule="exact"/>
        <w:rPr>
          <w:sz w:val="20"/>
          <w:szCs w:val="20"/>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170" w:lineRule="exact"/>
        <w:rPr>
          <w:sz w:val="20"/>
          <w:szCs w:val="20"/>
          <w:color w:val="auto"/>
        </w:rPr>
      </w:pPr>
    </w:p>
    <w:p>
      <w:pPr>
        <w:ind w:right="40" w:firstLine="636"/>
        <w:spacing w:after="0" w:line="259"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6" w:lineRule="exact"/>
        <w:rPr>
          <w:sz w:val="20"/>
          <w:szCs w:val="20"/>
          <w:color w:val="auto"/>
        </w:rPr>
      </w:pPr>
    </w:p>
    <w:p>
      <w:pPr>
        <w:ind w:right="280" w:firstLine="636"/>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41" w:lineRule="exact"/>
        <w:rPr>
          <w:sz w:val="20"/>
          <w:szCs w:val="20"/>
          <w:color w:val="auto"/>
        </w:rPr>
      </w:pPr>
    </w:p>
    <w:p>
      <w:pPr>
        <w:ind w:right="220" w:firstLine="636"/>
        <w:spacing w:after="0" w:line="342"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commitment fee for the securities they commit to purchase on a standby basis. If we do not enter into a standby underwriting arrangement, we may retain a dealer-manager to manage a subscription rights offering for us.</w:t>
      </w:r>
    </w:p>
    <w:p>
      <w:pPr>
        <w:spacing w:after="0" w:line="130" w:lineRule="exact"/>
        <w:rPr>
          <w:sz w:val="20"/>
          <w:szCs w:val="20"/>
          <w:color w:val="auto"/>
        </w:rPr>
      </w:pPr>
    </w:p>
    <w:p>
      <w:pPr>
        <w:ind w:right="20" w:firstLine="636"/>
        <w:spacing w:after="0" w:line="264"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54"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38" w:lineRule="exact"/>
        <w:rPr>
          <w:sz w:val="20"/>
          <w:szCs w:val="20"/>
          <w:color w:val="auto"/>
        </w:rPr>
      </w:pPr>
    </w:p>
    <w:p>
      <w:pPr>
        <w:ind w:left="1300" w:right="160" w:hanging="325"/>
        <w:spacing w:after="0" w:line="274"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purchase by an institution of the securities covered under that contract shall not at the time of delivery be prohibited under the laws of the jurisdiction to which that institution is subject; and</w:t>
      </w:r>
    </w:p>
    <w:p>
      <w:pPr>
        <w:ind w:left="1300" w:right="60" w:hanging="325"/>
        <w:spacing w:after="0" w:line="25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49" w:lineRule="exact"/>
        <w:rPr>
          <w:sz w:val="20"/>
          <w:szCs w:val="20"/>
          <w:color w:val="auto"/>
        </w:rPr>
      </w:pPr>
    </w:p>
    <w:p>
      <w:pPr>
        <w:jc w:val="both"/>
        <w:ind w:right="260" w:firstLine="636"/>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41" w:lineRule="exact"/>
        <w:rPr>
          <w:sz w:val="20"/>
          <w:szCs w:val="20"/>
          <w:color w:val="auto"/>
        </w:rPr>
      </w:pPr>
    </w:p>
    <w:p>
      <w:pPr>
        <w:ind w:right="140" w:firstLine="636"/>
        <w:spacing w:after="0" w:line="288"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42" w:lineRule="exact"/>
        <w:rPr>
          <w:sz w:val="20"/>
          <w:szCs w:val="20"/>
          <w:color w:val="auto"/>
        </w:rPr>
      </w:pPr>
    </w:p>
    <w:p>
      <w:pPr>
        <w:ind w:firstLine="636"/>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49" w:lineRule="exact"/>
        <w:rPr>
          <w:sz w:val="20"/>
          <w:szCs w:val="20"/>
          <w:color w:val="auto"/>
        </w:rPr>
      </w:pPr>
    </w:p>
    <w:p>
      <w:pPr>
        <w:ind w:right="240" w:firstLine="636"/>
        <w:spacing w:after="0" w:line="264"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41" w:lineRule="exact"/>
        <w:rPr>
          <w:sz w:val="20"/>
          <w:szCs w:val="20"/>
          <w:color w:val="auto"/>
        </w:rPr>
      </w:pPr>
    </w:p>
    <w:p>
      <w:pPr>
        <w:ind w:right="80" w:firstLine="636"/>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right="239" w:firstLine="636"/>
        <w:spacing w:after="0" w:line="308" w:lineRule="auto"/>
        <w:rPr>
          <w:sz w:val="20"/>
          <w:szCs w:val="20"/>
          <w:color w:val="auto"/>
        </w:rPr>
      </w:pPr>
      <w:r>
        <w:rPr>
          <w:rFonts w:ascii="Arial" w:cs="Arial" w:eastAsia="Arial" w:hAnsi="Arial"/>
          <w:sz w:val="17"/>
          <w:szCs w:val="17"/>
          <w:color w:val="auto"/>
        </w:rPr>
        <w:t>Unless the applicable prospectus supplement indicates otherwise, the validity of the securities in respect of which this prospectus is being delivered will be passed upon by Goodwin Procter LLP, Boston, Massachusetts.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19" w:firstLine="636"/>
        <w:spacing w:after="0" w:line="293" w:lineRule="auto"/>
        <w:rPr>
          <w:sz w:val="20"/>
          <w:szCs w:val="20"/>
          <w:color w:val="auto"/>
        </w:rPr>
      </w:pPr>
      <w:r>
        <w:rPr>
          <w:rFonts w:ascii="Arial" w:cs="Arial" w:eastAsia="Arial" w:hAnsi="Arial"/>
          <w:sz w:val="16"/>
          <w:szCs w:val="16"/>
          <w:color w:val="auto"/>
        </w:rPr>
        <w:t>The consolidated financial statements of Blueprint Medicines Corporation appearing in Blueprint Medicines Corporation’s Annual Report on Form 10-K for the year ended December 31, 2019 and the effectiveness of Blueprint Medicines Corporation’s internal control over financial reporting as of December 31, 2019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BLUEPRINT MEDICINES CORPORATION</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 Units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374650</wp:posOffset>
            </wp:positionV>
            <wp:extent cx="14319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91440</wp:posOffset>
            </wp:positionV>
            <wp:extent cx="14319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1158240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Set forth below is an estimate (except in the case of the SEC registration fee) of the amount of fees and expenses to be incurred in connection with the issuance and distribution of the offered securities, other than underwriting discounts and commissions.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agent’s, trustee’s and depositary’s fees and expenses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Printing fees and expenses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63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9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34" w:lineRule="exact"/>
        <w:rPr>
          <w:sz w:val="20"/>
          <w:szCs w:val="20"/>
          <w:color w:val="auto"/>
        </w:rPr>
      </w:pPr>
    </w:p>
    <w:p>
      <w:pPr>
        <w:ind w:left="320" w:hanging="317"/>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Deferred in reliance upon Rules 456(b) and 457(r) under the Securities Act.</w:t>
      </w:r>
    </w:p>
    <w:p>
      <w:pPr>
        <w:spacing w:after="0" w:line="23" w:lineRule="exact"/>
        <w:rPr>
          <w:rFonts w:ascii="Arial" w:cs="Arial" w:eastAsia="Arial" w:hAnsi="Arial"/>
          <w:sz w:val="18"/>
          <w:szCs w:val="18"/>
          <w:color w:val="auto"/>
        </w:rPr>
      </w:pPr>
    </w:p>
    <w:p>
      <w:pPr>
        <w:ind w:left="320" w:right="140" w:hanging="317"/>
        <w:spacing w:after="0" w:line="261"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distributions of the offered securities and, accordingly, cannot be estimated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102(b)(7) of the Delaware General Corporation Law (“DGCL”) provides, in general, that the certificate of incorporation may contain a provision eliminating or limiting the personal liability of a director to the corporation or its shareholders for monetary damages for breach of fiduciary duty as a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provision may not eliminate or limit the liability of a director (i) for any breach of the director’s duty of loyalty to the corporation or its shareholders, (ii) for acts or omissions not in good faith or which involve intentional misconduct or a knowing violation of law, (iii) under section 174 of the DGCL, or (iv) for any transaction from which the director derived an improper personal benefit. No such provision may eliminate or limit the liability of a director for any act or omission occurring prior to the date when such provision became effective.</w:t>
      </w:r>
    </w:p>
    <w:p>
      <w:pPr>
        <w:spacing w:after="0" w:line="1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4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3"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Registrant’s amended and restated certificate of incorporation (“certificate of incorporation”) provides that no director of the Registrant shall be personally liable to the Registrant or its stockholders for monetary damages for any breach of fiduciary duty as a director, except for liability (1) for any breach of the director’s duty of loyalty to the Registrant or its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the certificate of incorporation provides that if the DGCL is amended to authorize the further elimination or limitation of the liability of directors, then the liability of a director of the Registrant shall be eliminated or limited to the fullest extent permitted by the DGCL, as so amended. The certificate of incorporation further provides that any repeal or modification of such article by the Registrant’s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53"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Registrant’s amended and restated bylaws (“bylaws”) provide that the Registrant will indemnify each of its directors and officers and, in the discretion of the Registrant’s board of directors, certain employees, to the fullest extent permitted by the DGCL as the same may be amended (except that in the case of amendment, only to the extent that the amendment permits the Registrant to provide broader indemnification rights than the DGCL permitted the Registrant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the Registrant’s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the Registrant and, with respect to any criminal proceeding, had no reasonable cause to believe his or her conduct was unlawful. Article V of the bylaws further provides for the advancement of expenses to each of the Registrant’s directors and, in the discretion of the board of directors, to certain officers and employees.</w:t>
      </w:r>
    </w:p>
    <w:p>
      <w:pPr>
        <w:spacing w:after="0" w:line="14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bylaws provide that the right of each of the Registrant’s directors and officers to indemnification and advancement of expenses shall be a contract right and shall not be exclusive of any other right now possessed or hereafter acquired under any statute, provision of the certificate of incorporation or bylaws, agreement, vote of stockholders or otherwise. Furthermore, Article V of the bylaws authorizes the Registrant to provide insurance for its directors, officers and employees, against any liability, whether or not the Registrant would have the power to indemnify such person against such liability under the DGCL or the provisions of Article V of the bylaws.</w:t>
      </w:r>
    </w:p>
    <w:p>
      <w:pPr>
        <w:spacing w:after="0" w:line="13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In general, these agreements provide that the Registrant will indemnify each of its directors and executive officers to the fullest extent permitted by law and the certificate of incorporation and bylaws.</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Registrant also maintain a general liability insurance policy, which covers certain liabilities of its directors and officers arising out of claims based on acts or omissions in their capacities as directors or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exhibits to this Registration Statement are listed in the exhibit index, which appears elsewhere herein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300" w:right="480" w:hanging="649"/>
        <w:spacing w:after="0" w:line="24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8" w:lineRule="exact"/>
        <w:rPr>
          <w:rFonts w:ascii="Arial" w:cs="Arial" w:eastAsia="Arial" w:hAnsi="Arial"/>
          <w:sz w:val="18"/>
          <w:szCs w:val="18"/>
          <w:color w:val="auto"/>
        </w:rPr>
      </w:pPr>
    </w:p>
    <w:p>
      <w:pPr>
        <w:ind w:left="1940" w:right="140" w:hanging="641"/>
        <w:spacing w:after="0" w:line="246" w:lineRule="auto"/>
        <w:tabs>
          <w:tab w:leader="none" w:pos="19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 of 1933”);</w:t>
      </w:r>
    </w:p>
    <w:p>
      <w:pPr>
        <w:spacing w:after="0" w:line="88" w:lineRule="exact"/>
        <w:rPr>
          <w:rFonts w:ascii="Arial" w:cs="Arial" w:eastAsia="Arial" w:hAnsi="Arial"/>
          <w:sz w:val="18"/>
          <w:szCs w:val="18"/>
          <w:color w:val="auto"/>
        </w:rPr>
      </w:pPr>
    </w:p>
    <w:p>
      <w:pPr>
        <w:ind w:left="1940" w:right="20" w:hanging="641"/>
        <w:spacing w:after="0" w:line="237" w:lineRule="auto"/>
        <w:tabs>
          <w:tab w:leader="none" w:pos="19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5" w:lineRule="exact"/>
        <w:rPr>
          <w:rFonts w:ascii="Arial" w:cs="Arial" w:eastAsia="Arial" w:hAnsi="Arial"/>
          <w:sz w:val="17"/>
          <w:szCs w:val="17"/>
          <w:color w:val="auto"/>
        </w:rPr>
      </w:pPr>
    </w:p>
    <w:p>
      <w:pPr>
        <w:jc w:val="both"/>
        <w:ind w:left="1940" w:right="680" w:hanging="641"/>
        <w:spacing w:after="0" w:line="235" w:lineRule="auto"/>
        <w:tabs>
          <w:tab w:leader="none" w:pos="19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9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7" w:lineRule="exact"/>
        <w:rPr>
          <w:sz w:val="20"/>
          <w:szCs w:val="20"/>
          <w:color w:val="auto"/>
        </w:rPr>
      </w:pPr>
    </w:p>
    <w:p>
      <w:pPr>
        <w:ind w:left="1300" w:right="20" w:hanging="649"/>
        <w:spacing w:after="0" w:line="276"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67" w:lineRule="exact"/>
        <w:rPr>
          <w:rFonts w:ascii="Arial" w:cs="Arial" w:eastAsia="Arial" w:hAnsi="Arial"/>
          <w:sz w:val="16"/>
          <w:szCs w:val="16"/>
          <w:color w:val="auto"/>
        </w:rPr>
      </w:pPr>
    </w:p>
    <w:p>
      <w:pPr>
        <w:ind w:left="1300" w:right="80" w:hanging="649"/>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8" w:lineRule="exact"/>
        <w:rPr>
          <w:rFonts w:ascii="Arial" w:cs="Arial" w:eastAsia="Arial" w:hAnsi="Arial"/>
          <w:sz w:val="18"/>
          <w:szCs w:val="18"/>
          <w:color w:val="auto"/>
        </w:rPr>
      </w:pPr>
    </w:p>
    <w:p>
      <w:pPr>
        <w:ind w:left="1300" w:hanging="649"/>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jc w:val="both"/>
        <w:ind w:left="1940" w:right="220" w:hanging="641"/>
        <w:spacing w:after="0" w:line="235" w:lineRule="auto"/>
        <w:tabs>
          <w:tab w:leader="none" w:pos="19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Arial" w:cs="Arial" w:eastAsia="Arial" w:hAnsi="Arial"/>
          <w:sz w:val="18"/>
          <w:szCs w:val="18"/>
          <w:color w:val="auto"/>
        </w:rPr>
      </w:pPr>
    </w:p>
    <w:p>
      <w:pPr>
        <w:ind w:left="1940" w:hanging="641"/>
        <w:spacing w:after="0" w:line="235" w:lineRule="auto"/>
        <w:tabs>
          <w:tab w:leader="none" w:pos="19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1940" w:right="100"/>
        <w:spacing w:after="0" w:line="235" w:lineRule="auto"/>
        <w:rPr>
          <w:sz w:val="20"/>
          <w:szCs w:val="20"/>
          <w:color w:val="auto"/>
        </w:rPr>
      </w:pPr>
      <w:r>
        <w:rPr>
          <w:rFonts w:ascii="Arial" w:cs="Arial" w:eastAsia="Arial" w:hAnsi="Arial"/>
          <w:sz w:val="18"/>
          <w:szCs w:val="18"/>
          <w:color w:val="auto"/>
        </w:rPr>
        <w:t>effective date, supersede or modify any statement that was made in the registration statement or prospectus that was part of the registration statement or made in any such document immediately prior to such effective date.</w:t>
      </w:r>
    </w:p>
    <w:p>
      <w:pPr>
        <w:spacing w:after="0" w:line="94" w:lineRule="exact"/>
        <w:rPr>
          <w:sz w:val="20"/>
          <w:szCs w:val="20"/>
          <w:color w:val="auto"/>
        </w:rPr>
      </w:pPr>
    </w:p>
    <w:p>
      <w:pPr>
        <w:ind w:left="1300" w:right="60" w:hanging="649"/>
        <w:spacing w:after="0" w:line="258"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2" w:lineRule="exact"/>
        <w:rPr>
          <w:rFonts w:ascii="Arial" w:cs="Arial" w:eastAsia="Arial" w:hAnsi="Arial"/>
          <w:sz w:val="16"/>
          <w:szCs w:val="16"/>
          <w:color w:val="auto"/>
        </w:rPr>
      </w:pPr>
    </w:p>
    <w:p>
      <w:pPr>
        <w:ind w:left="1940" w:right="280" w:hanging="641"/>
        <w:spacing w:after="0" w:line="246" w:lineRule="auto"/>
        <w:tabs>
          <w:tab w:leader="none" w:pos="19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8" w:lineRule="exact"/>
        <w:rPr>
          <w:rFonts w:ascii="Arial" w:cs="Arial" w:eastAsia="Arial" w:hAnsi="Arial"/>
          <w:sz w:val="18"/>
          <w:szCs w:val="18"/>
          <w:color w:val="auto"/>
        </w:rPr>
      </w:pPr>
    </w:p>
    <w:p>
      <w:pPr>
        <w:ind w:left="1940" w:right="260" w:hanging="641"/>
        <w:spacing w:after="0" w:line="246" w:lineRule="auto"/>
        <w:tabs>
          <w:tab w:leader="none" w:pos="19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8" w:lineRule="exact"/>
        <w:rPr>
          <w:rFonts w:ascii="Arial" w:cs="Arial" w:eastAsia="Arial" w:hAnsi="Arial"/>
          <w:sz w:val="18"/>
          <w:szCs w:val="18"/>
          <w:color w:val="auto"/>
        </w:rPr>
      </w:pPr>
    </w:p>
    <w:p>
      <w:pPr>
        <w:ind w:left="1940" w:right="400" w:hanging="641"/>
        <w:spacing w:after="0" w:line="235" w:lineRule="auto"/>
        <w:tabs>
          <w:tab w:leader="none" w:pos="19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Arial" w:cs="Arial" w:eastAsia="Arial" w:hAnsi="Arial"/>
          <w:sz w:val="18"/>
          <w:szCs w:val="18"/>
          <w:color w:val="auto"/>
        </w:rPr>
      </w:pPr>
    </w:p>
    <w:p>
      <w:pPr>
        <w:ind w:left="1940" w:right="20" w:hanging="641"/>
        <w:spacing w:after="0" w:line="246" w:lineRule="auto"/>
        <w:tabs>
          <w:tab w:leader="none" w:pos="19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88" w:lineRule="exact"/>
        <w:rPr>
          <w:rFonts w:ascii="Arial" w:cs="Arial" w:eastAsia="Arial" w:hAnsi="Arial"/>
          <w:sz w:val="18"/>
          <w:szCs w:val="18"/>
          <w:color w:val="auto"/>
        </w:rPr>
      </w:pPr>
    </w:p>
    <w:p>
      <w:pPr>
        <w:ind w:left="1300" w:right="40" w:hanging="649"/>
        <w:spacing w:after="0" w:line="22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4" w:lineRule="exact"/>
        <w:rPr>
          <w:rFonts w:ascii="Arial" w:cs="Arial" w:eastAsia="Arial" w:hAnsi="Arial"/>
          <w:sz w:val="18"/>
          <w:szCs w:val="18"/>
          <w:color w:val="auto"/>
        </w:rPr>
      </w:pPr>
    </w:p>
    <w:p>
      <w:pPr>
        <w:ind w:left="1300" w:hanging="649"/>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17" w:lineRule="exact"/>
        <w:rPr>
          <w:rFonts w:ascii="Arial" w:cs="Arial" w:eastAsia="Arial" w:hAnsi="Arial"/>
          <w:sz w:val="18"/>
          <w:szCs w:val="18"/>
          <w:color w:val="auto"/>
        </w:rPr>
      </w:pPr>
    </w:p>
    <w:p>
      <w:pPr>
        <w:ind w:left="1940" w:right="60" w:hanging="641"/>
        <w:spacing w:after="0" w:line="246" w:lineRule="auto"/>
        <w:tabs>
          <w:tab w:leader="none" w:pos="19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89" w:lineRule="exact"/>
        <w:rPr>
          <w:rFonts w:ascii="Arial" w:cs="Arial" w:eastAsia="Arial" w:hAnsi="Arial"/>
          <w:sz w:val="17"/>
          <w:szCs w:val="17"/>
          <w:color w:val="auto"/>
        </w:rPr>
      </w:pPr>
    </w:p>
    <w:p>
      <w:pPr>
        <w:ind w:left="1940" w:right="140" w:hanging="641"/>
        <w:spacing w:after="0" w:line="253" w:lineRule="auto"/>
        <w:tabs>
          <w:tab w:leader="none" w:pos="19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84" w:lineRule="exact"/>
        <w:rPr>
          <w:rFonts w:ascii="Arial" w:cs="Arial" w:eastAsia="Arial" w:hAnsi="Arial"/>
          <w:sz w:val="17"/>
          <w:szCs w:val="17"/>
          <w:color w:val="auto"/>
        </w:rPr>
      </w:pPr>
    </w:p>
    <w:p>
      <w:pPr>
        <w:ind w:left="1300" w:right="20" w:hanging="649"/>
        <w:spacing w:after="0" w:line="253"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84" w:lineRule="exact"/>
        <w:rPr>
          <w:sz w:val="20"/>
          <w:szCs w:val="20"/>
          <w:color w:val="auto"/>
        </w:rPr>
      </w:pPr>
    </w:p>
    <w:p>
      <w:pPr>
        <w:ind w:firstLine="636"/>
        <w:spacing w:after="0" w:line="237"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80" w:type="dxa"/>
            <w:vAlign w:val="bottom"/>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84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16"/>
          </w:tcPr>
          <w:p>
            <w:pPr>
              <w:ind w:left="240"/>
              <w:spacing w:after="0"/>
              <w:rPr>
                <w:sz w:val="20"/>
                <w:szCs w:val="20"/>
                <w:color w:val="auto"/>
              </w:rPr>
            </w:pPr>
            <w:r>
              <w:rPr>
                <w:rFonts w:ascii="Arial" w:cs="Arial" w:eastAsia="Arial" w:hAnsi="Arial"/>
                <w:sz w:val="14"/>
                <w:szCs w:val="14"/>
                <w:b w:val="1"/>
                <w:bCs w:val="1"/>
                <w:color w:val="auto"/>
              </w:rPr>
              <w:t>Description of Exhibit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Form</w:t>
            </w:r>
          </w:p>
        </w:tc>
        <w:tc>
          <w:tcPr>
            <w:tcW w:w="20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Exhibit Number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58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Form of Underwriting Agreement</w:t>
            </w:r>
          </w:p>
        </w:tc>
        <w:tc>
          <w:tcPr>
            <w:tcW w:w="1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3760" w:type="dxa"/>
            <w:vAlign w:val="bottom"/>
            <w:gridSpan w:val="19"/>
          </w:tcPr>
          <w:p>
            <w:pPr>
              <w:spacing w:after="0"/>
              <w:rPr>
                <w:rFonts w:ascii="Arial" w:cs="Arial" w:eastAsia="Arial" w:hAnsi="Arial"/>
                <w:sz w:val="18"/>
                <w:szCs w:val="18"/>
                <w:color w:val="0000EE"/>
              </w:rPr>
            </w:pPr>
            <w:hyperlink r:id="rId59">
              <w:r>
                <w:rPr>
                  <w:rFonts w:ascii="Arial" w:cs="Arial" w:eastAsia="Arial" w:hAnsi="Arial"/>
                  <w:sz w:val="18"/>
                  <w:szCs w:val="18"/>
                  <w:color w:val="0000EE"/>
                </w:rPr>
                <w:t>Fifth Amended and Restated Certificate of</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200" w:type="dxa"/>
            <w:vAlign w:val="bottom"/>
          </w:tcPr>
          <w:p>
            <w:pPr>
              <w:spacing w:after="0"/>
              <w:rPr>
                <w:sz w:val="24"/>
                <w:szCs w:val="24"/>
                <w:color w:val="auto"/>
              </w:rPr>
            </w:pPr>
          </w:p>
        </w:tc>
        <w:tc>
          <w:tcPr>
            <w:tcW w:w="1080" w:type="dxa"/>
            <w:vAlign w:val="bottom"/>
            <w:gridSpan w:val="2"/>
          </w:tcPr>
          <w:p>
            <w:pPr>
              <w:jc w:val="center"/>
              <w:ind w:right="18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37359</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Incorporation of the Registrant</w:t>
              </w:r>
            </w:hyperlink>
          </w:p>
        </w:tc>
        <w:tc>
          <w:tcPr>
            <w:tcW w:w="70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500" w:type="dxa"/>
            <w:vAlign w:val="bottom"/>
            <w:tcBorders>
              <w:bottom w:val="single" w:sz="8" w:color="0000EE"/>
            </w:tcBorders>
            <w:gridSpan w:val="14"/>
          </w:tcPr>
          <w:p>
            <w:pPr>
              <w:spacing w:after="0"/>
              <w:rPr>
                <w:rFonts w:ascii="Arial" w:cs="Arial" w:eastAsia="Arial" w:hAnsi="Arial"/>
                <w:sz w:val="18"/>
                <w:szCs w:val="18"/>
                <w:color w:val="0000EE"/>
                <w:w w:val="89"/>
              </w:rPr>
            </w:pPr>
            <w:hyperlink r:id="rId60">
              <w:r>
                <w:rPr>
                  <w:rFonts w:ascii="Arial" w:cs="Arial" w:eastAsia="Arial" w:hAnsi="Arial"/>
                  <w:sz w:val="18"/>
                  <w:szCs w:val="18"/>
                  <w:color w:val="0000EE"/>
                  <w:w w:val="89"/>
                </w:rPr>
                <w:t>Amended and Restated Bylaws of the Registrant</w:t>
              </w:r>
            </w:hyperlink>
          </w:p>
        </w:tc>
        <w:tc>
          <w:tcPr>
            <w:tcW w:w="260" w:type="dxa"/>
            <w:vAlign w:val="bottom"/>
            <w:gridSpan w:val="5"/>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00" w:type="dxa"/>
            <w:vAlign w:val="bottom"/>
            <w:gridSpan w:val="2"/>
          </w:tcPr>
          <w:p>
            <w:pPr>
              <w:jc w:val="center"/>
              <w:ind w:left="119"/>
              <w:spacing w:after="0"/>
              <w:rPr>
                <w:sz w:val="20"/>
                <w:szCs w:val="20"/>
                <w:color w:val="auto"/>
              </w:rPr>
            </w:pPr>
            <w:r>
              <w:rPr>
                <w:rFonts w:ascii="Arial" w:cs="Arial" w:eastAsia="Arial" w:hAnsi="Arial"/>
                <w:sz w:val="18"/>
                <w:szCs w:val="18"/>
                <w:color w:val="auto"/>
                <w:w w:val="90"/>
              </w:rPr>
              <w:t>001-37359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3760" w:type="dxa"/>
            <w:vAlign w:val="bottom"/>
            <w:gridSpan w:val="19"/>
          </w:tcPr>
          <w:p>
            <w:pPr>
              <w:spacing w:after="0"/>
              <w:rPr>
                <w:rFonts w:ascii="Arial" w:cs="Arial" w:eastAsia="Arial" w:hAnsi="Arial"/>
                <w:sz w:val="18"/>
                <w:szCs w:val="18"/>
                <w:color w:val="0000EE"/>
                <w:w w:val="95"/>
              </w:rPr>
            </w:pPr>
            <w:hyperlink r:id="rId61">
              <w:r>
                <w:rPr>
                  <w:rFonts w:ascii="Arial" w:cs="Arial" w:eastAsia="Arial" w:hAnsi="Arial"/>
                  <w:sz w:val="18"/>
                  <w:szCs w:val="18"/>
                  <w:color w:val="0000EE"/>
                  <w:w w:val="95"/>
                </w:rPr>
                <w:t>Second Amended and Restated Investors’ Rights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200" w:type="dxa"/>
            <w:vAlign w:val="bottom"/>
          </w:tcPr>
          <w:p>
            <w:pPr>
              <w:spacing w:after="0"/>
              <w:rPr>
                <w:sz w:val="24"/>
                <w:szCs w:val="24"/>
                <w:color w:val="auto"/>
              </w:rPr>
            </w:pPr>
          </w:p>
        </w:tc>
        <w:tc>
          <w:tcPr>
            <w:tcW w:w="1080" w:type="dxa"/>
            <w:vAlign w:val="bottom"/>
            <w:gridSpan w:val="2"/>
          </w:tcPr>
          <w:p>
            <w:pPr>
              <w:jc w:val="center"/>
              <w:ind w:right="18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202938</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top w:val="single" w:sz="8" w:color="0000EE"/>
            </w:tcBorders>
            <w:gridSpan w:val="15"/>
          </w:tcPr>
          <w:p>
            <w:pPr>
              <w:spacing w:after="0" w:line="19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Agreement, dated as of November 7, 2014, by</w:t>
              </w:r>
            </w:hyperlink>
          </w:p>
        </w:tc>
        <w:tc>
          <w:tcPr>
            <w:tcW w:w="2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and among the Registrant and the Investors listed</w:t>
              </w:r>
            </w:hyperlink>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61">
              <w:r>
                <w:rPr>
                  <w:rFonts w:ascii="Arial" w:cs="Arial" w:eastAsia="Arial" w:hAnsi="Arial"/>
                  <w:sz w:val="18"/>
                  <w:szCs w:val="18"/>
                  <w:color w:val="0000EE"/>
                  <w:w w:val="87"/>
                </w:rPr>
                <w:t>therein</w:t>
              </w:r>
            </w:hyperlink>
          </w:p>
        </w:tc>
        <w:tc>
          <w:tcPr>
            <w:tcW w:w="326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376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Form of Senior Indenture (including Form of</w:t>
              </w:r>
            </w:hyperlink>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Senior Note)</w:t>
              </w:r>
            </w:hyperlink>
          </w:p>
        </w:tc>
        <w:tc>
          <w:tcPr>
            <w:tcW w:w="52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3760" w:type="dxa"/>
            <w:vAlign w:val="bottom"/>
            <w:gridSpan w:val="19"/>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Form of Subordinated Indenture (including Form</w:t>
              </w:r>
            </w:hyperlink>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of Subordinated Note)</w:t>
              </w:r>
            </w:hyperlink>
          </w:p>
        </w:tc>
        <w:tc>
          <w:tcPr>
            <w:tcW w:w="1920" w:type="dxa"/>
            <w:vAlign w:val="bottom"/>
            <w:tcBorders>
              <w:top w:val="single" w:sz="8" w:color="0000EE"/>
            </w:tcBorders>
            <w:gridSpan w:val="12"/>
          </w:tcPr>
          <w:p>
            <w:pPr>
              <w:spacing w:after="0"/>
              <w:rPr>
                <w:sz w:val="17"/>
                <w:szCs w:val="17"/>
                <w:color w:val="auto"/>
              </w:rPr>
            </w:pPr>
          </w:p>
        </w:tc>
        <w:tc>
          <w:tcPr>
            <w:tcW w:w="2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60" w:type="dxa"/>
            <w:vAlign w:val="bottom"/>
          </w:tcPr>
          <w:p>
            <w:pPr>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3760" w:type="dxa"/>
            <w:vAlign w:val="bottom"/>
            <w:gridSpan w:val="19"/>
          </w:tcPr>
          <w:p>
            <w:pPr>
              <w:spacing w:after="0"/>
              <w:rPr>
                <w:sz w:val="20"/>
                <w:szCs w:val="20"/>
                <w:color w:val="auto"/>
              </w:rPr>
            </w:pPr>
            <w:r>
              <w:rPr>
                <w:rFonts w:ascii="Arial" w:cs="Arial" w:eastAsia="Arial" w:hAnsi="Arial"/>
                <w:sz w:val="18"/>
                <w:szCs w:val="18"/>
                <w:color w:val="auto"/>
              </w:rPr>
              <w:t>Form of Warrant Agreement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3760" w:type="dxa"/>
            <w:vAlign w:val="bottom"/>
            <w:gridSpan w:val="19"/>
          </w:tcPr>
          <w:p>
            <w:pPr>
              <w:spacing w:after="0"/>
              <w:rPr>
                <w:sz w:val="20"/>
                <w:szCs w:val="20"/>
                <w:color w:val="auto"/>
              </w:rPr>
            </w:pPr>
            <w:r>
              <w:rPr>
                <w:rFonts w:ascii="Arial" w:cs="Arial" w:eastAsia="Arial" w:hAnsi="Arial"/>
                <w:sz w:val="18"/>
                <w:szCs w:val="18"/>
                <w:color w:val="auto"/>
              </w:rPr>
              <w:t>Form of Purchase Contract Agreement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3760" w:type="dxa"/>
            <w:vAlign w:val="bottom"/>
            <w:gridSpan w:val="19"/>
          </w:tcPr>
          <w:p>
            <w:pPr>
              <w:spacing w:after="0"/>
              <w:rPr>
                <w:sz w:val="20"/>
                <w:szCs w:val="20"/>
                <w:color w:val="auto"/>
              </w:rPr>
            </w:pPr>
            <w:r>
              <w:rPr>
                <w:rFonts w:ascii="Arial" w:cs="Arial" w:eastAsia="Arial" w:hAnsi="Arial"/>
                <w:sz w:val="18"/>
                <w:szCs w:val="18"/>
                <w:color w:val="auto"/>
              </w:rPr>
              <w:t>Form of Unit Agreement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24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Opinion of Goodwin Procter LLP</w:t>
              </w:r>
            </w:hyperlink>
          </w:p>
        </w:tc>
        <w:tc>
          <w:tcPr>
            <w:tcW w:w="132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3760" w:type="dxa"/>
            <w:vAlign w:val="bottom"/>
            <w:gridSpan w:val="19"/>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Consent of Ernst &amp; Young LLP, independent</w:t>
              </w:r>
            </w:hyperlink>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registered public accounting firm for the</w:t>
              </w:r>
            </w:hyperlink>
          </w:p>
        </w:tc>
        <w:tc>
          <w:tcPr>
            <w:tcW w:w="300" w:type="dxa"/>
            <w:vAlign w:val="bottom"/>
            <w:tcBorders>
              <w:top w:val="single" w:sz="8" w:color="0000EE"/>
            </w:tcBorders>
            <w:gridSpan w:val="2"/>
          </w:tcPr>
          <w:p>
            <w:pPr>
              <w:spacing w:after="0"/>
              <w:rPr>
                <w:sz w:val="17"/>
                <w:szCs w:val="17"/>
                <w:color w:val="auto"/>
              </w:rPr>
            </w:pPr>
          </w:p>
        </w:tc>
        <w:tc>
          <w:tcPr>
            <w:tcW w:w="54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gridSpan w:val="19"/>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Registrant</w:t>
              </w:r>
            </w:hyperlink>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4"/>
                <w:szCs w:val="24"/>
                <w:color w:val="auto"/>
              </w:rPr>
            </w:pPr>
          </w:p>
        </w:tc>
        <w:tc>
          <w:tcPr>
            <w:tcW w:w="33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Consent of Goodwin Procter LLP (included in</w:t>
              </w:r>
            </w:hyperlink>
          </w:p>
        </w:tc>
        <w:tc>
          <w:tcPr>
            <w:tcW w:w="42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gridSpan w:val="1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Exhibit 5.1)</w:t>
              </w:r>
            </w:hyperlink>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4"/>
                <w:szCs w:val="24"/>
                <w:color w:val="auto"/>
              </w:rPr>
            </w:pPr>
          </w:p>
        </w:tc>
        <w:tc>
          <w:tcPr>
            <w:tcW w:w="37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Powers of Attorney (included in the signature</w:t>
              </w:r>
            </w:hyperlink>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pages to the Registration Statement)</w:t>
              </w:r>
            </w:hyperlink>
          </w:p>
        </w:tc>
        <w:tc>
          <w:tcPr>
            <w:tcW w:w="44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60" w:type="dxa"/>
            <w:vAlign w:val="bottom"/>
          </w:tcPr>
          <w:p>
            <w:pPr>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4"/>
                <w:szCs w:val="24"/>
                <w:color w:val="auto"/>
              </w:rPr>
            </w:pPr>
          </w:p>
        </w:tc>
        <w:tc>
          <w:tcPr>
            <w:tcW w:w="3760" w:type="dxa"/>
            <w:vAlign w:val="bottom"/>
            <w:gridSpan w:val="19"/>
          </w:tcPr>
          <w:p>
            <w:pPr>
              <w:spacing w:after="0"/>
              <w:rPr>
                <w:sz w:val="20"/>
                <w:szCs w:val="20"/>
                <w:color w:val="auto"/>
              </w:rPr>
            </w:pPr>
            <w:r>
              <w:rPr>
                <w:rFonts w:ascii="Arial" w:cs="Arial" w:eastAsia="Arial" w:hAnsi="Arial"/>
                <w:sz w:val="18"/>
                <w:szCs w:val="18"/>
                <w:color w:val="auto"/>
              </w:rPr>
              <w:t>The Statement of Eligibility on Form T-1 under</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19"/>
          </w:tcPr>
          <w:p>
            <w:pPr>
              <w:spacing w:after="0"/>
              <w:rPr>
                <w:sz w:val="20"/>
                <w:szCs w:val="20"/>
                <w:color w:val="auto"/>
              </w:rPr>
            </w:pPr>
            <w:r>
              <w:rPr>
                <w:rFonts w:ascii="Arial" w:cs="Arial" w:eastAsia="Arial" w:hAnsi="Arial"/>
                <w:sz w:val="18"/>
                <w:szCs w:val="18"/>
                <w:color w:val="auto"/>
                <w:w w:val="97"/>
              </w:rPr>
              <w:t>the Trust Indenture Act of 1939, as amended, of</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gridSpan w:val="19"/>
          </w:tcPr>
          <w:p>
            <w:pPr>
              <w:spacing w:after="0"/>
              <w:rPr>
                <w:sz w:val="20"/>
                <w:szCs w:val="20"/>
                <w:color w:val="auto"/>
              </w:rPr>
            </w:pPr>
            <w:r>
              <w:rPr>
                <w:rFonts w:ascii="Arial" w:cs="Arial" w:eastAsia="Arial" w:hAnsi="Arial"/>
                <w:sz w:val="18"/>
                <w:szCs w:val="18"/>
                <w:color w:val="auto"/>
              </w:rPr>
              <w:t>the Trustee under the Senior Indenture</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60" w:type="dxa"/>
            <w:vAlign w:val="bottom"/>
          </w:tcPr>
          <w:p>
            <w:pPr>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4"/>
                <w:szCs w:val="24"/>
                <w:color w:val="auto"/>
              </w:rPr>
            </w:pPr>
          </w:p>
        </w:tc>
        <w:tc>
          <w:tcPr>
            <w:tcW w:w="3760" w:type="dxa"/>
            <w:vAlign w:val="bottom"/>
            <w:gridSpan w:val="19"/>
          </w:tcPr>
          <w:p>
            <w:pPr>
              <w:spacing w:after="0"/>
              <w:rPr>
                <w:sz w:val="20"/>
                <w:szCs w:val="20"/>
                <w:color w:val="auto"/>
              </w:rPr>
            </w:pPr>
            <w:r>
              <w:rPr>
                <w:rFonts w:ascii="Arial" w:cs="Arial" w:eastAsia="Arial" w:hAnsi="Arial"/>
                <w:sz w:val="18"/>
                <w:szCs w:val="18"/>
                <w:color w:val="auto"/>
              </w:rPr>
              <w:t>The Statement of Eligibility on Form T-1 under</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19"/>
          </w:tcPr>
          <w:p>
            <w:pPr>
              <w:spacing w:after="0"/>
              <w:rPr>
                <w:sz w:val="20"/>
                <w:szCs w:val="20"/>
                <w:color w:val="auto"/>
              </w:rPr>
            </w:pPr>
            <w:r>
              <w:rPr>
                <w:rFonts w:ascii="Arial" w:cs="Arial" w:eastAsia="Arial" w:hAnsi="Arial"/>
                <w:sz w:val="18"/>
                <w:szCs w:val="18"/>
                <w:color w:val="auto"/>
                <w:w w:val="97"/>
              </w:rPr>
              <w:t>the Trust Indenture Act of 1939, as amended, of</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gridSpan w:val="19"/>
          </w:tcPr>
          <w:p>
            <w:pPr>
              <w:spacing w:after="0"/>
              <w:rPr>
                <w:sz w:val="20"/>
                <w:szCs w:val="20"/>
                <w:color w:val="auto"/>
              </w:rPr>
            </w:pPr>
            <w:r>
              <w:rPr>
                <w:rFonts w:ascii="Arial" w:cs="Arial" w:eastAsia="Arial" w:hAnsi="Arial"/>
                <w:sz w:val="18"/>
                <w:szCs w:val="18"/>
                <w:color w:val="auto"/>
              </w:rPr>
              <w:t>the Trustee under the Subordinated Indenture</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by amendment or by a Current Report on Form 8-K.</w:t>
      </w:r>
    </w:p>
    <w:p>
      <w:pPr>
        <w:spacing w:after="0" w:line="23" w:lineRule="exact"/>
        <w:rPr>
          <w:sz w:val="20"/>
          <w:szCs w:val="20"/>
          <w:color w:val="auto"/>
        </w:rPr>
      </w:pPr>
    </w:p>
    <w:p>
      <w:pPr>
        <w:ind w:left="320" w:hanging="317"/>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 as amended.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City of Cambridge, Commonwealth of Massachusetts, on this 13th day of February, 2020.</w:t>
      </w:r>
    </w:p>
    <w:p>
      <w:pPr>
        <w:spacing w:after="0" w:line="30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Jeffrey W. Albers</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-130810</wp:posOffset>
            </wp:positionV>
            <wp:extent cx="26416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60" w:firstLine="636"/>
        <w:spacing w:after="0" w:line="269" w:lineRule="auto"/>
        <w:rPr>
          <w:sz w:val="20"/>
          <w:szCs w:val="20"/>
          <w:color w:val="auto"/>
        </w:rPr>
      </w:pPr>
      <w:r>
        <w:rPr>
          <w:rFonts w:ascii="Arial" w:cs="Arial" w:eastAsia="Arial" w:hAnsi="Arial"/>
          <w:sz w:val="17"/>
          <w:szCs w:val="17"/>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75" w:lineRule="exact"/>
        <w:rPr>
          <w:sz w:val="20"/>
          <w:szCs w:val="20"/>
          <w:color w:val="auto"/>
        </w:rPr>
      </w:pPr>
    </w:p>
    <w:p>
      <w:pPr>
        <w:ind w:right="80" w:firstLine="63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372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Title</w:t>
            </w:r>
          </w:p>
        </w:tc>
        <w:tc>
          <w:tcPr>
            <w:tcW w:w="24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Jeffrey W. Albers</w:t>
            </w:r>
          </w:p>
        </w:tc>
        <w:tc>
          <w:tcPr>
            <w:tcW w:w="24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Landsittel</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Michael Landsittel</w:t>
            </w:r>
          </w:p>
        </w:tc>
        <w:tc>
          <w:tcPr>
            <w:tcW w:w="24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Ariel Hurley</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Vice President, Finance and Controller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Ariel Hurley</w:t>
            </w:r>
          </w:p>
        </w:tc>
        <w:tc>
          <w:tcPr>
            <w:tcW w:w="24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Daniel S. Lynch</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Nicholas Lydon, Ph.D.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Alexis Borisy</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Mark Goldberg,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Charles A. Rowland, Jr.</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George Demetri,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Lonnel Coats</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24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13, 2020</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Lynn Seely,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647"/>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2"/>
          </w:tcPr>
          <w:p>
            <w:pPr>
              <w:ind w:left="1060"/>
              <w:spacing w:after="0"/>
              <w:rPr>
                <w:sz w:val="20"/>
                <w:szCs w:val="20"/>
                <w:color w:val="auto"/>
              </w:rPr>
            </w:pPr>
            <w:r>
              <w:rPr>
                <w:rFonts w:ascii="Arial" w:cs="Arial" w:eastAsia="Arial" w:hAnsi="Arial"/>
                <w:sz w:val="18"/>
                <w:szCs w:val="18"/>
                <w:color w:val="auto"/>
              </w:rPr>
              <w:t>II-7</w:t>
            </w:r>
          </w:p>
        </w:tc>
        <w:tc>
          <w:tcPr>
            <w:tcW w:w="1760" w:type="dxa"/>
            <w:vAlign w:val="bottom"/>
          </w:tcPr>
          <w:p>
            <w:pPr>
              <w:spacing w:after="0"/>
              <w:rPr>
                <w:sz w:val="24"/>
                <w:szCs w:val="24"/>
                <w:color w:val="auto"/>
              </w:rPr>
            </w:pPr>
          </w:p>
        </w:tc>
      </w:tr>
      <w:tr>
        <w:trPr>
          <w:trHeight w:val="561"/>
        </w:trPr>
        <w:tc>
          <w:tcPr>
            <w:tcW w:w="3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37" w:name="page38"/>
    <w:bookmarkEnd w:id="37"/>
    <w:p>
      <w:pPr>
        <w:jc w:val="right"/>
        <w:ind w:right="139"/>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BLUEPRINT MEDICINES CORPORATION</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[TRUSTEE],</w:t>
      </w:r>
    </w:p>
    <w:p>
      <w:pPr>
        <w:spacing w:after="0" w:line="18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18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18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202[</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8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1217930</wp:posOffset>
            </wp:positionV>
            <wp:extent cx="554863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ind w:left="352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15"/>
          <w:szCs w:val="15"/>
          <w:b w:val="1"/>
          <w:bCs w:val="1"/>
          <w:color w:val="auto"/>
        </w:rPr>
        <w:t>1</w:t>
      </w:r>
    </w:p>
    <w:p>
      <w:pPr>
        <w:spacing w:after="0" w:line="200" w:lineRule="exact"/>
        <w:rPr>
          <w:sz w:val="20"/>
          <w:szCs w:val="20"/>
          <w:color w:val="auto"/>
        </w:r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DEFINITIONS</w:t>
      </w:r>
    </w:p>
    <w:p>
      <w:pPr>
        <w:spacing w:after="0" w:line="47"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36"/>
          <w:szCs w:val="36"/>
          <w:color w:val="auto"/>
          <w:vertAlign w:val="superscript"/>
        </w:rPr>
        <w:t>Section 1.01</w:t>
      </w:r>
      <w:r>
        <w:rPr>
          <w:sz w:val="20"/>
          <w:szCs w:val="20"/>
          <w:color w:val="auto"/>
        </w:rPr>
        <w:tab/>
      </w:r>
      <w:r>
        <w:rPr>
          <w:rFonts w:ascii="Arial" w:cs="Arial" w:eastAsia="Arial" w:hAnsi="Arial"/>
          <w:sz w:val="16"/>
          <w:szCs w:val="16"/>
          <w:color w:val="auto"/>
        </w:rPr>
        <w:t>Definitions of Terms</w:t>
      </w:r>
    </w:p>
    <w:p>
      <w:pPr>
        <w:ind w:left="160" w:right="400"/>
        <w:spacing w:after="0" w:line="226" w:lineRule="auto"/>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ISSUE, DESCRIPTION, TERMS, EXECUTION, REGISTRATION AND EXCHANGE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Section 2.01</w:t>
            </w:r>
          </w:p>
        </w:tc>
        <w:tc>
          <w:tcPr>
            <w:tcW w:w="3720" w:type="dxa"/>
            <w:vAlign w:val="bottom"/>
          </w:tcPr>
          <w:p>
            <w:pPr>
              <w:ind w:left="340"/>
              <w:spacing w:after="0"/>
              <w:rPr>
                <w:sz w:val="20"/>
                <w:szCs w:val="20"/>
                <w:color w:val="auto"/>
              </w:rPr>
            </w:pPr>
            <w:r>
              <w:rPr>
                <w:rFonts w:ascii="Arial" w:cs="Arial" w:eastAsia="Arial" w:hAnsi="Arial"/>
                <w:sz w:val="18"/>
                <w:szCs w:val="18"/>
                <w:color w:val="auto"/>
              </w:rPr>
              <w:t>Designation and Terms of Securities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2.02</w:t>
            </w:r>
          </w:p>
        </w:tc>
        <w:tc>
          <w:tcPr>
            <w:tcW w:w="3720" w:type="dxa"/>
            <w:vAlign w:val="bottom"/>
          </w:tcPr>
          <w:p>
            <w:pPr>
              <w:ind w:left="340"/>
              <w:spacing w:after="0"/>
              <w:rPr>
                <w:sz w:val="20"/>
                <w:szCs w:val="20"/>
                <w:color w:val="auto"/>
              </w:rPr>
            </w:pPr>
            <w:r>
              <w:rPr>
                <w:rFonts w:ascii="Arial" w:cs="Arial" w:eastAsia="Arial" w:hAnsi="Arial"/>
                <w:sz w:val="18"/>
                <w:szCs w:val="18"/>
                <w:color w:val="auto"/>
                <w:w w:val="97"/>
              </w:rPr>
              <w:t>Form of Securities and Trustee’s Certificate</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2.03</w:t>
            </w:r>
          </w:p>
        </w:tc>
        <w:tc>
          <w:tcPr>
            <w:tcW w:w="3720" w:type="dxa"/>
            <w:vAlign w:val="bottom"/>
          </w:tcPr>
          <w:p>
            <w:pPr>
              <w:ind w:left="340"/>
              <w:spacing w:after="0"/>
              <w:rPr>
                <w:sz w:val="20"/>
                <w:szCs w:val="20"/>
                <w:color w:val="auto"/>
              </w:rPr>
            </w:pPr>
            <w:r>
              <w:rPr>
                <w:rFonts w:ascii="Arial" w:cs="Arial" w:eastAsia="Arial" w:hAnsi="Arial"/>
                <w:sz w:val="18"/>
                <w:szCs w:val="18"/>
                <w:color w:val="auto"/>
              </w:rPr>
              <w:t>Denominations: Provisions for Payment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2.04</w:t>
            </w:r>
          </w:p>
        </w:tc>
        <w:tc>
          <w:tcPr>
            <w:tcW w:w="3720" w:type="dxa"/>
            <w:vAlign w:val="bottom"/>
          </w:tcPr>
          <w:p>
            <w:pPr>
              <w:ind w:left="340"/>
              <w:spacing w:after="0"/>
              <w:rPr>
                <w:sz w:val="20"/>
                <w:szCs w:val="20"/>
                <w:color w:val="auto"/>
              </w:rPr>
            </w:pPr>
            <w:r>
              <w:rPr>
                <w:rFonts w:ascii="Arial" w:cs="Arial" w:eastAsia="Arial" w:hAnsi="Arial"/>
                <w:sz w:val="18"/>
                <w:szCs w:val="18"/>
                <w:color w:val="auto"/>
              </w:rPr>
              <w:t>Execution and Authentications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2.05</w:t>
            </w:r>
          </w:p>
        </w:tc>
        <w:tc>
          <w:tcPr>
            <w:tcW w:w="3720" w:type="dxa"/>
            <w:vAlign w:val="bottom"/>
          </w:tcPr>
          <w:p>
            <w:pPr>
              <w:ind w:left="340"/>
              <w:spacing w:after="0"/>
              <w:rPr>
                <w:sz w:val="20"/>
                <w:szCs w:val="20"/>
                <w:color w:val="auto"/>
              </w:rPr>
            </w:pPr>
            <w:r>
              <w:rPr>
                <w:rFonts w:ascii="Arial" w:cs="Arial" w:eastAsia="Arial" w:hAnsi="Arial"/>
                <w:sz w:val="18"/>
                <w:szCs w:val="18"/>
                <w:color w:val="auto"/>
              </w:rPr>
              <w:t>Registration of Transfer and Exchange</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2.06</w:t>
            </w:r>
          </w:p>
        </w:tc>
        <w:tc>
          <w:tcPr>
            <w:tcW w:w="3720" w:type="dxa"/>
            <w:vAlign w:val="bottom"/>
          </w:tcPr>
          <w:p>
            <w:pPr>
              <w:ind w:left="340"/>
              <w:spacing w:after="0"/>
              <w:rPr>
                <w:sz w:val="20"/>
                <w:szCs w:val="20"/>
                <w:color w:val="auto"/>
              </w:rPr>
            </w:pPr>
            <w:r>
              <w:rPr>
                <w:rFonts w:ascii="Arial" w:cs="Arial" w:eastAsia="Arial" w:hAnsi="Arial"/>
                <w:sz w:val="18"/>
                <w:szCs w:val="18"/>
                <w:color w:val="auto"/>
              </w:rPr>
              <w:t>Temporary Securities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2.07</w:t>
            </w:r>
          </w:p>
        </w:tc>
        <w:tc>
          <w:tcPr>
            <w:tcW w:w="3720" w:type="dxa"/>
            <w:vAlign w:val="bottom"/>
          </w:tcPr>
          <w:p>
            <w:pPr>
              <w:ind w:left="340"/>
              <w:spacing w:after="0"/>
              <w:rPr>
                <w:sz w:val="20"/>
                <w:szCs w:val="20"/>
                <w:color w:val="auto"/>
              </w:rPr>
            </w:pPr>
            <w:r>
              <w:rPr>
                <w:rFonts w:ascii="Arial" w:cs="Arial" w:eastAsia="Arial" w:hAnsi="Arial"/>
                <w:sz w:val="18"/>
                <w:szCs w:val="18"/>
                <w:color w:val="auto"/>
                <w:w w:val="90"/>
              </w:rPr>
              <w:t>Mutilated, Destroyed, Lost or Stolen Securities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2.08</w:t>
            </w:r>
          </w:p>
        </w:tc>
        <w:tc>
          <w:tcPr>
            <w:tcW w:w="3720" w:type="dxa"/>
            <w:vAlign w:val="bottom"/>
          </w:tcPr>
          <w:p>
            <w:pPr>
              <w:ind w:left="340"/>
              <w:spacing w:after="0"/>
              <w:rPr>
                <w:sz w:val="20"/>
                <w:szCs w:val="20"/>
                <w:color w:val="auto"/>
              </w:rPr>
            </w:pPr>
            <w:r>
              <w:rPr>
                <w:rFonts w:ascii="Arial" w:cs="Arial" w:eastAsia="Arial" w:hAnsi="Arial"/>
                <w:sz w:val="18"/>
                <w:szCs w:val="18"/>
                <w:color w:val="auto"/>
              </w:rPr>
              <w:t>Cancellation</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2.09</w:t>
            </w:r>
          </w:p>
        </w:tc>
        <w:tc>
          <w:tcPr>
            <w:tcW w:w="3720" w:type="dxa"/>
            <w:vAlign w:val="bottom"/>
          </w:tcPr>
          <w:p>
            <w:pPr>
              <w:ind w:left="340"/>
              <w:spacing w:after="0"/>
              <w:rPr>
                <w:sz w:val="20"/>
                <w:szCs w:val="20"/>
                <w:color w:val="auto"/>
              </w:rPr>
            </w:pPr>
            <w:r>
              <w:rPr>
                <w:rFonts w:ascii="Arial" w:cs="Arial" w:eastAsia="Arial" w:hAnsi="Arial"/>
                <w:sz w:val="18"/>
                <w:szCs w:val="18"/>
                <w:color w:val="auto"/>
              </w:rPr>
              <w:t>Benefits of Indenture</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2.10</w:t>
            </w:r>
          </w:p>
        </w:tc>
        <w:tc>
          <w:tcPr>
            <w:tcW w:w="3720" w:type="dxa"/>
            <w:vAlign w:val="bottom"/>
          </w:tcPr>
          <w:p>
            <w:pPr>
              <w:ind w:left="340"/>
              <w:spacing w:after="0"/>
              <w:rPr>
                <w:sz w:val="20"/>
                <w:szCs w:val="20"/>
                <w:color w:val="auto"/>
              </w:rPr>
            </w:pPr>
            <w:r>
              <w:rPr>
                <w:rFonts w:ascii="Arial" w:cs="Arial" w:eastAsia="Arial" w:hAnsi="Arial"/>
                <w:sz w:val="18"/>
                <w:szCs w:val="18"/>
                <w:color w:val="auto"/>
              </w:rPr>
              <w:t>Authenticating Agent</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2.11</w:t>
            </w:r>
          </w:p>
        </w:tc>
        <w:tc>
          <w:tcPr>
            <w:tcW w:w="3720" w:type="dxa"/>
            <w:vAlign w:val="bottom"/>
          </w:tcPr>
          <w:p>
            <w:pPr>
              <w:ind w:left="340"/>
              <w:spacing w:after="0"/>
              <w:rPr>
                <w:sz w:val="20"/>
                <w:szCs w:val="20"/>
                <w:color w:val="auto"/>
              </w:rPr>
            </w:pPr>
            <w:r>
              <w:rPr>
                <w:rFonts w:ascii="Arial" w:cs="Arial" w:eastAsia="Arial" w:hAnsi="Arial"/>
                <w:sz w:val="18"/>
                <w:szCs w:val="18"/>
                <w:color w:val="auto"/>
              </w:rPr>
              <w:t>Global Securities</w:t>
            </w: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REDEMPTION OF SECURITIES AND SINKING FUND PROVISIONS</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Section 3.01</w:t>
            </w:r>
          </w:p>
        </w:tc>
        <w:tc>
          <w:tcPr>
            <w:tcW w:w="4260" w:type="dxa"/>
            <w:vAlign w:val="bottom"/>
          </w:tcPr>
          <w:p>
            <w:pPr>
              <w:ind w:left="340"/>
              <w:spacing w:after="0"/>
              <w:rPr>
                <w:sz w:val="20"/>
                <w:szCs w:val="20"/>
                <w:color w:val="auto"/>
              </w:rPr>
            </w:pPr>
            <w:r>
              <w:rPr>
                <w:rFonts w:ascii="Arial" w:cs="Arial" w:eastAsia="Arial" w:hAnsi="Arial"/>
                <w:sz w:val="18"/>
                <w:szCs w:val="18"/>
                <w:color w:val="auto"/>
              </w:rPr>
              <w:t>Redemption</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3.02</w:t>
            </w:r>
          </w:p>
        </w:tc>
        <w:tc>
          <w:tcPr>
            <w:tcW w:w="4260" w:type="dxa"/>
            <w:vAlign w:val="bottom"/>
          </w:tcPr>
          <w:p>
            <w:pPr>
              <w:ind w:left="340"/>
              <w:spacing w:after="0"/>
              <w:rPr>
                <w:sz w:val="20"/>
                <w:szCs w:val="20"/>
                <w:color w:val="auto"/>
              </w:rPr>
            </w:pPr>
            <w:r>
              <w:rPr>
                <w:rFonts w:ascii="Arial" w:cs="Arial" w:eastAsia="Arial" w:hAnsi="Arial"/>
                <w:sz w:val="18"/>
                <w:szCs w:val="18"/>
                <w:color w:val="auto"/>
              </w:rPr>
              <w:t>Notice of Redemption</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3.03</w:t>
            </w:r>
          </w:p>
        </w:tc>
        <w:tc>
          <w:tcPr>
            <w:tcW w:w="4260" w:type="dxa"/>
            <w:vAlign w:val="bottom"/>
          </w:tcPr>
          <w:p>
            <w:pPr>
              <w:ind w:left="340"/>
              <w:spacing w:after="0"/>
              <w:rPr>
                <w:sz w:val="20"/>
                <w:szCs w:val="20"/>
                <w:color w:val="auto"/>
              </w:rPr>
            </w:pPr>
            <w:r>
              <w:rPr>
                <w:rFonts w:ascii="Arial" w:cs="Arial" w:eastAsia="Arial" w:hAnsi="Arial"/>
                <w:sz w:val="18"/>
                <w:szCs w:val="18"/>
                <w:color w:val="auto"/>
              </w:rPr>
              <w:t>Payment Upon Redemption</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3.04</w:t>
            </w:r>
          </w:p>
        </w:tc>
        <w:tc>
          <w:tcPr>
            <w:tcW w:w="4260" w:type="dxa"/>
            <w:vAlign w:val="bottom"/>
          </w:tcPr>
          <w:p>
            <w:pPr>
              <w:ind w:left="340"/>
              <w:spacing w:after="0"/>
              <w:rPr>
                <w:sz w:val="20"/>
                <w:szCs w:val="20"/>
                <w:color w:val="auto"/>
              </w:rPr>
            </w:pPr>
            <w:r>
              <w:rPr>
                <w:rFonts w:ascii="Arial" w:cs="Arial" w:eastAsia="Arial" w:hAnsi="Arial"/>
                <w:sz w:val="18"/>
                <w:szCs w:val="18"/>
                <w:color w:val="auto"/>
              </w:rPr>
              <w:t>Sinking Fund</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3.05</w:t>
            </w:r>
          </w:p>
        </w:tc>
        <w:tc>
          <w:tcPr>
            <w:tcW w:w="4260" w:type="dxa"/>
            <w:vAlign w:val="bottom"/>
          </w:tcPr>
          <w:p>
            <w:pPr>
              <w:ind w:left="340"/>
              <w:spacing w:after="0"/>
              <w:rPr>
                <w:sz w:val="20"/>
                <w:szCs w:val="20"/>
                <w:color w:val="auto"/>
              </w:rPr>
            </w:pPr>
            <w:r>
              <w:rPr>
                <w:rFonts w:ascii="Arial" w:cs="Arial" w:eastAsia="Arial" w:hAnsi="Arial"/>
                <w:sz w:val="18"/>
                <w:szCs w:val="18"/>
                <w:color w:val="auto"/>
                <w:w w:val="90"/>
              </w:rPr>
              <w:t>Satisfaction of Sinking Fund Payments with Securities</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3.06</w:t>
            </w:r>
          </w:p>
        </w:tc>
        <w:tc>
          <w:tcPr>
            <w:tcW w:w="4260" w:type="dxa"/>
            <w:vAlign w:val="bottom"/>
          </w:tcPr>
          <w:p>
            <w:pPr>
              <w:ind w:left="340"/>
              <w:spacing w:after="0"/>
              <w:rPr>
                <w:sz w:val="20"/>
                <w:szCs w:val="20"/>
                <w:color w:val="auto"/>
              </w:rPr>
            </w:pPr>
            <w:r>
              <w:rPr>
                <w:rFonts w:ascii="Arial" w:cs="Arial" w:eastAsia="Arial" w:hAnsi="Arial"/>
                <w:sz w:val="18"/>
                <w:szCs w:val="18"/>
                <w:color w:val="auto"/>
              </w:rPr>
              <w:t>Redemption of Securities for Sinking Fund</w:t>
            </w:r>
          </w:p>
        </w:tc>
      </w:tr>
      <w:tr>
        <w:trPr>
          <w:trHeight w:val="28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COVENANTS</w:t>
            </w: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Section 4.01</w:t>
            </w:r>
          </w:p>
        </w:tc>
        <w:tc>
          <w:tcPr>
            <w:tcW w:w="4260" w:type="dxa"/>
            <w:vAlign w:val="bottom"/>
          </w:tcPr>
          <w:p>
            <w:pPr>
              <w:ind w:left="340"/>
              <w:spacing w:after="0"/>
              <w:rPr>
                <w:sz w:val="20"/>
                <w:szCs w:val="20"/>
                <w:color w:val="auto"/>
              </w:rPr>
            </w:pPr>
            <w:r>
              <w:rPr>
                <w:rFonts w:ascii="Arial" w:cs="Arial" w:eastAsia="Arial" w:hAnsi="Arial"/>
                <w:sz w:val="18"/>
                <w:szCs w:val="18"/>
                <w:color w:val="auto"/>
              </w:rPr>
              <w:t>Payment of Principal, Premium and Interest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4.02</w:t>
            </w:r>
          </w:p>
        </w:tc>
        <w:tc>
          <w:tcPr>
            <w:tcW w:w="4260" w:type="dxa"/>
            <w:vAlign w:val="bottom"/>
          </w:tcPr>
          <w:p>
            <w:pPr>
              <w:ind w:left="340"/>
              <w:spacing w:after="0"/>
              <w:rPr>
                <w:sz w:val="20"/>
                <w:szCs w:val="20"/>
                <w:color w:val="auto"/>
              </w:rPr>
            </w:pPr>
            <w:r>
              <w:rPr>
                <w:rFonts w:ascii="Arial" w:cs="Arial" w:eastAsia="Arial" w:hAnsi="Arial"/>
                <w:sz w:val="18"/>
                <w:szCs w:val="18"/>
                <w:color w:val="auto"/>
              </w:rPr>
              <w:t>Maintenance of Office or Agency</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4.03</w:t>
            </w:r>
          </w:p>
        </w:tc>
        <w:tc>
          <w:tcPr>
            <w:tcW w:w="4260" w:type="dxa"/>
            <w:vAlign w:val="bottom"/>
          </w:tcPr>
          <w:p>
            <w:pPr>
              <w:ind w:left="340"/>
              <w:spacing w:after="0"/>
              <w:rPr>
                <w:sz w:val="20"/>
                <w:szCs w:val="20"/>
                <w:color w:val="auto"/>
              </w:rPr>
            </w:pPr>
            <w:r>
              <w:rPr>
                <w:rFonts w:ascii="Arial" w:cs="Arial" w:eastAsia="Arial" w:hAnsi="Arial"/>
                <w:sz w:val="18"/>
                <w:szCs w:val="18"/>
                <w:color w:val="auto"/>
              </w:rPr>
              <w:t>Paying Agents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4.04</w:t>
            </w:r>
          </w:p>
        </w:tc>
        <w:tc>
          <w:tcPr>
            <w:tcW w:w="4260" w:type="dxa"/>
            <w:vAlign w:val="bottom"/>
          </w:tcPr>
          <w:p>
            <w:pPr>
              <w:ind w:left="340"/>
              <w:spacing w:after="0"/>
              <w:rPr>
                <w:sz w:val="20"/>
                <w:szCs w:val="20"/>
                <w:color w:val="auto"/>
              </w:rPr>
            </w:pPr>
            <w:r>
              <w:rPr>
                <w:rFonts w:ascii="Arial" w:cs="Arial" w:eastAsia="Arial" w:hAnsi="Arial"/>
                <w:sz w:val="18"/>
                <w:szCs w:val="18"/>
                <w:color w:val="auto"/>
              </w:rPr>
              <w:t>Appointment to Fill Vacancy in Office of Trustee</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4.05</w:t>
            </w:r>
          </w:p>
        </w:tc>
        <w:tc>
          <w:tcPr>
            <w:tcW w:w="4260" w:type="dxa"/>
            <w:vAlign w:val="bottom"/>
          </w:tcPr>
          <w:p>
            <w:pPr>
              <w:ind w:left="340"/>
              <w:spacing w:after="0"/>
              <w:rPr>
                <w:sz w:val="20"/>
                <w:szCs w:val="20"/>
                <w:color w:val="auto"/>
              </w:rPr>
            </w:pPr>
            <w:r>
              <w:rPr>
                <w:rFonts w:ascii="Arial" w:cs="Arial" w:eastAsia="Arial" w:hAnsi="Arial"/>
                <w:sz w:val="18"/>
                <w:szCs w:val="18"/>
                <w:color w:val="auto"/>
              </w:rPr>
              <w:t>Compliance with Consolidation Provisions</w:t>
            </w: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ARTICLE 5 </w:t>
      </w:r>
      <w:r>
        <w:rPr>
          <w:rFonts w:ascii="Arial" w:cs="Arial" w:eastAsia="Arial" w:hAnsi="Arial"/>
          <w:sz w:val="17"/>
          <w:szCs w:val="17"/>
          <w:color w:val="auto"/>
        </w:rPr>
        <w:t>SECURITYHOLDERS’ LISTS AND REPORTS BY THE COMPANY AND THE TRUSTEE</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Section 5.01</w:t>
            </w:r>
          </w:p>
        </w:tc>
        <w:tc>
          <w:tcPr>
            <w:tcW w:w="5400" w:type="dxa"/>
            <w:vAlign w:val="bottom"/>
          </w:tcPr>
          <w:p>
            <w:pPr>
              <w:ind w:left="340"/>
              <w:spacing w:after="0"/>
              <w:rPr>
                <w:sz w:val="20"/>
                <w:szCs w:val="20"/>
                <w:color w:val="auto"/>
              </w:rPr>
            </w:pPr>
            <w:r>
              <w:rPr>
                <w:rFonts w:ascii="Arial" w:cs="Arial" w:eastAsia="Arial" w:hAnsi="Arial"/>
                <w:sz w:val="18"/>
                <w:szCs w:val="18"/>
                <w:color w:val="auto"/>
                <w:w w:val="89"/>
              </w:rPr>
              <w:t>Company to Furnish Trustee Names and Addresses of Securityholders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5.02</w:t>
            </w:r>
          </w:p>
        </w:tc>
        <w:tc>
          <w:tcPr>
            <w:tcW w:w="5400" w:type="dxa"/>
            <w:vAlign w:val="bottom"/>
          </w:tcPr>
          <w:p>
            <w:pPr>
              <w:ind w:left="340"/>
              <w:spacing w:after="0"/>
              <w:rPr>
                <w:sz w:val="20"/>
                <w:szCs w:val="20"/>
                <w:color w:val="auto"/>
              </w:rPr>
            </w:pPr>
            <w:r>
              <w:rPr>
                <w:rFonts w:ascii="Arial" w:cs="Arial" w:eastAsia="Arial" w:hAnsi="Arial"/>
                <w:sz w:val="18"/>
                <w:szCs w:val="18"/>
                <w:color w:val="auto"/>
                <w:w w:val="94"/>
              </w:rPr>
              <w:t>Preservation Of Information; Communications With Securityholders</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5.03</w:t>
            </w:r>
          </w:p>
        </w:tc>
        <w:tc>
          <w:tcPr>
            <w:tcW w:w="5400" w:type="dxa"/>
            <w:vAlign w:val="bottom"/>
          </w:tcPr>
          <w:p>
            <w:pPr>
              <w:ind w:left="340"/>
              <w:spacing w:after="0"/>
              <w:rPr>
                <w:sz w:val="20"/>
                <w:szCs w:val="20"/>
                <w:color w:val="auto"/>
              </w:rPr>
            </w:pPr>
            <w:r>
              <w:rPr>
                <w:rFonts w:ascii="Arial" w:cs="Arial" w:eastAsia="Arial" w:hAnsi="Arial"/>
                <w:sz w:val="18"/>
                <w:szCs w:val="18"/>
                <w:color w:val="auto"/>
              </w:rPr>
              <w:t>Reports by the Company</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Section 5.04</w:t>
            </w:r>
          </w:p>
        </w:tc>
        <w:tc>
          <w:tcPr>
            <w:tcW w:w="5400" w:type="dxa"/>
            <w:vAlign w:val="bottom"/>
          </w:tcPr>
          <w:p>
            <w:pPr>
              <w:ind w:left="340"/>
              <w:spacing w:after="0"/>
              <w:rPr>
                <w:sz w:val="20"/>
                <w:szCs w:val="20"/>
                <w:color w:val="auto"/>
              </w:rPr>
            </w:pPr>
            <w:r>
              <w:rPr>
                <w:rFonts w:ascii="Arial" w:cs="Arial" w:eastAsia="Arial" w:hAnsi="Arial"/>
                <w:sz w:val="18"/>
                <w:szCs w:val="18"/>
                <w:color w:val="auto"/>
              </w:rPr>
              <w:t>Reports by the Trustee</w:t>
            </w: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6 </w:t>
      </w:r>
      <w:r>
        <w:rPr>
          <w:rFonts w:ascii="Arial" w:cs="Arial" w:eastAsia="Arial" w:hAnsi="Arial"/>
          <w:sz w:val="18"/>
          <w:szCs w:val="18"/>
          <w:color w:val="auto"/>
        </w:rPr>
        <w:t>REMEDIES OF THE TRUSTEE AND SECURITYHOLDERS ON EVENT OF DEFAULT</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Section 6.01</w:t>
            </w:r>
          </w:p>
        </w:tc>
        <w:tc>
          <w:tcPr>
            <w:tcW w:w="5000" w:type="dxa"/>
            <w:vAlign w:val="bottom"/>
          </w:tcPr>
          <w:p>
            <w:pPr>
              <w:ind w:left="340"/>
              <w:spacing w:after="0"/>
              <w:rPr>
                <w:sz w:val="20"/>
                <w:szCs w:val="20"/>
                <w:color w:val="auto"/>
              </w:rPr>
            </w:pPr>
            <w:r>
              <w:rPr>
                <w:rFonts w:ascii="Arial" w:cs="Arial" w:eastAsia="Arial" w:hAnsi="Arial"/>
                <w:sz w:val="18"/>
                <w:szCs w:val="18"/>
                <w:color w:val="auto"/>
              </w:rPr>
              <w:t>Events of Default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5000" w:type="dxa"/>
            <w:vAlign w:val="bottom"/>
          </w:tcPr>
          <w:p>
            <w:pPr>
              <w:ind w:left="340"/>
              <w:spacing w:after="0"/>
              <w:rPr>
                <w:sz w:val="20"/>
                <w:szCs w:val="20"/>
                <w:color w:val="auto"/>
              </w:rPr>
            </w:pPr>
            <w:r>
              <w:rPr>
                <w:rFonts w:ascii="Arial" w:cs="Arial" w:eastAsia="Arial" w:hAnsi="Arial"/>
                <w:sz w:val="18"/>
                <w:szCs w:val="18"/>
                <w:color w:val="auto"/>
                <w:w w:val="90"/>
              </w:rPr>
              <w:t>Collection of Indebtedness and Suits for Enforcement by Trustee</w:t>
            </w:r>
          </w:p>
        </w:tc>
      </w:tr>
    </w:tbl>
    <w:p>
      <w:pPr>
        <w:spacing w:after="0" w:line="52" w:lineRule="exact"/>
        <w:rPr>
          <w:sz w:val="20"/>
          <w:szCs w:val="20"/>
          <w:color w:val="auto"/>
        </w:rPr>
      </w:pPr>
    </w:p>
    <w:p>
      <w:pPr>
        <w:ind w:left="960" w:hanging="808"/>
        <w:spacing w:after="0" w:line="235" w:lineRule="auto"/>
        <w:tabs>
          <w:tab w:leader="none" w:pos="9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62"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6"/>
          <w:szCs w:val="16"/>
          <w:color w:val="auto"/>
        </w:rPr>
        <w:t>10</w:t>
      </w:r>
    </w:p>
    <w:p>
      <w:pPr>
        <w:spacing w:after="0" w:line="32" w:lineRule="exact"/>
        <w:rPr>
          <w:sz w:val="20"/>
          <w:szCs w:val="20"/>
          <w:color w:val="auto"/>
        </w:rPr>
      </w:pPr>
    </w:p>
    <w:p>
      <w:pPr>
        <w:jc w:val="right"/>
        <w:ind w:right="199"/>
        <w:spacing w:after="0"/>
        <w:rPr>
          <w:sz w:val="20"/>
          <w:szCs w:val="20"/>
          <w:color w:val="auto"/>
        </w:rPr>
      </w:pPr>
      <w:r>
        <w:rPr>
          <w:rFonts w:ascii="Arial" w:cs="Arial" w:eastAsia="Arial" w:hAnsi="Arial"/>
          <w:sz w:val="16"/>
          <w:szCs w:val="16"/>
          <w:color w:val="auto"/>
        </w:rPr>
        <w:t>10</w:t>
      </w:r>
    </w:p>
    <w:p>
      <w:pPr>
        <w:spacing w:after="0" w:line="32" w:lineRule="exact"/>
        <w:rPr>
          <w:sz w:val="20"/>
          <w:szCs w:val="20"/>
          <w:color w:val="auto"/>
        </w:rPr>
      </w:pPr>
    </w:p>
    <w:p>
      <w:pPr>
        <w:jc w:val="right"/>
        <w:ind w:right="199"/>
        <w:spacing w:after="0"/>
        <w:rPr>
          <w:sz w:val="20"/>
          <w:szCs w:val="20"/>
          <w:color w:val="auto"/>
        </w:rPr>
      </w:pPr>
      <w:r>
        <w:rPr>
          <w:rFonts w:ascii="Arial" w:cs="Arial" w:eastAsia="Arial" w:hAnsi="Arial"/>
          <w:sz w:val="16"/>
          <w:szCs w:val="16"/>
          <w:color w:val="auto"/>
        </w:rPr>
        <w:t>10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ectPr>
          <w:pgSz w:w="11900" w:h="16838" w:orient="portrait"/>
          <w:cols w:equalWidth="0" w:num="2">
            <w:col w:w="8240" w:space="400"/>
            <w:col w:w="379"/>
          </w:cols>
          <w:pgMar w:left="1440" w:top="108" w:right="1440" w:bottom="1440" w:gutter="0" w:footer="0" w:header="0"/>
        </w:sectPr>
      </w:pPr>
    </w:p>
    <w:bookmarkStart w:id="39" w:name="page40"/>
    <w:bookmarkEnd w:id="39"/>
    <w:p>
      <w:pPr>
        <w:ind w:left="160"/>
        <w:spacing w:after="0"/>
        <w:tabs>
          <w:tab w:leader="none" w:pos="11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color w:val="auto"/>
        </w:rPr>
        <w:t>Application of Moneys Collected</w:t>
      </w:r>
    </w:p>
    <w:p>
      <w:pPr>
        <w:spacing w:after="0" w:line="23"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color w:val="auto"/>
        </w:rPr>
        <w:t>Limitation on Suits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Rights and Remedies Cumulative; Delay or Omission Not Waiver</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Control by Securityholders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color w:val="auto"/>
        </w:rPr>
        <w:t>Undertaking to Pay Costs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color w:val="auto"/>
        </w:rPr>
        <w:t>CONCERNING THE TRUSTEE</w:t>
      </w:r>
    </w:p>
    <w:p>
      <w:pPr>
        <w:spacing w:after="0" w:line="121"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Certain Duties and Responsibilities of Trustee</w:t>
      </w:r>
    </w:p>
    <w:p>
      <w:pPr>
        <w:spacing w:after="0" w:line="23"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color w:val="auto"/>
        </w:rPr>
        <w:t>Certain Rights of Trustee</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Trustee Not Responsible for Recitals or Issuance or Securities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May Hold Securities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Moneys Held in Trust</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color w:val="auto"/>
        </w:rPr>
        <w:t>Compensation and Reimbursement</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color w:val="auto"/>
        </w:rPr>
        <w:t>Reliance on Officer’s Certificate or Opinion of Counsel</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color w:val="auto"/>
        </w:rPr>
        <w:t>Disqualification; Conflicting Interests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color w:val="auto"/>
        </w:rPr>
        <w:t>Corporate Trustee Required; Eligibility</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color w:val="auto"/>
        </w:rPr>
        <w:t>Resignation and Removal; Appointment of Successor</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color w:val="auto"/>
        </w:rPr>
        <w:t>Acceptance of Appointment By Successor</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Merger, Conversion, Consolidation or Succession to Business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color w:val="auto"/>
        </w:rPr>
        <w:t>Preferential Collection of Claims Against the Company</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7.14</w:t>
      </w:r>
      <w:r>
        <w:rPr>
          <w:sz w:val="20"/>
          <w:szCs w:val="20"/>
          <w:color w:val="auto"/>
        </w:rPr>
        <w:tab/>
      </w:r>
      <w:r>
        <w:rPr>
          <w:rFonts w:ascii="Arial" w:cs="Arial" w:eastAsia="Arial" w:hAnsi="Arial"/>
          <w:sz w:val="17"/>
          <w:szCs w:val="17"/>
          <w:color w:val="auto"/>
        </w:rPr>
        <w:t>Notice of Default</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color w:val="auto"/>
        </w:rPr>
        <w:t>CONCERNING THE SECURITYHOLDERS</w:t>
      </w:r>
    </w:p>
    <w:p>
      <w:pPr>
        <w:spacing w:after="0" w:line="121"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Evidence of Action by Securityholders</w:t>
      </w:r>
    </w:p>
    <w:p>
      <w:pPr>
        <w:spacing w:after="0" w:line="23"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Proof of Execution by Securityholders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color w:val="auto"/>
        </w:rPr>
        <w:t>Who May be Deemed Owners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Certain Securities Owned by Company Disregarded</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color w:val="auto"/>
        </w:rPr>
        <w:t>Actions Binding on Future Securityholders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SUPPLEMENTAL INDENTURES</w:t>
      </w:r>
    </w:p>
    <w:p>
      <w:pPr>
        <w:spacing w:after="0" w:line="121"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the Consent of Securityholders</w:t>
      </w:r>
    </w:p>
    <w:p>
      <w:pPr>
        <w:spacing w:after="0" w:line="23"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Supplemental Indentures With Consent of Securityholders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Securities Affected by Supplemental Indentures</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Execution of Supplemental Indentures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SUCCESSOR ENTITY</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10.01 Company May Consolidate, Etc</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10.02 Successor Entity Substituted</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SATISFACTION AND DISCHARGE</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11.01 Satisfaction and Discharge of Indenture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11.02 Discharge of Obligations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11.03 Deposited Moneys to be Held in Trust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11.04 Payment of Moneys Held by Paying Agents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11.05 Repayment to Company</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ARTICLE 12 </w:t>
      </w:r>
      <w:r>
        <w:rPr>
          <w:rFonts w:ascii="Arial" w:cs="Arial" w:eastAsia="Arial" w:hAnsi="Arial"/>
          <w:sz w:val="17"/>
          <w:szCs w:val="17"/>
          <w:color w:val="auto"/>
        </w:rPr>
        <w:t>IMMUNITY OF INCORPORATORS, STOCKHOLDERS, OFFICERS AND DIRECTORS</w:t>
      </w:r>
    </w:p>
    <w:p>
      <w:pPr>
        <w:spacing w:after="0" w:line="241" w:lineRule="exact"/>
        <w:rPr>
          <w:sz w:val="20"/>
          <w:szCs w:val="20"/>
          <w:color w:val="auto"/>
        </w:rPr>
      </w:pPr>
    </w:p>
    <w:p>
      <w:pPr>
        <w:jc w:val="center"/>
        <w:ind w:left="11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ectPr>
          <w:pgSz w:w="11900" w:h="16838" w:orient="portrait"/>
          <w:cols w:equalWidth="0" w:num="2">
            <w:col w:w="7920" w:space="720"/>
            <w:col w:w="379"/>
          </w:cols>
          <w:pgMar w:left="1440" w:top="328" w:right="1440" w:bottom="1440" w:gutter="0" w:footer="0" w:header="0"/>
        </w:sectPr>
      </w:pPr>
    </w:p>
    <w:bookmarkStart w:id="40" w:name="page41"/>
    <w:bookmarkEnd w:id="40"/>
    <w:p>
      <w:pPr>
        <w:ind w:left="160"/>
        <w:spacing w:after="0"/>
        <w:tabs>
          <w:tab w:leader="none" w:pos="13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color w:val="auto"/>
        </w:rPr>
        <w:t>No Recourse</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13 </w:t>
      </w:r>
      <w:r>
        <w:rPr>
          <w:rFonts w:ascii="Arial" w:cs="Arial" w:eastAsia="Arial" w:hAnsi="Arial"/>
          <w:sz w:val="18"/>
          <w:szCs w:val="18"/>
          <w:color w:val="auto"/>
        </w:rPr>
        <w:t>MISCELLANEOUS PROVISIONS</w:t>
      </w:r>
    </w:p>
    <w:p>
      <w:pPr>
        <w:spacing w:after="0" w:line="121"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color w:val="auto"/>
        </w:rPr>
        <w:t>Effect on Successors and Assigns</w:t>
      </w:r>
    </w:p>
    <w:p>
      <w:pPr>
        <w:spacing w:after="0" w:line="2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color w:val="auto"/>
        </w:rPr>
        <w:t>Actions by Successor</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color w:val="auto"/>
        </w:rPr>
        <w:t>Surrender of Company Powers</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color w:val="auto"/>
        </w:rPr>
        <w:t>Notices</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color w:val="auto"/>
        </w:rPr>
        <w:t>Governing Law; Jury Trial Waiver</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6"/>
          <w:szCs w:val="16"/>
          <w:color w:val="auto"/>
        </w:rPr>
        <w:t>Treatment of Securities as Debt</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color w:val="auto"/>
        </w:rPr>
        <w:t>Certificates and Opinions as to Conditions Precedent</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6"/>
          <w:szCs w:val="16"/>
          <w:color w:val="auto"/>
        </w:rPr>
        <w:t>Payments on Business Days</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7"/>
          <w:szCs w:val="17"/>
          <w:color w:val="auto"/>
        </w:rPr>
        <w:t>Conflict with Trust Indenture Act</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color w:val="auto"/>
        </w:rPr>
        <w:t>Counterparts</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color w:val="auto"/>
        </w:rPr>
        <w:t>Separability</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color w:val="auto"/>
        </w:rPr>
        <w:t>Compliance Certificates</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13.13</w:t>
      </w:r>
      <w:r>
        <w:rPr>
          <w:sz w:val="20"/>
          <w:szCs w:val="20"/>
          <w:color w:val="auto"/>
        </w:rPr>
        <w:tab/>
      </w:r>
      <w:r>
        <w:rPr>
          <w:rFonts w:ascii="Arial" w:cs="Arial" w:eastAsia="Arial" w:hAnsi="Arial"/>
          <w:sz w:val="17"/>
          <w:szCs w:val="17"/>
          <w:color w:val="auto"/>
        </w:rPr>
        <w:t>USA PATRIOT ACT</w:t>
      </w:r>
    </w:p>
    <w:p>
      <w:pPr>
        <w:spacing w:after="0" w:line="9"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6"/>
          <w:szCs w:val="16"/>
          <w:color w:val="auto"/>
        </w:rPr>
        <w:t>Calculations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TRUST INDENTURE ACT CROSS-REFERENCE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97"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A-</w:t>
      </w:r>
    </w:p>
    <w:p>
      <w:pPr>
        <w:jc w:val="right"/>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7920" w:space="720"/>
            <w:col w:w="379"/>
          </w:cols>
          <w:pgMar w:left="1440" w:top="220" w:right="1440"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t>INDENTURE</w:t>
      </w:r>
    </w:p>
    <w:p>
      <w:pPr>
        <w:spacing w:after="0" w:line="185" w:lineRule="exact"/>
        <w:rPr>
          <w:sz w:val="20"/>
          <w:szCs w:val="20"/>
          <w:color w:val="auto"/>
        </w:rPr>
      </w:pPr>
    </w:p>
    <w:p>
      <w:pPr>
        <w:ind w:left="160" w:right="259"/>
        <w:spacing w:after="0" w:line="237"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 2020 , among</w:t>
      </w:r>
      <w:r>
        <w:rPr>
          <w:rFonts w:ascii="Arial" w:cs="Arial" w:eastAsia="Arial" w:hAnsi="Arial"/>
          <w:sz w:val="18"/>
          <w:szCs w:val="18"/>
          <w:b w:val="1"/>
          <w:bCs w:val="1"/>
          <w:color w:val="auto"/>
        </w:rPr>
        <w:t xml:space="preserve"> BLUEPRINT MEDICINES CORPORATION</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TRUSTEE</w:t>
      </w:r>
      <w:r>
        <w:rPr>
          <w:rFonts w:ascii="Arial" w:cs="Arial" w:eastAsia="Arial" w:hAnsi="Arial"/>
          <w:sz w:val="18"/>
          <w:szCs w:val="18"/>
          <w:color w:val="auto"/>
        </w:rPr>
        <w:t>]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58" w:lineRule="exact"/>
        <w:rPr>
          <w:sz w:val="20"/>
          <w:szCs w:val="20"/>
          <w:color w:val="auto"/>
        </w:rPr>
      </w:pPr>
    </w:p>
    <w:p>
      <w:pPr>
        <w:ind w:left="160" w:right="559"/>
        <w:spacing w:after="0" w:line="23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its lawful corporate purposes, the Company has duly authorized the execution and delivery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Indenture to provide for the issuance of debt securities (hereinafter referred to as the “</w:t>
      </w:r>
      <w:r>
        <w:rPr>
          <w:rFonts w:ascii="Arial" w:cs="Arial" w:eastAsia="Arial" w:hAnsi="Arial"/>
          <w:sz w:val="17"/>
          <w:szCs w:val="17"/>
          <w:b w:val="1"/>
          <w:bCs w:val="1"/>
          <w:color w:val="auto"/>
        </w:rPr>
        <w:t>Securities</w:t>
      </w:r>
      <w:r>
        <w:rPr>
          <w:rFonts w:ascii="Arial" w:cs="Arial" w:eastAsia="Arial" w:hAnsi="Arial"/>
          <w:sz w:val="17"/>
          <w:szCs w:val="17"/>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59" w:lineRule="exact"/>
        <w:rPr>
          <w:sz w:val="20"/>
          <w:szCs w:val="20"/>
          <w:color w:val="auto"/>
        </w:rPr>
      </w:pPr>
    </w:p>
    <w:p>
      <w:pPr>
        <w:ind w:left="160" w:right="899"/>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the Company has duly authorized the execution of this Indenture; and</w:t>
      </w:r>
    </w:p>
    <w:p>
      <w:pPr>
        <w:spacing w:after="0" w:line="158" w:lineRule="exact"/>
        <w:rPr>
          <w:sz w:val="20"/>
          <w:szCs w:val="20"/>
          <w:color w:val="auto"/>
        </w:rPr>
      </w:pPr>
    </w:p>
    <w:p>
      <w:pPr>
        <w:ind w:left="160" w:right="279"/>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to make this Indenture a valid and binding agreement of the Company,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terms, have been done.</w:t>
      </w:r>
    </w:p>
    <w:p>
      <w:pPr>
        <w:spacing w:after="0" w:line="158" w:lineRule="exact"/>
        <w:rPr>
          <w:sz w:val="20"/>
          <w:szCs w:val="20"/>
          <w:color w:val="auto"/>
        </w:rPr>
      </w:pPr>
    </w:p>
    <w:p>
      <w:pPr>
        <w:ind w:left="160" w:right="379"/>
        <w:spacing w:after="0" w:line="26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purchase of the Securities by the holders thereof, it is</w:t>
      </w:r>
      <w:r>
        <w:rPr>
          <w:rFonts w:ascii="Arial" w:cs="Arial" w:eastAsia="Arial" w:hAnsi="Arial"/>
          <w:sz w:val="17"/>
          <w:szCs w:val="17"/>
          <w:b w:val="1"/>
          <w:bCs w:val="1"/>
          <w:color w:val="auto"/>
        </w:rPr>
        <w:t xml:space="preserve"> </w:t>
      </w:r>
      <w:r>
        <w:rPr>
          <w:rFonts w:ascii="Arial" w:cs="Arial" w:eastAsia="Arial" w:hAnsi="Arial"/>
          <w:sz w:val="17"/>
          <w:szCs w:val="17"/>
          <w:color w:val="auto"/>
        </w:rPr>
        <w:t>mutually covenanted and agreed as follows for the equal and ratable benefit of the holders of Securities:</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w:t>
      </w:r>
    </w:p>
    <w:p>
      <w:pPr>
        <w:jc w:val="center"/>
        <w:ind w:right="-20"/>
        <w:spacing w:after="0"/>
        <w:rPr>
          <w:sz w:val="20"/>
          <w:szCs w:val="20"/>
          <w:color w:val="auto"/>
        </w:rPr>
      </w:pPr>
      <w:r>
        <w:rPr>
          <w:rFonts w:ascii="Arial" w:cs="Arial" w:eastAsia="Arial" w:hAnsi="Arial"/>
          <w:sz w:val="18"/>
          <w:szCs w:val="18"/>
          <w:b w:val="1"/>
          <w:bCs w:val="1"/>
          <w:color w:val="auto"/>
        </w:rPr>
        <w:t>DEFINITIONS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 of Terms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39" w:lineRule="auto"/>
        <w:rPr>
          <w:sz w:val="20"/>
          <w:szCs w:val="20"/>
          <w:color w:val="auto"/>
        </w:rPr>
      </w:pPr>
      <w:r>
        <w:rPr>
          <w:rFonts w:ascii="Arial" w:cs="Arial" w:eastAsia="Arial" w:hAnsi="Arial"/>
          <w:sz w:val="16"/>
          <w:szCs w:val="16"/>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59" w:lineRule="exact"/>
        <w:rPr>
          <w:sz w:val="20"/>
          <w:szCs w:val="20"/>
          <w:color w:val="auto"/>
        </w:rPr>
      </w:pPr>
    </w:p>
    <w:p>
      <w:pPr>
        <w:ind w:left="160" w:right="15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xml:space="preserve">” means an authenticating agent with respect to all or any of the series of Securities appointed by the Trustee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185" w:lineRule="exact"/>
        <w:rPr>
          <w:sz w:val="20"/>
          <w:szCs w:val="20"/>
          <w:color w:val="auto"/>
        </w:rPr>
      </w:pPr>
    </w:p>
    <w:p>
      <w:pPr>
        <w:ind w:left="160" w:right="33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58" w:lineRule="exact"/>
        <w:rPr>
          <w:sz w:val="20"/>
          <w:szCs w:val="20"/>
          <w:color w:val="auto"/>
        </w:rPr>
      </w:pPr>
    </w:p>
    <w:p>
      <w:pPr>
        <w:ind w:left="160" w:right="159"/>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8" w:lineRule="exact"/>
        <w:rPr>
          <w:sz w:val="20"/>
          <w:szCs w:val="20"/>
          <w:color w:val="auto"/>
        </w:rPr>
      </w:pPr>
    </w:p>
    <w:p>
      <w:pPr>
        <w:ind w:left="160" w:right="539"/>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58" w:lineRule="exact"/>
        <w:rPr>
          <w:sz w:val="20"/>
          <w:szCs w:val="20"/>
          <w:color w:val="auto"/>
        </w:rPr>
      </w:pPr>
    </w:p>
    <w:p>
      <w:pPr>
        <w:ind w:left="160" w:right="339"/>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2" w:name="page43"/>
    <w:bookmarkEnd w:id="42"/>
    <w:p>
      <w:pPr>
        <w:ind w:left="160" w:right="37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xml:space="preserve">” means Blueprint Medicines Corporation, a corporation duly organized and existing under the laws of the State of Delaware, and, subject to the provisions of </w:t>
      </w:r>
      <w:r>
        <w:rPr>
          <w:rFonts w:ascii="Arial" w:cs="Arial" w:eastAsia="Arial" w:hAnsi="Arial"/>
          <w:sz w:val="17"/>
          <w:szCs w:val="17"/>
          <w:u w:val="single" w:color="auto"/>
          <w:color w:val="auto"/>
        </w:rPr>
        <w:t>Article 10</w:t>
      </w:r>
      <w:r>
        <w:rPr>
          <w:rFonts w:ascii="Arial" w:cs="Arial" w:eastAsia="Arial" w:hAnsi="Arial"/>
          <w:sz w:val="17"/>
          <w:szCs w:val="17"/>
          <w:color w:val="auto"/>
        </w:rPr>
        <w:t>, shall also include its successors and assigns.</w:t>
      </w:r>
    </w:p>
    <w:p>
      <w:pPr>
        <w:spacing w:after="0" w:line="139" w:lineRule="exact"/>
        <w:rPr>
          <w:sz w:val="20"/>
          <w:szCs w:val="20"/>
          <w:color w:val="auto"/>
        </w:rPr>
      </w:pPr>
    </w:p>
    <w:p>
      <w:pPr>
        <w:ind w:left="160" w:right="35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an Officer of the Company, and delivered to the Trustee.</w:t>
      </w:r>
    </w:p>
    <w:p>
      <w:pPr>
        <w:spacing w:after="0" w:line="158" w:lineRule="exact"/>
        <w:rPr>
          <w:sz w:val="20"/>
          <w:szCs w:val="20"/>
          <w:color w:val="auto"/>
        </w:rPr>
      </w:pPr>
    </w:p>
    <w:p>
      <w:pPr>
        <w:ind w:left="160" w:right="37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at any particular time, its corporate trust business shall be administered, which office at the date hereof is located at.</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5" w:lineRule="exact"/>
        <w:rPr>
          <w:sz w:val="20"/>
          <w:szCs w:val="20"/>
          <w:color w:val="auto"/>
        </w:rPr>
      </w:pPr>
    </w:p>
    <w:p>
      <w:pPr>
        <w:ind w:left="160" w:right="159"/>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2.11</w:t>
      </w:r>
      <w:r>
        <w:rPr>
          <w:rFonts w:ascii="Arial" w:cs="Arial" w:eastAsia="Arial" w:hAnsi="Arial"/>
          <w:sz w:val="18"/>
          <w:szCs w:val="18"/>
          <w:color w:val="auto"/>
        </w:rPr>
        <w:t>.</w:t>
      </w:r>
    </w:p>
    <w:p>
      <w:pPr>
        <w:spacing w:after="0" w:line="159" w:lineRule="exact"/>
        <w:rPr>
          <w:sz w:val="20"/>
          <w:szCs w:val="20"/>
          <w:color w:val="auto"/>
        </w:rPr>
      </w:pPr>
    </w:p>
    <w:p>
      <w:pPr>
        <w:ind w:left="160" w:right="87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means, with respect to Securities of a particular series, any event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 continued for the period of time, if any, therein designated.</w:t>
      </w:r>
    </w:p>
    <w:p>
      <w:pPr>
        <w:spacing w:after="0" w:line="158" w:lineRule="exact"/>
        <w:rPr>
          <w:sz w:val="20"/>
          <w:szCs w:val="20"/>
          <w:color w:val="auto"/>
        </w:rPr>
      </w:pPr>
    </w:p>
    <w:p>
      <w:pPr>
        <w:ind w:left="160" w:right="89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58" w:lineRule="exact"/>
        <w:rPr>
          <w:sz w:val="20"/>
          <w:szCs w:val="20"/>
          <w:color w:val="auto"/>
        </w:rPr>
      </w:pPr>
    </w:p>
    <w:p>
      <w:pPr>
        <w:ind w:left="160" w:right="259"/>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Security</w:t>
      </w:r>
      <w:r>
        <w:rPr>
          <w:rFonts w:ascii="Arial" w:cs="Arial" w:eastAsia="Arial" w:hAnsi="Arial"/>
          <w:sz w:val="16"/>
          <w:szCs w:val="16"/>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43" w:lineRule="exact"/>
        <w:rPr>
          <w:sz w:val="20"/>
          <w:szCs w:val="20"/>
          <w:color w:val="auto"/>
        </w:rPr>
      </w:pPr>
    </w:p>
    <w:p>
      <w:pPr>
        <w:ind w:left="160" w:right="159"/>
        <w:spacing w:after="0" w:line="2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Obligations</w:t>
      </w:r>
      <w:r>
        <w:rPr>
          <w:rFonts w:ascii="Arial" w:cs="Arial" w:eastAsia="Arial" w:hAnsi="Arial"/>
          <w:sz w:val="16"/>
          <w:szCs w:val="16"/>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6" w:lineRule="exact"/>
        <w:rPr>
          <w:sz w:val="20"/>
          <w:szCs w:val="20"/>
          <w:color w:val="auto"/>
        </w:rPr>
      </w:pPr>
    </w:p>
    <w:p>
      <w:pPr>
        <w:ind w:left="160" w:right="43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58" w:lineRule="exact"/>
        <w:rPr>
          <w:sz w:val="20"/>
          <w:szCs w:val="20"/>
          <w:color w:val="auto"/>
        </w:rPr>
      </w:pPr>
    </w:p>
    <w:p>
      <w:pPr>
        <w:jc w:val="both"/>
        <w:ind w:left="160" w:right="33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159" w:lineRule="exact"/>
        <w:rPr>
          <w:sz w:val="20"/>
          <w:szCs w:val="20"/>
          <w:color w:val="auto"/>
        </w:rPr>
      </w:pPr>
    </w:p>
    <w:p>
      <w:pPr>
        <w:ind w:left="160" w:right="159"/>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3" w:name="page44"/>
    <w:bookmarkEnd w:id="43"/>
    <w:p>
      <w:pPr>
        <w:ind w:left="160" w:right="179"/>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60" w:lineRule="exact"/>
        <w:rPr>
          <w:sz w:val="20"/>
          <w:szCs w:val="20"/>
          <w:color w:val="auto"/>
        </w:rPr>
      </w:pPr>
    </w:p>
    <w:p>
      <w:pPr>
        <w:ind w:left="160" w:right="55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signed by any Officer. Each such certificate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58" w:lineRule="exact"/>
        <w:rPr>
          <w:sz w:val="20"/>
          <w:szCs w:val="20"/>
          <w:color w:val="auto"/>
        </w:rPr>
      </w:pPr>
    </w:p>
    <w:p>
      <w:pPr>
        <w:ind w:left="160" w:right="159"/>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Arial" w:cs="Arial" w:eastAsia="Arial" w:hAnsi="Arial"/>
          <w:sz w:val="16"/>
          <w:szCs w:val="16"/>
          <w:u w:val="single" w:color="auto"/>
          <w:color w:val="auto"/>
        </w:rPr>
        <w:t>Section 13.07</w:t>
      </w:r>
      <w:r>
        <w:rPr>
          <w:rFonts w:ascii="Arial" w:cs="Arial" w:eastAsia="Arial" w:hAnsi="Arial"/>
          <w:sz w:val="16"/>
          <w:szCs w:val="16"/>
          <w:color w:val="auto"/>
        </w:rPr>
        <w:t>, if and to the extent required by the provisions thereof.</w:t>
      </w:r>
    </w:p>
    <w:p>
      <w:pPr>
        <w:spacing w:after="0" w:line="143" w:lineRule="exact"/>
        <w:rPr>
          <w:sz w:val="20"/>
          <w:szCs w:val="20"/>
          <w:color w:val="auto"/>
        </w:rPr>
      </w:pPr>
    </w:p>
    <w:p>
      <w:pPr>
        <w:ind w:left="160" w:right="139"/>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w:t>
      </w:r>
      <w:r>
        <w:rPr>
          <w:rFonts w:ascii="Arial" w:cs="Arial" w:eastAsia="Arial" w:hAnsi="Arial"/>
          <w:sz w:val="17"/>
          <w:szCs w:val="17"/>
          <w:color w:val="auto"/>
        </w:rPr>
        <w:t xml:space="preserve">”, when used with reference to Securities of any series, means, subject to the provisions of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Securities or portions of such Securities are to be redeemed prior to the maturity thereof, notice of such redemption shall have been given as provided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158" w:lineRule="exact"/>
        <w:rPr>
          <w:sz w:val="20"/>
          <w:szCs w:val="20"/>
          <w:color w:val="auto"/>
        </w:rPr>
      </w:pPr>
    </w:p>
    <w:p>
      <w:pPr>
        <w:ind w:left="160" w:right="279"/>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8" w:lineRule="exact"/>
        <w:rPr>
          <w:sz w:val="20"/>
          <w:szCs w:val="20"/>
          <w:color w:val="auto"/>
        </w:rPr>
      </w:pPr>
    </w:p>
    <w:p>
      <w:pPr>
        <w:ind w:left="160" w:right="159"/>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Predecessor Security</w:t>
      </w:r>
      <w:r>
        <w:rPr>
          <w:rFonts w:ascii="Arial" w:cs="Arial" w:eastAsia="Arial" w:hAnsi="Arial"/>
          <w:sz w:val="18"/>
          <w:szCs w:val="18"/>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in lieu of a lost, destroyed or stolen Security shall be deemed to evidence the same debt as the lost, destroyed or stolen Security.</w:t>
      </w:r>
    </w:p>
    <w:p>
      <w:pPr>
        <w:spacing w:after="0" w:line="159" w:lineRule="exact"/>
        <w:rPr>
          <w:sz w:val="20"/>
          <w:szCs w:val="20"/>
          <w:color w:val="auto"/>
        </w:rPr>
      </w:pPr>
    </w:p>
    <w:p>
      <w:pPr>
        <w:ind w:left="160" w:right="199"/>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62" w:lineRule="exact"/>
        <w:rPr>
          <w:sz w:val="20"/>
          <w:szCs w:val="20"/>
          <w:color w:val="auto"/>
        </w:rPr>
      </w:pPr>
    </w:p>
    <w:p>
      <w:pPr>
        <w:ind w:left="160" w:right="59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58" w:lineRule="exact"/>
        <w:rPr>
          <w:sz w:val="20"/>
          <w:szCs w:val="20"/>
          <w:color w:val="auto"/>
        </w:rPr>
      </w:pPr>
    </w:p>
    <w:p>
      <w:pPr>
        <w:ind w:left="160" w:right="219"/>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Securityholder</w:t>
      </w:r>
      <w:r>
        <w:rPr>
          <w:rFonts w:ascii="Arial" w:cs="Arial" w:eastAsia="Arial" w:hAnsi="Arial"/>
          <w:sz w:val="18"/>
          <w:szCs w:val="18"/>
          <w:color w:val="auto"/>
        </w:rPr>
        <w:t>”, “</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registered holder</w:t>
      </w:r>
      <w:r>
        <w:rPr>
          <w:rFonts w:ascii="Arial" w:cs="Arial" w:eastAsia="Arial" w:hAnsi="Arial"/>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xml:space="preserve">” shall have the meanings as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spacing w:after="0" w:line="81" w:lineRule="exact"/>
        <w:rPr>
          <w:sz w:val="20"/>
          <w:szCs w:val="20"/>
          <w:color w:val="auto"/>
        </w:rPr>
      </w:pPr>
    </w:p>
    <w:p>
      <w:pPr>
        <w:jc w:val="both"/>
        <w:ind w:left="160" w:right="339" w:hanging="9"/>
        <w:spacing w:after="0" w:line="259" w:lineRule="auto"/>
        <w:tabs>
          <w:tab w:leader="none" w:pos="4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corporation or company a majority of whose capital stock with voting power, under ordinary circumstances, to elect directors is, at the date of determination, directly or indirectly, owned by such Person (a “</w:t>
      </w:r>
      <w:r>
        <w:rPr>
          <w:rFonts w:ascii="Arial" w:cs="Arial" w:eastAsia="Arial" w:hAnsi="Arial"/>
          <w:sz w:val="16"/>
          <w:szCs w:val="16"/>
          <w:b w:val="1"/>
          <w:bCs w:val="1"/>
          <w:color w:val="auto"/>
        </w:rPr>
        <w:t>subsidiary</w:t>
      </w:r>
      <w:r>
        <w:rPr>
          <w:rFonts w:ascii="Arial" w:cs="Arial" w:eastAsia="Arial" w:hAnsi="Arial"/>
          <w:sz w:val="16"/>
          <w:szCs w:val="16"/>
          <w:color w:val="auto"/>
        </w:rPr>
        <w:t>”), by one or more subsidiaries of such Person or by such Person and one or more subsidiaries of such Person;</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4" w:name="page45"/>
    <w:bookmarkEnd w:id="44"/>
    <w:p>
      <w:pPr>
        <w:ind w:left="160" w:right="159" w:hanging="9"/>
        <w:spacing w:after="0" w:line="235" w:lineRule="auto"/>
        <w:tabs>
          <w:tab w:leader="none" w:pos="4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partnership in which such Person or a subsidiary of such Person is, at the date of determination, a general partner of such partnership; or</w:t>
      </w:r>
    </w:p>
    <w:p>
      <w:pPr>
        <w:spacing w:after="0" w:line="53" w:lineRule="exact"/>
        <w:rPr>
          <w:rFonts w:ascii="Arial" w:cs="Arial" w:eastAsia="Arial" w:hAnsi="Arial"/>
          <w:sz w:val="18"/>
          <w:szCs w:val="18"/>
          <w:color w:val="auto"/>
        </w:rPr>
      </w:pPr>
    </w:p>
    <w:p>
      <w:pPr>
        <w:ind w:left="160" w:right="179" w:hanging="9"/>
        <w:spacing w:after="0" w:line="249" w:lineRule="auto"/>
        <w:tabs>
          <w:tab w:leader="none" w:pos="4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51" w:lineRule="exact"/>
        <w:rPr>
          <w:sz w:val="20"/>
          <w:szCs w:val="20"/>
          <w:color w:val="auto"/>
        </w:rPr>
      </w:pPr>
    </w:p>
    <w:p>
      <w:pPr>
        <w:jc w:val="both"/>
        <w:ind w:left="160" w:right="259"/>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xml:space="preserve">” means , and, subject to the provisions of </w:t>
      </w:r>
      <w:r>
        <w:rPr>
          <w:rFonts w:ascii="Arial" w:cs="Arial" w:eastAsia="Arial" w:hAnsi="Arial"/>
          <w:sz w:val="16"/>
          <w:szCs w:val="16"/>
          <w:u w:val="single" w:color="auto"/>
          <w:color w:val="auto"/>
        </w:rPr>
        <w:t>Article 7</w:t>
      </w:r>
      <w:r>
        <w:rPr>
          <w:rFonts w:ascii="Arial" w:cs="Arial" w:eastAsia="Arial" w:hAnsi="Arial"/>
          <w:sz w:val="16"/>
          <w:szCs w:val="16"/>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 and in effect from time to time.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w:t>
      </w:r>
    </w:p>
    <w:p>
      <w:pPr>
        <w:jc w:val="center"/>
        <w:ind w:right="-20"/>
        <w:spacing w:after="0" w:line="203" w:lineRule="auto"/>
        <w:rPr>
          <w:sz w:val="20"/>
          <w:szCs w:val="20"/>
          <w:color w:val="auto"/>
        </w:rPr>
      </w:pPr>
      <w:r>
        <w:rPr>
          <w:rFonts w:ascii="Arial" w:cs="Arial" w:eastAsia="Arial" w:hAnsi="Arial"/>
          <w:sz w:val="18"/>
          <w:szCs w:val="18"/>
          <w:b w:val="1"/>
          <w:bCs w:val="1"/>
          <w:color w:val="auto"/>
        </w:rPr>
        <w:t>ISSUE, DESCRIPTION, TERMS, EXECUTION, REGISTRATION AND</w:t>
      </w:r>
    </w:p>
    <w:p>
      <w:pPr>
        <w:jc w:val="center"/>
        <w:spacing w:after="0"/>
        <w:rPr>
          <w:sz w:val="20"/>
          <w:szCs w:val="20"/>
          <w:color w:val="auto"/>
        </w:rPr>
      </w:pPr>
      <w:r>
        <w:rPr>
          <w:rFonts w:ascii="Arial" w:cs="Arial" w:eastAsia="Arial" w:hAnsi="Arial"/>
          <w:sz w:val="18"/>
          <w:szCs w:val="18"/>
          <w:b w:val="1"/>
          <w:bCs w:val="1"/>
          <w:color w:val="auto"/>
        </w:rPr>
        <w:t>EXCHANGE OF SECURITIES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77" w:lineRule="exact"/>
        <w:rPr>
          <w:sz w:val="20"/>
          <w:szCs w:val="20"/>
          <w:color w:val="auto"/>
        </w:rPr>
      </w:pPr>
    </w:p>
    <w:p>
      <w:pPr>
        <w:ind w:left="160" w:right="239" w:hanging="9"/>
        <w:spacing w:after="0" w:line="244" w:lineRule="auto"/>
        <w:tabs>
          <w:tab w:leader="none" w:pos="4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51" w:lineRule="exact"/>
        <w:rPr>
          <w:sz w:val="20"/>
          <w:szCs w:val="20"/>
          <w:color w:val="auto"/>
        </w:rPr>
      </w:pPr>
    </w:p>
    <w:p>
      <w:pPr>
        <w:ind w:left="400" w:hanging="249"/>
        <w:spacing w:after="0"/>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title of the Securities of the series (which shall distinguish the Securities of that series from all other Securities);</w:t>
      </w:r>
    </w:p>
    <w:p>
      <w:pPr>
        <w:spacing w:after="0" w:line="99" w:lineRule="exact"/>
        <w:rPr>
          <w:rFonts w:ascii="Arial" w:cs="Arial" w:eastAsia="Arial" w:hAnsi="Arial"/>
          <w:sz w:val="16"/>
          <w:szCs w:val="16"/>
          <w:color w:val="auto"/>
        </w:rPr>
      </w:pPr>
    </w:p>
    <w:p>
      <w:pPr>
        <w:ind w:left="160" w:right="419" w:hanging="9"/>
        <w:spacing w:after="0" w:line="224" w:lineRule="auto"/>
        <w:tabs>
          <w:tab w:leader="none" w:pos="4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55" w:lineRule="exact"/>
        <w:rPr>
          <w:rFonts w:ascii="Arial" w:cs="Arial" w:eastAsia="Arial" w:hAnsi="Arial"/>
          <w:sz w:val="18"/>
          <w:szCs w:val="18"/>
          <w:color w:val="auto"/>
        </w:rPr>
      </w:pPr>
    </w:p>
    <w:p>
      <w:pPr>
        <w:ind w:left="400" w:hanging="249"/>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76" w:lineRule="exact"/>
        <w:rPr>
          <w:rFonts w:ascii="Arial" w:cs="Arial" w:eastAsia="Arial" w:hAnsi="Arial"/>
          <w:sz w:val="18"/>
          <w:szCs w:val="18"/>
          <w:color w:val="auto"/>
        </w:rPr>
      </w:pPr>
    </w:p>
    <w:p>
      <w:pPr>
        <w:ind w:left="160" w:right="179" w:hanging="9"/>
        <w:spacing w:after="0" w:line="232" w:lineRule="auto"/>
        <w:tabs>
          <w:tab w:leader="none" w:pos="41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62" w:lineRule="exact"/>
        <w:rPr>
          <w:rFonts w:ascii="Arial" w:cs="Arial" w:eastAsia="Arial" w:hAnsi="Arial"/>
          <w:sz w:val="17"/>
          <w:szCs w:val="17"/>
          <w:color w:val="auto"/>
        </w:rPr>
      </w:pPr>
    </w:p>
    <w:p>
      <w:pPr>
        <w:ind w:left="160" w:right="439" w:hanging="9"/>
        <w:spacing w:after="0" w:line="235" w:lineRule="auto"/>
        <w:tabs>
          <w:tab w:leader="none" w:pos="4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or the manner of calculation of such rate or rates, if any;</w:t>
      </w:r>
    </w:p>
    <w:p>
      <w:pPr>
        <w:spacing w:after="0" w:line="53" w:lineRule="exact"/>
        <w:rPr>
          <w:rFonts w:ascii="Arial" w:cs="Arial" w:eastAsia="Arial" w:hAnsi="Arial"/>
          <w:sz w:val="18"/>
          <w:szCs w:val="18"/>
          <w:color w:val="auto"/>
        </w:rPr>
      </w:pPr>
    </w:p>
    <w:p>
      <w:pPr>
        <w:ind w:left="400" w:hanging="249"/>
        <w:spacing w:after="0"/>
        <w:tabs>
          <w:tab w:leader="none" w:pos="4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or dates from which such interest shall accrue, the Interest Payment Dates on which such interest will be</w:t>
      </w:r>
    </w:p>
    <w:p>
      <w:pPr>
        <w:spacing w:after="0" w:line="7" w:lineRule="exact"/>
        <w:rPr>
          <w:rFonts w:ascii="Arial" w:cs="Arial" w:eastAsia="Arial" w:hAnsi="Arial"/>
          <w:sz w:val="16"/>
          <w:szCs w:val="16"/>
          <w:color w:val="auto"/>
        </w:rPr>
      </w:pPr>
    </w:p>
    <w:p>
      <w:pPr>
        <w:ind w:left="160" w:right="239"/>
        <w:spacing w:after="0" w:line="218" w:lineRule="auto"/>
        <w:rPr>
          <w:rFonts w:ascii="Arial" w:cs="Arial" w:eastAsia="Arial" w:hAnsi="Arial"/>
          <w:sz w:val="16"/>
          <w:szCs w:val="16"/>
          <w:color w:val="auto"/>
        </w:rPr>
      </w:pPr>
      <w:r>
        <w:rPr>
          <w:rFonts w:ascii="Arial" w:cs="Arial" w:eastAsia="Arial" w:hAnsi="Arial"/>
          <w:sz w:val="18"/>
          <w:szCs w:val="18"/>
          <w:color w:val="auto"/>
        </w:rPr>
        <w:t>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54" w:lineRule="exact"/>
        <w:rPr>
          <w:rFonts w:ascii="Arial" w:cs="Arial" w:eastAsia="Arial" w:hAnsi="Arial"/>
          <w:sz w:val="16"/>
          <w:szCs w:val="16"/>
          <w:color w:val="auto"/>
        </w:rPr>
      </w:pPr>
    </w:p>
    <w:p>
      <w:pPr>
        <w:ind w:left="400" w:hanging="249"/>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76" w:lineRule="exact"/>
        <w:rPr>
          <w:rFonts w:ascii="Arial" w:cs="Arial" w:eastAsia="Arial" w:hAnsi="Arial"/>
          <w:sz w:val="18"/>
          <w:szCs w:val="18"/>
          <w:color w:val="auto"/>
        </w:rPr>
      </w:pPr>
    </w:p>
    <w:p>
      <w:pPr>
        <w:ind w:left="160" w:right="319" w:hanging="9"/>
        <w:spacing w:after="0" w:line="235" w:lineRule="auto"/>
        <w:tabs>
          <w:tab w:leader="none" w:pos="4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5" w:name="page46"/>
    <w:bookmarkEnd w:id="45"/>
    <w:p>
      <w:pPr>
        <w:ind w:left="160" w:right="259" w:hanging="9"/>
        <w:spacing w:after="0" w:line="216" w:lineRule="auto"/>
        <w:tabs>
          <w:tab w:leader="none" w:pos="4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54" w:lineRule="exact"/>
        <w:rPr>
          <w:rFonts w:ascii="Arial" w:cs="Arial" w:eastAsia="Arial" w:hAnsi="Arial"/>
          <w:sz w:val="18"/>
          <w:szCs w:val="18"/>
          <w:color w:val="auto"/>
        </w:rPr>
      </w:pPr>
    </w:p>
    <w:p>
      <w:pPr>
        <w:ind w:left="500" w:hanging="349"/>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form of the Securities of the series including the form of the Certificate of Authentication for such series;</w:t>
      </w:r>
    </w:p>
    <w:p>
      <w:pPr>
        <w:spacing w:after="0" w:line="88" w:lineRule="exact"/>
        <w:rPr>
          <w:rFonts w:ascii="Arial" w:cs="Arial" w:eastAsia="Arial" w:hAnsi="Arial"/>
          <w:sz w:val="17"/>
          <w:szCs w:val="17"/>
          <w:color w:val="auto"/>
        </w:rPr>
      </w:pPr>
    </w:p>
    <w:p>
      <w:pPr>
        <w:ind w:left="160" w:right="579" w:hanging="9"/>
        <w:spacing w:after="0" w:line="235" w:lineRule="auto"/>
        <w:tabs>
          <w:tab w:leader="none" w:pos="4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other than minimum denominations of one thousand U.S. dollars ($1,000) or any integral multiple of $1,000 thereof, the denominations in which the Securities of the series shall be issuable;</w:t>
      </w:r>
    </w:p>
    <w:p>
      <w:pPr>
        <w:spacing w:after="0" w:line="53" w:lineRule="exact"/>
        <w:rPr>
          <w:rFonts w:ascii="Arial" w:cs="Arial" w:eastAsia="Arial" w:hAnsi="Arial"/>
          <w:sz w:val="18"/>
          <w:szCs w:val="18"/>
          <w:color w:val="auto"/>
        </w:rPr>
      </w:pPr>
    </w:p>
    <w:p>
      <w:pPr>
        <w:ind w:left="160" w:right="179" w:hanging="9"/>
        <w:spacing w:after="0" w:line="229" w:lineRule="auto"/>
        <w:tabs>
          <w:tab w:leader="none" w:pos="5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53" w:lineRule="exact"/>
        <w:rPr>
          <w:rFonts w:ascii="Arial" w:cs="Arial" w:eastAsia="Arial" w:hAnsi="Arial"/>
          <w:sz w:val="17"/>
          <w:szCs w:val="17"/>
          <w:color w:val="auto"/>
        </w:rPr>
      </w:pPr>
    </w:p>
    <w:p>
      <w:pPr>
        <w:jc w:val="both"/>
        <w:ind w:left="160" w:right="159" w:hanging="9"/>
        <w:spacing w:after="0" w:line="238" w:lineRule="auto"/>
        <w:tabs>
          <w:tab w:leader="none" w:pos="5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61" w:lineRule="exact"/>
        <w:rPr>
          <w:rFonts w:ascii="Arial" w:cs="Arial" w:eastAsia="Arial" w:hAnsi="Arial"/>
          <w:sz w:val="17"/>
          <w:szCs w:val="17"/>
          <w:color w:val="auto"/>
        </w:rPr>
      </w:pPr>
    </w:p>
    <w:p>
      <w:pPr>
        <w:ind w:left="160" w:right="159" w:hanging="9"/>
        <w:spacing w:after="0" w:line="229" w:lineRule="auto"/>
        <w:tabs>
          <w:tab w:leader="none" w:pos="5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53" w:lineRule="exact"/>
        <w:rPr>
          <w:rFonts w:ascii="Arial" w:cs="Arial" w:eastAsia="Arial" w:hAnsi="Arial"/>
          <w:sz w:val="17"/>
          <w:szCs w:val="17"/>
          <w:color w:val="auto"/>
        </w:rPr>
      </w:pPr>
    </w:p>
    <w:p>
      <w:pPr>
        <w:ind w:left="160" w:right="299" w:hanging="9"/>
        <w:spacing w:after="0" w:line="258" w:lineRule="auto"/>
        <w:tabs>
          <w:tab w:leader="none" w:pos="5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if other than the full principal amount thereof, the portion of the principal amount of Securities of the series which shall be payable upon declaration of acceleration of the maturity thereof pursuant to </w:t>
      </w:r>
      <w:r>
        <w:rPr>
          <w:rFonts w:ascii="Arial" w:cs="Arial" w:eastAsia="Arial" w:hAnsi="Arial"/>
          <w:sz w:val="17"/>
          <w:szCs w:val="17"/>
          <w:u w:val="single" w:color="auto"/>
          <w:color w:val="auto"/>
        </w:rPr>
        <w:t>Section 6.01;</w:t>
      </w:r>
    </w:p>
    <w:p>
      <w:pPr>
        <w:spacing w:after="0" w:line="38" w:lineRule="exact"/>
        <w:rPr>
          <w:rFonts w:ascii="Arial" w:cs="Arial" w:eastAsia="Arial" w:hAnsi="Arial"/>
          <w:sz w:val="17"/>
          <w:szCs w:val="17"/>
          <w:color w:val="auto"/>
        </w:rPr>
      </w:pPr>
    </w:p>
    <w:p>
      <w:pPr>
        <w:ind w:left="500" w:hanging="3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76" w:lineRule="exact"/>
        <w:rPr>
          <w:rFonts w:ascii="Arial" w:cs="Arial" w:eastAsia="Arial" w:hAnsi="Arial"/>
          <w:sz w:val="18"/>
          <w:szCs w:val="18"/>
          <w:color w:val="auto"/>
        </w:rPr>
      </w:pPr>
    </w:p>
    <w:p>
      <w:pPr>
        <w:ind w:left="160" w:right="199" w:hanging="9"/>
        <w:spacing w:after="0" w:line="222" w:lineRule="auto"/>
        <w:tabs>
          <w:tab w:leader="none" w:pos="5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55" w:lineRule="exact"/>
        <w:rPr>
          <w:rFonts w:ascii="Arial" w:cs="Arial" w:eastAsia="Arial" w:hAnsi="Arial"/>
          <w:sz w:val="17"/>
          <w:szCs w:val="17"/>
          <w:color w:val="auto"/>
        </w:rPr>
      </w:pPr>
    </w:p>
    <w:p>
      <w:pPr>
        <w:ind w:left="160" w:right="199" w:hanging="9"/>
        <w:spacing w:after="0" w:line="219" w:lineRule="auto"/>
        <w:tabs>
          <w:tab w:leader="none" w:pos="5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54" w:lineRule="exact"/>
        <w:rPr>
          <w:rFonts w:ascii="Arial" w:cs="Arial" w:eastAsia="Arial" w:hAnsi="Arial"/>
          <w:sz w:val="18"/>
          <w:szCs w:val="18"/>
          <w:color w:val="auto"/>
        </w:rPr>
      </w:pPr>
    </w:p>
    <w:p>
      <w:pPr>
        <w:ind w:left="160" w:right="259" w:hanging="9"/>
        <w:spacing w:after="0" w:line="259" w:lineRule="auto"/>
        <w:tabs>
          <w:tab w:leader="none" w:pos="5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39" w:lineRule="exact"/>
        <w:rPr>
          <w:rFonts w:ascii="Arial" w:cs="Arial" w:eastAsia="Arial" w:hAnsi="Arial"/>
          <w:sz w:val="16"/>
          <w:szCs w:val="16"/>
          <w:color w:val="auto"/>
        </w:rPr>
      </w:pPr>
    </w:p>
    <w:p>
      <w:pPr>
        <w:ind w:left="160" w:right="159" w:hanging="9"/>
        <w:spacing w:after="0" w:line="235" w:lineRule="auto"/>
        <w:tabs>
          <w:tab w:leader="none" w:pos="5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53" w:lineRule="exact"/>
        <w:rPr>
          <w:rFonts w:ascii="Arial" w:cs="Arial" w:eastAsia="Arial" w:hAnsi="Arial"/>
          <w:sz w:val="18"/>
          <w:szCs w:val="18"/>
          <w:color w:val="auto"/>
        </w:rPr>
      </w:pPr>
    </w:p>
    <w:p>
      <w:pPr>
        <w:ind w:left="160" w:right="379" w:hanging="9"/>
        <w:spacing w:after="0" w:line="224" w:lineRule="auto"/>
        <w:tabs>
          <w:tab w:leader="none" w:pos="5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63" w:lineRule="exact"/>
        <w:rPr>
          <w:rFonts w:ascii="Arial" w:cs="Arial" w:eastAsia="Arial" w:hAnsi="Arial"/>
          <w:sz w:val="18"/>
          <w:szCs w:val="18"/>
          <w:color w:val="auto"/>
        </w:rPr>
      </w:pPr>
    </w:p>
    <w:p>
      <w:pPr>
        <w:ind w:left="500" w:hanging="349"/>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or alternative provisions, if any, related to defeasance and discharge of the offered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ind w:left="500" w:hanging="3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76" w:lineRule="exact"/>
        <w:rPr>
          <w:rFonts w:ascii="Arial" w:cs="Arial" w:eastAsia="Arial" w:hAnsi="Arial"/>
          <w:sz w:val="18"/>
          <w:szCs w:val="18"/>
          <w:color w:val="auto"/>
        </w:rPr>
      </w:pPr>
    </w:p>
    <w:p>
      <w:pPr>
        <w:ind w:left="500" w:hanging="3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 and</w:t>
      </w:r>
    </w:p>
    <w:p>
      <w:pPr>
        <w:spacing w:after="0" w:line="76" w:lineRule="exact"/>
        <w:rPr>
          <w:rFonts w:ascii="Arial" w:cs="Arial" w:eastAsia="Arial" w:hAnsi="Arial"/>
          <w:sz w:val="18"/>
          <w:szCs w:val="18"/>
          <w:color w:val="auto"/>
        </w:rPr>
      </w:pPr>
    </w:p>
    <w:p>
      <w:pPr>
        <w:ind w:left="500" w:hanging="3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85" w:lineRule="exact"/>
        <w:rPr>
          <w:sz w:val="20"/>
          <w:szCs w:val="20"/>
          <w:color w:val="auto"/>
        </w:rPr>
      </w:pPr>
    </w:p>
    <w:p>
      <w:pPr>
        <w:ind w:left="160" w:right="159"/>
        <w:spacing w:after="0" w:line="235"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left="160" w:right="319"/>
        <w:spacing w:after="0" w:line="219"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63" w:lineRule="exact"/>
        <w:rPr>
          <w:sz w:val="20"/>
          <w:szCs w:val="20"/>
          <w:color w:val="auto"/>
        </w:rPr>
      </w:pPr>
    </w:p>
    <w:p>
      <w:pPr>
        <w:ind w:left="160" w:right="279"/>
        <w:spacing w:after="0" w:line="259" w:lineRule="auto"/>
        <w:rPr>
          <w:sz w:val="20"/>
          <w:szCs w:val="20"/>
          <w:color w:val="auto"/>
        </w:rPr>
      </w:pPr>
      <w:r>
        <w:rPr>
          <w:rFonts w:ascii="Arial" w:cs="Arial" w:eastAsia="Arial" w:hAnsi="Arial"/>
          <w:sz w:val="16"/>
          <w:szCs w:val="16"/>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77" w:lineRule="exact"/>
        <w:rPr>
          <w:sz w:val="20"/>
          <w:szCs w:val="20"/>
          <w:color w:val="auto"/>
        </w:rPr>
      </w:pPr>
    </w:p>
    <w:p>
      <w:pPr>
        <w:ind w:left="160" w:right="259"/>
        <w:spacing w:after="0" w:line="225" w:lineRule="auto"/>
        <w:rPr>
          <w:sz w:val="20"/>
          <w:szCs w:val="20"/>
          <w:color w:val="auto"/>
        </w:rPr>
      </w:pPr>
      <w:r>
        <w:rPr>
          <w:rFonts w:ascii="Arial" w:cs="Arial" w:eastAsia="Arial" w:hAnsi="Arial"/>
          <w:sz w:val="17"/>
          <w:szCs w:val="17"/>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23" w:lineRule="auto"/>
        <w:rPr>
          <w:sz w:val="20"/>
          <w:szCs w:val="20"/>
          <w:color w:val="auto"/>
        </w:rPr>
      </w:pPr>
      <w:r>
        <w:rPr>
          <w:rFonts w:ascii="Arial" w:cs="Arial" w:eastAsia="Arial" w:hAnsi="Arial"/>
          <w:sz w:val="17"/>
          <w:szCs w:val="17"/>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Arial" w:cs="Arial" w:eastAsia="Arial" w:hAnsi="Arial"/>
          <w:sz w:val="17"/>
          <w:szCs w:val="17"/>
          <w:u w:val="single" w:color="auto"/>
          <w:color w:val="auto"/>
        </w:rPr>
        <w:t>Section 2.01(a)(18)</w:t>
      </w:r>
      <w:r>
        <w:rPr>
          <w:rFonts w:ascii="Arial" w:cs="Arial" w:eastAsia="Arial" w:hAnsi="Arial"/>
          <w:sz w:val="17"/>
          <w:szCs w:val="17"/>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68" w:lineRule="exact"/>
        <w:rPr>
          <w:sz w:val="20"/>
          <w:szCs w:val="20"/>
          <w:color w:val="auto"/>
        </w:rPr>
      </w:pPr>
    </w:p>
    <w:p>
      <w:pPr>
        <w:ind w:left="160" w:right="359"/>
        <w:spacing w:after="0" w:line="241" w:lineRule="auto"/>
        <w:rPr>
          <w:sz w:val="20"/>
          <w:szCs w:val="20"/>
          <w:color w:val="auto"/>
        </w:rPr>
      </w:pPr>
      <w:r>
        <w:rPr>
          <w:rFonts w:ascii="Arial" w:cs="Arial" w:eastAsia="Arial" w:hAnsi="Arial"/>
          <w:sz w:val="16"/>
          <w:szCs w:val="16"/>
          <w:color w:val="auto"/>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Arial" w:cs="Arial" w:eastAsia="Arial" w:hAnsi="Arial"/>
          <w:sz w:val="16"/>
          <w:szCs w:val="16"/>
          <w:u w:val="single" w:color="auto"/>
          <w:color w:val="auto"/>
        </w:rPr>
        <w:t>Section 3.03</w:t>
      </w:r>
      <w:r>
        <w:rPr>
          <w:rFonts w:ascii="Arial" w:cs="Arial" w:eastAsia="Arial" w:hAnsi="Arial"/>
          <w:sz w:val="16"/>
          <w:szCs w:val="16"/>
          <w:color w:val="auto"/>
        </w:rPr>
        <w:t>.</w:t>
      </w:r>
    </w:p>
    <w:p>
      <w:pPr>
        <w:spacing w:after="0" w:line="161" w:lineRule="exact"/>
        <w:rPr>
          <w:sz w:val="20"/>
          <w:szCs w:val="20"/>
          <w:color w:val="auto"/>
        </w:rPr>
      </w:pPr>
    </w:p>
    <w:p>
      <w:pPr>
        <w:ind w:left="160" w:right="379"/>
        <w:spacing w:after="0" w:line="249"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w:t>
      </w:r>
      <w:r>
        <w:rPr>
          <w:rFonts w:ascii="Arial" w:cs="Arial" w:eastAsia="Arial" w:hAnsi="Arial"/>
          <w:sz w:val="16"/>
          <w:szCs w:val="16"/>
          <w:b w:val="1"/>
          <w:bCs w:val="1"/>
          <w:color w:val="auto"/>
        </w:rPr>
        <w:t>Defaulted Interest</w:t>
      </w:r>
      <w:r>
        <w:rPr>
          <w:rFonts w:ascii="Arial" w:cs="Arial" w:eastAsia="Arial" w:hAnsi="Arial"/>
          <w:sz w:val="16"/>
          <w:szCs w:val="16"/>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47" w:lineRule="exact"/>
        <w:rPr>
          <w:sz w:val="20"/>
          <w:szCs w:val="20"/>
          <w:color w:val="auto"/>
        </w:rPr>
      </w:pPr>
    </w:p>
    <w:p>
      <w:pPr>
        <w:ind w:left="160" w:right="199" w:hanging="9"/>
        <w:spacing w:after="0" w:line="244" w:lineRule="auto"/>
        <w:tabs>
          <w:tab w:leader="none" w:pos="4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ind w:left="160" w:right="279"/>
        <w:spacing w:after="0" w:line="234" w:lineRule="auto"/>
        <w:rPr>
          <w:sz w:val="20"/>
          <w:szCs w:val="20"/>
          <w:color w:val="auto"/>
        </w:rPr>
      </w:pPr>
      <w:r>
        <w:rPr>
          <w:rFonts w:ascii="Arial" w:cs="Arial" w:eastAsia="Arial" w:hAnsi="Arial"/>
          <w:sz w:val="16"/>
          <w:szCs w:val="16"/>
          <w:color w:val="auto"/>
        </w:rPr>
        <w:t>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59" w:lineRule="exact"/>
        <w:rPr>
          <w:sz w:val="20"/>
          <w:szCs w:val="20"/>
          <w:color w:val="auto"/>
        </w:rPr>
      </w:pPr>
    </w:p>
    <w:p>
      <w:pPr>
        <w:ind w:left="160" w:right="199" w:hanging="9"/>
        <w:spacing w:after="0" w:line="249" w:lineRule="auto"/>
        <w:tabs>
          <w:tab w:leader="none" w:pos="4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55" w:lineRule="exact"/>
        <w:rPr>
          <w:sz w:val="20"/>
          <w:szCs w:val="20"/>
          <w:color w:val="auto"/>
        </w:rPr>
      </w:pPr>
    </w:p>
    <w:p>
      <w:pPr>
        <w:ind w:left="160" w:right="159"/>
        <w:spacing w:after="0" w:line="239" w:lineRule="auto"/>
        <w:rPr>
          <w:sz w:val="20"/>
          <w:szCs w:val="20"/>
          <w:color w:val="auto"/>
        </w:rPr>
      </w:pPr>
      <w:r>
        <w:rPr>
          <w:rFonts w:ascii="Arial" w:cs="Arial" w:eastAsia="Arial" w:hAnsi="Arial"/>
          <w:sz w:val="16"/>
          <w:szCs w:val="16"/>
          <w:color w:val="auto"/>
        </w:rPr>
        <w:t xml:space="preserve">Unless otherwise set forth in a Board Resolution or one or more indentures supplemental hereto establishing the terms of any series of Securities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hereof shall occur, if such Interest Payment Date is the first day of a month, or (ii) the first day of the month in which an Interest Payment Date established for such series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hereof shall occur, if such Interest Payment Date is the fifteenth day of a month, whether or not such date is a Business Day.</w:t>
      </w:r>
    </w:p>
    <w:p>
      <w:pPr>
        <w:spacing w:after="0" w:line="163" w:lineRule="exact"/>
        <w:rPr>
          <w:sz w:val="20"/>
          <w:szCs w:val="20"/>
          <w:color w:val="auto"/>
        </w:rPr>
      </w:pPr>
    </w:p>
    <w:p>
      <w:pPr>
        <w:ind w:left="160" w:right="199"/>
        <w:spacing w:after="0" w:line="224" w:lineRule="auto"/>
        <w:rPr>
          <w:sz w:val="20"/>
          <w:szCs w:val="20"/>
          <w:color w:val="auto"/>
        </w:rPr>
      </w:pPr>
      <w:r>
        <w:rPr>
          <w:rFonts w:ascii="Arial" w:cs="Arial" w:eastAsia="Arial" w:hAnsi="Arial"/>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77" w:lineRule="exact"/>
        <w:rPr>
          <w:sz w:val="20"/>
          <w:szCs w:val="20"/>
          <w:color w:val="auto"/>
        </w:rPr>
      </w:pPr>
    </w:p>
    <w:p>
      <w:pPr>
        <w:ind w:left="160" w:right="639"/>
        <w:spacing w:after="0" w:line="235" w:lineRule="auto"/>
        <w:rPr>
          <w:sz w:val="20"/>
          <w:szCs w:val="20"/>
          <w:color w:val="auto"/>
        </w:rPr>
      </w:pPr>
      <w:r>
        <w:rPr>
          <w:rFonts w:ascii="Arial" w:cs="Arial" w:eastAsia="Arial" w:hAnsi="Arial"/>
          <w:sz w:val="18"/>
          <w:szCs w:val="18"/>
          <w:color w:val="auto"/>
        </w:rPr>
        <w:t>The Securities shall be signed on behalf of the Company by one of its Officers. Signatures may be in the form of a manual or facsimile signature.</w:t>
      </w:r>
    </w:p>
    <w:p>
      <w:pPr>
        <w:spacing w:after="0" w:line="162" w:lineRule="exact"/>
        <w:rPr>
          <w:sz w:val="20"/>
          <w:szCs w:val="20"/>
          <w:color w:val="auto"/>
        </w:rPr>
      </w:pPr>
    </w:p>
    <w:p>
      <w:pPr>
        <w:ind w:left="160" w:right="379"/>
        <w:spacing w:after="0" w:line="249" w:lineRule="auto"/>
        <w:rPr>
          <w:sz w:val="20"/>
          <w:szCs w:val="20"/>
          <w:color w:val="auto"/>
        </w:rPr>
      </w:pPr>
      <w:r>
        <w:rPr>
          <w:rFonts w:ascii="Arial" w:cs="Arial" w:eastAsia="Arial" w:hAnsi="Arial"/>
          <w:sz w:val="16"/>
          <w:szCs w:val="16"/>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55" w:lineRule="exact"/>
        <w:rPr>
          <w:sz w:val="20"/>
          <w:szCs w:val="20"/>
          <w:color w:val="auto"/>
        </w:rPr>
      </w:pPr>
    </w:p>
    <w:p>
      <w:pPr>
        <w:ind w:left="160" w:right="379"/>
        <w:spacing w:after="0" w:line="225" w:lineRule="auto"/>
        <w:rPr>
          <w:sz w:val="20"/>
          <w:szCs w:val="20"/>
          <w:color w:val="auto"/>
        </w:rPr>
      </w:pPr>
      <w:r>
        <w:rPr>
          <w:rFonts w:ascii="Arial" w:cs="Arial" w:eastAsia="Arial" w:hAnsi="Arial"/>
          <w:sz w:val="17"/>
          <w:szCs w:val="17"/>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62" w:lineRule="exact"/>
        <w:rPr>
          <w:sz w:val="20"/>
          <w:szCs w:val="20"/>
          <w:color w:val="auto"/>
        </w:rPr>
      </w:pPr>
    </w:p>
    <w:p>
      <w:pPr>
        <w:ind w:left="160" w:right="319"/>
        <w:spacing w:after="0" w:line="244" w:lineRule="auto"/>
        <w:rPr>
          <w:sz w:val="20"/>
          <w:szCs w:val="20"/>
          <w:color w:val="auto"/>
        </w:rPr>
      </w:pPr>
      <w:r>
        <w:rPr>
          <w:rFonts w:ascii="Arial" w:cs="Arial" w:eastAsia="Arial" w:hAnsi="Arial"/>
          <w:sz w:val="16"/>
          <w:szCs w:val="16"/>
          <w:color w:val="auto"/>
        </w:rPr>
        <w:t xml:space="preserve">In authenticating such Securities and accepting the additional responsibilities under this Indenture in relation to such Securities, the Trustee shall receive, and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8" w:name="page49"/>
    <w:bookmarkEnd w:id="48"/>
    <w:p>
      <w:pPr>
        <w:ind w:left="160" w:right="639"/>
        <w:spacing w:after="0" w:line="235" w:lineRule="auto"/>
        <w:rPr>
          <w:sz w:val="20"/>
          <w:szCs w:val="20"/>
          <w:color w:val="auto"/>
        </w:rPr>
      </w:pPr>
      <w:r>
        <w:rPr>
          <w:rFonts w:ascii="Arial" w:cs="Arial" w:eastAsia="Arial" w:hAnsi="Arial"/>
          <w:sz w:val="18"/>
          <w:szCs w:val="18"/>
          <w:color w:val="auto"/>
        </w:rPr>
        <w:t>binding obligations against the Company, enforceable against it in accordance with its terms, subject to customary exceptions and qualifications.</w:t>
      </w:r>
    </w:p>
    <w:p>
      <w:pPr>
        <w:spacing w:after="0" w:line="162" w:lineRule="exact"/>
        <w:rPr>
          <w:sz w:val="20"/>
          <w:szCs w:val="20"/>
          <w:color w:val="auto"/>
        </w:rPr>
      </w:pPr>
    </w:p>
    <w:p>
      <w:pPr>
        <w:ind w:left="160" w:right="219"/>
        <w:spacing w:after="0" w:line="224" w:lineRule="auto"/>
        <w:rPr>
          <w:sz w:val="20"/>
          <w:szCs w:val="20"/>
          <w:color w:val="auto"/>
        </w:rPr>
      </w:pPr>
      <w:r>
        <w:rPr>
          <w:rFonts w:ascii="Arial" w:cs="Arial" w:eastAsia="Arial" w:hAnsi="Arial"/>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77" w:lineRule="exact"/>
        <w:rPr>
          <w:sz w:val="20"/>
          <w:szCs w:val="20"/>
          <w:color w:val="auto"/>
        </w:rPr>
      </w:pPr>
    </w:p>
    <w:p>
      <w:pPr>
        <w:ind w:left="160" w:right="179" w:hanging="9"/>
        <w:spacing w:after="0" w:line="225" w:lineRule="auto"/>
        <w:tabs>
          <w:tab w:leader="none" w:pos="4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4" w:lineRule="exact"/>
        <w:rPr>
          <w:rFonts w:ascii="Arial" w:cs="Arial" w:eastAsia="Arial" w:hAnsi="Arial"/>
          <w:sz w:val="17"/>
          <w:szCs w:val="17"/>
          <w:color w:val="auto"/>
        </w:rPr>
      </w:pPr>
    </w:p>
    <w:p>
      <w:pPr>
        <w:ind w:left="160" w:right="239" w:hanging="9"/>
        <w:spacing w:after="0" w:line="214" w:lineRule="auto"/>
        <w:tabs>
          <w:tab w:leader="none" w:pos="4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a register or registers (herein referred to as the “</w:t>
      </w:r>
      <w:r>
        <w:rPr>
          <w:rFonts w:ascii="Arial" w:cs="Arial" w:eastAsia="Arial" w:hAnsi="Arial"/>
          <w:sz w:val="18"/>
          <w:szCs w:val="18"/>
          <w:b w:val="1"/>
          <w:bCs w:val="1"/>
          <w:color w:val="auto"/>
        </w:rPr>
        <w:t>Security Register</w:t>
      </w:r>
      <w:r>
        <w:rPr>
          <w:rFonts w:ascii="Arial" w:cs="Arial" w:eastAsia="Arial" w:hAnsi="Arial"/>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62" w:lineRule="exact"/>
        <w:rPr>
          <w:sz w:val="20"/>
          <w:szCs w:val="20"/>
          <w:color w:val="auto"/>
        </w:rPr>
      </w:pPr>
    </w:p>
    <w:p>
      <w:pPr>
        <w:ind w:left="160" w:right="459"/>
        <w:spacing w:after="0" w:line="219"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3" w:lineRule="exact"/>
        <w:rPr>
          <w:sz w:val="20"/>
          <w:szCs w:val="20"/>
          <w:color w:val="auto"/>
        </w:rPr>
      </w:pPr>
    </w:p>
    <w:p>
      <w:pPr>
        <w:ind w:left="160" w:right="199"/>
        <w:spacing w:after="0" w:line="219"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55" w:lineRule="exact"/>
        <w:rPr>
          <w:sz w:val="20"/>
          <w:szCs w:val="20"/>
          <w:color w:val="auto"/>
        </w:rPr>
      </w:pPr>
    </w:p>
    <w:p>
      <w:pPr>
        <w:ind w:left="160" w:right="239" w:hanging="9"/>
        <w:spacing w:after="0" w:line="244" w:lineRule="auto"/>
        <w:tabs>
          <w:tab w:leader="none" w:pos="40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Except as provided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Arial" w:cs="Arial" w:eastAsia="Arial" w:hAnsi="Arial"/>
          <w:sz w:val="16"/>
          <w:szCs w:val="16"/>
          <w:u w:val="single" w:color="auto"/>
          <w:color w:val="auto"/>
        </w:rPr>
        <w:t>Section 2.06, Section 3.03(b)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not involving any transfer.</w:t>
      </w:r>
    </w:p>
    <w:p>
      <w:pPr>
        <w:spacing w:after="0" w:line="158" w:lineRule="exact"/>
        <w:rPr>
          <w:rFonts w:ascii="Arial" w:cs="Arial" w:eastAsia="Arial" w:hAnsi="Arial"/>
          <w:sz w:val="16"/>
          <w:szCs w:val="16"/>
          <w:color w:val="auto"/>
        </w:rPr>
      </w:pPr>
    </w:p>
    <w:p>
      <w:pPr>
        <w:ind w:left="160" w:right="259" w:hanging="9"/>
        <w:spacing w:after="0" w:line="226" w:lineRule="auto"/>
        <w:tabs>
          <w:tab w:leader="none" w:pos="4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are, with respect to any Global Security,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hereof.</w:t>
      </w:r>
    </w:p>
    <w:p>
      <w:pPr>
        <w:spacing w:after="0" w:line="165" w:lineRule="exact"/>
        <w:rPr>
          <w:sz w:val="20"/>
          <w:szCs w:val="20"/>
          <w:color w:val="auto"/>
        </w:rPr>
      </w:pPr>
    </w:p>
    <w:p>
      <w:pPr>
        <w:ind w:left="160" w:right="219"/>
        <w:spacing w:after="0" w:line="226" w:lineRule="auto"/>
        <w:rPr>
          <w:sz w:val="20"/>
          <w:szCs w:val="20"/>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5" w:lineRule="exact"/>
        <w:rPr>
          <w:sz w:val="20"/>
          <w:szCs w:val="20"/>
          <w:color w:val="auto"/>
        </w:rPr>
      </w:pPr>
    </w:p>
    <w:p>
      <w:pPr>
        <w:ind w:left="160" w:right="559"/>
        <w:spacing w:after="0" w:line="235" w:lineRule="auto"/>
        <w:rPr>
          <w:sz w:val="20"/>
          <w:szCs w:val="20"/>
          <w:color w:val="auto"/>
        </w:rPr>
      </w:pPr>
      <w:r>
        <w:rPr>
          <w:rFonts w:ascii="Arial" w:cs="Arial" w:eastAsia="Arial" w:hAnsi="Arial"/>
          <w:sz w:val="18"/>
          <w:szCs w:val="18"/>
          <w:color w:val="auto"/>
        </w:rPr>
        <w:t>Neither the Trustee nor any Agent shall have any responsibility or liability for any actions taken or not taken by the Depositary.</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ind w:left="1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34"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77" w:lineRule="exact"/>
        <w:rPr>
          <w:sz w:val="20"/>
          <w:szCs w:val="20"/>
          <w:color w:val="auto"/>
        </w:rPr>
      </w:pPr>
    </w:p>
    <w:p>
      <w:pPr>
        <w:ind w:left="160" w:right="319"/>
        <w:spacing w:after="0" w:line="244"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w:t>
      </w:r>
    </w:p>
    <w:p>
      <w:pPr>
        <w:spacing w:after="0" w:line="159" w:lineRule="exact"/>
        <w:rPr>
          <w:sz w:val="20"/>
          <w:szCs w:val="20"/>
          <w:color w:val="auto"/>
        </w:rPr>
      </w:pPr>
    </w:p>
    <w:p>
      <w:pPr>
        <w:ind w:left="160" w:right="199"/>
        <w:spacing w:after="0" w:line="212" w:lineRule="auto"/>
        <w:rPr>
          <w:sz w:val="20"/>
          <w:szCs w:val="20"/>
          <w:color w:val="auto"/>
        </w:rPr>
      </w:pPr>
      <w:r>
        <w:rPr>
          <w:rFonts w:ascii="Arial" w:cs="Arial" w:eastAsia="Arial" w:hAnsi="Arial"/>
          <w:sz w:val="18"/>
          <w:szCs w:val="18"/>
          <w:color w:val="auto"/>
        </w:rPr>
        <w:t>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5" w:lineRule="exact"/>
        <w:rPr>
          <w:sz w:val="20"/>
          <w:szCs w:val="20"/>
          <w:color w:val="auto"/>
        </w:rPr>
      </w:pPr>
    </w:p>
    <w:p>
      <w:pPr>
        <w:ind w:left="160" w:right="219"/>
        <w:spacing w:after="0" w:line="212" w:lineRule="auto"/>
        <w:rPr>
          <w:sz w:val="20"/>
          <w:szCs w:val="20"/>
          <w:color w:val="auto"/>
        </w:rPr>
      </w:pPr>
      <w:r>
        <w:rPr>
          <w:rFonts w:ascii="Arial" w:cs="Arial" w:eastAsia="Arial" w:hAnsi="Arial"/>
          <w:sz w:val="18"/>
          <w:szCs w:val="18"/>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65" w:lineRule="exact"/>
        <w:rPr>
          <w:sz w:val="20"/>
          <w:szCs w:val="20"/>
          <w:color w:val="auto"/>
        </w:rPr>
      </w:pPr>
    </w:p>
    <w:p>
      <w:pPr>
        <w:ind w:left="160" w:right="159"/>
        <w:spacing w:after="0" w:line="223" w:lineRule="auto"/>
        <w:rPr>
          <w:sz w:val="20"/>
          <w:szCs w:val="20"/>
          <w:color w:val="auto"/>
        </w:rPr>
      </w:pPr>
      <w:r>
        <w:rPr>
          <w:rFonts w:ascii="Arial" w:cs="Arial" w:eastAsia="Arial" w:hAnsi="Arial"/>
          <w:sz w:val="17"/>
          <w:szCs w:val="17"/>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77" w:lineRule="exact"/>
        <w:rPr>
          <w:sz w:val="20"/>
          <w:szCs w:val="20"/>
          <w:color w:val="auto"/>
        </w:rPr>
      </w:pPr>
    </w:p>
    <w:p>
      <w:pPr>
        <w:ind w:left="160" w:right="399"/>
        <w:spacing w:after="0" w:line="259" w:lineRule="auto"/>
        <w:rPr>
          <w:sz w:val="20"/>
          <w:szCs w:val="20"/>
          <w:color w:val="auto"/>
        </w:rPr>
      </w:pPr>
      <w:r>
        <w:rPr>
          <w:rFonts w:ascii="Arial" w:cs="Arial" w:eastAsia="Arial" w:hAnsi="Arial"/>
          <w:sz w:val="16"/>
          <w:szCs w:val="16"/>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0" w:name="page51"/>
    <w:bookmarkEnd w:id="50"/>
    <w:p>
      <w:pPr>
        <w:ind w:left="160" w:right="299"/>
        <w:spacing w:after="0" w:line="226" w:lineRule="auto"/>
        <w:rPr>
          <w:sz w:val="20"/>
          <w:szCs w:val="20"/>
          <w:color w:val="auto"/>
        </w:rPr>
      </w:pPr>
      <w:r>
        <w:rPr>
          <w:rFonts w:ascii="Arial" w:cs="Arial" w:eastAsia="Arial" w:hAnsi="Arial"/>
          <w:sz w:val="17"/>
          <w:szCs w:val="17"/>
          <w:color w:val="auto"/>
        </w:rPr>
        <w:t>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77" w:lineRule="exact"/>
        <w:rPr>
          <w:sz w:val="20"/>
          <w:szCs w:val="20"/>
          <w:color w:val="auto"/>
        </w:rPr>
      </w:pPr>
    </w:p>
    <w:p>
      <w:pPr>
        <w:ind w:left="160" w:right="279"/>
        <w:spacing w:after="0" w:line="232" w:lineRule="auto"/>
        <w:rPr>
          <w:sz w:val="20"/>
          <w:szCs w:val="20"/>
          <w:color w:val="auto"/>
        </w:rPr>
      </w:pPr>
      <w:r>
        <w:rPr>
          <w:rFonts w:ascii="Arial" w:cs="Arial" w:eastAsia="Arial" w:hAnsi="Arial"/>
          <w:sz w:val="17"/>
          <w:szCs w:val="17"/>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21"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3" w:lineRule="exact"/>
        <w:rPr>
          <w:sz w:val="20"/>
          <w:szCs w:val="20"/>
          <w:color w:val="auto"/>
        </w:rPr>
      </w:pPr>
    </w:p>
    <w:p>
      <w:pPr>
        <w:ind w:left="160" w:right="159"/>
        <w:spacing w:after="0" w:line="225" w:lineRule="auto"/>
        <w:rPr>
          <w:sz w:val="20"/>
          <w:szCs w:val="20"/>
          <w:color w:val="auto"/>
        </w:rPr>
      </w:pPr>
      <w:r>
        <w:rPr>
          <w:rFonts w:ascii="Arial" w:cs="Arial" w:eastAsia="Arial" w:hAnsi="Arial"/>
          <w:sz w:val="17"/>
          <w:szCs w:val="17"/>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23" w:lineRule="auto"/>
        <w:tabs>
          <w:tab w:leader="none" w:pos="40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If the Company shall establish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that the Securities of a particular series are to be issued as a Global Security, then the Company shall execute and the Trustee shall,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authenticate and deliver, a Global Security that </w:t>
      </w:r>
      <w:r>
        <w:rPr>
          <w:rFonts w:ascii="Arial" w:cs="Arial" w:eastAsia="Arial" w:hAnsi="Arial"/>
          <w:sz w:val="17"/>
          <w:szCs w:val="17"/>
          <w:u w:val="single" w:color="auto"/>
          <w:color w:val="auto"/>
        </w:rPr>
        <w:t>(i)</w:t>
      </w:r>
      <w:r>
        <w:rPr>
          <w:rFonts w:ascii="Arial" w:cs="Arial" w:eastAsia="Arial" w:hAnsi="Arial"/>
          <w:sz w:val="17"/>
          <w:szCs w:val="17"/>
          <w:color w:val="auto"/>
        </w:rPr>
        <w:t xml:space="preserve">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 Indenture, this Security may be transferred, in whole but not in part, only to another nominee of the Depositary or to a successor Depositary or to a nominee of such successor Depositary.”</w:t>
      </w:r>
    </w:p>
    <w:p>
      <w:pPr>
        <w:spacing w:after="0" w:line="59" w:lineRule="exact"/>
        <w:rPr>
          <w:rFonts w:ascii="Arial" w:cs="Arial" w:eastAsia="Arial" w:hAnsi="Arial"/>
          <w:sz w:val="17"/>
          <w:szCs w:val="17"/>
          <w:color w:val="auto"/>
        </w:rPr>
      </w:pPr>
    </w:p>
    <w:p>
      <w:pPr>
        <w:ind w:left="160" w:right="139" w:hanging="9"/>
        <w:spacing w:after="0" w:line="259" w:lineRule="auto"/>
        <w:tabs>
          <w:tab w:leader="none" w:pos="4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the Global Security of a series may be transferred, in whole but not in part and in the manner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only to another nominee of the Depositary for such series, or to a successor Depositary for such series selected or approved by the Company or to a nominee of such successor Depositary.</w:t>
      </w:r>
    </w:p>
    <w:p>
      <w:pPr>
        <w:spacing w:after="0" w:line="147" w:lineRule="exact"/>
        <w:rPr>
          <w:rFonts w:ascii="Arial" w:cs="Arial" w:eastAsia="Arial" w:hAnsi="Arial"/>
          <w:sz w:val="16"/>
          <w:szCs w:val="16"/>
          <w:color w:val="auto"/>
        </w:rPr>
      </w:pPr>
    </w:p>
    <w:p>
      <w:pPr>
        <w:ind w:left="160" w:right="299" w:hanging="9"/>
        <w:spacing w:after="0" w:line="244" w:lineRule="auto"/>
        <w:tabs>
          <w:tab w:leader="none" w:pos="4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1" w:name="page52"/>
    <w:bookmarkEnd w:id="51"/>
    <w:p>
      <w:pPr>
        <w:ind w:left="160" w:right="139"/>
        <w:spacing w:after="0" w:line="233" w:lineRule="auto"/>
        <w:rPr>
          <w:sz w:val="20"/>
          <w:szCs w:val="20"/>
          <w:color w:val="auto"/>
        </w:rPr>
      </w:pPr>
      <w:r>
        <w:rPr>
          <w:rFonts w:ascii="Arial" w:cs="Arial" w:eastAsia="Arial" w:hAnsi="Arial"/>
          <w:sz w:val="16"/>
          <w:szCs w:val="16"/>
          <w:color w:val="auto"/>
        </w:rPr>
        <w:t xml:space="preserve">Company has received a request from the Depositary or from the Trustee,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no longer be applicable to the Securities of such series and the Company will execute, and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no longer apply to the Securities of such series. In such event the Company will execute and,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3</w:t>
      </w:r>
    </w:p>
    <w:p>
      <w:pPr>
        <w:jc w:val="center"/>
        <w:ind w:right="-20"/>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77" w:lineRule="exact"/>
        <w:rPr>
          <w:sz w:val="20"/>
          <w:szCs w:val="20"/>
          <w:color w:val="auto"/>
        </w:rPr>
      </w:pPr>
    </w:p>
    <w:p>
      <w:pPr>
        <w:ind w:left="160" w:right="379"/>
        <w:spacing w:after="0" w:line="235" w:lineRule="auto"/>
        <w:rPr>
          <w:sz w:val="20"/>
          <w:szCs w:val="20"/>
          <w:color w:val="auto"/>
        </w:rPr>
      </w:pPr>
      <w:r>
        <w:rPr>
          <w:rFonts w:ascii="Arial" w:cs="Arial" w:eastAsia="Arial" w:hAnsi="Arial"/>
          <w:sz w:val="18"/>
          <w:szCs w:val="18"/>
          <w:color w:val="auto"/>
        </w:rPr>
        <w:t xml:space="preserve">The Company may redeem the Securities of any series issued hereunder on and after the dates and in accordance with the terms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77" w:lineRule="exact"/>
        <w:rPr>
          <w:sz w:val="20"/>
          <w:szCs w:val="20"/>
          <w:color w:val="auto"/>
        </w:rPr>
      </w:pPr>
    </w:p>
    <w:p>
      <w:pPr>
        <w:ind w:left="160" w:right="139" w:hanging="9"/>
        <w:spacing w:after="0" w:line="219" w:lineRule="auto"/>
        <w:tabs>
          <w:tab w:leader="none" w:pos="405"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1" w:lineRule="exact"/>
        <w:rPr>
          <w:sz w:val="20"/>
          <w:szCs w:val="20"/>
          <w:color w:val="auto"/>
        </w:rPr>
      </w:pPr>
    </w:p>
    <w:p>
      <w:pPr>
        <w:ind w:left="160" w:right="179"/>
        <w:spacing w:after="0" w:line="239" w:lineRule="auto"/>
        <w:rPr>
          <w:sz w:val="20"/>
          <w:szCs w:val="20"/>
          <w:color w:val="auto"/>
        </w:rPr>
      </w:pPr>
      <w:r>
        <w:rPr>
          <w:rFonts w:ascii="Arial" w:cs="Arial" w:eastAsia="Arial" w:hAnsi="Arial"/>
          <w:sz w:val="16"/>
          <w:szCs w:val="16"/>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63" w:lineRule="exact"/>
        <w:rPr>
          <w:sz w:val="20"/>
          <w:szCs w:val="20"/>
          <w:color w:val="auto"/>
        </w:rPr>
      </w:pPr>
    </w:p>
    <w:p>
      <w:pPr>
        <w:ind w:left="160" w:right="359"/>
        <w:spacing w:after="0" w:line="289" w:lineRule="auto"/>
        <w:rPr>
          <w:sz w:val="20"/>
          <w:szCs w:val="20"/>
          <w:color w:val="auto"/>
        </w:rPr>
      </w:pPr>
      <w:r>
        <w:rPr>
          <w:rFonts w:ascii="Arial" w:cs="Arial" w:eastAsia="Arial" w:hAnsi="Arial"/>
          <w:sz w:val="16"/>
          <w:szCs w:val="16"/>
          <w:color w:val="auto"/>
        </w:rPr>
        <w:t>In case any Security is to be redeemed in part only, the notice that relates to such Security shall state the portion of the principal amount thereof to be redeemed, and shall state that on and after the redemption date, upon surrender of</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p>
      <w:pPr>
        <w:ind w:left="160" w:right="379"/>
        <w:spacing w:after="0" w:line="235" w:lineRule="auto"/>
        <w:rPr>
          <w:sz w:val="20"/>
          <w:szCs w:val="20"/>
          <w:color w:val="auto"/>
        </w:rPr>
      </w:pPr>
      <w:r>
        <w:rPr>
          <w:rFonts w:ascii="Arial" w:cs="Arial" w:eastAsia="Arial" w:hAnsi="Arial"/>
          <w:sz w:val="18"/>
          <w:szCs w:val="18"/>
          <w:color w:val="auto"/>
        </w:rPr>
        <w:t>such Security, a new Security or Securities of such series in principal amount equal to the unredeemed portion thereof will be issued.</w:t>
      </w:r>
    </w:p>
    <w:p>
      <w:pPr>
        <w:spacing w:after="0" w:line="54" w:lineRule="exact"/>
        <w:rPr>
          <w:sz w:val="20"/>
          <w:szCs w:val="20"/>
          <w:color w:val="auto"/>
        </w:rPr>
      </w:pPr>
    </w:p>
    <w:p>
      <w:pPr>
        <w:ind w:left="160" w:right="179" w:hanging="9"/>
        <w:spacing w:after="0" w:line="233" w:lineRule="auto"/>
        <w:tabs>
          <w:tab w:leader="none" w:pos="4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36" w:lineRule="auto"/>
        <w:tabs>
          <w:tab w:leader="none" w:pos="4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60" w:right="419" w:hanging="9"/>
        <w:spacing w:after="0" w:line="232" w:lineRule="auto"/>
        <w:tabs>
          <w:tab w:leader="none" w:pos="4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58" w:lineRule="auto"/>
        <w:rPr>
          <w:sz w:val="20"/>
          <w:szCs w:val="20"/>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Sections 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3.06</w:t>
      </w:r>
      <w:r>
        <w:rPr>
          <w:rFonts w:ascii="Arial" w:cs="Arial" w:eastAsia="Arial" w:hAnsi="Arial"/>
          <w:sz w:val="17"/>
          <w:szCs w:val="17"/>
          <w:color w:val="auto"/>
        </w:rPr>
        <w:t xml:space="preserve"> shall be applicable to any sinking fund for the retirement of Securities of a series, except as otherwise specified as contemplated by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for Securities of such series.</w:t>
      </w:r>
    </w:p>
    <w:p>
      <w:pPr>
        <w:spacing w:after="0" w:line="147" w:lineRule="exact"/>
        <w:rPr>
          <w:sz w:val="20"/>
          <w:szCs w:val="20"/>
          <w:color w:val="auto"/>
        </w:rPr>
      </w:pPr>
    </w:p>
    <w:p>
      <w:pPr>
        <w:ind w:left="160" w:right="159"/>
        <w:spacing w:after="0" w:line="214" w:lineRule="auto"/>
        <w:rPr>
          <w:sz w:val="20"/>
          <w:szCs w:val="20"/>
          <w:color w:val="auto"/>
        </w:rPr>
      </w:pPr>
      <w:r>
        <w:rPr>
          <w:rFonts w:ascii="Arial" w:cs="Arial" w:eastAsia="Arial" w:hAnsi="Arial"/>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Arial" w:cs="Arial" w:eastAsia="Arial" w:hAnsi="Arial"/>
          <w:sz w:val="18"/>
          <w:szCs w:val="18"/>
          <w:u w:val="single" w:color="auto"/>
          <w:color w:val="auto"/>
        </w:rPr>
        <w:t>Section 3.05</w:t>
      </w:r>
      <w:r>
        <w:rPr>
          <w:rFonts w:ascii="Arial" w:cs="Arial" w:eastAsia="Arial" w:hAnsi="Arial"/>
          <w:sz w:val="18"/>
          <w:szCs w:val="18"/>
          <w:color w:val="auto"/>
        </w:rPr>
        <w:t>. Each sinking fund payment shall be applied to the redemption of Securities of any series as provided for by the terms of Securities of such series.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77" w:lineRule="exact"/>
        <w:rPr>
          <w:sz w:val="20"/>
          <w:szCs w:val="20"/>
          <w:color w:val="auto"/>
        </w:rPr>
      </w:pPr>
    </w:p>
    <w:p>
      <w:pPr>
        <w:ind w:left="160" w:right="279"/>
        <w:spacing w:after="0" w:line="241" w:lineRule="auto"/>
        <w:rPr>
          <w:sz w:val="20"/>
          <w:szCs w:val="20"/>
          <w:color w:val="auto"/>
        </w:rPr>
      </w:pPr>
      <w:r>
        <w:rPr>
          <w:rFonts w:ascii="Arial" w:cs="Arial" w:eastAsia="Arial" w:hAnsi="Arial"/>
          <w:sz w:val="16"/>
          <w:szCs w:val="16"/>
          <w:color w:val="auto"/>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Securities have not been previously so credited. Such Securities shall be received and credited for such purpose 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3" w:name="page54"/>
    <w:bookmarkEnd w:id="53"/>
    <w:p>
      <w:pPr>
        <w:ind w:left="160" w:right="179"/>
        <w:spacing w:after="0" w:line="235" w:lineRule="auto"/>
        <w:rPr>
          <w:sz w:val="20"/>
          <w:szCs w:val="20"/>
          <w:color w:val="auto"/>
        </w:rPr>
      </w:pPr>
      <w:r>
        <w:rPr>
          <w:rFonts w:ascii="Arial" w:cs="Arial" w:eastAsia="Arial" w:hAnsi="Arial"/>
          <w:sz w:val="18"/>
          <w:szCs w:val="18"/>
          <w:color w:val="auto"/>
        </w:rPr>
        <w:t>the Trustee at the redemption price specified in such Securities for redemption through operation of the sinking fund and the amount of such sinking fund payment shall be reduced accordingly.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31" w:lineRule="auto"/>
        <w:rPr>
          <w:sz w:val="20"/>
          <w:szCs w:val="20"/>
          <w:color w:val="auto"/>
        </w:rPr>
      </w:pPr>
      <w:r>
        <w:rPr>
          <w:rFonts w:ascii="Arial" w:cs="Arial" w:eastAsia="Arial" w:hAnsi="Arial"/>
          <w:sz w:val="16"/>
          <w:szCs w:val="16"/>
          <w:color w:val="auto"/>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and cause notice of the redemption thereof to be given in the name of and at the expense of the Company in the manner provided in </w:t>
      </w:r>
      <w:r>
        <w:rPr>
          <w:rFonts w:ascii="Arial" w:cs="Arial" w:eastAsia="Arial" w:hAnsi="Arial"/>
          <w:sz w:val="16"/>
          <w:szCs w:val="16"/>
          <w:u w:val="single" w:color="auto"/>
          <w:color w:val="auto"/>
        </w:rPr>
        <w:t>Section 3.02</w:t>
      </w:r>
      <w:r>
        <w:rPr>
          <w:rFonts w:ascii="Arial" w:cs="Arial" w:eastAsia="Arial" w:hAnsi="Arial"/>
          <w:sz w:val="16"/>
          <w:szCs w:val="16"/>
          <w:color w:val="auto"/>
        </w:rPr>
        <w:t>. Such notice having been duly given, the redemption of such Securities shall be made upon the terms and in the manner stated in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4</w:t>
      </w:r>
    </w:p>
    <w:p>
      <w:pPr>
        <w:jc w:val="center"/>
        <w:ind w:right="-20"/>
        <w:spacing w:after="0"/>
        <w:rPr>
          <w:sz w:val="20"/>
          <w:szCs w:val="20"/>
          <w:color w:val="auto"/>
        </w:rPr>
      </w:pPr>
      <w:r>
        <w:rPr>
          <w:rFonts w:ascii="Arial" w:cs="Arial" w:eastAsia="Arial" w:hAnsi="Arial"/>
          <w:sz w:val="18"/>
          <w:szCs w:val="18"/>
          <w:b w:val="1"/>
          <w:bCs w:val="1"/>
          <w:color w:val="auto"/>
        </w:rPr>
        <w:t>COVENANTS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21" w:lineRule="auto"/>
        <w:rPr>
          <w:sz w:val="20"/>
          <w:szCs w:val="20"/>
          <w:color w:val="auto"/>
        </w:rPr>
      </w:pPr>
      <w:r>
        <w:rPr>
          <w:rFonts w:ascii="Arial" w:cs="Arial" w:eastAsia="Arial" w:hAnsi="Arial"/>
          <w:sz w:val="17"/>
          <w:szCs w:val="17"/>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p>
    <w:p>
      <w:pPr>
        <w:spacing w:after="0" w:line="77" w:lineRule="exact"/>
        <w:rPr>
          <w:sz w:val="20"/>
          <w:szCs w:val="20"/>
          <w:color w:val="auto"/>
        </w:rPr>
      </w:pPr>
    </w:p>
    <w:p>
      <w:pPr>
        <w:ind w:left="160" w:right="179"/>
        <w:spacing w:after="0" w:line="221" w:lineRule="auto"/>
        <w:rPr>
          <w:sz w:val="20"/>
          <w:szCs w:val="20"/>
          <w:color w:val="auto"/>
        </w:rPr>
      </w:pPr>
      <w:r>
        <w:rPr>
          <w:rFonts w:ascii="Arial" w:cs="Arial" w:eastAsia="Arial" w:hAnsi="Arial"/>
          <w:sz w:val="17"/>
          <w:szCs w:val="17"/>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77" w:lineRule="exact"/>
        <w:rPr>
          <w:sz w:val="20"/>
          <w:szCs w:val="20"/>
          <w:color w:val="auto"/>
        </w:rPr>
      </w:pPr>
    </w:p>
    <w:p>
      <w:pPr>
        <w:jc w:val="both"/>
        <w:ind w:left="160" w:right="219" w:hanging="9"/>
        <w:spacing w:after="0" w:line="224" w:lineRule="auto"/>
        <w:tabs>
          <w:tab w:leader="none" w:pos="4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55" w:lineRule="exact"/>
        <w:rPr>
          <w:sz w:val="20"/>
          <w:szCs w:val="20"/>
          <w:color w:val="auto"/>
        </w:rPr>
      </w:pPr>
    </w:p>
    <w:p>
      <w:pPr>
        <w:jc w:val="both"/>
        <w:ind w:left="160" w:right="219" w:hanging="9"/>
        <w:spacing w:after="0" w:line="224" w:lineRule="auto"/>
        <w:tabs>
          <w:tab w:leader="none" w:pos="4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4" w:name="page55"/>
    <w:bookmarkEnd w:id="54"/>
    <w:p>
      <w:pPr>
        <w:ind w:left="160" w:right="179" w:hanging="9"/>
        <w:spacing w:after="0" w:line="224" w:lineRule="auto"/>
        <w:tabs>
          <w:tab w:leader="none" w:pos="4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55" w:lineRule="exact"/>
        <w:rPr>
          <w:rFonts w:ascii="Arial" w:cs="Arial" w:eastAsia="Arial" w:hAnsi="Arial"/>
          <w:sz w:val="18"/>
          <w:szCs w:val="18"/>
          <w:color w:val="auto"/>
        </w:rPr>
      </w:pPr>
    </w:p>
    <w:p>
      <w:pPr>
        <w:ind w:left="160" w:right="539" w:hanging="9"/>
        <w:spacing w:after="0" w:line="289" w:lineRule="auto"/>
        <w:tabs>
          <w:tab w:leader="none" w:pos="4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16" w:lineRule="exact"/>
        <w:rPr>
          <w:rFonts w:ascii="Arial" w:cs="Arial" w:eastAsia="Arial" w:hAnsi="Arial"/>
          <w:sz w:val="16"/>
          <w:szCs w:val="16"/>
          <w:color w:val="auto"/>
        </w:rPr>
      </w:pPr>
    </w:p>
    <w:p>
      <w:pPr>
        <w:ind w:left="160" w:right="499" w:hanging="9"/>
        <w:spacing w:after="0" w:line="289" w:lineRule="auto"/>
        <w:tabs>
          <w:tab w:leader="none" w:pos="4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that upon any receivership, insolvency, liquidation, bankruptcy, reorganization, readjustment, arrangement, composition or judicial proceedings affecting the Company, the Trustee will automatically be the Paying Agent; and</w:t>
      </w:r>
    </w:p>
    <w:p>
      <w:pPr>
        <w:spacing w:after="0" w:line="16" w:lineRule="exact"/>
        <w:rPr>
          <w:rFonts w:ascii="Arial" w:cs="Arial" w:eastAsia="Arial" w:hAnsi="Arial"/>
          <w:sz w:val="16"/>
          <w:szCs w:val="16"/>
          <w:color w:val="auto"/>
        </w:rPr>
      </w:pPr>
    </w:p>
    <w:p>
      <w:pPr>
        <w:ind w:left="400" w:hanging="249"/>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77" w:lineRule="exact"/>
        <w:rPr>
          <w:sz w:val="20"/>
          <w:szCs w:val="20"/>
          <w:color w:val="auto"/>
        </w:rPr>
      </w:pPr>
    </w:p>
    <w:p>
      <w:pPr>
        <w:ind w:left="160" w:right="159" w:hanging="9"/>
        <w:spacing w:after="0" w:line="236" w:lineRule="auto"/>
        <w:tabs>
          <w:tab w:leader="none" w:pos="4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62" w:lineRule="exact"/>
        <w:rPr>
          <w:rFonts w:ascii="Arial" w:cs="Arial" w:eastAsia="Arial" w:hAnsi="Arial"/>
          <w:sz w:val="16"/>
          <w:szCs w:val="16"/>
          <w:color w:val="auto"/>
        </w:rPr>
      </w:pPr>
    </w:p>
    <w:p>
      <w:pPr>
        <w:ind w:left="160" w:right="219" w:hanging="9"/>
        <w:spacing w:after="0" w:line="225" w:lineRule="auto"/>
        <w:tabs>
          <w:tab w:leader="none" w:pos="40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Section to the contrary, (i) the agreement to hold sums in trust as provided in this Section is subject to the provisions of </w:t>
      </w:r>
      <w:r>
        <w:rPr>
          <w:rFonts w:ascii="Arial" w:cs="Arial" w:eastAsia="Arial" w:hAnsi="Arial"/>
          <w:sz w:val="17"/>
          <w:szCs w:val="17"/>
          <w:u w:val="single" w:color="auto"/>
          <w:color w:val="auto"/>
        </w:rPr>
        <w:t>Section 11.05</w:t>
      </w:r>
      <w:r>
        <w:rPr>
          <w:rFonts w:ascii="Arial" w:cs="Arial" w:eastAsia="Arial" w:hAnsi="Arial"/>
          <w:sz w:val="17"/>
          <w:szCs w:val="17"/>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54" w:lineRule="exact"/>
        <w:rPr>
          <w:rFonts w:ascii="Arial" w:cs="Arial" w:eastAsia="Arial" w:hAnsi="Arial"/>
          <w:sz w:val="17"/>
          <w:szCs w:val="17"/>
          <w:color w:val="auto"/>
        </w:rPr>
      </w:pPr>
    </w:p>
    <w:p>
      <w:pPr>
        <w:ind w:left="160" w:right="659" w:hanging="9"/>
        <w:spacing w:after="0" w:line="235" w:lineRule="auto"/>
        <w:tabs>
          <w:tab w:leader="none" w:pos="4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initially appoints the Trustee at its Corporate Trust Office as its paying agent with respect to the Securities.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p>
    <w:p>
      <w:pPr>
        <w:spacing w:after="0" w:line="77" w:lineRule="exact"/>
        <w:rPr>
          <w:sz w:val="20"/>
          <w:szCs w:val="20"/>
          <w:color w:val="auto"/>
        </w:rPr>
      </w:pPr>
    </w:p>
    <w:p>
      <w:pPr>
        <w:ind w:left="160" w:right="759"/>
        <w:spacing w:after="0" w:line="258" w:lineRule="auto"/>
        <w:rPr>
          <w:sz w:val="20"/>
          <w:szCs w:val="20"/>
          <w:color w:val="auto"/>
        </w:rPr>
      </w:pPr>
      <w:r>
        <w:rPr>
          <w:rFonts w:ascii="Arial" w:cs="Arial" w:eastAsia="Arial" w:hAnsi="Arial"/>
          <w:sz w:val="17"/>
          <w:szCs w:val="17"/>
          <w:color w:val="auto"/>
        </w:rPr>
        <w:t xml:space="preserve">The Company, whenever necessary to avoid or fill a vacancy in the office of Trustee, will appoint, in the manner provided in </w:t>
      </w:r>
      <w:r>
        <w:rPr>
          <w:rFonts w:ascii="Arial" w:cs="Arial" w:eastAsia="Arial" w:hAnsi="Arial"/>
          <w:sz w:val="17"/>
          <w:szCs w:val="17"/>
          <w:u w:val="single" w:color="auto"/>
          <w:color w:val="auto"/>
        </w:rPr>
        <w:t>Section 7.10</w:t>
      </w:r>
      <w:r>
        <w:rPr>
          <w:rFonts w:ascii="Arial" w:cs="Arial" w:eastAsia="Arial" w:hAnsi="Arial"/>
          <w:sz w:val="17"/>
          <w:szCs w:val="17"/>
          <w:color w:val="auto"/>
        </w:rPr>
        <w:t>, a Trustee, so that there shall at all times be a Trustee hereunder.</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p>
    <w:p>
      <w:pPr>
        <w:spacing w:after="0" w:line="77" w:lineRule="exact"/>
        <w:rPr>
          <w:sz w:val="20"/>
          <w:szCs w:val="20"/>
          <w:color w:val="auto"/>
        </w:rPr>
      </w:pPr>
    </w:p>
    <w:p>
      <w:pPr>
        <w:ind w:left="160" w:right="179"/>
        <w:spacing w:after="0" w:line="238" w:lineRule="auto"/>
        <w:rPr>
          <w:sz w:val="20"/>
          <w:szCs w:val="20"/>
          <w:color w:val="auto"/>
        </w:rPr>
      </w:pPr>
      <w:r>
        <w:rPr>
          <w:rFonts w:ascii="Arial" w:cs="Arial" w:eastAsia="Arial" w:hAnsi="Arial"/>
          <w:sz w:val="17"/>
          <w:szCs w:val="17"/>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hereof are complied with.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jc w:val="center"/>
        <w:spacing w:after="0" w:line="203" w:lineRule="auto"/>
        <w:rPr>
          <w:sz w:val="20"/>
          <w:szCs w:val="20"/>
          <w:color w:val="auto"/>
        </w:rPr>
      </w:pPr>
      <w:r>
        <w:rPr>
          <w:rFonts w:ascii="Arial" w:cs="Arial" w:eastAsia="Arial" w:hAnsi="Arial"/>
          <w:sz w:val="18"/>
          <w:szCs w:val="18"/>
          <w:b w:val="1"/>
          <w:bCs w:val="1"/>
          <w:color w:val="auto"/>
        </w:rPr>
        <w:t>SECURITYHOLDERS’ LISTS AND REPORTS BY THE COMPANY</w:t>
      </w:r>
    </w:p>
    <w:p>
      <w:pPr>
        <w:jc w:val="center"/>
        <w:spacing w:after="0"/>
        <w:rPr>
          <w:sz w:val="20"/>
          <w:szCs w:val="20"/>
          <w:color w:val="auto"/>
        </w:rPr>
      </w:pPr>
      <w:r>
        <w:rPr>
          <w:rFonts w:ascii="Arial" w:cs="Arial" w:eastAsia="Arial" w:hAnsi="Arial"/>
          <w:sz w:val="18"/>
          <w:szCs w:val="18"/>
          <w:b w:val="1"/>
          <w:bCs w:val="1"/>
          <w:color w:val="auto"/>
        </w:rPr>
        <w:t>AND THE TRUSTEE</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41" w:lineRule="auto"/>
        <w:rPr>
          <w:sz w:val="20"/>
          <w:szCs w:val="20"/>
          <w:color w:val="auto"/>
        </w:rPr>
      </w:pPr>
      <w:r>
        <w:rPr>
          <w:rFonts w:ascii="Arial" w:cs="Arial" w:eastAsia="Arial" w:hAnsi="Arial"/>
          <w:sz w:val="16"/>
          <w:szCs w:val="16"/>
          <w:color w:val="auto"/>
        </w:rPr>
        <w:t xml:space="preserve">The Company will furnish or cause to be furnished to the Trustee (a) within 5 days after each regular record date (as defined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 list, in such form as the Trustee may reasonably require, of the names and addresses of the holders of each series of Securities as of such regular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obligated to furnish or cause to be furnished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5" w:name="page56"/>
    <w:bookmarkEnd w:id="55"/>
    <w:p>
      <w:pPr>
        <w:ind w:left="160" w:right="139"/>
        <w:spacing w:after="0" w:line="235" w:lineRule="auto"/>
        <w:rPr>
          <w:sz w:val="20"/>
          <w:szCs w:val="20"/>
          <w:color w:val="auto"/>
        </w:rPr>
      </w:pPr>
      <w:r>
        <w:rPr>
          <w:rFonts w:ascii="Arial" w:cs="Arial" w:eastAsia="Arial" w:hAnsi="Arial"/>
          <w:sz w:val="18"/>
          <w:szCs w:val="18"/>
          <w:color w:val="auto"/>
        </w:rPr>
        <w:t xml:space="preserve">not more than 15 days prior to the time such list is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either case, no such list need be furnished for any series for which the Trustee shall be the Security Registrar.</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77" w:lineRule="exact"/>
        <w:rPr>
          <w:sz w:val="20"/>
          <w:szCs w:val="20"/>
          <w:color w:val="auto"/>
        </w:rPr>
      </w:pPr>
    </w:p>
    <w:p>
      <w:pPr>
        <w:ind w:left="160" w:right="179" w:hanging="9"/>
        <w:spacing w:after="0" w:line="219" w:lineRule="auto"/>
        <w:tabs>
          <w:tab w:leader="none" w:pos="4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 as to the names and addresses of holders of Securities received by the Trustee in its capacity as Security Registrar (if acting in such capacity).</w:t>
      </w:r>
    </w:p>
    <w:p>
      <w:pPr>
        <w:spacing w:after="0" w:line="162" w:lineRule="exact"/>
        <w:rPr>
          <w:rFonts w:ascii="Arial" w:cs="Arial" w:eastAsia="Arial" w:hAnsi="Arial"/>
          <w:sz w:val="18"/>
          <w:szCs w:val="18"/>
          <w:color w:val="auto"/>
        </w:rPr>
      </w:pPr>
    </w:p>
    <w:p>
      <w:pPr>
        <w:ind w:left="400" w:hanging="249"/>
        <w:spacing w:after="0"/>
        <w:tabs>
          <w:tab w:leader="none" w:pos="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Trustee may destroy any list furnished to it as provided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upon receipt of a new list so furnished.</w:t>
      </w:r>
    </w:p>
    <w:p>
      <w:pPr>
        <w:spacing w:after="0" w:line="99" w:lineRule="exact"/>
        <w:rPr>
          <w:rFonts w:ascii="Arial" w:cs="Arial" w:eastAsia="Arial" w:hAnsi="Arial"/>
          <w:sz w:val="16"/>
          <w:szCs w:val="16"/>
          <w:color w:val="auto"/>
        </w:rPr>
      </w:pPr>
    </w:p>
    <w:p>
      <w:pPr>
        <w:ind w:left="160" w:right="179" w:hanging="9"/>
        <w:spacing w:after="0" w:line="219" w:lineRule="auto"/>
        <w:tabs>
          <w:tab w:leader="none" w:pos="4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20" w:lineRule="auto"/>
        <w:tabs>
          <w:tab w:leader="none" w:pos="405"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Company shall not be required to deliver to the Trustee any materials for which the Company has sought and received confidential treatment by the Commission;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so long as such filings by the Company are available on the Commission’s Electronic Data Gathering,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Analysis and Retrieval System (EDGAR), or Interactive Data Electronic Applications (IDEA), or any successor system, such filings shall be deemed to have been filed with the Trustee for purposes hereof without any further action required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Arial" w:cs="Arial" w:eastAsia="Arial" w:hAnsi="Arial"/>
          <w:sz w:val="17"/>
          <w:szCs w:val="17"/>
          <w:u w:val="single" w:color="auto"/>
          <w:color w:val="auto"/>
        </w:rPr>
        <w:t>Section 5.03</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jc w:val="both"/>
        <w:ind w:left="160" w:right="219" w:hanging="9"/>
        <w:spacing w:after="0" w:line="249" w:lineRule="auto"/>
        <w:tabs>
          <w:tab w:leader="none" w:pos="4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Delivery of reports, information and documents to the Trustee under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73" w:lineRule="exact"/>
        <w:rPr>
          <w:sz w:val="20"/>
          <w:szCs w:val="20"/>
          <w:color w:val="auto"/>
        </w:rPr>
      </w:pPr>
    </w:p>
    <w:p>
      <w:pPr>
        <w:ind w:left="400" w:hanging="249"/>
        <w:spacing w:after="0"/>
        <w:tabs>
          <w:tab w:leader="none" w:pos="4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required by Section 313(a) of the Trust Indenture Act, the Trustee, within sixty (60) days after each May 15,</w:t>
      </w:r>
    </w:p>
    <w:p>
      <w:pPr>
        <w:ind w:left="160" w:right="139"/>
        <w:spacing w:after="0" w:line="231" w:lineRule="auto"/>
        <w:rPr>
          <w:rFonts w:ascii="Arial" w:cs="Arial" w:eastAsia="Arial" w:hAnsi="Arial"/>
          <w:sz w:val="17"/>
          <w:szCs w:val="17"/>
          <w:color w:val="auto"/>
        </w:rPr>
      </w:pPr>
      <w:r>
        <w:rPr>
          <w:rFonts w:ascii="Arial" w:cs="Arial" w:eastAsia="Arial" w:hAnsi="Arial"/>
          <w:sz w:val="17"/>
          <w:szCs w:val="17"/>
          <w:color w:val="auto"/>
        </w:rPr>
        <w:t>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162" w:lineRule="exact"/>
        <w:rPr>
          <w:rFonts w:ascii="Arial" w:cs="Arial" w:eastAsia="Arial" w:hAnsi="Arial"/>
          <w:sz w:val="17"/>
          <w:szCs w:val="17"/>
          <w:color w:val="auto"/>
        </w:rPr>
      </w:pPr>
    </w:p>
    <w:p>
      <w:pPr>
        <w:ind w:left="400" w:hanging="249"/>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76" w:lineRule="exact"/>
        <w:rPr>
          <w:rFonts w:ascii="Arial" w:cs="Arial" w:eastAsia="Arial" w:hAnsi="Arial"/>
          <w:sz w:val="18"/>
          <w:szCs w:val="18"/>
          <w:color w:val="auto"/>
        </w:rPr>
      </w:pPr>
    </w:p>
    <w:p>
      <w:pPr>
        <w:ind w:left="160" w:right="219" w:hanging="9"/>
        <w:spacing w:after="0" w:line="219" w:lineRule="auto"/>
        <w:tabs>
          <w:tab w:leader="none" w:pos="4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6</w:t>
      </w:r>
    </w:p>
    <w:p>
      <w:pPr>
        <w:jc w:val="center"/>
        <w:ind w:right="-20"/>
        <w:spacing w:after="0"/>
        <w:rPr>
          <w:sz w:val="20"/>
          <w:szCs w:val="20"/>
          <w:color w:val="auto"/>
        </w:rPr>
      </w:pPr>
      <w:r>
        <w:rPr>
          <w:rFonts w:ascii="Arial" w:cs="Arial" w:eastAsia="Arial" w:hAnsi="Arial"/>
          <w:sz w:val="18"/>
          <w:szCs w:val="18"/>
          <w:b w:val="1"/>
          <w:bCs w:val="1"/>
          <w:color w:val="auto"/>
        </w:rPr>
        <w:t>REMEDIES OF THE TRUSTEE AND SECURITYHOLDERS ON</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EVENT OF DEFAULT</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73" w:lineRule="exact"/>
        <w:rPr>
          <w:sz w:val="20"/>
          <w:szCs w:val="20"/>
          <w:color w:val="auto"/>
        </w:rPr>
      </w:pPr>
    </w:p>
    <w:p>
      <w:pPr>
        <w:ind w:left="160" w:right="219" w:hanging="9"/>
        <w:spacing w:after="0" w:line="237" w:lineRule="auto"/>
        <w:tabs>
          <w:tab w:leader="none" w:pos="4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one or more of the following events that has occurred and is continuing:</w:t>
      </w:r>
    </w:p>
    <w:p>
      <w:pPr>
        <w:spacing w:after="0" w:line="54" w:lineRule="exact"/>
        <w:rPr>
          <w:sz w:val="20"/>
          <w:szCs w:val="20"/>
          <w:color w:val="auto"/>
        </w:rPr>
      </w:pPr>
    </w:p>
    <w:p>
      <w:pPr>
        <w:ind w:left="160" w:right="379" w:hanging="9"/>
        <w:spacing w:after="0" w:line="249" w:lineRule="auto"/>
        <w:tabs>
          <w:tab w:leader="none" w:pos="4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Company defaults in the payment of any installment of interest upon any of the Securities of that series, as and when the same shall become due and payable, and such default continues for a period of 90 days;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valid extension of an interest payment period by the Company in accordance with the terms of any indenture supplemental hereto shall not constitute a default in the payment of interest for this purpose;</w:t>
      </w:r>
    </w:p>
    <w:p>
      <w:pPr>
        <w:spacing w:after="0" w:line="46" w:lineRule="exact"/>
        <w:rPr>
          <w:rFonts w:ascii="Arial" w:cs="Arial" w:eastAsia="Arial" w:hAnsi="Arial"/>
          <w:sz w:val="16"/>
          <w:szCs w:val="16"/>
          <w:color w:val="auto"/>
        </w:rPr>
      </w:pPr>
    </w:p>
    <w:p>
      <w:pPr>
        <w:ind w:left="160" w:right="239" w:hanging="9"/>
        <w:spacing w:after="0" w:line="229" w:lineRule="auto"/>
        <w:tabs>
          <w:tab w:leader="none" w:pos="415"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valid extension of the maturity of such Securities in accordance with the terms of any indenture supplemental hereto shall not constitute a default in the payment of principal or premium, if any;</w:t>
      </w:r>
    </w:p>
    <w:p>
      <w:pPr>
        <w:spacing w:after="0" w:line="53" w:lineRule="exact"/>
        <w:rPr>
          <w:rFonts w:ascii="Arial" w:cs="Arial" w:eastAsia="Arial" w:hAnsi="Arial"/>
          <w:sz w:val="17"/>
          <w:szCs w:val="17"/>
          <w:color w:val="auto"/>
        </w:rPr>
      </w:pPr>
    </w:p>
    <w:p>
      <w:pPr>
        <w:ind w:left="160" w:right="319" w:hanging="9"/>
        <w:spacing w:after="0" w:line="225" w:lineRule="auto"/>
        <w:tabs>
          <w:tab w:leader="none" w:pos="415"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shall have been given to the Company by the Trustee or to the Company and the Trustee by the holders of at least 25% in principal amount of the Securities of that series at the time Outstanding;</w:t>
      </w:r>
    </w:p>
    <w:p>
      <w:pPr>
        <w:spacing w:after="0" w:line="38" w:lineRule="exact"/>
        <w:rPr>
          <w:rFonts w:ascii="Arial" w:cs="Arial" w:eastAsia="Arial" w:hAnsi="Arial"/>
          <w:sz w:val="17"/>
          <w:szCs w:val="17"/>
          <w:color w:val="auto"/>
        </w:rPr>
      </w:pPr>
    </w:p>
    <w:p>
      <w:pPr>
        <w:ind w:left="400" w:hanging="249"/>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w:t>
      </w:r>
    </w:p>
    <w:p>
      <w:pPr>
        <w:ind w:left="160" w:right="539" w:hanging="9"/>
        <w:spacing w:after="0" w:line="218" w:lineRule="auto"/>
        <w:tabs>
          <w:tab w:leader="none" w:pos="42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63" w:lineRule="exact"/>
        <w:rPr>
          <w:sz w:val="20"/>
          <w:szCs w:val="20"/>
          <w:color w:val="auto"/>
        </w:rPr>
      </w:pPr>
    </w:p>
    <w:p>
      <w:pPr>
        <w:ind w:left="160" w:right="199" w:hanging="9"/>
        <w:spacing w:after="0" w:line="238" w:lineRule="auto"/>
        <w:tabs>
          <w:tab w:leader="none" w:pos="41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53" w:lineRule="exact"/>
        <w:rPr>
          <w:sz w:val="20"/>
          <w:szCs w:val="20"/>
          <w:color w:val="auto"/>
        </w:rPr>
      </w:pPr>
    </w:p>
    <w:p>
      <w:pPr>
        <w:ind w:left="160" w:right="139" w:hanging="9"/>
        <w:spacing w:after="0" w:line="223" w:lineRule="auto"/>
        <w:tabs>
          <w:tab w:leader="none" w:pos="4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53" w:lineRule="exact"/>
        <w:rPr>
          <w:rFonts w:ascii="Arial" w:cs="Arial" w:eastAsia="Arial" w:hAnsi="Arial"/>
          <w:sz w:val="17"/>
          <w:szCs w:val="17"/>
          <w:color w:val="auto"/>
        </w:rPr>
      </w:pPr>
    </w:p>
    <w:p>
      <w:pPr>
        <w:ind w:left="160" w:right="139" w:hanging="9"/>
        <w:spacing w:after="0" w:line="234" w:lineRule="auto"/>
        <w:tabs>
          <w:tab w:leader="none" w:pos="40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7" w:name="page58"/>
    <w:bookmarkEnd w:id="57"/>
    <w:p>
      <w:pPr>
        <w:ind w:left="160" w:right="339"/>
        <w:spacing w:after="0" w:line="235" w:lineRule="auto"/>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54" w:lineRule="exact"/>
        <w:rPr>
          <w:sz w:val="20"/>
          <w:szCs w:val="20"/>
          <w:color w:val="auto"/>
        </w:rPr>
      </w:pPr>
    </w:p>
    <w:p>
      <w:pPr>
        <w:ind w:left="160" w:right="259" w:hanging="9"/>
        <w:spacing w:after="0" w:line="226" w:lineRule="auto"/>
        <w:tabs>
          <w:tab w:leader="none" w:pos="415"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77" w:lineRule="exact"/>
        <w:rPr>
          <w:sz w:val="20"/>
          <w:szCs w:val="20"/>
          <w:color w:val="auto"/>
        </w:rPr>
      </w:pPr>
    </w:p>
    <w:p>
      <w:pPr>
        <w:ind w:left="160" w:right="199" w:hanging="9"/>
        <w:spacing w:after="0" w:line="211" w:lineRule="auto"/>
        <w:tabs>
          <w:tab w:leader="none" w:pos="4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56" w:lineRule="exact"/>
        <w:rPr>
          <w:rFonts w:ascii="Arial" w:cs="Arial" w:eastAsia="Arial" w:hAnsi="Arial"/>
          <w:sz w:val="18"/>
          <w:szCs w:val="18"/>
          <w:color w:val="auto"/>
        </w:rPr>
      </w:pPr>
    </w:p>
    <w:p>
      <w:pPr>
        <w:ind w:left="160" w:right="259" w:hanging="9"/>
        <w:spacing w:after="0" w:line="241" w:lineRule="auto"/>
        <w:tabs>
          <w:tab w:leader="none" w:pos="41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52" w:lineRule="exact"/>
        <w:rPr>
          <w:rFonts w:ascii="Arial" w:cs="Arial" w:eastAsia="Arial" w:hAnsi="Arial"/>
          <w:sz w:val="16"/>
          <w:szCs w:val="16"/>
          <w:color w:val="auto"/>
        </w:rPr>
      </w:pPr>
    </w:p>
    <w:p>
      <w:pPr>
        <w:ind w:left="160" w:right="199" w:hanging="9"/>
        <w:spacing w:after="0" w:line="220" w:lineRule="auto"/>
        <w:tabs>
          <w:tab w:leader="none" w:pos="40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160" w:right="199" w:hanging="9"/>
        <w:spacing w:after="0" w:line="214" w:lineRule="auto"/>
        <w:tabs>
          <w:tab w:leader="none" w:pos="4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Arial" w:cs="Arial" w:eastAsia="Arial" w:hAnsi="Arial"/>
          <w:sz w:val="18"/>
          <w:szCs w:val="18"/>
          <w:u w:val="single" w:color="auto"/>
          <w:color w:val="auto"/>
        </w:rPr>
        <w:t>Section 7.06</w:t>
      </w:r>
      <w:r>
        <w:rPr>
          <w:rFonts w:ascii="Arial" w:cs="Arial" w:eastAsia="Arial" w:hAnsi="Arial"/>
          <w:sz w:val="18"/>
          <w:szCs w:val="18"/>
          <w:color w:val="auto"/>
        </w:rPr>
        <w:t>, be for the ratable benefit of the holders of the Securities of such series.</w:t>
      </w:r>
    </w:p>
    <w:p>
      <w:pPr>
        <w:spacing w:after="0" w:line="162" w:lineRule="exact"/>
        <w:rPr>
          <w:sz w:val="20"/>
          <w:szCs w:val="20"/>
          <w:color w:val="auto"/>
        </w:rPr>
      </w:pPr>
    </w:p>
    <w:p>
      <w:pPr>
        <w:ind w:left="160" w:right="199"/>
        <w:spacing w:after="0" w:line="244"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9" w:lineRule="exact"/>
        <w:rPr>
          <w:sz w:val="20"/>
          <w:szCs w:val="20"/>
          <w:color w:val="auto"/>
        </w:rPr>
      </w:pPr>
    </w:p>
    <w:p>
      <w:pPr>
        <w:ind w:left="160" w:right="159"/>
        <w:spacing w:after="0" w:line="258" w:lineRule="auto"/>
        <w:rPr>
          <w:sz w:val="20"/>
          <w:szCs w:val="20"/>
          <w:color w:val="auto"/>
        </w:rPr>
      </w:pPr>
      <w:r>
        <w:rPr>
          <w:rFonts w:ascii="Arial" w:cs="Arial" w:eastAsia="Arial" w:hAnsi="Arial"/>
          <w:sz w:val="17"/>
          <w:szCs w:val="17"/>
          <w:color w:val="auto"/>
        </w:rPr>
        <w:t>Nothing contained herein shall be deemed to authorize the Trustee to authorize or consent to or accept or adopt on behalf of any Securityholder any plan of reorganization, arrangement, adjustment or composition affecting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8" w:name="page59"/>
    <w:bookmarkEnd w:id="58"/>
    <w:p>
      <w:pPr>
        <w:ind w:left="160" w:right="399"/>
        <w:spacing w:after="0" w:line="235" w:lineRule="auto"/>
        <w:rPr>
          <w:sz w:val="20"/>
          <w:szCs w:val="20"/>
          <w:color w:val="auto"/>
        </w:rPr>
      </w:pPr>
      <w:r>
        <w:rPr>
          <w:rFonts w:ascii="Arial" w:cs="Arial" w:eastAsia="Arial" w:hAnsi="Arial"/>
          <w:sz w:val="18"/>
          <w:szCs w:val="18"/>
          <w:color w:val="auto"/>
        </w:rPr>
        <w:t>Securities of that series or the rights of any holder thereof or to authorize the Trustee to vote in respect of the claim of any Securityholder in any such proceeding.</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49" w:lineRule="auto"/>
        <w:rPr>
          <w:sz w:val="20"/>
          <w:szCs w:val="20"/>
          <w:color w:val="auto"/>
        </w:rPr>
      </w:pPr>
      <w:r>
        <w:rPr>
          <w:rFonts w:ascii="Arial" w:cs="Arial" w:eastAsia="Arial" w:hAnsi="Arial"/>
          <w:sz w:val="16"/>
          <w:szCs w:val="16"/>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51" w:lineRule="exact"/>
        <w:rPr>
          <w:sz w:val="20"/>
          <w:szCs w:val="20"/>
          <w:color w:val="auto"/>
        </w:rPr>
      </w:pPr>
    </w:p>
    <w:p>
      <w:pPr>
        <w:ind w:left="160" w:right="499"/>
        <w:spacing w:after="0" w:line="237"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reasonable costs and expenses of collection and of all amounts payable to the Trustee, its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and attorneys under this Indenture;</w:t>
      </w:r>
    </w:p>
    <w:p>
      <w:pPr>
        <w:spacing w:after="0" w:line="158" w:lineRule="exact"/>
        <w:rPr>
          <w:sz w:val="20"/>
          <w:szCs w:val="20"/>
          <w:color w:val="auto"/>
        </w:rPr>
      </w:pPr>
    </w:p>
    <w:p>
      <w:pPr>
        <w:ind w:left="160" w:right="459"/>
        <w:spacing w:after="0" w:line="220"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To the payment of the amounts then due and unpaid upon Securities of such series for principal (and</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To the payment of the remainder, if any, to the Company or any other Person lawfully entitled thereto.</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21"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3" w:lineRule="exact"/>
        <w:rPr>
          <w:sz w:val="20"/>
          <w:szCs w:val="20"/>
          <w:color w:val="auto"/>
        </w:rPr>
      </w:pPr>
    </w:p>
    <w:p>
      <w:pPr>
        <w:ind w:left="160" w:right="199"/>
        <w:spacing w:after="0" w:line="234"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77" w:lineRule="exact"/>
        <w:rPr>
          <w:sz w:val="20"/>
          <w:szCs w:val="20"/>
          <w:color w:val="auto"/>
        </w:rPr>
      </w:pPr>
    </w:p>
    <w:p>
      <w:pPr>
        <w:jc w:val="both"/>
        <w:ind w:left="160" w:right="319" w:hanging="9"/>
        <w:spacing w:after="0" w:line="259" w:lineRule="auto"/>
        <w:tabs>
          <w:tab w:leader="none" w:pos="4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9" w:name="page60"/>
    <w:bookmarkEnd w:id="59"/>
    <w:p>
      <w:pPr>
        <w:ind w:left="160" w:right="579"/>
        <w:spacing w:after="0" w:line="235" w:lineRule="auto"/>
        <w:rPr>
          <w:sz w:val="20"/>
          <w:szCs w:val="20"/>
          <w:color w:val="auto"/>
        </w:rPr>
      </w:pPr>
      <w:r>
        <w:rPr>
          <w:rFonts w:ascii="Arial" w:cs="Arial" w:eastAsia="Arial" w:hAnsi="Arial"/>
          <w:sz w:val="18"/>
          <w:szCs w:val="18"/>
          <w:color w:val="auto"/>
        </w:rPr>
        <w:t>to enforce the performance or observance of the covenants and agreements contained in this Indenture or otherwise established with respect to such Securities.</w:t>
      </w:r>
    </w:p>
    <w:p>
      <w:pPr>
        <w:spacing w:after="0" w:line="54" w:lineRule="exact"/>
        <w:rPr>
          <w:sz w:val="20"/>
          <w:szCs w:val="20"/>
          <w:color w:val="auto"/>
        </w:rPr>
      </w:pPr>
    </w:p>
    <w:p>
      <w:pPr>
        <w:ind w:left="160" w:right="259" w:hanging="9"/>
        <w:spacing w:after="0" w:line="229" w:lineRule="auto"/>
        <w:tabs>
          <w:tab w:leader="none" w:pos="4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Arial" w:cs="Arial" w:eastAsia="Arial" w:hAnsi="Arial"/>
          <w:sz w:val="17"/>
          <w:szCs w:val="17"/>
          <w:u w:val="single" w:color="auto"/>
          <w:color w:val="auto"/>
        </w:rPr>
        <w:t>Section 6.04</w:t>
      </w:r>
      <w:r>
        <w:rPr>
          <w:rFonts w:ascii="Arial" w:cs="Arial" w:eastAsia="Arial" w:hAnsi="Arial"/>
          <w:sz w:val="17"/>
          <w:szCs w:val="17"/>
          <w:color w:val="auto"/>
        </w:rPr>
        <w:t>, every power and remedy given by this Article or by law to the Trustee or the Securityholders may be exercised from time to time, and as often as shall be deemed expedient, by the Trustee or by the Securityholders.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rPr>
          <w:sz w:val="20"/>
          <w:szCs w:val="20"/>
          <w:color w:val="auto"/>
        </w:rPr>
      </w:pPr>
      <w:r>
        <w:rPr>
          <w:rFonts w:ascii="Arial" w:cs="Arial" w:eastAsia="Arial" w:hAnsi="Arial"/>
          <w:sz w:val="16"/>
          <w:szCs w:val="16"/>
          <w:color w:val="auto"/>
        </w:rPr>
        <w:t xml:space="preserve">The holders of a majority in aggregate principal amount of the Securities of any series at the time Outstanding, determined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may on behalf of the holders of all of the Securities of such series waive any past default in the performance of any of the covenants contained herein or established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Arial" w:cs="Arial" w:eastAsia="Arial" w:hAnsi="Arial"/>
          <w:sz w:val="16"/>
          <w:szCs w:val="16"/>
          <w:u w:val="single" w:color="auto"/>
          <w:color w:val="auto"/>
        </w:rPr>
        <w:t>Section 6.01(c)</w:t>
      </w:r>
      <w:r>
        <w:rPr>
          <w:rFonts w:ascii="Arial" w:cs="Arial" w:eastAsia="Arial" w:hAnsi="Arial"/>
          <w:sz w:val="16"/>
          <w:szCs w:val="16"/>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21" w:lineRule="auto"/>
        <w:rPr>
          <w:sz w:val="20"/>
          <w:szCs w:val="20"/>
          <w:color w:val="auto"/>
        </w:rPr>
      </w:pPr>
      <w:r>
        <w:rPr>
          <w:rFonts w:ascii="Arial" w:cs="Arial" w:eastAsia="Arial" w:hAnsi="Arial"/>
          <w:sz w:val="17"/>
          <w:szCs w:val="17"/>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7</w:t>
      </w:r>
    </w:p>
    <w:p>
      <w:pPr>
        <w:jc w:val="center"/>
        <w:ind w:right="-20"/>
        <w:spacing w:after="0"/>
        <w:rPr>
          <w:sz w:val="20"/>
          <w:szCs w:val="20"/>
          <w:color w:val="auto"/>
        </w:rPr>
      </w:pPr>
      <w:r>
        <w:rPr>
          <w:rFonts w:ascii="Arial" w:cs="Arial" w:eastAsia="Arial" w:hAnsi="Arial"/>
          <w:sz w:val="18"/>
          <w:szCs w:val="18"/>
          <w:b w:val="1"/>
          <w:bCs w:val="1"/>
          <w:color w:val="auto"/>
        </w:rPr>
        <w:t>CONCERNING THE TRUSTEE</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77" w:lineRule="exact"/>
        <w:rPr>
          <w:sz w:val="20"/>
          <w:szCs w:val="20"/>
          <w:color w:val="auto"/>
        </w:rPr>
      </w:pPr>
    </w:p>
    <w:p>
      <w:pPr>
        <w:ind w:left="160" w:right="199" w:hanging="9"/>
        <w:spacing w:after="0" w:line="241" w:lineRule="auto"/>
        <w:tabs>
          <w:tab w:leader="none" w:pos="4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ind w:left="160" w:right="259"/>
        <w:spacing w:after="0" w:line="235" w:lineRule="auto"/>
        <w:rPr>
          <w:sz w:val="20"/>
          <w:szCs w:val="20"/>
          <w:color w:val="auto"/>
        </w:rPr>
      </w:pPr>
      <w:r>
        <w:rPr>
          <w:rFonts w:ascii="Arial" w:cs="Arial" w:eastAsia="Arial" w:hAnsi="Arial"/>
          <w:sz w:val="18"/>
          <w:szCs w:val="18"/>
          <w:color w:val="auto"/>
        </w:rPr>
        <w:t>the same degree of care and skill in their exercise, as a prudent person would exercise or use under the circumstances in the conduct of such person’s own affairs.</w:t>
      </w:r>
    </w:p>
    <w:p>
      <w:pPr>
        <w:spacing w:after="0" w:line="54" w:lineRule="exact"/>
        <w:rPr>
          <w:sz w:val="20"/>
          <w:szCs w:val="20"/>
          <w:color w:val="auto"/>
        </w:rPr>
      </w:pPr>
    </w:p>
    <w:p>
      <w:pPr>
        <w:ind w:left="160" w:right="239" w:hanging="9"/>
        <w:spacing w:after="0" w:line="235" w:lineRule="auto"/>
        <w:tabs>
          <w:tab w:leader="none" w:pos="4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54" w:lineRule="exact"/>
        <w:rPr>
          <w:sz w:val="20"/>
          <w:szCs w:val="20"/>
          <w:color w:val="auto"/>
        </w:rPr>
      </w:pPr>
    </w:p>
    <w:p>
      <w:pPr>
        <w:ind w:left="160" w:right="159" w:hanging="9"/>
        <w:spacing w:after="0" w:line="235" w:lineRule="auto"/>
        <w:tabs>
          <w:tab w:leader="none" w:pos="4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54" w:lineRule="exact"/>
        <w:rPr>
          <w:sz w:val="20"/>
          <w:szCs w:val="20"/>
          <w:color w:val="auto"/>
        </w:rPr>
      </w:pPr>
    </w:p>
    <w:p>
      <w:pPr>
        <w:jc w:val="both"/>
        <w:ind w:left="160" w:right="359" w:hanging="9"/>
        <w:spacing w:after="0" w:line="232" w:lineRule="auto"/>
        <w:tabs>
          <w:tab w:leader="none" w:pos="45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54" w:lineRule="exact"/>
        <w:rPr>
          <w:rFonts w:ascii="Arial" w:cs="Arial" w:eastAsia="Arial" w:hAnsi="Arial"/>
          <w:sz w:val="17"/>
          <w:szCs w:val="17"/>
          <w:color w:val="auto"/>
        </w:rPr>
      </w:pPr>
    </w:p>
    <w:p>
      <w:pPr>
        <w:ind w:left="160" w:right="179" w:hanging="9"/>
        <w:spacing w:after="0" w:line="241" w:lineRule="auto"/>
        <w:tabs>
          <w:tab w:leader="none" w:pos="445"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53" w:lineRule="exact"/>
        <w:rPr>
          <w:sz w:val="20"/>
          <w:szCs w:val="20"/>
          <w:color w:val="auto"/>
        </w:rPr>
      </w:pPr>
    </w:p>
    <w:p>
      <w:pPr>
        <w:ind w:left="160" w:right="259" w:hanging="9"/>
        <w:spacing w:after="0" w:line="289" w:lineRule="auto"/>
        <w:tabs>
          <w:tab w:leader="none" w:pos="4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6" w:lineRule="exact"/>
        <w:rPr>
          <w:rFonts w:ascii="Arial" w:cs="Arial" w:eastAsia="Arial" w:hAnsi="Arial"/>
          <w:sz w:val="16"/>
          <w:szCs w:val="16"/>
          <w:color w:val="auto"/>
        </w:rPr>
      </w:pPr>
    </w:p>
    <w:p>
      <w:pPr>
        <w:ind w:left="160" w:right="159" w:hanging="9"/>
        <w:spacing w:after="0" w:line="216" w:lineRule="auto"/>
        <w:tabs>
          <w:tab w:leader="none" w:pos="4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54" w:lineRule="exact"/>
        <w:rPr>
          <w:rFonts w:ascii="Arial" w:cs="Arial" w:eastAsia="Arial" w:hAnsi="Arial"/>
          <w:sz w:val="18"/>
          <w:szCs w:val="18"/>
          <w:color w:val="auto"/>
        </w:rPr>
      </w:pPr>
    </w:p>
    <w:p>
      <w:pPr>
        <w:ind w:left="160" w:right="199" w:hanging="9"/>
        <w:spacing w:after="0" w:line="249" w:lineRule="auto"/>
        <w:tabs>
          <w:tab w:leader="none" w:pos="4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77" w:lineRule="exact"/>
        <w:rPr>
          <w:sz w:val="20"/>
          <w:szCs w:val="20"/>
          <w:color w:val="auto"/>
        </w:rPr>
      </w:pPr>
    </w:p>
    <w:p>
      <w:pPr>
        <w:ind w:left="160" w:right="259" w:hanging="9"/>
        <w:spacing w:after="0" w:line="212"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57" w:lineRule="exact"/>
        <w:rPr>
          <w:rFonts w:ascii="Arial" w:cs="Arial" w:eastAsia="Arial" w:hAnsi="Arial"/>
          <w:sz w:val="18"/>
          <w:szCs w:val="18"/>
          <w:color w:val="auto"/>
        </w:rPr>
      </w:pPr>
    </w:p>
    <w:p>
      <w:pPr>
        <w:jc w:val="both"/>
        <w:ind w:left="160" w:right="159" w:hanging="9"/>
        <w:spacing w:after="0" w:line="224" w:lineRule="auto"/>
        <w:tabs>
          <w:tab w:leader="none" w:pos="4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55" w:lineRule="exact"/>
        <w:rPr>
          <w:rFonts w:ascii="Arial" w:cs="Arial" w:eastAsia="Arial" w:hAnsi="Arial"/>
          <w:sz w:val="18"/>
          <w:szCs w:val="18"/>
          <w:color w:val="auto"/>
        </w:rPr>
      </w:pPr>
    </w:p>
    <w:p>
      <w:pPr>
        <w:ind w:left="160" w:right="239" w:hanging="9"/>
        <w:spacing w:after="0" w:line="224"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55" w:lineRule="exact"/>
        <w:rPr>
          <w:rFonts w:ascii="Arial" w:cs="Arial" w:eastAsia="Arial" w:hAnsi="Arial"/>
          <w:sz w:val="18"/>
          <w:szCs w:val="18"/>
          <w:color w:val="auto"/>
        </w:rPr>
      </w:pPr>
    </w:p>
    <w:p>
      <w:pPr>
        <w:ind w:left="160" w:right="359" w:hanging="9"/>
        <w:spacing w:after="0" w:line="232" w:lineRule="auto"/>
        <w:tabs>
          <w:tab w:leader="none" w:pos="41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ind w:left="160" w:right="279" w:hanging="9"/>
        <w:spacing w:after="0" w:line="235" w:lineRule="auto"/>
        <w:tabs>
          <w:tab w:leader="none" w:pos="4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53" w:lineRule="exact"/>
        <w:rPr>
          <w:rFonts w:ascii="Arial" w:cs="Arial" w:eastAsia="Arial" w:hAnsi="Arial"/>
          <w:sz w:val="18"/>
          <w:szCs w:val="18"/>
          <w:color w:val="auto"/>
        </w:rPr>
      </w:pPr>
    </w:p>
    <w:p>
      <w:pPr>
        <w:ind w:left="160" w:right="199" w:hanging="9"/>
        <w:spacing w:after="0" w:line="222" w:lineRule="auto"/>
        <w:tabs>
          <w:tab w:leader="none" w:pos="385"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55" w:lineRule="exact"/>
        <w:rPr>
          <w:rFonts w:ascii="Arial" w:cs="Arial" w:eastAsia="Arial" w:hAnsi="Arial"/>
          <w:sz w:val="17"/>
          <w:szCs w:val="17"/>
          <w:color w:val="auto"/>
        </w:rPr>
      </w:pPr>
    </w:p>
    <w:p>
      <w:pPr>
        <w:ind w:left="160" w:right="239" w:hanging="9"/>
        <w:spacing w:after="0" w:line="224" w:lineRule="auto"/>
        <w:tabs>
          <w:tab w:leader="none" w:pos="4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55" w:lineRule="exact"/>
        <w:rPr>
          <w:rFonts w:ascii="Arial" w:cs="Arial" w:eastAsia="Arial" w:hAnsi="Arial"/>
          <w:sz w:val="18"/>
          <w:szCs w:val="18"/>
          <w:color w:val="auto"/>
        </w:rPr>
      </w:pPr>
    </w:p>
    <w:p>
      <w:pPr>
        <w:ind w:left="160" w:right="179" w:hanging="9"/>
        <w:spacing w:after="0" w:line="241" w:lineRule="auto"/>
        <w:tabs>
          <w:tab w:leader="none" w:pos="4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52" w:lineRule="exact"/>
        <w:rPr>
          <w:rFonts w:ascii="Arial" w:cs="Arial" w:eastAsia="Arial" w:hAnsi="Arial"/>
          <w:sz w:val="16"/>
          <w:szCs w:val="16"/>
          <w:color w:val="auto"/>
        </w:rPr>
      </w:pPr>
    </w:p>
    <w:p>
      <w:pPr>
        <w:jc w:val="both"/>
        <w:ind w:left="160" w:right="179" w:hanging="9"/>
        <w:spacing w:after="0" w:line="224" w:lineRule="auto"/>
        <w:tabs>
          <w:tab w:leader="none" w:pos="3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55" w:lineRule="exact"/>
        <w:rPr>
          <w:rFonts w:ascii="Arial" w:cs="Arial" w:eastAsia="Arial" w:hAnsi="Arial"/>
          <w:sz w:val="18"/>
          <w:szCs w:val="18"/>
          <w:color w:val="auto"/>
        </w:rPr>
      </w:pPr>
    </w:p>
    <w:p>
      <w:pPr>
        <w:ind w:left="360" w:hanging="209"/>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r>
        <w:rPr>
          <w:rFonts w:ascii="Arial" w:cs="Arial" w:eastAsia="Arial" w:hAnsi="Arial"/>
          <w:sz w:val="18"/>
          <w:szCs w:val="18"/>
          <w:u w:val="single" w:color="auto"/>
          <w:color w:val="auto"/>
        </w:rPr>
        <w:t>;</w:t>
      </w:r>
    </w:p>
    <w:p>
      <w:pPr>
        <w:spacing w:after="0" w:line="76" w:lineRule="exact"/>
        <w:rPr>
          <w:rFonts w:ascii="Arial" w:cs="Arial" w:eastAsia="Arial" w:hAnsi="Arial"/>
          <w:sz w:val="18"/>
          <w:szCs w:val="18"/>
          <w:color w:val="auto"/>
        </w:rPr>
      </w:pPr>
    </w:p>
    <w:p>
      <w:pPr>
        <w:ind w:left="160" w:right="259" w:hanging="9"/>
        <w:spacing w:after="0" w:line="235" w:lineRule="auto"/>
        <w:tabs>
          <w:tab w:leader="none" w:pos="4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53" w:lineRule="exact"/>
        <w:rPr>
          <w:rFonts w:ascii="Arial" w:cs="Arial" w:eastAsia="Arial" w:hAnsi="Arial"/>
          <w:sz w:val="18"/>
          <w:szCs w:val="18"/>
          <w:color w:val="auto"/>
        </w:rPr>
      </w:pPr>
    </w:p>
    <w:p>
      <w:pPr>
        <w:ind w:left="160" w:right="439" w:hanging="9"/>
        <w:spacing w:after="0" w:line="235" w:lineRule="auto"/>
        <w:tabs>
          <w:tab w:leader="none" w:pos="3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162" w:lineRule="exact"/>
        <w:rPr>
          <w:sz w:val="20"/>
          <w:szCs w:val="20"/>
          <w:color w:val="auto"/>
        </w:rPr>
      </w:pPr>
    </w:p>
    <w:p>
      <w:pPr>
        <w:ind w:left="160" w:right="359"/>
        <w:spacing w:after="0" w:line="219" w:lineRule="auto"/>
        <w:rPr>
          <w:sz w:val="20"/>
          <w:szCs w:val="20"/>
          <w:color w:val="auto"/>
        </w:rPr>
      </w:pPr>
      <w:r>
        <w:rPr>
          <w:rFonts w:ascii="Arial" w:cs="Arial" w:eastAsia="Arial" w:hAnsi="Arial"/>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77" w:lineRule="exact"/>
        <w:rPr>
          <w:sz w:val="20"/>
          <w:szCs w:val="20"/>
          <w:color w:val="auto"/>
        </w:rPr>
      </w:pPr>
    </w:p>
    <w:p>
      <w:pPr>
        <w:ind w:left="160" w:right="339" w:hanging="9"/>
        <w:spacing w:after="0" w:line="235" w:lineRule="auto"/>
        <w:tabs>
          <w:tab w:leader="none" w:pos="4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53" w:lineRule="exact"/>
        <w:rPr>
          <w:rFonts w:ascii="Arial" w:cs="Arial" w:eastAsia="Arial" w:hAnsi="Arial"/>
          <w:sz w:val="18"/>
          <w:szCs w:val="18"/>
          <w:color w:val="auto"/>
        </w:rPr>
      </w:pPr>
    </w:p>
    <w:p>
      <w:pPr>
        <w:ind w:left="400" w:hanging="249"/>
        <w:spacing w:after="0"/>
        <w:tabs>
          <w:tab w:leader="none" w:pos="4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Trustee makes no representations as to the validity or sufficiency of this Indenture or of the Securities.</w:t>
      </w:r>
    </w:p>
    <w:p>
      <w:pPr>
        <w:spacing w:after="0" w:line="88" w:lineRule="exact"/>
        <w:rPr>
          <w:rFonts w:ascii="Arial" w:cs="Arial" w:eastAsia="Arial" w:hAnsi="Arial"/>
          <w:sz w:val="17"/>
          <w:szCs w:val="17"/>
          <w:color w:val="auto"/>
        </w:rPr>
      </w:pPr>
    </w:p>
    <w:p>
      <w:pPr>
        <w:ind w:left="160" w:right="219" w:hanging="9"/>
        <w:spacing w:after="0" w:line="219" w:lineRule="auto"/>
        <w:tabs>
          <w:tab w:leader="none" w:pos="4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or for the use or application of any moneys received by any paying agent other than the Trustee.</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77" w:lineRule="exact"/>
        <w:rPr>
          <w:sz w:val="20"/>
          <w:szCs w:val="20"/>
          <w:color w:val="auto"/>
        </w:rPr>
      </w:pPr>
    </w:p>
    <w:p>
      <w:pPr>
        <w:ind w:left="160" w:right="279"/>
        <w:spacing w:after="0" w:line="289" w:lineRule="auto"/>
        <w:rPr>
          <w:sz w:val="20"/>
          <w:szCs w:val="20"/>
          <w:color w:val="auto"/>
        </w:rPr>
      </w:pPr>
      <w:r>
        <w:rPr>
          <w:rFonts w:ascii="Arial" w:cs="Arial" w:eastAsia="Arial" w:hAnsi="Arial"/>
          <w:sz w:val="16"/>
          <w:szCs w:val="16"/>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ind w:left="160" w:right="459"/>
        <w:spacing w:after="0" w:line="232" w:lineRule="auto"/>
        <w:rPr>
          <w:sz w:val="20"/>
          <w:szCs w:val="20"/>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11.05</w:t>
      </w:r>
      <w:r>
        <w:rPr>
          <w:rFonts w:ascii="Arial" w:cs="Arial" w:eastAsia="Arial" w:hAnsi="Arial"/>
          <w:sz w:val="17"/>
          <w:szCs w:val="17"/>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77" w:lineRule="exact"/>
        <w:rPr>
          <w:sz w:val="20"/>
          <w:szCs w:val="20"/>
          <w:color w:val="auto"/>
        </w:rPr>
      </w:pPr>
    </w:p>
    <w:p>
      <w:pPr>
        <w:ind w:left="160" w:right="179" w:hanging="9"/>
        <w:spacing w:after="0" w:line="233" w:lineRule="auto"/>
        <w:tabs>
          <w:tab w:leader="none" w:pos="40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62" w:lineRule="exact"/>
        <w:rPr>
          <w:rFonts w:ascii="Arial" w:cs="Arial" w:eastAsia="Arial" w:hAnsi="Arial"/>
          <w:sz w:val="16"/>
          <w:szCs w:val="16"/>
          <w:color w:val="auto"/>
        </w:rPr>
      </w:pPr>
    </w:p>
    <w:p>
      <w:pPr>
        <w:ind w:left="160" w:right="179" w:hanging="9"/>
        <w:spacing w:after="0" w:line="249" w:lineRule="auto"/>
        <w:tabs>
          <w:tab w:leader="none" w:pos="4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46" w:lineRule="exact"/>
        <w:rPr>
          <w:rFonts w:ascii="Arial" w:cs="Arial" w:eastAsia="Arial" w:hAnsi="Arial"/>
          <w:sz w:val="16"/>
          <w:szCs w:val="16"/>
          <w:color w:val="auto"/>
        </w:rPr>
      </w:pPr>
    </w:p>
    <w:p>
      <w:pPr>
        <w:ind w:left="160" w:right="279" w:hanging="9"/>
        <w:spacing w:after="0" w:line="225" w:lineRule="auto"/>
        <w:tabs>
          <w:tab w:leader="none" w:pos="405"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Arial" w:cs="Arial" w:eastAsia="Arial" w:hAnsi="Arial"/>
          <w:sz w:val="17"/>
          <w:szCs w:val="17"/>
          <w:u w:val="single" w:color="auto"/>
          <w:color w:val="auto"/>
        </w:rPr>
        <w:t>Section 6.01(a)(4)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w:t>
      </w:r>
      <w:r>
        <w:rPr>
          <w:rFonts w:ascii="Arial" w:cs="Arial" w:eastAsia="Arial" w:hAnsi="Arial"/>
          <w:sz w:val="17"/>
          <w:szCs w:val="17"/>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shall survive the termination of this Indenture and the earlier resignation or removal of the Trustee.</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Reliance on Officer’s Certificate or Opinion of Counsel</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11" w:lineRule="auto"/>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77" w:lineRule="exact"/>
        <w:rPr>
          <w:sz w:val="20"/>
          <w:szCs w:val="20"/>
          <w:color w:val="auto"/>
        </w:rPr>
      </w:pPr>
    </w:p>
    <w:p>
      <w:pPr>
        <w:ind w:left="160" w:right="239"/>
        <w:spacing w:after="0" w:line="224"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77" w:lineRule="exact"/>
        <w:rPr>
          <w:sz w:val="20"/>
          <w:szCs w:val="20"/>
          <w:color w:val="auto"/>
        </w:rPr>
      </w:pPr>
    </w:p>
    <w:p>
      <w:pPr>
        <w:ind w:left="160" w:right="739"/>
        <w:spacing w:after="0" w:line="289"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3" w:name="page64"/>
    <w:bookmarkEnd w:id="63"/>
    <w:p>
      <w:pPr>
        <w:ind w:left="160" w:right="319"/>
        <w:spacing w:after="0" w:line="219" w:lineRule="auto"/>
        <w:rPr>
          <w:sz w:val="20"/>
          <w:szCs w:val="20"/>
          <w:color w:val="auto"/>
        </w:rPr>
      </w:pPr>
      <w:r>
        <w:rPr>
          <w:rFonts w:ascii="Arial" w:cs="Arial" w:eastAsia="Arial" w:hAnsi="Arial"/>
          <w:sz w:val="18"/>
          <w:szCs w:val="18"/>
          <w:color w:val="auto"/>
        </w:rPr>
        <w:t>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3" w:lineRule="exact"/>
        <w:rPr>
          <w:sz w:val="20"/>
          <w:szCs w:val="20"/>
          <w:color w:val="auto"/>
        </w:rPr>
      </w:pPr>
    </w:p>
    <w:p>
      <w:pPr>
        <w:ind w:left="160" w:right="339"/>
        <w:spacing w:after="0" w:line="225" w:lineRule="auto"/>
        <w:rPr>
          <w:sz w:val="20"/>
          <w:szCs w:val="20"/>
          <w:color w:val="auto"/>
        </w:rPr>
      </w:pPr>
      <w:r>
        <w:rPr>
          <w:rFonts w:ascii="Arial" w:cs="Arial" w:eastAsia="Arial" w:hAnsi="Arial"/>
          <w:sz w:val="17"/>
          <w:szCs w:val="17"/>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Arial" w:cs="Arial" w:eastAsia="Arial" w:hAnsi="Arial"/>
          <w:sz w:val="17"/>
          <w:szCs w:val="17"/>
          <w:u w:val="single" w:color="auto"/>
          <w:color w:val="auto"/>
        </w:rPr>
        <w:t>Section 7.10</w:t>
      </w:r>
      <w:r>
        <w:rPr>
          <w:rFonts w:ascii="Arial" w:cs="Arial" w:eastAsia="Arial" w:hAnsi="Arial"/>
          <w:sz w:val="17"/>
          <w:szCs w:val="17"/>
          <w:color w:val="auto"/>
        </w:rPr>
        <w:t>.</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34" w:lineRule="auto"/>
        <w:tabs>
          <w:tab w:leader="none" w:pos="4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2" w:lineRule="exact"/>
        <w:rPr>
          <w:rFonts w:ascii="Arial" w:cs="Arial" w:eastAsia="Arial" w:hAnsi="Arial"/>
          <w:sz w:val="16"/>
          <w:szCs w:val="16"/>
          <w:color w:val="auto"/>
        </w:rPr>
      </w:pPr>
    </w:p>
    <w:p>
      <w:pPr>
        <w:ind w:left="400" w:hanging="249"/>
        <w:spacing w:after="0"/>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77" w:lineRule="exact"/>
        <w:rPr>
          <w:sz w:val="20"/>
          <w:szCs w:val="20"/>
          <w:color w:val="auto"/>
        </w:rPr>
      </w:pPr>
    </w:p>
    <w:p>
      <w:pPr>
        <w:ind w:left="160" w:right="319" w:hanging="9"/>
        <w:spacing w:after="0" w:line="289" w:lineRule="auto"/>
        <w:tabs>
          <w:tab w:leader="none" w:pos="375"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Trustee shall fail to comply with the provisions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after written request therefor by the Company or by any Securityholder who has been a bona fide holder of a Security or Securities for at least six months; or</w:t>
      </w:r>
    </w:p>
    <w:p>
      <w:pPr>
        <w:spacing w:after="0" w:line="16" w:lineRule="exact"/>
        <w:rPr>
          <w:rFonts w:ascii="Arial" w:cs="Arial" w:eastAsia="Arial" w:hAnsi="Arial"/>
          <w:sz w:val="16"/>
          <w:szCs w:val="16"/>
          <w:color w:val="auto"/>
        </w:rPr>
      </w:pPr>
    </w:p>
    <w:p>
      <w:pPr>
        <w:ind w:left="160" w:right="379" w:hanging="9"/>
        <w:spacing w:after="0" w:line="235" w:lineRule="auto"/>
        <w:tabs>
          <w:tab w:leader="none" w:pos="42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in accordance with the provisions of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shall fail to resign after written request therefor by the Company or by any such Securityholder; or</w:t>
      </w:r>
    </w:p>
    <w:p>
      <w:pPr>
        <w:spacing w:after="0" w:line="53" w:lineRule="exact"/>
        <w:rPr>
          <w:rFonts w:ascii="Arial" w:cs="Arial" w:eastAsia="Arial" w:hAnsi="Arial"/>
          <w:sz w:val="18"/>
          <w:szCs w:val="18"/>
          <w:color w:val="auto"/>
        </w:rPr>
      </w:pPr>
    </w:p>
    <w:p>
      <w:pPr>
        <w:ind w:left="160" w:right="179" w:hanging="9"/>
        <w:spacing w:after="0" w:line="219" w:lineRule="auto"/>
        <w:tabs>
          <w:tab w:leader="none" w:pos="4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3" w:lineRule="exact"/>
        <w:rPr>
          <w:sz w:val="20"/>
          <w:szCs w:val="20"/>
          <w:color w:val="auto"/>
        </w:rPr>
      </w:pPr>
    </w:p>
    <w:p>
      <w:pPr>
        <w:ind w:left="160" w:right="179"/>
        <w:spacing w:after="0" w:line="212" w:lineRule="auto"/>
        <w:rPr>
          <w:sz w:val="20"/>
          <w:szCs w:val="20"/>
          <w:color w:val="auto"/>
        </w:rPr>
      </w:pPr>
      <w:r>
        <w:rPr>
          <w:rFonts w:ascii="Arial" w:cs="Arial" w:eastAsia="Arial" w:hAnsi="Arial"/>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57" w:lineRule="exact"/>
        <w:rPr>
          <w:sz w:val="20"/>
          <w:szCs w:val="20"/>
          <w:color w:val="auto"/>
        </w:rPr>
      </w:pPr>
    </w:p>
    <w:p>
      <w:pPr>
        <w:jc w:val="both"/>
        <w:ind w:left="160" w:right="159" w:hanging="9"/>
        <w:spacing w:after="0" w:line="224" w:lineRule="auto"/>
        <w:tabs>
          <w:tab w:leader="none" w:pos="4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55" w:lineRule="exact"/>
        <w:rPr>
          <w:rFonts w:ascii="Arial" w:cs="Arial" w:eastAsia="Arial" w:hAnsi="Arial"/>
          <w:sz w:val="18"/>
          <w:szCs w:val="18"/>
          <w:color w:val="auto"/>
        </w:rPr>
      </w:pPr>
    </w:p>
    <w:p>
      <w:pPr>
        <w:ind w:left="160" w:right="319" w:hanging="9"/>
        <w:spacing w:after="0" w:line="224" w:lineRule="auto"/>
        <w:tabs>
          <w:tab w:leader="none" w:pos="4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55" w:lineRule="exact"/>
        <w:rPr>
          <w:rFonts w:ascii="Arial" w:cs="Arial" w:eastAsia="Arial" w:hAnsi="Arial"/>
          <w:sz w:val="18"/>
          <w:szCs w:val="18"/>
          <w:color w:val="auto"/>
        </w:rPr>
      </w:pPr>
    </w:p>
    <w:p>
      <w:pPr>
        <w:ind w:left="160" w:right="419" w:hanging="9"/>
        <w:spacing w:after="0" w:line="224" w:lineRule="auto"/>
        <w:tabs>
          <w:tab w:leader="none" w:pos="4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ind w:left="1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37" w:lineRule="auto"/>
        <w:tabs>
          <w:tab w:leader="none" w:pos="40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9" w:lineRule="exact"/>
        <w:rPr>
          <w:rFonts w:ascii="Arial" w:cs="Arial" w:eastAsia="Arial" w:hAnsi="Arial"/>
          <w:sz w:val="16"/>
          <w:szCs w:val="16"/>
          <w:color w:val="auto"/>
        </w:rPr>
      </w:pPr>
    </w:p>
    <w:p>
      <w:pPr>
        <w:ind w:left="160" w:right="159" w:hanging="9"/>
        <w:spacing w:after="0" w:line="232" w:lineRule="auto"/>
        <w:tabs>
          <w:tab w:leader="none" w:pos="4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55" w:lineRule="exact"/>
        <w:rPr>
          <w:rFonts w:ascii="Arial" w:cs="Arial" w:eastAsia="Arial" w:hAnsi="Arial"/>
          <w:sz w:val="16"/>
          <w:szCs w:val="16"/>
          <w:color w:val="auto"/>
        </w:rPr>
      </w:pPr>
    </w:p>
    <w:p>
      <w:pPr>
        <w:jc w:val="both"/>
        <w:ind w:left="160" w:right="359" w:hanging="9"/>
        <w:spacing w:after="0" w:line="239" w:lineRule="auto"/>
        <w:tabs>
          <w:tab w:leader="none" w:pos="405" w:val="left"/>
        </w:tabs>
        <w:numPr>
          <w:ilvl w:val="0"/>
          <w:numId w:val="80"/>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w:t>
      </w:r>
    </w:p>
    <w:p>
      <w:pPr>
        <w:ind w:left="400" w:hanging="249"/>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 (b) of this Section, as the case may be.</w:t>
      </w:r>
    </w:p>
    <w:p>
      <w:pPr>
        <w:spacing w:after="0" w:line="60" w:lineRule="exact"/>
        <w:rPr>
          <w:rFonts w:ascii="Arial" w:cs="Arial" w:eastAsia="Arial" w:hAnsi="Arial"/>
          <w:sz w:val="18"/>
          <w:szCs w:val="18"/>
          <w:color w:val="auto"/>
        </w:rPr>
      </w:pPr>
    </w:p>
    <w:p>
      <w:pPr>
        <w:ind w:left="160" w:right="139" w:hanging="9"/>
        <w:spacing w:after="0" w:line="235" w:lineRule="auto"/>
        <w:tabs>
          <w:tab w:leader="none" w:pos="4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53" w:lineRule="exact"/>
        <w:rPr>
          <w:rFonts w:ascii="Arial" w:cs="Arial" w:eastAsia="Arial" w:hAnsi="Arial"/>
          <w:sz w:val="18"/>
          <w:szCs w:val="18"/>
          <w:color w:val="auto"/>
        </w:rPr>
      </w:pPr>
    </w:p>
    <w:p>
      <w:pPr>
        <w:ind w:left="160" w:right="299" w:hanging="9"/>
        <w:spacing w:after="0" w:line="216" w:lineRule="auto"/>
        <w:tabs>
          <w:tab w:leader="none" w:pos="4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39"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corporation shall be qualified under the provisions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and eligible under the provisions of </w:t>
      </w:r>
      <w:r>
        <w:rPr>
          <w:rFonts w:ascii="Arial" w:cs="Arial" w:eastAsia="Arial" w:hAnsi="Arial"/>
          <w:sz w:val="16"/>
          <w:szCs w:val="16"/>
          <w:u w:val="single" w:color="auto"/>
          <w:color w:val="auto"/>
        </w:rPr>
        <w:t>Section 7.09</w:t>
      </w:r>
      <w:r>
        <w:rPr>
          <w:rFonts w:ascii="Arial" w:cs="Arial" w:eastAsia="Arial" w:hAnsi="Arial"/>
          <w:sz w:val="16"/>
          <w:szCs w:val="16"/>
          <w:color w:val="auto"/>
        </w:rPr>
        <w:t>, without the execution or filing of any paper or any further act on the part of any of the parties hereto, anything herein to the contrary notwithstanding. In case any Securities shall have been authenticated, but not delivered, by the Trustee then in</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5" w:name="page66"/>
    <w:bookmarkEnd w:id="65"/>
    <w:p>
      <w:pPr>
        <w:ind w:left="160" w:right="519"/>
        <w:spacing w:after="0" w:line="224" w:lineRule="auto"/>
        <w:rPr>
          <w:sz w:val="20"/>
          <w:szCs w:val="20"/>
          <w:color w:val="auto"/>
        </w:rPr>
      </w:pPr>
      <w:r>
        <w:rPr>
          <w:rFonts w:ascii="Arial" w:cs="Arial" w:eastAsia="Arial" w:hAnsi="Arial"/>
          <w:sz w:val="18"/>
          <w:szCs w:val="18"/>
          <w:color w:val="auto"/>
        </w:rPr>
        <w:t>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77" w:lineRule="exact"/>
        <w:rPr>
          <w:sz w:val="20"/>
          <w:szCs w:val="20"/>
          <w:color w:val="auto"/>
        </w:rPr>
      </w:pPr>
    </w:p>
    <w:p>
      <w:pPr>
        <w:ind w:left="160" w:right="319"/>
        <w:spacing w:after="0" w:line="224"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77" w:lineRule="exact"/>
        <w:rPr>
          <w:sz w:val="20"/>
          <w:szCs w:val="20"/>
          <w:color w:val="auto"/>
        </w:rPr>
      </w:pPr>
    </w:p>
    <w:p>
      <w:pPr>
        <w:ind w:left="160" w:right="219"/>
        <w:spacing w:after="0" w:line="239" w:lineRule="auto"/>
        <w:rPr>
          <w:sz w:val="20"/>
          <w:szCs w:val="20"/>
          <w:color w:val="auto"/>
        </w:rPr>
      </w:pPr>
      <w:r>
        <w:rPr>
          <w:rFonts w:ascii="Arial" w:cs="Arial" w:eastAsia="Arial" w:hAnsi="Arial"/>
          <w:sz w:val="16"/>
          <w:szCs w:val="16"/>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jc w:val="center"/>
        <w:spacing w:after="0"/>
        <w:rPr>
          <w:sz w:val="20"/>
          <w:szCs w:val="20"/>
          <w:color w:val="auto"/>
        </w:rPr>
      </w:pPr>
      <w:r>
        <w:rPr>
          <w:rFonts w:ascii="Arial" w:cs="Arial" w:eastAsia="Arial" w:hAnsi="Arial"/>
          <w:sz w:val="18"/>
          <w:szCs w:val="18"/>
          <w:b w:val="1"/>
          <w:bCs w:val="1"/>
          <w:color w:val="auto"/>
        </w:rPr>
        <w:t>CONCERNING THE SECURITYHOLDERS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w:t>
      </w:r>
    </w:p>
    <w:p>
      <w:pPr>
        <w:spacing w:after="0" w:line="77" w:lineRule="exact"/>
        <w:rPr>
          <w:sz w:val="20"/>
          <w:szCs w:val="20"/>
          <w:color w:val="auto"/>
        </w:rPr>
      </w:pPr>
    </w:p>
    <w:p>
      <w:pPr>
        <w:ind w:left="160" w:right="279"/>
        <w:spacing w:after="0" w:line="214" w:lineRule="auto"/>
        <w:rPr>
          <w:sz w:val="20"/>
          <w:szCs w:val="20"/>
          <w:color w:val="auto"/>
        </w:rPr>
      </w:pPr>
      <w:r>
        <w:rPr>
          <w:rFonts w:ascii="Arial" w:cs="Arial" w:eastAsia="Arial" w:hAnsi="Arial"/>
          <w:sz w:val="18"/>
          <w:szCs w:val="18"/>
          <w:color w:val="auto"/>
        </w:rPr>
        <w:t xml:space="preserve">Whenever in this Indenture it 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62" w:lineRule="exact"/>
        <w:rPr>
          <w:sz w:val="20"/>
          <w:szCs w:val="20"/>
          <w:color w:val="auto"/>
        </w:rPr>
      </w:pPr>
    </w:p>
    <w:p>
      <w:pPr>
        <w:ind w:left="160" w:right="159"/>
        <w:spacing w:after="0" w:line="234" w:lineRule="auto"/>
        <w:rPr>
          <w:sz w:val="20"/>
          <w:szCs w:val="20"/>
          <w:color w:val="auto"/>
        </w:rPr>
      </w:pPr>
      <w:r>
        <w:rPr>
          <w:rFonts w:ascii="Arial" w:cs="Arial" w:eastAsia="Arial" w:hAnsi="Arial"/>
          <w:sz w:val="16"/>
          <w:szCs w:val="16"/>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77" w:lineRule="exact"/>
        <w:rPr>
          <w:sz w:val="20"/>
          <w:szCs w:val="20"/>
          <w:color w:val="auto"/>
        </w:rPr>
      </w:pPr>
    </w:p>
    <w:p>
      <w:pPr>
        <w:ind w:left="160" w:right="299"/>
        <w:spacing w:after="0" w:line="224" w:lineRule="auto"/>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7.01</w:t>
      </w:r>
      <w:r>
        <w:rPr>
          <w:rFonts w:ascii="Arial" w:cs="Arial" w:eastAsia="Arial" w:hAnsi="Arial"/>
          <w:sz w:val="18"/>
          <w:szCs w:val="18"/>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55" w:lineRule="exact"/>
        <w:rPr>
          <w:sz w:val="20"/>
          <w:szCs w:val="20"/>
          <w:color w:val="auto"/>
        </w:rPr>
      </w:pPr>
    </w:p>
    <w:p>
      <w:pPr>
        <w:ind w:left="160" w:right="419" w:hanging="9"/>
        <w:spacing w:after="0" w:line="235" w:lineRule="auto"/>
        <w:tabs>
          <w:tab w:leader="none" w:pos="4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fact and date of the execution by any such Person of any instrument may be proved in any reasonable manner acceptable to the Trustee.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6" w:name="page67"/>
    <w:bookmarkEnd w:id="66"/>
    <w:p>
      <w:pPr>
        <w:ind w:left="160" w:right="359" w:hanging="9"/>
        <w:spacing w:after="0" w:line="224" w:lineRule="auto"/>
        <w:tabs>
          <w:tab w:leader="none" w:pos="4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25" w:lineRule="auto"/>
        <w:rPr>
          <w:sz w:val="20"/>
          <w:szCs w:val="20"/>
          <w:color w:val="auto"/>
        </w:rPr>
      </w:pPr>
      <w:r>
        <w:rPr>
          <w:rFonts w:ascii="Arial" w:cs="Arial" w:eastAsia="Arial" w:hAnsi="Arial"/>
          <w:sz w:val="17"/>
          <w:szCs w:val="17"/>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Arial" w:cs="Arial" w:eastAsia="Arial" w:hAnsi="Arial"/>
          <w:sz w:val="17"/>
          <w:szCs w:val="17"/>
          <w:u w:val="single" w:color="auto"/>
          <w:color w:val="auto"/>
        </w:rPr>
        <w:t>Section 2.03</w:t>
      </w:r>
      <w:r>
        <w:rPr>
          <w:rFonts w:ascii="Arial" w:cs="Arial" w:eastAsia="Arial" w:hAnsi="Arial"/>
          <w:sz w:val="17"/>
          <w:szCs w:val="17"/>
          <w:color w:val="auto"/>
        </w:rPr>
        <w:t>) interest on such Security and for all other purposes; and neither the Company nor the Trustee nor any paying agent nor any Security Registrar shall be affected by any notice to the contrary.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34"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35" w:lineRule="auto"/>
        <w:rPr>
          <w:sz w:val="20"/>
          <w:szCs w:val="20"/>
          <w:color w:val="auto"/>
        </w:rPr>
      </w:pPr>
      <w:r>
        <w:rPr>
          <w:rFonts w:ascii="Arial" w:cs="Arial" w:eastAsia="Arial" w:hAnsi="Arial"/>
          <w:sz w:val="16"/>
          <w:szCs w:val="16"/>
          <w:color w:val="auto"/>
        </w:rPr>
        <w:t xml:space="preserve">At any time prior to (but not after) the evidencing to the Trustee,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Arial" w:cs="Arial" w:eastAsia="Arial" w:hAnsi="Arial"/>
          <w:sz w:val="16"/>
          <w:szCs w:val="16"/>
          <w:u w:val="single" w:color="auto"/>
          <w:color w:val="auto"/>
        </w:rPr>
        <w:t>Section 8.02</w:t>
      </w:r>
      <w:r>
        <w:rPr>
          <w:rFonts w:ascii="Arial" w:cs="Arial" w:eastAsia="Arial" w:hAnsi="Arial"/>
          <w:sz w:val="16"/>
          <w:szCs w:val="16"/>
          <w:color w:val="auto"/>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77" w:lineRule="exact"/>
        <w:rPr>
          <w:sz w:val="20"/>
          <w:szCs w:val="20"/>
          <w:color w:val="auto"/>
        </w:rPr>
      </w:pPr>
    </w:p>
    <w:p>
      <w:pPr>
        <w:ind w:left="160" w:right="259"/>
        <w:spacing w:after="0" w:line="219"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55" w:lineRule="exact"/>
        <w:rPr>
          <w:sz w:val="20"/>
          <w:szCs w:val="20"/>
          <w:color w:val="auto"/>
        </w:rPr>
      </w:pPr>
    </w:p>
    <w:p>
      <w:pPr>
        <w:ind w:left="400" w:hanging="249"/>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w:t>
      </w:r>
    </w:p>
    <w:p>
      <w:pPr>
        <w:spacing w:after="0" w:line="76" w:lineRule="exact"/>
        <w:rPr>
          <w:rFonts w:ascii="Arial" w:cs="Arial" w:eastAsia="Arial" w:hAnsi="Arial"/>
          <w:sz w:val="18"/>
          <w:szCs w:val="18"/>
          <w:color w:val="auto"/>
        </w:rPr>
      </w:pPr>
    </w:p>
    <w:p>
      <w:pPr>
        <w:ind w:left="400" w:hanging="249"/>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to comply with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00" w:hanging="249"/>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7" w:name="page68"/>
    <w:bookmarkEnd w:id="67"/>
    <w:p>
      <w:pPr>
        <w:ind w:left="160" w:right="159" w:hanging="9"/>
        <w:spacing w:after="0" w:line="214" w:lineRule="auto"/>
        <w:tabs>
          <w:tab w:leader="none" w:pos="4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54" w:lineRule="exact"/>
        <w:rPr>
          <w:rFonts w:ascii="Arial" w:cs="Arial" w:eastAsia="Arial" w:hAnsi="Arial"/>
          <w:sz w:val="18"/>
          <w:szCs w:val="18"/>
          <w:color w:val="auto"/>
        </w:rPr>
      </w:pPr>
    </w:p>
    <w:p>
      <w:pPr>
        <w:ind w:left="160" w:right="639" w:hanging="9"/>
        <w:spacing w:after="0" w:line="235" w:lineRule="auto"/>
        <w:tabs>
          <w:tab w:leader="none" w:pos="4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53" w:lineRule="exact"/>
        <w:rPr>
          <w:rFonts w:ascii="Arial" w:cs="Arial" w:eastAsia="Arial" w:hAnsi="Arial"/>
          <w:sz w:val="18"/>
          <w:szCs w:val="18"/>
          <w:color w:val="auto"/>
        </w:rPr>
      </w:pPr>
    </w:p>
    <w:p>
      <w:pPr>
        <w:ind w:left="380" w:hanging="229"/>
        <w:spacing w:after="0"/>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76" w:lineRule="exact"/>
        <w:rPr>
          <w:rFonts w:ascii="Arial" w:cs="Arial" w:eastAsia="Arial" w:hAnsi="Arial"/>
          <w:sz w:val="18"/>
          <w:szCs w:val="18"/>
          <w:color w:val="auto"/>
        </w:rPr>
      </w:pPr>
    </w:p>
    <w:p>
      <w:pPr>
        <w:ind w:left="160" w:right="219" w:hanging="9"/>
        <w:spacing w:after="0" w:line="238" w:lineRule="auto"/>
        <w:tabs>
          <w:tab w:leader="none" w:pos="41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to provide for the issuance of and establish the form and terms and conditions of the Securities of any series as provided in </w:t>
      </w:r>
      <w:r>
        <w:rPr>
          <w:rFonts w:ascii="Arial" w:cs="Arial" w:eastAsia="Arial" w:hAnsi="Arial"/>
          <w:sz w:val="17"/>
          <w:szCs w:val="17"/>
          <w:u w:val="single" w:color="auto"/>
          <w:color w:val="auto"/>
        </w:rPr>
        <w:t>Section 2.01</w:t>
      </w:r>
      <w:r>
        <w:rPr>
          <w:rFonts w:ascii="Arial" w:cs="Arial" w:eastAsia="Arial" w:hAnsi="Arial"/>
          <w:sz w:val="17"/>
          <w:szCs w:val="17"/>
          <w:color w:val="auto"/>
        </w:rPr>
        <w:t>, to establish the form of any certifications required to be furnished pursuant to the terms of this Indenture or any series of Securities, or to add to the rights of the holders of any series of Securities;</w:t>
      </w:r>
    </w:p>
    <w:p>
      <w:pPr>
        <w:spacing w:after="0" w:line="53" w:lineRule="exact"/>
        <w:rPr>
          <w:rFonts w:ascii="Arial" w:cs="Arial" w:eastAsia="Arial" w:hAnsi="Arial"/>
          <w:sz w:val="17"/>
          <w:szCs w:val="17"/>
          <w:color w:val="auto"/>
        </w:rPr>
      </w:pPr>
    </w:p>
    <w:p>
      <w:pPr>
        <w:ind w:left="160" w:right="299" w:hanging="9"/>
        <w:spacing w:after="0" w:line="235" w:lineRule="auto"/>
        <w:tabs>
          <w:tab w:leader="none" w:pos="4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appoint a separate trustee with respect to any series; or</w:t>
      </w:r>
    </w:p>
    <w:p>
      <w:pPr>
        <w:spacing w:after="0" w:line="161" w:lineRule="exact"/>
        <w:rPr>
          <w:rFonts w:ascii="Arial" w:cs="Arial" w:eastAsia="Arial" w:hAnsi="Arial"/>
          <w:sz w:val="18"/>
          <w:szCs w:val="18"/>
          <w:color w:val="auto"/>
        </w:rPr>
      </w:pPr>
    </w:p>
    <w:p>
      <w:pPr>
        <w:ind w:left="160" w:right="519" w:hanging="9"/>
        <w:spacing w:after="0" w:line="235" w:lineRule="auto"/>
        <w:tabs>
          <w:tab w:leader="none" w:pos="3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left="160" w:right="239"/>
        <w:spacing w:after="0" w:line="219"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55" w:lineRule="exact"/>
        <w:rPr>
          <w:sz w:val="20"/>
          <w:szCs w:val="20"/>
          <w:color w:val="auto"/>
        </w:rPr>
      </w:pPr>
    </w:p>
    <w:p>
      <w:pPr>
        <w:ind w:left="160" w:right="379"/>
        <w:spacing w:after="0" w:line="224" w:lineRule="auto"/>
        <w:rPr>
          <w:sz w:val="20"/>
          <w:szCs w:val="20"/>
          <w:color w:val="auto"/>
        </w:rPr>
      </w:pPr>
      <w:r>
        <w:rPr>
          <w:rFonts w:ascii="Arial" w:cs="Arial" w:eastAsia="Arial" w:hAnsi="Arial"/>
          <w:sz w:val="18"/>
          <w:szCs w:val="18"/>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35" w:lineRule="auto"/>
        <w:rPr>
          <w:sz w:val="20"/>
          <w:szCs w:val="20"/>
          <w:color w:val="auto"/>
        </w:rPr>
      </w:pPr>
      <w:r>
        <w:rPr>
          <w:rFonts w:ascii="Arial" w:cs="Arial" w:eastAsia="Arial" w:hAnsi="Arial"/>
          <w:sz w:val="16"/>
          <w:szCs w:val="16"/>
          <w:color w:val="auto"/>
        </w:rPr>
        <w:t xml:space="preserve">With the consent (evidenced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the rights of the holders of the Securities of such series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6" w:lineRule="exact"/>
        <w:rPr>
          <w:sz w:val="20"/>
          <w:szCs w:val="20"/>
          <w:color w:val="auto"/>
        </w:rPr>
      </w:pPr>
    </w:p>
    <w:p>
      <w:pPr>
        <w:ind w:left="160" w:right="539"/>
        <w:spacing w:after="0" w:line="249" w:lineRule="auto"/>
        <w:rPr>
          <w:sz w:val="20"/>
          <w:szCs w:val="20"/>
          <w:color w:val="auto"/>
        </w:rPr>
      </w:pPr>
      <w:r>
        <w:rPr>
          <w:rFonts w:ascii="Arial" w:cs="Arial" w:eastAsia="Arial" w:hAnsi="Arial"/>
          <w:sz w:val="16"/>
          <w:szCs w:val="16"/>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44" w:lineRule="auto"/>
        <w:rPr>
          <w:sz w:val="20"/>
          <w:szCs w:val="20"/>
          <w:color w:val="auto"/>
        </w:rPr>
      </w:pPr>
      <w:r>
        <w:rPr>
          <w:rFonts w:ascii="Arial" w:cs="Arial" w:eastAsia="Arial" w:hAnsi="Arial"/>
          <w:sz w:val="16"/>
          <w:szCs w:val="16"/>
          <w:color w:val="auto"/>
        </w:rPr>
        <w:t xml:space="preserve">Upon the execution of any supplemental indenture pursuant to the provisions of this Article or of </w:t>
      </w:r>
      <w:r>
        <w:rPr>
          <w:rFonts w:ascii="Arial" w:cs="Arial" w:eastAsia="Arial" w:hAnsi="Arial"/>
          <w:sz w:val="16"/>
          <w:szCs w:val="16"/>
          <w:u w:val="single" w:color="auto"/>
          <w:color w:val="auto"/>
        </w:rPr>
        <w:t>Section 10.01</w:t>
      </w:r>
      <w:r>
        <w:rPr>
          <w:rFonts w:ascii="Arial" w:cs="Arial" w:eastAsia="Arial" w:hAnsi="Arial"/>
          <w:sz w:val="16"/>
          <w:szCs w:val="16"/>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8" w:name="page69"/>
    <w:bookmarkEnd w:id="68"/>
    <w:p>
      <w:pPr>
        <w:ind w:left="160" w:right="259"/>
        <w:spacing w:after="0" w:line="235" w:lineRule="auto"/>
        <w:rPr>
          <w:sz w:val="20"/>
          <w:szCs w:val="20"/>
          <w:color w:val="auto"/>
        </w:rPr>
      </w:pPr>
      <w:r>
        <w:rPr>
          <w:rFonts w:ascii="Arial" w:cs="Arial" w:eastAsia="Arial" w:hAnsi="Arial"/>
          <w:sz w:val="18"/>
          <w:szCs w:val="18"/>
          <w:color w:val="auto"/>
        </w:rPr>
        <w:t>and conditions of any such supplemental indenture shall be and be deemed to be part of the terms and conditions of this Indenture for any and all purposes with respect to such series.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Securities Affected by Supplemental Indentures</w:t>
      </w:r>
      <w:r>
        <w:rPr>
          <w:rFonts w:ascii="Arial" w:cs="Arial" w:eastAsia="Arial" w:hAnsi="Arial"/>
          <w:sz w:val="18"/>
          <w:szCs w:val="18"/>
          <w:color w:val="auto"/>
        </w:rPr>
        <w:t>.</w:t>
      </w:r>
    </w:p>
    <w:p>
      <w:pPr>
        <w:spacing w:after="0" w:line="77" w:lineRule="exact"/>
        <w:rPr>
          <w:sz w:val="20"/>
          <w:szCs w:val="20"/>
          <w:color w:val="auto"/>
        </w:rPr>
      </w:pPr>
    </w:p>
    <w:p>
      <w:pPr>
        <w:ind w:left="160" w:right="279"/>
        <w:spacing w:after="0" w:line="239" w:lineRule="auto"/>
        <w:rPr>
          <w:sz w:val="20"/>
          <w:szCs w:val="20"/>
          <w:color w:val="auto"/>
        </w:rPr>
      </w:pPr>
      <w:r>
        <w:rPr>
          <w:rFonts w:ascii="Arial" w:cs="Arial" w:eastAsia="Arial" w:hAnsi="Arial"/>
          <w:sz w:val="16"/>
          <w:szCs w:val="16"/>
          <w:color w:val="auto"/>
        </w:rPr>
        <w:t xml:space="preserve">Securities of any series affected by a supplemental indenture, authenticated and delivered after the execution of such supplemental indenture pursuant to the provisions of this Article or of </w:t>
      </w:r>
      <w:r>
        <w:rPr>
          <w:rFonts w:ascii="Arial" w:cs="Arial" w:eastAsia="Arial" w:hAnsi="Arial"/>
          <w:sz w:val="16"/>
          <w:szCs w:val="16"/>
          <w:u w:val="single" w:color="auto"/>
          <w:color w:val="auto"/>
        </w:rPr>
        <w:t>Section 10.01</w:t>
      </w:r>
      <w:r>
        <w:rPr>
          <w:rFonts w:ascii="Arial" w:cs="Arial" w:eastAsia="Arial" w:hAnsi="Arial"/>
          <w:sz w:val="16"/>
          <w:szCs w:val="16"/>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77" w:lineRule="exact"/>
        <w:rPr>
          <w:sz w:val="20"/>
          <w:szCs w:val="20"/>
          <w:color w:val="auto"/>
        </w:rPr>
      </w:pPr>
    </w:p>
    <w:p>
      <w:pPr>
        <w:ind w:left="160" w:right="279"/>
        <w:spacing w:after="0" w:line="236"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63" w:lineRule="exact"/>
        <w:rPr>
          <w:sz w:val="20"/>
          <w:szCs w:val="20"/>
          <w:color w:val="auto"/>
        </w:rPr>
      </w:pPr>
    </w:p>
    <w:p>
      <w:pPr>
        <w:ind w:left="160" w:right="259"/>
        <w:spacing w:after="0" w:line="214"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10</w:t>
      </w:r>
    </w:p>
    <w:p>
      <w:pPr>
        <w:jc w:val="center"/>
        <w:ind w:right="-20"/>
        <w:spacing w:after="0"/>
        <w:rPr>
          <w:sz w:val="20"/>
          <w:szCs w:val="20"/>
          <w:color w:val="auto"/>
        </w:rPr>
      </w:pPr>
      <w:r>
        <w:rPr>
          <w:rFonts w:ascii="Arial" w:cs="Arial" w:eastAsia="Arial" w:hAnsi="Arial"/>
          <w:sz w:val="18"/>
          <w:szCs w:val="18"/>
          <w:b w:val="1"/>
          <w:bCs w:val="1"/>
          <w:color w:val="auto"/>
        </w:rPr>
        <w:t>SUCCESSOR ENTITY</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19" w:lineRule="auto"/>
        <w:rPr>
          <w:sz w:val="20"/>
          <w:szCs w:val="20"/>
          <w:color w:val="auto"/>
        </w:rPr>
      </w:pPr>
      <w:r>
        <w:rPr>
          <w:rFonts w:ascii="Arial" w:cs="Arial" w:eastAsia="Arial" w:hAnsi="Arial"/>
          <w:sz w:val="17"/>
          <w:szCs w:val="17"/>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9" w:name="page70"/>
    <w:bookmarkEnd w:id="69"/>
    <w:p>
      <w:pPr>
        <w:ind w:left="160" w:right="159"/>
        <w:spacing w:after="0" w:line="225" w:lineRule="auto"/>
        <w:rPr>
          <w:sz w:val="20"/>
          <w:szCs w:val="20"/>
          <w:color w:val="auto"/>
        </w:rPr>
      </w:pPr>
      <w:r>
        <w:rPr>
          <w:rFonts w:ascii="Arial" w:cs="Arial" w:eastAsia="Arial" w:hAnsi="Arial"/>
          <w:sz w:val="17"/>
          <w:szCs w:val="17"/>
          <w:color w:val="auto"/>
        </w:rPr>
        <w:t>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77" w:lineRule="exact"/>
        <w:rPr>
          <w:sz w:val="20"/>
          <w:szCs w:val="20"/>
          <w:color w:val="auto"/>
        </w:rPr>
      </w:pPr>
    </w:p>
    <w:p>
      <w:pPr>
        <w:ind w:left="160" w:right="179" w:hanging="9"/>
        <w:spacing w:after="0" w:line="244" w:lineRule="auto"/>
        <w:tabs>
          <w:tab w:leader="none" w:pos="4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50" w:lineRule="exact"/>
        <w:rPr>
          <w:rFonts w:ascii="Arial" w:cs="Arial" w:eastAsia="Arial" w:hAnsi="Arial"/>
          <w:sz w:val="16"/>
          <w:szCs w:val="16"/>
          <w:color w:val="auto"/>
        </w:rPr>
      </w:pPr>
    </w:p>
    <w:p>
      <w:pPr>
        <w:ind w:left="160" w:right="179" w:hanging="9"/>
        <w:spacing w:after="0" w:line="289" w:lineRule="auto"/>
        <w:tabs>
          <w:tab w:leader="none" w:pos="4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 w:lineRule="exact"/>
        <w:rPr>
          <w:rFonts w:ascii="Arial" w:cs="Arial" w:eastAsia="Arial" w:hAnsi="Arial"/>
          <w:sz w:val="16"/>
          <w:szCs w:val="16"/>
          <w:color w:val="auto"/>
        </w:rPr>
      </w:pPr>
    </w:p>
    <w:p>
      <w:pPr>
        <w:jc w:val="both"/>
        <w:ind w:left="160" w:right="159" w:hanging="9"/>
        <w:spacing w:after="0" w:line="219" w:lineRule="auto"/>
        <w:tabs>
          <w:tab w:leader="none" w:pos="4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18" w:lineRule="auto"/>
        <w:rPr>
          <w:sz w:val="20"/>
          <w:szCs w:val="20"/>
          <w:color w:val="auto"/>
        </w:rPr>
      </w:pPr>
      <w:r>
        <w:rPr>
          <w:rFonts w:ascii="Arial" w:cs="Arial" w:eastAsia="Arial" w:hAnsi="Arial"/>
          <w:sz w:val="17"/>
          <w:szCs w:val="17"/>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2.07</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4.03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7.10</w:t>
      </w:r>
      <w:r>
        <w:rPr>
          <w:rFonts w:ascii="Arial" w:cs="Arial" w:eastAsia="Arial" w:hAnsi="Arial"/>
          <w:sz w:val="17"/>
          <w:szCs w:val="17"/>
          <w:color w:val="auto"/>
        </w:rPr>
        <w:t xml:space="preserve">, that shall survive until the date of maturity or redemption date, as the case may be, and </w:t>
      </w:r>
      <w:r>
        <w:rPr>
          <w:rFonts w:ascii="Arial" w:cs="Arial" w:eastAsia="Arial" w:hAnsi="Arial"/>
          <w:sz w:val="17"/>
          <w:szCs w:val="17"/>
          <w:u w:val="single" w:color="auto"/>
          <w:color w:val="auto"/>
        </w:rPr>
        <w:t>Sections 7.06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11.05</w:t>
      </w:r>
      <w:r>
        <w:rPr>
          <w:rFonts w:ascii="Arial" w:cs="Arial" w:eastAsia="Arial" w:hAnsi="Arial"/>
          <w:sz w:val="17"/>
          <w:szCs w:val="17"/>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Discharge of Obligations</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59" w:lineRule="auto"/>
        <w:rPr>
          <w:sz w:val="20"/>
          <w:szCs w:val="20"/>
          <w:color w:val="auto"/>
        </w:rPr>
      </w:pPr>
      <w:r>
        <w:rPr>
          <w:rFonts w:ascii="Arial" w:cs="Arial" w:eastAsia="Arial" w:hAnsi="Arial"/>
          <w:sz w:val="16"/>
          <w:szCs w:val="16"/>
          <w:color w:val="auto"/>
        </w:rPr>
        <w:t xml:space="preserve">If at any time all such Securities of a particular series not heretofore delivered to the Trustee for cancellation or that have not become due and payable as described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have been paid by the Company by depositing irrevocably with the Trustee as trust funds moneys or an amount of Governmental Obligations sufficient to pay 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0" w:name="page71"/>
    <w:bookmarkEnd w:id="70"/>
    <w:p>
      <w:pPr>
        <w:ind w:left="160" w:right="259"/>
        <w:spacing w:after="0" w:line="239" w:lineRule="auto"/>
        <w:rPr>
          <w:sz w:val="20"/>
          <w:szCs w:val="20"/>
          <w:color w:val="auto"/>
        </w:rPr>
      </w:pPr>
      <w:r>
        <w:rPr>
          <w:rFonts w:ascii="Arial" w:cs="Arial" w:eastAsia="Arial" w:hAnsi="Arial"/>
          <w:sz w:val="16"/>
          <w:szCs w:val="16"/>
          <w:color w:val="auto"/>
        </w:rPr>
        <w:t xml:space="preserve">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7.10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11.05</w:t>
      </w:r>
      <w:r>
        <w:rPr>
          <w:rFonts w:ascii="Arial" w:cs="Arial" w:eastAsia="Arial" w:hAnsi="Arial"/>
          <w:sz w:val="16"/>
          <w:szCs w:val="16"/>
          <w:color w:val="auto"/>
        </w:rPr>
        <w:t xml:space="preserve"> hereof that shall survive until such Securities shall mature and be paid.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Thereafter, </w:t>
      </w:r>
      <w:r>
        <w:rPr>
          <w:rFonts w:ascii="Arial" w:cs="Arial" w:eastAsia="Arial" w:hAnsi="Arial"/>
          <w:sz w:val="18"/>
          <w:szCs w:val="18"/>
          <w:u w:val="single" w:color="auto"/>
          <w:color w:val="auto"/>
        </w:rPr>
        <w:t>Sections 7.06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11.05</w:t>
      </w:r>
      <w:r>
        <w:rPr>
          <w:rFonts w:ascii="Arial" w:cs="Arial" w:eastAsia="Arial" w:hAnsi="Arial"/>
          <w:sz w:val="18"/>
          <w:szCs w:val="18"/>
          <w:color w:val="auto"/>
        </w:rPr>
        <w:t xml:space="preserve"> shall survive.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77" w:lineRule="exact"/>
        <w:rPr>
          <w:sz w:val="20"/>
          <w:szCs w:val="20"/>
          <w:color w:val="auto"/>
        </w:rPr>
      </w:pPr>
    </w:p>
    <w:p>
      <w:pPr>
        <w:ind w:left="160" w:right="219"/>
        <w:spacing w:after="0" w:line="232" w:lineRule="auto"/>
        <w:rPr>
          <w:sz w:val="20"/>
          <w:szCs w:val="20"/>
          <w:color w:val="auto"/>
        </w:rPr>
      </w:pPr>
      <w:r>
        <w:rPr>
          <w:rFonts w:ascii="Arial" w:cs="Arial" w:eastAsia="Arial" w:hAnsi="Arial"/>
          <w:sz w:val="17"/>
          <w:szCs w:val="17"/>
          <w:color w:val="auto"/>
        </w:rPr>
        <w:t xml:space="preserve">All moneys or Governmental Obligations deposited with the Trustee pursuant to </w:t>
      </w:r>
      <w:r>
        <w:rPr>
          <w:rFonts w:ascii="Arial" w:cs="Arial" w:eastAsia="Arial" w:hAnsi="Arial"/>
          <w:sz w:val="17"/>
          <w:szCs w:val="17"/>
          <w:u w:val="single" w:color="auto"/>
          <w:color w:val="auto"/>
        </w:rPr>
        <w:t>Sections 11.01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11.02</w:t>
      </w:r>
      <w:r>
        <w:rPr>
          <w:rFonts w:ascii="Arial" w:cs="Arial" w:eastAsia="Arial" w:hAnsi="Arial"/>
          <w:sz w:val="17"/>
          <w:szCs w:val="17"/>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19"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36"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12</w:t>
      </w:r>
    </w:p>
    <w:p>
      <w:pPr>
        <w:jc w:val="center"/>
        <w:ind w:right="-20"/>
        <w:spacing w:after="0" w:line="203" w:lineRule="auto"/>
        <w:rPr>
          <w:sz w:val="20"/>
          <w:szCs w:val="20"/>
          <w:color w:val="auto"/>
        </w:rPr>
      </w:pPr>
      <w:r>
        <w:rPr>
          <w:rFonts w:ascii="Arial" w:cs="Arial" w:eastAsia="Arial" w:hAnsi="Arial"/>
          <w:sz w:val="18"/>
          <w:szCs w:val="18"/>
          <w:b w:val="1"/>
          <w:bCs w:val="1"/>
          <w:color w:val="auto"/>
        </w:rPr>
        <w:t>IMMUNITY OF INCORPORATORS, STOCKHOLDERS, OFFICERS</w:t>
      </w:r>
    </w:p>
    <w:p>
      <w:pPr>
        <w:jc w:val="center"/>
        <w:ind w:right="-20"/>
        <w:spacing w:after="0"/>
        <w:rPr>
          <w:sz w:val="20"/>
          <w:szCs w:val="20"/>
          <w:color w:val="auto"/>
        </w:rPr>
      </w:pPr>
      <w:r>
        <w:rPr>
          <w:rFonts w:ascii="Arial" w:cs="Arial" w:eastAsia="Arial" w:hAnsi="Arial"/>
          <w:sz w:val="18"/>
          <w:szCs w:val="18"/>
          <w:b w:val="1"/>
          <w:bCs w:val="1"/>
          <w:color w:val="auto"/>
        </w:rPr>
        <w:t>AND DIRECTORS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34" w:lineRule="auto"/>
        <w:rPr>
          <w:sz w:val="20"/>
          <w:szCs w:val="20"/>
          <w:color w:val="auto"/>
        </w:rPr>
      </w:pPr>
      <w:r>
        <w:rPr>
          <w:rFonts w:ascii="Arial" w:cs="Arial" w:eastAsia="Arial" w:hAnsi="Arial"/>
          <w:sz w:val="16"/>
          <w:szCs w:val="16"/>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1" w:name="page72"/>
    <w:bookmarkEnd w:id="71"/>
    <w:p>
      <w:pPr>
        <w:ind w:left="160" w:right="719"/>
        <w:spacing w:after="0" w:line="235" w:lineRule="auto"/>
        <w:rPr>
          <w:sz w:val="20"/>
          <w:szCs w:val="20"/>
          <w:color w:val="auto"/>
        </w:rPr>
      </w:pPr>
      <w:r>
        <w:rPr>
          <w:rFonts w:ascii="Arial" w:cs="Arial" w:eastAsia="Arial" w:hAnsi="Arial"/>
          <w:sz w:val="18"/>
          <w:szCs w:val="18"/>
          <w:color w:val="auto"/>
        </w:rPr>
        <w:t>and released as a condition of, and as a consideration for, the execution of this Indenture and the issuance of such Securities.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13</w:t>
      </w:r>
    </w:p>
    <w:p>
      <w:pPr>
        <w:jc w:val="center"/>
        <w:ind w:right="-20"/>
        <w:spacing w:after="0"/>
        <w:rPr>
          <w:sz w:val="20"/>
          <w:szCs w:val="20"/>
          <w:color w:val="auto"/>
        </w:rPr>
      </w:pPr>
      <w:r>
        <w:rPr>
          <w:rFonts w:ascii="Arial" w:cs="Arial" w:eastAsia="Arial" w:hAnsi="Arial"/>
          <w:sz w:val="18"/>
          <w:szCs w:val="18"/>
          <w:b w:val="1"/>
          <w:bCs w:val="1"/>
          <w:color w:val="auto"/>
        </w:rPr>
        <w:t>MISCELLANEOUS PROVISIONS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77" w:lineRule="exact"/>
        <w:rPr>
          <w:sz w:val="20"/>
          <w:szCs w:val="20"/>
          <w:color w:val="auto"/>
        </w:rPr>
      </w:pPr>
    </w:p>
    <w:p>
      <w:pPr>
        <w:ind w:left="160" w:right="399"/>
        <w:spacing w:after="0" w:line="235"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77" w:lineRule="exact"/>
        <w:rPr>
          <w:sz w:val="20"/>
          <w:szCs w:val="20"/>
          <w:color w:val="auto"/>
        </w:rPr>
      </w:pPr>
    </w:p>
    <w:p>
      <w:pPr>
        <w:ind w:left="160" w:right="319"/>
        <w:spacing w:after="0" w:line="219"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77" w:lineRule="exact"/>
        <w:rPr>
          <w:sz w:val="20"/>
          <w:szCs w:val="20"/>
          <w:color w:val="auto"/>
        </w:rPr>
      </w:pPr>
    </w:p>
    <w:p>
      <w:pPr>
        <w:jc w:val="both"/>
        <w:ind w:left="160" w:right="239"/>
        <w:spacing w:after="0" w:line="224" w:lineRule="auto"/>
        <w:rPr>
          <w:sz w:val="20"/>
          <w:szCs w:val="20"/>
          <w:color w:val="auto"/>
        </w:rPr>
      </w:pPr>
      <w:r>
        <w:rPr>
          <w:rFonts w:ascii="Arial" w:cs="Arial" w:eastAsia="Arial" w:hAnsi="Arial"/>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35"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Blueprint Medicines Corporation, 45 Sidney Street Cambridge, Massachusetts 02139 USA, Attention: Chief Executive Officer.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Governing Law; Jury Trial Waiver</w:t>
      </w:r>
      <w:r>
        <w:rPr>
          <w:rFonts w:ascii="Arial" w:cs="Arial" w:eastAsia="Arial" w:hAnsi="Arial"/>
          <w:sz w:val="18"/>
          <w:szCs w:val="18"/>
          <w:color w:val="auto"/>
        </w:rPr>
        <w:t>.</w:t>
      </w:r>
    </w:p>
    <w:p>
      <w:pPr>
        <w:spacing w:after="0" w:line="77" w:lineRule="exact"/>
        <w:rPr>
          <w:sz w:val="20"/>
          <w:szCs w:val="20"/>
          <w:color w:val="auto"/>
        </w:rPr>
      </w:pPr>
    </w:p>
    <w:p>
      <w:pPr>
        <w:ind w:left="160" w:right="239"/>
        <w:spacing w:after="0" w:line="225" w:lineRule="auto"/>
        <w:rPr>
          <w:sz w:val="20"/>
          <w:szCs w:val="20"/>
          <w:color w:val="auto"/>
        </w:rPr>
      </w:pPr>
      <w:r>
        <w:rPr>
          <w:rFonts w:ascii="Arial" w:cs="Arial" w:eastAsia="Arial" w:hAnsi="Arial"/>
          <w:sz w:val="17"/>
          <w:szCs w:val="17"/>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w:t>
      </w:r>
    </w:p>
    <w:p>
      <w:pPr>
        <w:spacing w:after="0" w:line="77" w:lineRule="exact"/>
        <w:rPr>
          <w:sz w:val="20"/>
          <w:szCs w:val="20"/>
          <w:color w:val="auto"/>
        </w:rPr>
      </w:pPr>
    </w:p>
    <w:p>
      <w:pPr>
        <w:ind w:left="160" w:right="379"/>
        <w:spacing w:after="0" w:line="235"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38" w:lineRule="auto"/>
        <w:tabs>
          <w:tab w:leader="none" w:pos="405"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2" w:name="page73"/>
    <w:bookmarkEnd w:id="72"/>
    <w:p>
      <w:pPr>
        <w:ind w:left="160" w:right="459"/>
        <w:spacing w:after="0" w:line="258" w:lineRule="auto"/>
        <w:rPr>
          <w:sz w:val="20"/>
          <w:szCs w:val="20"/>
          <w:color w:val="auto"/>
        </w:rPr>
      </w:pPr>
      <w:r>
        <w:rPr>
          <w:rFonts w:ascii="Arial" w:cs="Arial" w:eastAsia="Arial" w:hAnsi="Arial"/>
          <w:sz w:val="17"/>
          <w:szCs w:val="17"/>
          <w:u w:val="single" w:color="auto"/>
          <w:color w:val="auto"/>
        </w:rPr>
        <w:t>Section 13.12</w:t>
      </w:r>
      <w:r>
        <w:rPr>
          <w:rFonts w:ascii="Arial" w:cs="Arial" w:eastAsia="Arial" w:hAnsi="Arial"/>
          <w:sz w:val="17"/>
          <w:szCs w:val="17"/>
          <w:color w:val="auto"/>
        </w:rPr>
        <w:t>) relating to the proposed action have been complied with and an Opinion of Counsel stating that in the opinion of such counsel all such covenants and conditions precedent have been complied with.</w:t>
      </w:r>
    </w:p>
    <w:p>
      <w:pPr>
        <w:spacing w:after="0" w:line="39" w:lineRule="exact"/>
        <w:rPr>
          <w:sz w:val="20"/>
          <w:szCs w:val="20"/>
          <w:color w:val="auto"/>
        </w:rPr>
      </w:pPr>
    </w:p>
    <w:p>
      <w:pPr>
        <w:ind w:left="160" w:right="139" w:hanging="9"/>
        <w:spacing w:after="0" w:line="239" w:lineRule="auto"/>
        <w:tabs>
          <w:tab w:leader="none" w:pos="4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23" w:lineRule="auto"/>
        <w:rPr>
          <w:sz w:val="20"/>
          <w:szCs w:val="20"/>
          <w:color w:val="auto"/>
        </w:rPr>
      </w:pPr>
      <w:r>
        <w:rPr>
          <w:rFonts w:ascii="Arial" w:cs="Arial" w:eastAsia="Arial" w:hAnsi="Arial"/>
          <w:sz w:val="17"/>
          <w:szCs w:val="17"/>
          <w:color w:val="auto"/>
        </w:rPr>
        <w:t xml:space="preserve">Except as provided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77" w:lineRule="exact"/>
        <w:rPr>
          <w:sz w:val="20"/>
          <w:szCs w:val="20"/>
          <w:color w:val="auto"/>
        </w:rPr>
      </w:pPr>
    </w:p>
    <w:p>
      <w:pPr>
        <w:ind w:left="160" w:right="259"/>
        <w:spacing w:after="0" w:line="235"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2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77" w:lineRule="exact"/>
        <w:rPr>
          <w:sz w:val="20"/>
          <w:szCs w:val="20"/>
          <w:color w:val="auto"/>
        </w:rPr>
      </w:pPr>
    </w:p>
    <w:p>
      <w:pPr>
        <w:ind w:left="160" w:right="359"/>
        <w:spacing w:after="0" w:line="249"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10" w:lineRule="auto"/>
        <w:rPr>
          <w:sz w:val="20"/>
          <w:szCs w:val="20"/>
          <w:color w:val="auto"/>
        </w:rPr>
      </w:pPr>
      <w:r>
        <w:rPr>
          <w:rFonts w:ascii="Arial" w:cs="Arial" w:eastAsia="Arial" w:hAnsi="Arial"/>
          <w:sz w:val="18"/>
          <w:szCs w:val="18"/>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Arial" w:cs="Arial" w:eastAsia="Arial" w:hAnsi="Arial"/>
          <w:sz w:val="18"/>
          <w:szCs w:val="18"/>
          <w:u w:val="single" w:color="auto"/>
          <w:color w:val="auto"/>
        </w:rPr>
        <w:t>Section 13.12</w:t>
      </w:r>
      <w:r>
        <w:rPr>
          <w:rFonts w:ascii="Arial" w:cs="Arial" w:eastAsia="Arial" w:hAnsi="Arial"/>
          <w:sz w:val="18"/>
          <w:szCs w:val="18"/>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77" w:lineRule="exact"/>
        <w:rPr>
          <w:sz w:val="20"/>
          <w:szCs w:val="20"/>
          <w:color w:val="auto"/>
        </w:rPr>
      </w:pPr>
    </w:p>
    <w:p>
      <w:pPr>
        <w:jc w:val="both"/>
        <w:ind w:left="160" w:right="539"/>
        <w:spacing w:after="0" w:line="289" w:lineRule="auto"/>
        <w:rPr>
          <w:sz w:val="20"/>
          <w:szCs w:val="20"/>
          <w:color w:val="auto"/>
        </w:rPr>
      </w:pPr>
      <w:r>
        <w:rPr>
          <w:rFonts w:ascii="Arial" w:cs="Arial" w:eastAsia="Arial" w:hAnsi="Arial"/>
          <w:sz w:val="16"/>
          <w:szCs w:val="16"/>
          <w:color w:val="auto"/>
        </w:rPr>
        <w:t>The parties hereto acknowledge that in accordance with Section 326 of the USA PATRIOT Act, the Trustee, like all financial institutions and in order to help fight the funding of terrorism and money laundering, is required to obtain,</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3" w:name="page74"/>
    <w:bookmarkEnd w:id="73"/>
    <w:p>
      <w:pPr>
        <w:ind w:left="160" w:right="279"/>
        <w:spacing w:after="0" w:line="238" w:lineRule="auto"/>
        <w:rPr>
          <w:sz w:val="20"/>
          <w:szCs w:val="20"/>
          <w:color w:val="auto"/>
        </w:rPr>
      </w:pPr>
      <w:r>
        <w:rPr>
          <w:rFonts w:ascii="Arial" w:cs="Arial" w:eastAsia="Arial" w:hAnsi="Arial"/>
          <w:sz w:val="17"/>
          <w:szCs w:val="17"/>
          <w:color w:val="auto"/>
        </w:rPr>
        <w:t>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Calculations</w:t>
      </w:r>
      <w:r>
        <w:rPr>
          <w:rFonts w:ascii="Arial" w:cs="Arial" w:eastAsia="Arial" w:hAnsi="Arial"/>
          <w:sz w:val="18"/>
          <w:szCs w:val="18"/>
          <w:color w:val="auto"/>
        </w:rPr>
        <w:t>.</w:t>
      </w:r>
    </w:p>
    <w:p>
      <w:pPr>
        <w:spacing w:after="0" w:line="77" w:lineRule="exact"/>
        <w:rPr>
          <w:sz w:val="20"/>
          <w:szCs w:val="20"/>
          <w:color w:val="auto"/>
        </w:rPr>
      </w:pPr>
    </w:p>
    <w:p>
      <w:pPr>
        <w:ind w:left="160" w:right="459"/>
        <w:spacing w:after="0" w:line="224" w:lineRule="auto"/>
        <w:rPr>
          <w:sz w:val="20"/>
          <w:szCs w:val="20"/>
          <w:color w:val="auto"/>
        </w:rPr>
      </w:pPr>
      <w:r>
        <w:rPr>
          <w:rFonts w:ascii="Arial" w:cs="Arial" w:eastAsia="Arial" w:hAnsi="Arial"/>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452120</wp:posOffset>
            </wp:positionV>
            <wp:extent cx="554863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4" w:name="page75"/>
    <w:bookmarkEnd w:id="74"/>
    <w:p>
      <w:pPr>
        <w:ind w:left="160" w:right="239"/>
        <w:spacing w:after="0" w:line="23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Indenture to be duly executed all as of the day and year</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38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4420" w:type="dxa"/>
            <w:vAlign w:val="bottom"/>
          </w:tcPr>
          <w:p>
            <w:pPr>
              <w:ind w:left="560"/>
              <w:spacing w:after="0"/>
              <w:rPr>
                <w:sz w:val="20"/>
                <w:szCs w:val="20"/>
                <w:color w:val="auto"/>
              </w:rPr>
            </w:pPr>
            <w:r>
              <w:rPr>
                <w:rFonts w:ascii="Arial" w:cs="Arial" w:eastAsia="Arial" w:hAnsi="Arial"/>
                <w:sz w:val="18"/>
                <w:szCs w:val="18"/>
                <w:b w:val="1"/>
                <w:bCs w:val="1"/>
                <w:color w:val="auto"/>
              </w:rPr>
              <w:t>BLUEPRINT MEDICINES CORPORATION</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4420" w:type="dxa"/>
            <w:vAlign w:val="bottom"/>
          </w:tcPr>
          <w:p>
            <w:pPr>
              <w:ind w:left="560"/>
              <w:spacing w:after="0"/>
              <w:rPr>
                <w:sz w:val="20"/>
                <w:szCs w:val="20"/>
                <w:color w:val="auto"/>
              </w:rPr>
            </w:pPr>
            <w:r>
              <w:rPr>
                <w:rFonts w:ascii="Arial" w:cs="Arial" w:eastAsia="Arial" w:hAnsi="Arial"/>
                <w:sz w:val="18"/>
                <w:szCs w:val="18"/>
                <w:color w:val="auto"/>
              </w:rPr>
              <w:t>as Issuer</w:t>
            </w:r>
          </w:p>
        </w:tc>
        <w:tc>
          <w:tcPr>
            <w:tcW w:w="0" w:type="dxa"/>
            <w:vAlign w:val="bottom"/>
          </w:tcPr>
          <w:p>
            <w:pPr>
              <w:spacing w:after="0"/>
              <w:rPr>
                <w:sz w:val="1"/>
                <w:szCs w:val="1"/>
                <w:color w:val="auto"/>
              </w:rPr>
            </w:pPr>
          </w:p>
        </w:tc>
      </w:tr>
      <w:tr>
        <w:trPr>
          <w:trHeight w:val="404"/>
        </w:trPr>
        <w:tc>
          <w:tcPr>
            <w:tcW w:w="4320" w:type="dxa"/>
            <w:vAlign w:val="bottom"/>
          </w:tcPr>
          <w:p>
            <w:pPr>
              <w:ind w:left="1120"/>
              <w:spacing w:after="0"/>
              <w:rPr>
                <w:sz w:val="20"/>
                <w:szCs w:val="20"/>
                <w:color w:val="auto"/>
              </w:rPr>
            </w:pPr>
            <w:r>
              <w:rPr>
                <w:rFonts w:ascii="Arial" w:cs="Arial" w:eastAsia="Arial" w:hAnsi="Arial"/>
                <w:sz w:val="18"/>
                <w:szCs w:val="18"/>
                <w:color w:val="auto"/>
              </w:rPr>
              <w:t>Signature Page to Form of Indenture</w:t>
            </w:r>
          </w:p>
        </w:tc>
        <w:tc>
          <w:tcPr>
            <w:tcW w:w="4420" w:type="dxa"/>
            <w:vAlign w:val="bottom"/>
            <w:vMerge w:val="restart"/>
          </w:tcPr>
          <w:p>
            <w:pPr>
              <w:ind w:left="5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4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4420" w:type="dxa"/>
            <w:vAlign w:val="bottom"/>
          </w:tcPr>
          <w:p>
            <w:pPr>
              <w:ind w:left="5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2"/>
                <w:szCs w:val="22"/>
                <w:color w:val="auto"/>
              </w:rPr>
            </w:pPr>
          </w:p>
        </w:tc>
        <w:tc>
          <w:tcPr>
            <w:tcW w:w="4420" w:type="dxa"/>
            <w:vAlign w:val="bottom"/>
          </w:tcPr>
          <w:p>
            <w:pPr>
              <w:ind w:left="5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500"/>
        </w:trPr>
        <w:tc>
          <w:tcPr>
            <w:tcW w:w="4320" w:type="dxa"/>
            <w:vAlign w:val="bottom"/>
          </w:tcPr>
          <w:p>
            <w:pPr>
              <w:spacing w:after="0"/>
              <w:rPr>
                <w:sz w:val="24"/>
                <w:szCs w:val="24"/>
                <w:color w:val="auto"/>
              </w:rPr>
            </w:pPr>
          </w:p>
        </w:tc>
        <w:tc>
          <w:tcPr>
            <w:tcW w:w="4420" w:type="dxa"/>
            <w:vAlign w:val="bottom"/>
          </w:tcPr>
          <w:p>
            <w:pPr>
              <w:ind w:left="560"/>
              <w:spacing w:after="0"/>
              <w:rPr>
                <w:sz w:val="20"/>
                <w:szCs w:val="20"/>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 as Trustee</w:t>
            </w:r>
          </w:p>
        </w:tc>
        <w:tc>
          <w:tcPr>
            <w:tcW w:w="0" w:type="dxa"/>
            <w:vAlign w:val="bottom"/>
          </w:tcPr>
          <w:p>
            <w:pPr>
              <w:spacing w:after="0"/>
              <w:rPr>
                <w:sz w:val="1"/>
                <w:szCs w:val="1"/>
                <w:color w:val="auto"/>
              </w:rPr>
            </w:pPr>
          </w:p>
        </w:tc>
      </w:tr>
      <w:tr>
        <w:trPr>
          <w:trHeight w:val="446"/>
        </w:trPr>
        <w:tc>
          <w:tcPr>
            <w:tcW w:w="4320" w:type="dxa"/>
            <w:vAlign w:val="bottom"/>
          </w:tcPr>
          <w:p>
            <w:pPr>
              <w:spacing w:after="0"/>
              <w:rPr>
                <w:sz w:val="24"/>
                <w:szCs w:val="24"/>
                <w:color w:val="auto"/>
              </w:rPr>
            </w:pPr>
          </w:p>
        </w:tc>
        <w:tc>
          <w:tcPr>
            <w:tcW w:w="4420" w:type="dxa"/>
            <w:vAlign w:val="bottom"/>
          </w:tcPr>
          <w:p>
            <w:pPr>
              <w:ind w:left="5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2"/>
                <w:szCs w:val="22"/>
                <w:color w:val="auto"/>
              </w:rPr>
            </w:pPr>
          </w:p>
        </w:tc>
        <w:tc>
          <w:tcPr>
            <w:tcW w:w="4420" w:type="dxa"/>
            <w:vAlign w:val="bottom"/>
          </w:tcPr>
          <w:p>
            <w:pPr>
              <w:ind w:left="5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4420" w:type="dxa"/>
            <w:vAlign w:val="bottom"/>
          </w:tcPr>
          <w:p>
            <w:pPr>
              <w:ind w:left="5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75"/>
        </w:trPr>
        <w:tc>
          <w:tcPr>
            <w:tcW w:w="4320" w:type="dxa"/>
            <w:vAlign w:val="bottom"/>
            <w:tcBorders>
              <w:bottom w:val="single" w:sz="8" w:color="auto"/>
            </w:tcBorders>
          </w:tcPr>
          <w:p>
            <w:pPr>
              <w:spacing w:after="0"/>
              <w:rPr>
                <w:sz w:val="6"/>
                <w:szCs w:val="6"/>
                <w:color w:val="auto"/>
              </w:rPr>
            </w:pPr>
          </w:p>
        </w:tc>
        <w:tc>
          <w:tcPr>
            <w:tcW w:w="4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75" w:name="page76"/>
    <w:bookmarkEnd w:id="75"/>
    <w:p>
      <w:pPr>
        <w:ind w:left="160"/>
        <w:spacing w:after="0"/>
        <w:rPr>
          <w:sz w:val="20"/>
          <w:szCs w:val="20"/>
          <w:color w:val="auto"/>
        </w:rPr>
      </w:pPr>
      <w:r>
        <w:rPr>
          <w:rFonts w:ascii="Arial" w:cs="Arial" w:eastAsia="Arial" w:hAnsi="Arial"/>
          <w:sz w:val="18"/>
          <w:szCs w:val="18"/>
          <w:b w:val="1"/>
          <w:bCs w:val="1"/>
          <w:color w:val="auto"/>
        </w:rPr>
        <w:t>TRUST INDENTURE ACT CROSS-REFERENCE TABLE</w:t>
      </w:r>
      <w:r>
        <w:rPr>
          <w:rFonts w:ascii="Arial" w:cs="Arial" w:eastAsia="Arial" w:hAnsi="Arial"/>
          <w:sz w:val="15"/>
          <w:szCs w:val="15"/>
          <w:b w:val="1"/>
          <w:bCs w:val="1"/>
          <w:color w:val="auto"/>
        </w:rPr>
        <w:t>2</w:t>
      </w:r>
    </w:p>
    <w:p>
      <w:pPr>
        <w:spacing w:after="0" w:line="200" w:lineRule="exact"/>
        <w:rPr>
          <w:sz w:val="20"/>
          <w:szCs w:val="20"/>
          <w:color w:val="auto"/>
        </w:rPr>
      </w:pP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7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 of Trust Indenture Act of 1939, as amended</w:t>
            </w:r>
          </w:p>
        </w:tc>
        <w:tc>
          <w:tcPr>
            <w:tcW w:w="100" w:type="dxa"/>
            <w:vAlign w:val="bottom"/>
          </w:tcPr>
          <w:p>
            <w:pPr>
              <w:spacing w:after="0"/>
              <w:rPr>
                <w:sz w:val="16"/>
                <w:szCs w:val="16"/>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Section of Indenture</w:t>
            </w:r>
          </w:p>
        </w:tc>
      </w:tr>
      <w:tr>
        <w:trPr>
          <w:trHeight w:val="136"/>
        </w:trPr>
        <w:tc>
          <w:tcPr>
            <w:tcW w:w="7320" w:type="dxa"/>
            <w:vAlign w:val="bottom"/>
          </w:tcPr>
          <w:p>
            <w:pPr>
              <w:spacing w:after="0" w:line="136" w:lineRule="exact"/>
              <w:rPr>
                <w:sz w:val="20"/>
                <w:szCs w:val="20"/>
                <w:color w:val="auto"/>
              </w:rPr>
            </w:pPr>
            <w:r>
              <w:rPr>
                <w:rFonts w:ascii="Arial" w:cs="Arial" w:eastAsia="Arial" w:hAnsi="Arial"/>
                <w:sz w:val="15"/>
                <w:szCs w:val="15"/>
                <w:color w:val="auto"/>
              </w:rPr>
              <w:t>310(a)</w:t>
            </w:r>
          </w:p>
        </w:tc>
        <w:tc>
          <w:tcPr>
            <w:tcW w:w="100" w:type="dxa"/>
            <w:vAlign w:val="bottom"/>
          </w:tcPr>
          <w:p>
            <w:pPr>
              <w:spacing w:after="0"/>
              <w:rPr>
                <w:sz w:val="11"/>
                <w:szCs w:val="11"/>
                <w:color w:val="auto"/>
              </w:rPr>
            </w:pPr>
          </w:p>
        </w:tc>
        <w:tc>
          <w:tcPr>
            <w:tcW w:w="1300" w:type="dxa"/>
            <w:vAlign w:val="bottom"/>
          </w:tcPr>
          <w:p>
            <w:pPr>
              <w:spacing w:after="0" w:line="136" w:lineRule="exact"/>
              <w:rPr>
                <w:sz w:val="20"/>
                <w:szCs w:val="20"/>
                <w:color w:val="auto"/>
              </w:rPr>
            </w:pPr>
            <w:r>
              <w:rPr>
                <w:rFonts w:ascii="Arial" w:cs="Arial" w:eastAsia="Arial" w:hAnsi="Arial"/>
                <w:sz w:val="15"/>
                <w:szCs w:val="15"/>
                <w:color w:val="auto"/>
              </w:rPr>
              <w:t>7.09</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310(b)</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7.08</w:t>
            </w:r>
          </w:p>
        </w:tc>
      </w:tr>
      <w:tr>
        <w:trPr>
          <w:trHeight w:val="188"/>
        </w:trPr>
        <w:tc>
          <w:tcPr>
            <w:tcW w:w="7320" w:type="dxa"/>
            <w:vAlign w:val="bottom"/>
          </w:tcPr>
          <w:p>
            <w:pPr>
              <w:spacing w:after="0"/>
              <w:rPr>
                <w:sz w:val="16"/>
                <w:szCs w:val="16"/>
                <w:color w:val="auto"/>
              </w:rPr>
            </w:pPr>
          </w:p>
        </w:tc>
        <w:tc>
          <w:tcPr>
            <w:tcW w:w="14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7.10</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310(c)</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Inapplicable</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311(a)</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7.13</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311(b)</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7.13</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311(c)</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Inapplicable</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312(a)</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5.01</w:t>
            </w:r>
          </w:p>
        </w:tc>
      </w:tr>
      <w:tr>
        <w:trPr>
          <w:trHeight w:val="188"/>
        </w:trPr>
        <w:tc>
          <w:tcPr>
            <w:tcW w:w="7320" w:type="dxa"/>
            <w:vAlign w:val="bottom"/>
          </w:tcPr>
          <w:p>
            <w:pPr>
              <w:spacing w:after="0"/>
              <w:rPr>
                <w:sz w:val="16"/>
                <w:szCs w:val="16"/>
                <w:color w:val="auto"/>
              </w:rPr>
            </w:pPr>
          </w:p>
        </w:tc>
        <w:tc>
          <w:tcPr>
            <w:tcW w:w="14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5.02(a)</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312(b)</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5.02(c)</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312(c)</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5.02(c)</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313(a)</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5.04(a)</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313(b)</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5.04(b)</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313(c)</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5.04(a)</w:t>
            </w:r>
          </w:p>
        </w:tc>
      </w:tr>
      <w:tr>
        <w:trPr>
          <w:trHeight w:val="188"/>
        </w:trPr>
        <w:tc>
          <w:tcPr>
            <w:tcW w:w="7320" w:type="dxa"/>
            <w:vAlign w:val="bottom"/>
          </w:tcPr>
          <w:p>
            <w:pPr>
              <w:spacing w:after="0"/>
              <w:rPr>
                <w:sz w:val="16"/>
                <w:szCs w:val="16"/>
                <w:color w:val="auto"/>
              </w:rPr>
            </w:pPr>
          </w:p>
        </w:tc>
        <w:tc>
          <w:tcPr>
            <w:tcW w:w="14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5.04(b)</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313(d)</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5.04(c)</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314(a)</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5.03</w:t>
            </w:r>
          </w:p>
        </w:tc>
      </w:tr>
      <w:tr>
        <w:trPr>
          <w:trHeight w:val="188"/>
        </w:trPr>
        <w:tc>
          <w:tcPr>
            <w:tcW w:w="7320" w:type="dxa"/>
            <w:vAlign w:val="bottom"/>
          </w:tcPr>
          <w:p>
            <w:pPr>
              <w:spacing w:after="0"/>
              <w:rPr>
                <w:sz w:val="16"/>
                <w:szCs w:val="16"/>
                <w:color w:val="auto"/>
              </w:rPr>
            </w:pPr>
          </w:p>
        </w:tc>
        <w:tc>
          <w:tcPr>
            <w:tcW w:w="14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13.12</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314(b)</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Inapplicable</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314(c)</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13.07(a)</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314(d)</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Inapplicable</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314(e)</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13.07(b)</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314(f)</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Inapplicable</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315(a)</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7.01(a)</w:t>
            </w:r>
          </w:p>
        </w:tc>
      </w:tr>
      <w:tr>
        <w:trPr>
          <w:trHeight w:val="188"/>
        </w:trPr>
        <w:tc>
          <w:tcPr>
            <w:tcW w:w="7320" w:type="dxa"/>
            <w:vAlign w:val="bottom"/>
          </w:tcPr>
          <w:p>
            <w:pPr>
              <w:spacing w:after="0"/>
              <w:rPr>
                <w:sz w:val="16"/>
                <w:szCs w:val="16"/>
                <w:color w:val="auto"/>
              </w:rPr>
            </w:pPr>
          </w:p>
        </w:tc>
        <w:tc>
          <w:tcPr>
            <w:tcW w:w="14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7.01(b)</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315(b)</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7.14</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315(c)</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7.01(a)</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315(d)</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7.01(b)</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315(e)</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6.07</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316(a)</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6.06</w:t>
            </w:r>
          </w:p>
        </w:tc>
      </w:tr>
      <w:tr>
        <w:trPr>
          <w:trHeight w:val="188"/>
        </w:trPr>
        <w:tc>
          <w:tcPr>
            <w:tcW w:w="7320" w:type="dxa"/>
            <w:vAlign w:val="bottom"/>
          </w:tcPr>
          <w:p>
            <w:pPr>
              <w:spacing w:after="0"/>
              <w:rPr>
                <w:sz w:val="16"/>
                <w:szCs w:val="16"/>
                <w:color w:val="auto"/>
              </w:rPr>
            </w:pPr>
          </w:p>
        </w:tc>
        <w:tc>
          <w:tcPr>
            <w:tcW w:w="1400" w:type="dxa"/>
            <w:vAlign w:val="bottom"/>
            <w:gridSpan w:val="2"/>
          </w:tcPr>
          <w:p>
            <w:pPr>
              <w:ind w:left="80"/>
              <w:spacing w:after="0" w:line="189" w:lineRule="exact"/>
              <w:rPr>
                <w:sz w:val="20"/>
                <w:szCs w:val="20"/>
                <w:color w:val="auto"/>
              </w:rPr>
            </w:pPr>
            <w:r>
              <w:rPr>
                <w:rFonts w:ascii="Arial" w:cs="Arial" w:eastAsia="Arial" w:hAnsi="Arial"/>
                <w:sz w:val="18"/>
                <w:szCs w:val="18"/>
                <w:color w:val="auto"/>
              </w:rPr>
              <w:t>8.04</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316(b)</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6.04</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316(c)</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8.01</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317(a)</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6.02</w:t>
            </w:r>
          </w:p>
        </w:tc>
      </w:tr>
      <w:tr>
        <w:trPr>
          <w:trHeight w:val="176"/>
        </w:trPr>
        <w:tc>
          <w:tcPr>
            <w:tcW w:w="7320" w:type="dxa"/>
            <w:vAlign w:val="bottom"/>
          </w:tcPr>
          <w:p>
            <w:pPr>
              <w:spacing w:after="0" w:line="176" w:lineRule="exact"/>
              <w:rPr>
                <w:sz w:val="20"/>
                <w:szCs w:val="20"/>
                <w:color w:val="auto"/>
              </w:rPr>
            </w:pPr>
            <w:r>
              <w:rPr>
                <w:rFonts w:ascii="Arial" w:cs="Arial" w:eastAsia="Arial" w:hAnsi="Arial"/>
                <w:sz w:val="18"/>
                <w:szCs w:val="18"/>
                <w:color w:val="auto"/>
              </w:rPr>
              <w:t>317(b)</w:t>
            </w:r>
          </w:p>
        </w:tc>
        <w:tc>
          <w:tcPr>
            <w:tcW w:w="14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4.03</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318(a)</w:t>
            </w: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13.09</w:t>
            </w:r>
          </w:p>
        </w:tc>
      </w:tr>
    </w:tbl>
    <w:p>
      <w:pPr>
        <w:spacing w:after="0" w:line="376" w:lineRule="exact"/>
        <w:rPr>
          <w:sz w:val="20"/>
          <w:szCs w:val="20"/>
          <w:color w:val="auto"/>
        </w:rPr>
      </w:pPr>
    </w:p>
    <w:p>
      <w:pPr>
        <w:ind w:left="480" w:right="879" w:hanging="329"/>
        <w:spacing w:after="0" w:line="235" w:lineRule="auto"/>
        <w:tabs>
          <w:tab w:leader="none" w:pos="480" w:val="left"/>
        </w:tabs>
        <w:numPr>
          <w:ilvl w:val="0"/>
          <w:numId w:val="90"/>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832485</wp:posOffset>
            </wp:positionV>
            <wp:extent cx="554863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6" w:name="page77"/>
    <w:bookmarkEnd w:id="76"/>
    <w:p>
      <w:pPr>
        <w:jc w:val="right"/>
        <w:ind w:right="139"/>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37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BLUEPRINT MEDICINES CORPORATION</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[TRUSTEE],</w:t>
      </w:r>
    </w:p>
    <w:p>
      <w:pPr>
        <w:spacing w:after="0" w:line="18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18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18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202[</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8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1217930</wp:posOffset>
            </wp:positionV>
            <wp:extent cx="554863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7" w:name="page78"/>
    <w:bookmarkEnd w:id="77"/>
    <w:p>
      <w:pPr>
        <w:ind w:left="352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15"/>
          <w:szCs w:val="15"/>
          <w:b w:val="1"/>
          <w:bCs w:val="1"/>
          <w:color w:val="auto"/>
        </w:rPr>
        <w:t>1</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DEFINITIONS</w:t>
      </w:r>
    </w:p>
    <w:p>
      <w:pPr>
        <w:spacing w:after="0" w:line="47" w:lineRule="exact"/>
        <w:rPr>
          <w:sz w:val="20"/>
          <w:szCs w:val="20"/>
          <w:color w:val="auto"/>
        </w:rPr>
      </w:pPr>
    </w:p>
    <w:p>
      <w:pPr>
        <w:ind w:left="160"/>
        <w:spacing w:after="0"/>
        <w:tabs>
          <w:tab w:leader="none" w:pos="1300" w:val="left"/>
        </w:tabs>
        <w:rPr>
          <w:sz w:val="20"/>
          <w:szCs w:val="20"/>
          <w:color w:val="auto"/>
        </w:rPr>
      </w:pPr>
      <w:r>
        <w:rPr>
          <w:rFonts w:ascii="Arial" w:cs="Arial" w:eastAsia="Arial" w:hAnsi="Arial"/>
          <w:sz w:val="36"/>
          <w:szCs w:val="36"/>
          <w:color w:val="auto"/>
          <w:vertAlign w:val="superscript"/>
        </w:rPr>
        <w:t>Section 1.01</w:t>
      </w:r>
      <w:r>
        <w:rPr>
          <w:sz w:val="20"/>
          <w:szCs w:val="20"/>
          <w:color w:val="auto"/>
        </w:rPr>
        <w:tab/>
      </w:r>
      <w:r>
        <w:rPr>
          <w:rFonts w:ascii="Arial" w:cs="Arial" w:eastAsia="Arial" w:hAnsi="Arial"/>
          <w:sz w:val="16"/>
          <w:szCs w:val="16"/>
          <w:color w:val="auto"/>
        </w:rPr>
        <w:t>Definitions of Terms</w:t>
      </w:r>
    </w:p>
    <w:p>
      <w:pPr>
        <w:ind w:left="160" w:right="140"/>
        <w:spacing w:after="0" w:line="226" w:lineRule="auto"/>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ISSUE, DESCRIPTION, TERMS, EXECUTION, REGISTRATION AND EXCHANGE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w:t>
      </w: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020" w:type="dxa"/>
            <w:vAlign w:val="bottom"/>
          </w:tcPr>
          <w:p>
            <w:pPr>
              <w:spacing w:after="0"/>
              <w:rPr>
                <w:sz w:val="20"/>
                <w:szCs w:val="20"/>
                <w:color w:val="auto"/>
              </w:rPr>
            </w:pPr>
            <w:r>
              <w:rPr>
                <w:rFonts w:ascii="Arial" w:cs="Arial" w:eastAsia="Arial" w:hAnsi="Arial"/>
                <w:sz w:val="18"/>
                <w:szCs w:val="18"/>
                <w:color w:val="auto"/>
                <w:w w:val="99"/>
              </w:rPr>
              <w:t>Section 2.01</w:t>
            </w:r>
          </w:p>
        </w:tc>
        <w:tc>
          <w:tcPr>
            <w:tcW w:w="3540" w:type="dxa"/>
            <w:vAlign w:val="bottom"/>
          </w:tcPr>
          <w:p>
            <w:pPr>
              <w:ind w:left="140"/>
              <w:spacing w:after="0"/>
              <w:rPr>
                <w:sz w:val="20"/>
                <w:szCs w:val="20"/>
                <w:color w:val="auto"/>
              </w:rPr>
            </w:pPr>
            <w:r>
              <w:rPr>
                <w:rFonts w:ascii="Arial" w:cs="Arial" w:eastAsia="Arial" w:hAnsi="Arial"/>
                <w:sz w:val="18"/>
                <w:szCs w:val="18"/>
                <w:color w:val="auto"/>
              </w:rPr>
              <w:t>Designation and Terms of Securities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2.02</w:t>
            </w:r>
          </w:p>
        </w:tc>
        <w:tc>
          <w:tcPr>
            <w:tcW w:w="3540" w:type="dxa"/>
            <w:vAlign w:val="bottom"/>
          </w:tcPr>
          <w:p>
            <w:pPr>
              <w:ind w:left="140"/>
              <w:spacing w:after="0"/>
              <w:rPr>
                <w:sz w:val="20"/>
                <w:szCs w:val="20"/>
                <w:color w:val="auto"/>
              </w:rPr>
            </w:pPr>
            <w:r>
              <w:rPr>
                <w:rFonts w:ascii="Arial" w:cs="Arial" w:eastAsia="Arial" w:hAnsi="Arial"/>
                <w:sz w:val="18"/>
                <w:szCs w:val="18"/>
                <w:color w:val="auto"/>
                <w:w w:val="97"/>
              </w:rPr>
              <w:t>Form of Securities and Trustee’s Certificate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2.03</w:t>
            </w:r>
          </w:p>
        </w:tc>
        <w:tc>
          <w:tcPr>
            <w:tcW w:w="3540" w:type="dxa"/>
            <w:vAlign w:val="bottom"/>
          </w:tcPr>
          <w:p>
            <w:pPr>
              <w:ind w:left="140"/>
              <w:spacing w:after="0"/>
              <w:rPr>
                <w:sz w:val="20"/>
                <w:szCs w:val="20"/>
                <w:color w:val="auto"/>
              </w:rPr>
            </w:pPr>
            <w:r>
              <w:rPr>
                <w:rFonts w:ascii="Arial" w:cs="Arial" w:eastAsia="Arial" w:hAnsi="Arial"/>
                <w:sz w:val="18"/>
                <w:szCs w:val="18"/>
                <w:color w:val="auto"/>
              </w:rPr>
              <w:t>Denominations: Provisions for Payment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2.04</w:t>
            </w:r>
          </w:p>
        </w:tc>
        <w:tc>
          <w:tcPr>
            <w:tcW w:w="3540" w:type="dxa"/>
            <w:vAlign w:val="bottom"/>
          </w:tcPr>
          <w:p>
            <w:pPr>
              <w:ind w:left="140"/>
              <w:spacing w:after="0"/>
              <w:rPr>
                <w:sz w:val="20"/>
                <w:szCs w:val="20"/>
                <w:color w:val="auto"/>
              </w:rPr>
            </w:pPr>
            <w:r>
              <w:rPr>
                <w:rFonts w:ascii="Arial" w:cs="Arial" w:eastAsia="Arial" w:hAnsi="Arial"/>
                <w:sz w:val="18"/>
                <w:szCs w:val="18"/>
                <w:color w:val="auto"/>
              </w:rPr>
              <w:t>Execution and Authentications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2.05</w:t>
            </w:r>
          </w:p>
        </w:tc>
        <w:tc>
          <w:tcPr>
            <w:tcW w:w="3540" w:type="dxa"/>
            <w:vAlign w:val="bottom"/>
          </w:tcPr>
          <w:p>
            <w:pPr>
              <w:ind w:left="140"/>
              <w:spacing w:after="0"/>
              <w:rPr>
                <w:sz w:val="20"/>
                <w:szCs w:val="20"/>
                <w:color w:val="auto"/>
              </w:rPr>
            </w:pPr>
            <w:r>
              <w:rPr>
                <w:rFonts w:ascii="Arial" w:cs="Arial" w:eastAsia="Arial" w:hAnsi="Arial"/>
                <w:sz w:val="18"/>
                <w:szCs w:val="18"/>
                <w:color w:val="auto"/>
              </w:rPr>
              <w:t>Registration of Transfer and Exchange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2.06</w:t>
            </w:r>
          </w:p>
        </w:tc>
        <w:tc>
          <w:tcPr>
            <w:tcW w:w="3540" w:type="dxa"/>
            <w:vAlign w:val="bottom"/>
          </w:tcPr>
          <w:p>
            <w:pPr>
              <w:ind w:left="140"/>
              <w:spacing w:after="0"/>
              <w:rPr>
                <w:sz w:val="20"/>
                <w:szCs w:val="20"/>
                <w:color w:val="auto"/>
              </w:rPr>
            </w:pPr>
            <w:r>
              <w:rPr>
                <w:rFonts w:ascii="Arial" w:cs="Arial" w:eastAsia="Arial" w:hAnsi="Arial"/>
                <w:sz w:val="18"/>
                <w:szCs w:val="18"/>
                <w:color w:val="auto"/>
              </w:rPr>
              <w:t>Temporary Securities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2.07</w:t>
            </w:r>
          </w:p>
        </w:tc>
        <w:tc>
          <w:tcPr>
            <w:tcW w:w="3540" w:type="dxa"/>
            <w:vAlign w:val="bottom"/>
          </w:tcPr>
          <w:p>
            <w:pPr>
              <w:ind w:left="140"/>
              <w:spacing w:after="0"/>
              <w:rPr>
                <w:sz w:val="20"/>
                <w:szCs w:val="20"/>
                <w:color w:val="auto"/>
              </w:rPr>
            </w:pPr>
            <w:r>
              <w:rPr>
                <w:rFonts w:ascii="Arial" w:cs="Arial" w:eastAsia="Arial" w:hAnsi="Arial"/>
                <w:sz w:val="18"/>
                <w:szCs w:val="18"/>
                <w:color w:val="auto"/>
                <w:w w:val="91"/>
              </w:rPr>
              <w:t>Mutilated, Destroyed, Lost or Stolen Securities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2.08</w:t>
            </w:r>
          </w:p>
        </w:tc>
        <w:tc>
          <w:tcPr>
            <w:tcW w:w="3540" w:type="dxa"/>
            <w:vAlign w:val="bottom"/>
          </w:tcPr>
          <w:p>
            <w:pPr>
              <w:ind w:left="140"/>
              <w:spacing w:after="0"/>
              <w:rPr>
                <w:sz w:val="20"/>
                <w:szCs w:val="20"/>
                <w:color w:val="auto"/>
              </w:rPr>
            </w:pPr>
            <w:r>
              <w:rPr>
                <w:rFonts w:ascii="Arial" w:cs="Arial" w:eastAsia="Arial" w:hAnsi="Arial"/>
                <w:sz w:val="18"/>
                <w:szCs w:val="18"/>
                <w:color w:val="auto"/>
              </w:rPr>
              <w:t>Cancellation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2.09</w:t>
            </w:r>
          </w:p>
        </w:tc>
        <w:tc>
          <w:tcPr>
            <w:tcW w:w="3540" w:type="dxa"/>
            <w:vAlign w:val="bottom"/>
          </w:tcPr>
          <w:p>
            <w:pPr>
              <w:ind w:left="140"/>
              <w:spacing w:after="0"/>
              <w:rPr>
                <w:sz w:val="20"/>
                <w:szCs w:val="20"/>
                <w:color w:val="auto"/>
              </w:rPr>
            </w:pPr>
            <w:r>
              <w:rPr>
                <w:rFonts w:ascii="Arial" w:cs="Arial" w:eastAsia="Arial" w:hAnsi="Arial"/>
                <w:sz w:val="18"/>
                <w:szCs w:val="18"/>
                <w:color w:val="auto"/>
              </w:rPr>
              <w:t>Benefits of Indenture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2.10</w:t>
            </w:r>
          </w:p>
        </w:tc>
        <w:tc>
          <w:tcPr>
            <w:tcW w:w="3540" w:type="dxa"/>
            <w:vAlign w:val="bottom"/>
          </w:tcPr>
          <w:p>
            <w:pPr>
              <w:ind w:left="140"/>
              <w:spacing w:after="0"/>
              <w:rPr>
                <w:sz w:val="20"/>
                <w:szCs w:val="20"/>
                <w:color w:val="auto"/>
              </w:rPr>
            </w:pPr>
            <w:r>
              <w:rPr>
                <w:rFonts w:ascii="Arial" w:cs="Arial" w:eastAsia="Arial" w:hAnsi="Arial"/>
                <w:sz w:val="18"/>
                <w:szCs w:val="18"/>
                <w:color w:val="auto"/>
              </w:rPr>
              <w:t>Authenticating Agent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w w:val="99"/>
              </w:rPr>
              <w:t>Section 2.11</w:t>
            </w:r>
          </w:p>
        </w:tc>
        <w:tc>
          <w:tcPr>
            <w:tcW w:w="3540" w:type="dxa"/>
            <w:vAlign w:val="bottom"/>
          </w:tcPr>
          <w:p>
            <w:pPr>
              <w:ind w:left="140"/>
              <w:spacing w:after="0"/>
              <w:rPr>
                <w:sz w:val="20"/>
                <w:szCs w:val="20"/>
                <w:color w:val="auto"/>
              </w:rPr>
            </w:pPr>
            <w:r>
              <w:rPr>
                <w:rFonts w:ascii="Arial" w:cs="Arial" w:eastAsia="Arial" w:hAnsi="Arial"/>
                <w:sz w:val="18"/>
                <w:szCs w:val="18"/>
                <w:color w:val="auto"/>
              </w:rPr>
              <w:t>Global Securities</w:t>
            </w: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REDEMPTION OF SECURITIES AND SINKING FUND PROVISIONS</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020" w:type="dxa"/>
            <w:vAlign w:val="bottom"/>
          </w:tcPr>
          <w:p>
            <w:pPr>
              <w:spacing w:after="0"/>
              <w:rPr>
                <w:sz w:val="20"/>
                <w:szCs w:val="20"/>
                <w:color w:val="auto"/>
              </w:rPr>
            </w:pPr>
            <w:r>
              <w:rPr>
                <w:rFonts w:ascii="Arial" w:cs="Arial" w:eastAsia="Arial" w:hAnsi="Arial"/>
                <w:sz w:val="18"/>
                <w:szCs w:val="18"/>
                <w:color w:val="auto"/>
                <w:w w:val="99"/>
              </w:rPr>
              <w:t>Section 3.01</w:t>
            </w:r>
          </w:p>
        </w:tc>
        <w:tc>
          <w:tcPr>
            <w:tcW w:w="4080" w:type="dxa"/>
            <w:vAlign w:val="bottom"/>
          </w:tcPr>
          <w:p>
            <w:pPr>
              <w:ind w:left="140"/>
              <w:spacing w:after="0"/>
              <w:rPr>
                <w:sz w:val="20"/>
                <w:szCs w:val="20"/>
                <w:color w:val="auto"/>
              </w:rPr>
            </w:pPr>
            <w:r>
              <w:rPr>
                <w:rFonts w:ascii="Arial" w:cs="Arial" w:eastAsia="Arial" w:hAnsi="Arial"/>
                <w:sz w:val="18"/>
                <w:szCs w:val="18"/>
                <w:color w:val="auto"/>
              </w:rPr>
              <w:t>Redemption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3.02</w:t>
            </w:r>
          </w:p>
        </w:tc>
        <w:tc>
          <w:tcPr>
            <w:tcW w:w="4080" w:type="dxa"/>
            <w:vAlign w:val="bottom"/>
          </w:tcPr>
          <w:p>
            <w:pPr>
              <w:ind w:left="140"/>
              <w:spacing w:after="0"/>
              <w:rPr>
                <w:sz w:val="20"/>
                <w:szCs w:val="20"/>
                <w:color w:val="auto"/>
              </w:rPr>
            </w:pPr>
            <w:r>
              <w:rPr>
                <w:rFonts w:ascii="Arial" w:cs="Arial" w:eastAsia="Arial" w:hAnsi="Arial"/>
                <w:sz w:val="18"/>
                <w:szCs w:val="18"/>
                <w:color w:val="auto"/>
              </w:rPr>
              <w:t>Notice of Redemption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3.03</w:t>
            </w:r>
          </w:p>
        </w:tc>
        <w:tc>
          <w:tcPr>
            <w:tcW w:w="4080" w:type="dxa"/>
            <w:vAlign w:val="bottom"/>
          </w:tcPr>
          <w:p>
            <w:pPr>
              <w:ind w:left="140"/>
              <w:spacing w:after="0"/>
              <w:rPr>
                <w:sz w:val="20"/>
                <w:szCs w:val="20"/>
                <w:color w:val="auto"/>
              </w:rPr>
            </w:pPr>
            <w:r>
              <w:rPr>
                <w:rFonts w:ascii="Arial" w:cs="Arial" w:eastAsia="Arial" w:hAnsi="Arial"/>
                <w:sz w:val="18"/>
                <w:szCs w:val="18"/>
                <w:color w:val="auto"/>
              </w:rPr>
              <w:t>Payment Upon Redemption</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3.04</w:t>
            </w:r>
          </w:p>
        </w:tc>
        <w:tc>
          <w:tcPr>
            <w:tcW w:w="4080" w:type="dxa"/>
            <w:vAlign w:val="bottom"/>
          </w:tcPr>
          <w:p>
            <w:pPr>
              <w:ind w:left="140"/>
              <w:spacing w:after="0"/>
              <w:rPr>
                <w:sz w:val="20"/>
                <w:szCs w:val="20"/>
                <w:color w:val="auto"/>
              </w:rPr>
            </w:pPr>
            <w:r>
              <w:rPr>
                <w:rFonts w:ascii="Arial" w:cs="Arial" w:eastAsia="Arial" w:hAnsi="Arial"/>
                <w:sz w:val="18"/>
                <w:szCs w:val="18"/>
                <w:color w:val="auto"/>
              </w:rPr>
              <w:t>Sinking Fund</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3.05</w:t>
            </w:r>
          </w:p>
        </w:tc>
        <w:tc>
          <w:tcPr>
            <w:tcW w:w="4080" w:type="dxa"/>
            <w:vAlign w:val="bottom"/>
          </w:tcPr>
          <w:p>
            <w:pPr>
              <w:ind w:left="140"/>
              <w:spacing w:after="0"/>
              <w:rPr>
                <w:sz w:val="20"/>
                <w:szCs w:val="20"/>
                <w:color w:val="auto"/>
              </w:rPr>
            </w:pPr>
            <w:r>
              <w:rPr>
                <w:rFonts w:ascii="Arial" w:cs="Arial" w:eastAsia="Arial" w:hAnsi="Arial"/>
                <w:sz w:val="18"/>
                <w:szCs w:val="18"/>
                <w:color w:val="auto"/>
                <w:w w:val="91"/>
              </w:rPr>
              <w:t>Satisfaction of Sinking Fund Payments with Securities</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w w:val="99"/>
              </w:rPr>
              <w:t>Section 3.06</w:t>
            </w:r>
          </w:p>
        </w:tc>
        <w:tc>
          <w:tcPr>
            <w:tcW w:w="4080" w:type="dxa"/>
            <w:vAlign w:val="bottom"/>
          </w:tcPr>
          <w:p>
            <w:pPr>
              <w:ind w:left="140"/>
              <w:spacing w:after="0"/>
              <w:rPr>
                <w:sz w:val="20"/>
                <w:szCs w:val="20"/>
                <w:color w:val="auto"/>
              </w:rPr>
            </w:pPr>
            <w:r>
              <w:rPr>
                <w:rFonts w:ascii="Arial" w:cs="Arial" w:eastAsia="Arial" w:hAnsi="Arial"/>
                <w:sz w:val="18"/>
                <w:szCs w:val="18"/>
                <w:color w:val="auto"/>
              </w:rPr>
              <w:t>Redemption of Securities for Sinking Fund</w:t>
            </w:r>
          </w:p>
        </w:tc>
      </w:tr>
      <w:tr>
        <w:trPr>
          <w:trHeight w:val="28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COVENANTS</w:t>
            </w:r>
          </w:p>
        </w:tc>
      </w:tr>
      <w:tr>
        <w:trPr>
          <w:trHeight w:val="311"/>
        </w:trPr>
        <w:tc>
          <w:tcPr>
            <w:tcW w:w="1020" w:type="dxa"/>
            <w:vAlign w:val="bottom"/>
          </w:tcPr>
          <w:p>
            <w:pPr>
              <w:spacing w:after="0"/>
              <w:rPr>
                <w:sz w:val="20"/>
                <w:szCs w:val="20"/>
                <w:color w:val="auto"/>
              </w:rPr>
            </w:pPr>
            <w:r>
              <w:rPr>
                <w:rFonts w:ascii="Arial" w:cs="Arial" w:eastAsia="Arial" w:hAnsi="Arial"/>
                <w:sz w:val="18"/>
                <w:szCs w:val="18"/>
                <w:color w:val="auto"/>
                <w:w w:val="99"/>
              </w:rPr>
              <w:t>Section 4.01</w:t>
            </w:r>
          </w:p>
        </w:tc>
        <w:tc>
          <w:tcPr>
            <w:tcW w:w="4080" w:type="dxa"/>
            <w:vAlign w:val="bottom"/>
          </w:tcPr>
          <w:p>
            <w:pPr>
              <w:ind w:left="140"/>
              <w:spacing w:after="0"/>
              <w:rPr>
                <w:sz w:val="20"/>
                <w:szCs w:val="20"/>
                <w:color w:val="auto"/>
              </w:rPr>
            </w:pPr>
            <w:r>
              <w:rPr>
                <w:rFonts w:ascii="Arial" w:cs="Arial" w:eastAsia="Arial" w:hAnsi="Arial"/>
                <w:sz w:val="18"/>
                <w:szCs w:val="18"/>
                <w:color w:val="auto"/>
              </w:rPr>
              <w:t>Payment of Principal, Premium and Interest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4.02</w:t>
            </w:r>
          </w:p>
        </w:tc>
        <w:tc>
          <w:tcPr>
            <w:tcW w:w="4080" w:type="dxa"/>
            <w:vAlign w:val="bottom"/>
          </w:tcPr>
          <w:p>
            <w:pPr>
              <w:ind w:left="140"/>
              <w:spacing w:after="0"/>
              <w:rPr>
                <w:sz w:val="20"/>
                <w:szCs w:val="20"/>
                <w:color w:val="auto"/>
              </w:rPr>
            </w:pPr>
            <w:r>
              <w:rPr>
                <w:rFonts w:ascii="Arial" w:cs="Arial" w:eastAsia="Arial" w:hAnsi="Arial"/>
                <w:sz w:val="18"/>
                <w:szCs w:val="18"/>
                <w:color w:val="auto"/>
              </w:rPr>
              <w:t>Maintenance of Office or Agency</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4.03</w:t>
            </w:r>
          </w:p>
        </w:tc>
        <w:tc>
          <w:tcPr>
            <w:tcW w:w="4080" w:type="dxa"/>
            <w:vAlign w:val="bottom"/>
          </w:tcPr>
          <w:p>
            <w:pPr>
              <w:ind w:left="140"/>
              <w:spacing w:after="0"/>
              <w:rPr>
                <w:sz w:val="20"/>
                <w:szCs w:val="20"/>
                <w:color w:val="auto"/>
              </w:rPr>
            </w:pPr>
            <w:r>
              <w:rPr>
                <w:rFonts w:ascii="Arial" w:cs="Arial" w:eastAsia="Arial" w:hAnsi="Arial"/>
                <w:sz w:val="18"/>
                <w:szCs w:val="18"/>
                <w:color w:val="auto"/>
              </w:rPr>
              <w:t>Paying Agents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4.04</w:t>
            </w:r>
          </w:p>
        </w:tc>
        <w:tc>
          <w:tcPr>
            <w:tcW w:w="4080" w:type="dxa"/>
            <w:vAlign w:val="bottom"/>
          </w:tcPr>
          <w:p>
            <w:pPr>
              <w:ind w:left="140"/>
              <w:spacing w:after="0"/>
              <w:rPr>
                <w:sz w:val="20"/>
                <w:szCs w:val="20"/>
                <w:color w:val="auto"/>
              </w:rPr>
            </w:pPr>
            <w:r>
              <w:rPr>
                <w:rFonts w:ascii="Arial" w:cs="Arial" w:eastAsia="Arial" w:hAnsi="Arial"/>
                <w:sz w:val="18"/>
                <w:szCs w:val="18"/>
                <w:color w:val="auto"/>
              </w:rPr>
              <w:t>Appointment to Fill Vacancy in Office of Trustee</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w w:val="99"/>
              </w:rPr>
              <w:t>Section 4.05</w:t>
            </w:r>
          </w:p>
        </w:tc>
        <w:tc>
          <w:tcPr>
            <w:tcW w:w="4080" w:type="dxa"/>
            <w:vAlign w:val="bottom"/>
          </w:tcPr>
          <w:p>
            <w:pPr>
              <w:ind w:left="140"/>
              <w:spacing w:after="0"/>
              <w:rPr>
                <w:sz w:val="20"/>
                <w:szCs w:val="20"/>
                <w:color w:val="auto"/>
              </w:rPr>
            </w:pPr>
            <w:r>
              <w:rPr>
                <w:rFonts w:ascii="Arial" w:cs="Arial" w:eastAsia="Arial" w:hAnsi="Arial"/>
                <w:sz w:val="18"/>
                <w:szCs w:val="18"/>
                <w:color w:val="auto"/>
              </w:rPr>
              <w:t>Compliance with Consolidation Provisions</w:t>
            </w: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ARTICLE 5 </w:t>
      </w:r>
      <w:r>
        <w:rPr>
          <w:rFonts w:ascii="Arial" w:cs="Arial" w:eastAsia="Arial" w:hAnsi="Arial"/>
          <w:sz w:val="17"/>
          <w:szCs w:val="17"/>
          <w:color w:val="auto"/>
        </w:rPr>
        <w:t>SECURITYHOLDERS’ LISTS AND REPORTS BY THE COMPANY AND THE TRUSTEE</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020" w:type="dxa"/>
            <w:vAlign w:val="bottom"/>
          </w:tcPr>
          <w:p>
            <w:pPr>
              <w:spacing w:after="0"/>
              <w:rPr>
                <w:sz w:val="20"/>
                <w:szCs w:val="20"/>
                <w:color w:val="auto"/>
              </w:rPr>
            </w:pPr>
            <w:r>
              <w:rPr>
                <w:rFonts w:ascii="Arial" w:cs="Arial" w:eastAsia="Arial" w:hAnsi="Arial"/>
                <w:sz w:val="18"/>
                <w:szCs w:val="18"/>
                <w:color w:val="auto"/>
                <w:w w:val="99"/>
              </w:rPr>
              <w:t>Section 5.01</w:t>
            </w:r>
          </w:p>
        </w:tc>
        <w:tc>
          <w:tcPr>
            <w:tcW w:w="5200" w:type="dxa"/>
            <w:vAlign w:val="bottom"/>
          </w:tcPr>
          <w:p>
            <w:pPr>
              <w:ind w:left="140"/>
              <w:spacing w:after="0"/>
              <w:rPr>
                <w:sz w:val="20"/>
                <w:szCs w:val="20"/>
                <w:color w:val="auto"/>
              </w:rPr>
            </w:pPr>
            <w:r>
              <w:rPr>
                <w:rFonts w:ascii="Arial" w:cs="Arial" w:eastAsia="Arial" w:hAnsi="Arial"/>
                <w:sz w:val="18"/>
                <w:szCs w:val="18"/>
                <w:color w:val="auto"/>
                <w:w w:val="89"/>
              </w:rPr>
              <w:t>Company to Furnish Trustee Names and Addresses of Securityholders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5.02</w:t>
            </w:r>
          </w:p>
        </w:tc>
        <w:tc>
          <w:tcPr>
            <w:tcW w:w="5200" w:type="dxa"/>
            <w:vAlign w:val="bottom"/>
          </w:tcPr>
          <w:p>
            <w:pPr>
              <w:ind w:left="140"/>
              <w:spacing w:after="0"/>
              <w:rPr>
                <w:sz w:val="20"/>
                <w:szCs w:val="20"/>
                <w:color w:val="auto"/>
              </w:rPr>
            </w:pPr>
            <w:r>
              <w:rPr>
                <w:rFonts w:ascii="Arial" w:cs="Arial" w:eastAsia="Arial" w:hAnsi="Arial"/>
                <w:sz w:val="18"/>
                <w:szCs w:val="18"/>
                <w:color w:val="auto"/>
                <w:w w:val="94"/>
              </w:rPr>
              <w:t>Preservation Of Information; Communications With Securityholders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5.03</w:t>
            </w:r>
          </w:p>
        </w:tc>
        <w:tc>
          <w:tcPr>
            <w:tcW w:w="5200" w:type="dxa"/>
            <w:vAlign w:val="bottom"/>
          </w:tcPr>
          <w:p>
            <w:pPr>
              <w:ind w:left="140"/>
              <w:spacing w:after="0"/>
              <w:rPr>
                <w:sz w:val="20"/>
                <w:szCs w:val="20"/>
                <w:color w:val="auto"/>
              </w:rPr>
            </w:pPr>
            <w:r>
              <w:rPr>
                <w:rFonts w:ascii="Arial" w:cs="Arial" w:eastAsia="Arial" w:hAnsi="Arial"/>
                <w:sz w:val="18"/>
                <w:szCs w:val="18"/>
                <w:color w:val="auto"/>
              </w:rPr>
              <w:t>Reports by the Company</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w w:val="99"/>
              </w:rPr>
              <w:t>Section 5.04</w:t>
            </w:r>
          </w:p>
        </w:tc>
        <w:tc>
          <w:tcPr>
            <w:tcW w:w="5200" w:type="dxa"/>
            <w:vAlign w:val="bottom"/>
          </w:tcPr>
          <w:p>
            <w:pPr>
              <w:ind w:left="140"/>
              <w:spacing w:after="0"/>
              <w:rPr>
                <w:sz w:val="20"/>
                <w:szCs w:val="20"/>
                <w:color w:val="auto"/>
              </w:rPr>
            </w:pPr>
            <w:r>
              <w:rPr>
                <w:rFonts w:ascii="Arial" w:cs="Arial" w:eastAsia="Arial" w:hAnsi="Arial"/>
                <w:sz w:val="18"/>
                <w:szCs w:val="18"/>
                <w:color w:val="auto"/>
              </w:rPr>
              <w:t>Reports by the Trustee</w:t>
            </w: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ARTICLE 6 </w:t>
      </w:r>
      <w:r>
        <w:rPr>
          <w:rFonts w:ascii="Arial" w:cs="Arial" w:eastAsia="Arial" w:hAnsi="Arial"/>
          <w:sz w:val="17"/>
          <w:szCs w:val="17"/>
          <w:color w:val="auto"/>
        </w:rPr>
        <w:t>REMEDIES OF THE TRUSTEE AND SECURITYHOLDERS ON EVENT OF DEFAULT</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1020" w:type="dxa"/>
            <w:vAlign w:val="bottom"/>
          </w:tcPr>
          <w:p>
            <w:pPr>
              <w:spacing w:after="0"/>
              <w:rPr>
                <w:sz w:val="20"/>
                <w:szCs w:val="20"/>
                <w:color w:val="auto"/>
              </w:rPr>
            </w:pPr>
            <w:r>
              <w:rPr>
                <w:rFonts w:ascii="Arial" w:cs="Arial" w:eastAsia="Arial" w:hAnsi="Arial"/>
                <w:sz w:val="18"/>
                <w:szCs w:val="18"/>
                <w:color w:val="auto"/>
                <w:w w:val="99"/>
              </w:rPr>
              <w:t>Section 6.01</w:t>
            </w:r>
          </w:p>
        </w:tc>
        <w:tc>
          <w:tcPr>
            <w:tcW w:w="4820" w:type="dxa"/>
            <w:vAlign w:val="bottom"/>
          </w:tcPr>
          <w:p>
            <w:pPr>
              <w:ind w:left="140"/>
              <w:spacing w:after="0"/>
              <w:rPr>
                <w:sz w:val="20"/>
                <w:szCs w:val="20"/>
                <w:color w:val="auto"/>
              </w:rPr>
            </w:pPr>
            <w:r>
              <w:rPr>
                <w:rFonts w:ascii="Arial" w:cs="Arial" w:eastAsia="Arial" w:hAnsi="Arial"/>
                <w:sz w:val="18"/>
                <w:szCs w:val="18"/>
                <w:color w:val="auto"/>
              </w:rPr>
              <w:t>Events of Default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w w:val="99"/>
              </w:rPr>
              <w:t>Section 6.02</w:t>
            </w:r>
          </w:p>
        </w:tc>
        <w:tc>
          <w:tcPr>
            <w:tcW w:w="4820" w:type="dxa"/>
            <w:vAlign w:val="bottom"/>
          </w:tcPr>
          <w:p>
            <w:pPr>
              <w:ind w:left="140"/>
              <w:spacing w:after="0"/>
              <w:rPr>
                <w:sz w:val="20"/>
                <w:szCs w:val="20"/>
                <w:color w:val="auto"/>
              </w:rPr>
            </w:pPr>
            <w:r>
              <w:rPr>
                <w:rFonts w:ascii="Arial" w:cs="Arial" w:eastAsia="Arial" w:hAnsi="Arial"/>
                <w:sz w:val="18"/>
                <w:szCs w:val="18"/>
                <w:color w:val="auto"/>
                <w:w w:val="90"/>
              </w:rPr>
              <w:t>Collection of Indebtedness and Suits for Enforcement by Trustee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10</w:t>
      </w:r>
    </w:p>
    <w:p>
      <w:pPr>
        <w:spacing w:after="0" w:line="32"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10</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11</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11</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11</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220" w:lineRule="exact"/>
        <w:rPr>
          <w:sz w:val="20"/>
          <w:szCs w:val="20"/>
          <w:color w:val="auto"/>
        </w:rPr>
      </w:pPr>
    </w:p>
    <w:p>
      <w:pPr>
        <w:sectPr>
          <w:pgSz w:w="11900" w:h="16838" w:orient="portrait"/>
          <w:cols w:equalWidth="0" w:num="2">
            <w:col w:w="7980" w:space="640"/>
            <w:col w:w="399"/>
          </w:cols>
          <w:pgMar w:left="1440" w:top="472" w:right="1440" w:bottom="1440" w:gutter="0" w:footer="0" w:header="0"/>
        </w:sectPr>
      </w:pPr>
    </w:p>
    <w:p>
      <w:pPr>
        <w:ind w:left="480" w:right="239" w:hanging="329"/>
        <w:spacing w:after="0" w:line="235" w:lineRule="auto"/>
        <w:tabs>
          <w:tab w:leader="none" w:pos="480" w:val="left"/>
        </w:tabs>
        <w:numPr>
          <w:ilvl w:val="0"/>
          <w:numId w:val="91"/>
        </w:numPr>
        <w:rPr>
          <w:rFonts w:ascii="Arial" w:cs="Arial" w:eastAsia="Arial" w:hAnsi="Arial"/>
          <w:sz w:val="15"/>
          <w:szCs w:val="15"/>
          <w:color w:val="auto"/>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478155</wp:posOffset>
            </wp:positionV>
            <wp:extent cx="55486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type w:val="continuous"/>
        </w:sectPr>
      </w:pPr>
    </w:p>
    <w:bookmarkStart w:id="78" w:name="page79"/>
    <w:bookmarkEnd w:id="78"/>
    <w:tbl>
      <w:tblPr>
        <w:tblLayout w:type="fixed"/>
        <w:tblInd w:w="160" w:type="dxa"/>
        <w:tblCellMar>
          <w:top w:w="0" w:type="dxa"/>
          <w:left w:w="0" w:type="dxa"/>
          <w:bottom w:w="0" w:type="dxa"/>
          <w:right w:w="0" w:type="dxa"/>
        </w:tblCellMar>
      </w:tblPr>
      <w:tr>
        <w:trPr>
          <w:trHeight w:val="217"/>
        </w:trPr>
        <w:tc>
          <w:tcPr>
            <w:tcW w:w="1120" w:type="dxa"/>
            <w:vAlign w:val="bottom"/>
          </w:tcPr>
          <w:p>
            <w:pPr>
              <w:spacing w:after="0"/>
              <w:rPr>
                <w:sz w:val="20"/>
                <w:szCs w:val="20"/>
                <w:color w:val="auto"/>
              </w:rPr>
            </w:pPr>
            <w:r>
              <w:rPr>
                <w:rFonts w:ascii="Arial" w:cs="Arial" w:eastAsia="Arial" w:hAnsi="Arial"/>
                <w:sz w:val="18"/>
                <w:szCs w:val="18"/>
                <w:color w:val="auto"/>
              </w:rPr>
              <w:t>Section 6.03</w:t>
            </w:r>
          </w:p>
        </w:tc>
        <w:tc>
          <w:tcPr>
            <w:tcW w:w="4880" w:type="dxa"/>
            <w:vAlign w:val="bottom"/>
          </w:tcPr>
          <w:p>
            <w:pPr>
              <w:ind w:left="140"/>
              <w:spacing w:after="0"/>
              <w:rPr>
                <w:sz w:val="20"/>
                <w:szCs w:val="20"/>
                <w:color w:val="auto"/>
              </w:rPr>
            </w:pPr>
            <w:r>
              <w:rPr>
                <w:rFonts w:ascii="Arial" w:cs="Arial" w:eastAsia="Arial" w:hAnsi="Arial"/>
                <w:sz w:val="18"/>
                <w:szCs w:val="18"/>
                <w:color w:val="auto"/>
              </w:rPr>
              <w:t>Application of Moneys Collected</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6.04</w:t>
            </w:r>
          </w:p>
        </w:tc>
        <w:tc>
          <w:tcPr>
            <w:tcW w:w="4880" w:type="dxa"/>
            <w:vAlign w:val="bottom"/>
          </w:tcPr>
          <w:p>
            <w:pPr>
              <w:ind w:left="140"/>
              <w:spacing w:after="0"/>
              <w:rPr>
                <w:sz w:val="20"/>
                <w:szCs w:val="20"/>
                <w:color w:val="auto"/>
              </w:rPr>
            </w:pPr>
            <w:r>
              <w:rPr>
                <w:rFonts w:ascii="Arial" w:cs="Arial" w:eastAsia="Arial" w:hAnsi="Arial"/>
                <w:sz w:val="18"/>
                <w:szCs w:val="18"/>
                <w:color w:val="auto"/>
              </w:rPr>
              <w:t>Limitation on Suits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6.05</w:t>
            </w:r>
          </w:p>
        </w:tc>
        <w:tc>
          <w:tcPr>
            <w:tcW w:w="4880" w:type="dxa"/>
            <w:vAlign w:val="bottom"/>
          </w:tcPr>
          <w:p>
            <w:pPr>
              <w:ind w:left="140"/>
              <w:spacing w:after="0"/>
              <w:rPr>
                <w:sz w:val="20"/>
                <w:szCs w:val="20"/>
                <w:color w:val="auto"/>
              </w:rPr>
            </w:pPr>
            <w:r>
              <w:rPr>
                <w:rFonts w:ascii="Arial" w:cs="Arial" w:eastAsia="Arial" w:hAnsi="Arial"/>
                <w:sz w:val="18"/>
                <w:szCs w:val="18"/>
                <w:color w:val="auto"/>
                <w:w w:val="91"/>
              </w:rPr>
              <w:t>Rights and Remedies Cumulative; Delay or Omission Not Waiver</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6.06</w:t>
            </w:r>
          </w:p>
        </w:tc>
        <w:tc>
          <w:tcPr>
            <w:tcW w:w="4880" w:type="dxa"/>
            <w:vAlign w:val="bottom"/>
          </w:tcPr>
          <w:p>
            <w:pPr>
              <w:ind w:left="140"/>
              <w:spacing w:after="0"/>
              <w:rPr>
                <w:sz w:val="20"/>
                <w:szCs w:val="20"/>
                <w:color w:val="auto"/>
              </w:rPr>
            </w:pPr>
            <w:r>
              <w:rPr>
                <w:rFonts w:ascii="Arial" w:cs="Arial" w:eastAsia="Arial" w:hAnsi="Arial"/>
                <w:sz w:val="18"/>
                <w:szCs w:val="18"/>
                <w:color w:val="auto"/>
              </w:rPr>
              <w:t>Control by Securityholders</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Section 6.07</w:t>
            </w:r>
          </w:p>
        </w:tc>
        <w:tc>
          <w:tcPr>
            <w:tcW w:w="4880" w:type="dxa"/>
            <w:vAlign w:val="bottom"/>
          </w:tcPr>
          <w:p>
            <w:pPr>
              <w:ind w:left="140"/>
              <w:spacing w:after="0"/>
              <w:rPr>
                <w:sz w:val="20"/>
                <w:szCs w:val="20"/>
                <w:color w:val="auto"/>
              </w:rPr>
            </w:pPr>
            <w:r>
              <w:rPr>
                <w:rFonts w:ascii="Arial" w:cs="Arial" w:eastAsia="Arial" w:hAnsi="Arial"/>
                <w:sz w:val="18"/>
                <w:szCs w:val="18"/>
                <w:color w:val="auto"/>
              </w:rPr>
              <w:t>Undertaking to Pay Costs</w:t>
            </w:r>
          </w:p>
        </w:tc>
      </w:tr>
      <w:tr>
        <w:trPr>
          <w:trHeight w:val="28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color w:val="auto"/>
              </w:rPr>
              <w:t>CONCERNING THE TRUSTEE</w:t>
            </w:r>
          </w:p>
        </w:tc>
      </w:tr>
      <w:tr>
        <w:trPr>
          <w:trHeight w:val="311"/>
        </w:trPr>
        <w:tc>
          <w:tcPr>
            <w:tcW w:w="1120" w:type="dxa"/>
            <w:vAlign w:val="bottom"/>
          </w:tcPr>
          <w:p>
            <w:pPr>
              <w:spacing w:after="0"/>
              <w:rPr>
                <w:sz w:val="20"/>
                <w:szCs w:val="20"/>
                <w:color w:val="auto"/>
              </w:rPr>
            </w:pPr>
            <w:r>
              <w:rPr>
                <w:rFonts w:ascii="Arial" w:cs="Arial" w:eastAsia="Arial" w:hAnsi="Arial"/>
                <w:sz w:val="18"/>
                <w:szCs w:val="18"/>
                <w:color w:val="auto"/>
              </w:rPr>
              <w:t>Section 7.01</w:t>
            </w:r>
          </w:p>
        </w:tc>
        <w:tc>
          <w:tcPr>
            <w:tcW w:w="4880" w:type="dxa"/>
            <w:vAlign w:val="bottom"/>
          </w:tcPr>
          <w:p>
            <w:pPr>
              <w:ind w:left="140"/>
              <w:spacing w:after="0"/>
              <w:rPr>
                <w:sz w:val="20"/>
                <w:szCs w:val="20"/>
                <w:color w:val="auto"/>
              </w:rPr>
            </w:pPr>
            <w:r>
              <w:rPr>
                <w:rFonts w:ascii="Arial" w:cs="Arial" w:eastAsia="Arial" w:hAnsi="Arial"/>
                <w:sz w:val="18"/>
                <w:szCs w:val="18"/>
                <w:color w:val="auto"/>
              </w:rPr>
              <w:t>Certain Duties and Responsibilities of Trustee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7.02</w:t>
            </w:r>
          </w:p>
        </w:tc>
        <w:tc>
          <w:tcPr>
            <w:tcW w:w="4880" w:type="dxa"/>
            <w:vAlign w:val="bottom"/>
          </w:tcPr>
          <w:p>
            <w:pPr>
              <w:ind w:left="140"/>
              <w:spacing w:after="0"/>
              <w:rPr>
                <w:sz w:val="20"/>
                <w:szCs w:val="20"/>
                <w:color w:val="auto"/>
              </w:rPr>
            </w:pPr>
            <w:r>
              <w:rPr>
                <w:rFonts w:ascii="Arial" w:cs="Arial" w:eastAsia="Arial" w:hAnsi="Arial"/>
                <w:sz w:val="18"/>
                <w:szCs w:val="18"/>
                <w:color w:val="auto"/>
              </w:rPr>
              <w:t>Certain Rights of Trustee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7.03</w:t>
            </w:r>
          </w:p>
        </w:tc>
        <w:tc>
          <w:tcPr>
            <w:tcW w:w="4880" w:type="dxa"/>
            <w:vAlign w:val="bottom"/>
          </w:tcPr>
          <w:p>
            <w:pPr>
              <w:ind w:left="140"/>
              <w:spacing w:after="0"/>
              <w:rPr>
                <w:sz w:val="20"/>
                <w:szCs w:val="20"/>
                <w:color w:val="auto"/>
              </w:rPr>
            </w:pPr>
            <w:r>
              <w:rPr>
                <w:rFonts w:ascii="Arial" w:cs="Arial" w:eastAsia="Arial" w:hAnsi="Arial"/>
                <w:sz w:val="18"/>
                <w:szCs w:val="18"/>
                <w:color w:val="auto"/>
                <w:w w:val="95"/>
              </w:rPr>
              <w:t>Trustee Not Responsible for Recitals or Issuance or Securities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7.04</w:t>
            </w:r>
          </w:p>
        </w:tc>
        <w:tc>
          <w:tcPr>
            <w:tcW w:w="4880" w:type="dxa"/>
            <w:vAlign w:val="bottom"/>
          </w:tcPr>
          <w:p>
            <w:pPr>
              <w:ind w:left="140"/>
              <w:spacing w:after="0"/>
              <w:rPr>
                <w:sz w:val="20"/>
                <w:szCs w:val="20"/>
                <w:color w:val="auto"/>
              </w:rPr>
            </w:pPr>
            <w:r>
              <w:rPr>
                <w:rFonts w:ascii="Arial" w:cs="Arial" w:eastAsia="Arial" w:hAnsi="Arial"/>
                <w:sz w:val="18"/>
                <w:szCs w:val="18"/>
                <w:color w:val="auto"/>
              </w:rPr>
              <w:t>May Hold Securities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7.05</w:t>
            </w:r>
          </w:p>
        </w:tc>
        <w:tc>
          <w:tcPr>
            <w:tcW w:w="4880" w:type="dxa"/>
            <w:vAlign w:val="bottom"/>
          </w:tcPr>
          <w:p>
            <w:pPr>
              <w:ind w:left="140"/>
              <w:spacing w:after="0"/>
              <w:rPr>
                <w:sz w:val="20"/>
                <w:szCs w:val="20"/>
                <w:color w:val="auto"/>
              </w:rPr>
            </w:pPr>
            <w:r>
              <w:rPr>
                <w:rFonts w:ascii="Arial" w:cs="Arial" w:eastAsia="Arial" w:hAnsi="Arial"/>
                <w:sz w:val="18"/>
                <w:szCs w:val="18"/>
                <w:color w:val="auto"/>
              </w:rPr>
              <w:t>Moneys Held in Trust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7.06</w:t>
            </w:r>
          </w:p>
        </w:tc>
        <w:tc>
          <w:tcPr>
            <w:tcW w:w="4880" w:type="dxa"/>
            <w:vAlign w:val="bottom"/>
          </w:tcPr>
          <w:p>
            <w:pPr>
              <w:ind w:left="140"/>
              <w:spacing w:after="0"/>
              <w:rPr>
                <w:sz w:val="20"/>
                <w:szCs w:val="20"/>
                <w:color w:val="auto"/>
              </w:rPr>
            </w:pPr>
            <w:r>
              <w:rPr>
                <w:rFonts w:ascii="Arial" w:cs="Arial" w:eastAsia="Arial" w:hAnsi="Arial"/>
                <w:sz w:val="18"/>
                <w:szCs w:val="18"/>
                <w:color w:val="auto"/>
              </w:rPr>
              <w:t>Compensation and Reimbursement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7.07</w:t>
            </w:r>
          </w:p>
        </w:tc>
        <w:tc>
          <w:tcPr>
            <w:tcW w:w="4880" w:type="dxa"/>
            <w:vAlign w:val="bottom"/>
          </w:tcPr>
          <w:p>
            <w:pPr>
              <w:ind w:left="140"/>
              <w:spacing w:after="0"/>
              <w:rPr>
                <w:sz w:val="20"/>
                <w:szCs w:val="20"/>
                <w:color w:val="auto"/>
              </w:rPr>
            </w:pPr>
            <w:r>
              <w:rPr>
                <w:rFonts w:ascii="Arial" w:cs="Arial" w:eastAsia="Arial" w:hAnsi="Arial"/>
                <w:sz w:val="18"/>
                <w:szCs w:val="18"/>
                <w:color w:val="auto"/>
              </w:rPr>
              <w:t>Reliance on Officer’s Certificate or Opinion of Counsel</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7.08</w:t>
            </w:r>
          </w:p>
        </w:tc>
        <w:tc>
          <w:tcPr>
            <w:tcW w:w="4880" w:type="dxa"/>
            <w:vAlign w:val="bottom"/>
          </w:tcPr>
          <w:p>
            <w:pPr>
              <w:ind w:left="140"/>
              <w:spacing w:after="0"/>
              <w:rPr>
                <w:sz w:val="20"/>
                <w:szCs w:val="20"/>
                <w:color w:val="auto"/>
              </w:rPr>
            </w:pPr>
            <w:r>
              <w:rPr>
                <w:rFonts w:ascii="Arial" w:cs="Arial" w:eastAsia="Arial" w:hAnsi="Arial"/>
                <w:sz w:val="18"/>
                <w:szCs w:val="18"/>
                <w:color w:val="auto"/>
              </w:rPr>
              <w:t>Disqualification; Conflicting Interests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7.09</w:t>
            </w:r>
          </w:p>
        </w:tc>
        <w:tc>
          <w:tcPr>
            <w:tcW w:w="4880" w:type="dxa"/>
            <w:vAlign w:val="bottom"/>
          </w:tcPr>
          <w:p>
            <w:pPr>
              <w:ind w:left="140"/>
              <w:spacing w:after="0"/>
              <w:rPr>
                <w:sz w:val="20"/>
                <w:szCs w:val="20"/>
                <w:color w:val="auto"/>
              </w:rPr>
            </w:pPr>
            <w:r>
              <w:rPr>
                <w:rFonts w:ascii="Arial" w:cs="Arial" w:eastAsia="Arial" w:hAnsi="Arial"/>
                <w:sz w:val="18"/>
                <w:szCs w:val="18"/>
                <w:color w:val="auto"/>
              </w:rPr>
              <w:t>Corporate Trustee Required; Eligibility</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7.10</w:t>
            </w:r>
          </w:p>
        </w:tc>
        <w:tc>
          <w:tcPr>
            <w:tcW w:w="4880" w:type="dxa"/>
            <w:vAlign w:val="bottom"/>
          </w:tcPr>
          <w:p>
            <w:pPr>
              <w:ind w:left="140"/>
              <w:spacing w:after="0"/>
              <w:rPr>
                <w:sz w:val="20"/>
                <w:szCs w:val="20"/>
                <w:color w:val="auto"/>
              </w:rPr>
            </w:pPr>
            <w:r>
              <w:rPr>
                <w:rFonts w:ascii="Arial" w:cs="Arial" w:eastAsia="Arial" w:hAnsi="Arial"/>
                <w:sz w:val="18"/>
                <w:szCs w:val="18"/>
                <w:color w:val="auto"/>
              </w:rPr>
              <w:t>Resignation and Removal; Appointment of Successor</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7.11</w:t>
            </w:r>
          </w:p>
        </w:tc>
        <w:tc>
          <w:tcPr>
            <w:tcW w:w="4880" w:type="dxa"/>
            <w:vAlign w:val="bottom"/>
          </w:tcPr>
          <w:p>
            <w:pPr>
              <w:ind w:left="140"/>
              <w:spacing w:after="0"/>
              <w:rPr>
                <w:sz w:val="20"/>
                <w:szCs w:val="20"/>
                <w:color w:val="auto"/>
              </w:rPr>
            </w:pPr>
            <w:r>
              <w:rPr>
                <w:rFonts w:ascii="Arial" w:cs="Arial" w:eastAsia="Arial" w:hAnsi="Arial"/>
                <w:sz w:val="18"/>
                <w:szCs w:val="18"/>
                <w:color w:val="auto"/>
              </w:rPr>
              <w:t>Acceptance of Appointment By Successor</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7.12</w:t>
            </w:r>
          </w:p>
        </w:tc>
        <w:tc>
          <w:tcPr>
            <w:tcW w:w="4880" w:type="dxa"/>
            <w:vAlign w:val="bottom"/>
          </w:tcPr>
          <w:p>
            <w:pPr>
              <w:ind w:left="140"/>
              <w:spacing w:after="0"/>
              <w:rPr>
                <w:sz w:val="20"/>
                <w:szCs w:val="20"/>
                <w:color w:val="auto"/>
              </w:rPr>
            </w:pPr>
            <w:r>
              <w:rPr>
                <w:rFonts w:ascii="Arial" w:cs="Arial" w:eastAsia="Arial" w:hAnsi="Arial"/>
                <w:sz w:val="18"/>
                <w:szCs w:val="18"/>
                <w:color w:val="auto"/>
                <w:w w:val="95"/>
              </w:rPr>
              <w:t>Merger, Conversion, Consolidation or Succession to Business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7.13</w:t>
            </w:r>
          </w:p>
        </w:tc>
        <w:tc>
          <w:tcPr>
            <w:tcW w:w="488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the Company</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Section 7.14</w:t>
            </w:r>
          </w:p>
        </w:tc>
        <w:tc>
          <w:tcPr>
            <w:tcW w:w="4880" w:type="dxa"/>
            <w:vAlign w:val="bottom"/>
          </w:tcPr>
          <w:p>
            <w:pPr>
              <w:ind w:left="140"/>
              <w:spacing w:after="0"/>
              <w:rPr>
                <w:sz w:val="20"/>
                <w:szCs w:val="20"/>
                <w:color w:val="auto"/>
              </w:rPr>
            </w:pPr>
            <w:r>
              <w:rPr>
                <w:rFonts w:ascii="Arial" w:cs="Arial" w:eastAsia="Arial" w:hAnsi="Arial"/>
                <w:sz w:val="18"/>
                <w:szCs w:val="18"/>
                <w:color w:val="auto"/>
              </w:rPr>
              <w:t>Notice of Default</w:t>
            </w:r>
          </w:p>
        </w:tc>
      </w:tr>
      <w:tr>
        <w:trPr>
          <w:trHeight w:val="28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color w:val="auto"/>
              </w:rPr>
              <w:t>CONCERNING THE SECURITYHOLDERS</w:t>
            </w:r>
          </w:p>
        </w:tc>
      </w:tr>
      <w:tr>
        <w:trPr>
          <w:trHeight w:val="311"/>
        </w:trPr>
        <w:tc>
          <w:tcPr>
            <w:tcW w:w="1120" w:type="dxa"/>
            <w:vAlign w:val="bottom"/>
          </w:tcPr>
          <w:p>
            <w:pPr>
              <w:spacing w:after="0"/>
              <w:rPr>
                <w:sz w:val="20"/>
                <w:szCs w:val="20"/>
                <w:color w:val="auto"/>
              </w:rPr>
            </w:pPr>
            <w:r>
              <w:rPr>
                <w:rFonts w:ascii="Arial" w:cs="Arial" w:eastAsia="Arial" w:hAnsi="Arial"/>
                <w:sz w:val="18"/>
                <w:szCs w:val="18"/>
                <w:color w:val="auto"/>
              </w:rPr>
              <w:t>Section 8.01</w:t>
            </w:r>
          </w:p>
        </w:tc>
        <w:tc>
          <w:tcPr>
            <w:tcW w:w="4880" w:type="dxa"/>
            <w:vAlign w:val="bottom"/>
          </w:tcPr>
          <w:p>
            <w:pPr>
              <w:ind w:left="140"/>
              <w:spacing w:after="0"/>
              <w:rPr>
                <w:sz w:val="20"/>
                <w:szCs w:val="20"/>
                <w:color w:val="auto"/>
              </w:rPr>
            </w:pPr>
            <w:r>
              <w:rPr>
                <w:rFonts w:ascii="Arial" w:cs="Arial" w:eastAsia="Arial" w:hAnsi="Arial"/>
                <w:sz w:val="18"/>
                <w:szCs w:val="18"/>
                <w:color w:val="auto"/>
              </w:rPr>
              <w:t>Evidence of Action by Securityholders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8.02</w:t>
            </w:r>
          </w:p>
        </w:tc>
        <w:tc>
          <w:tcPr>
            <w:tcW w:w="4880" w:type="dxa"/>
            <w:vAlign w:val="bottom"/>
          </w:tcPr>
          <w:p>
            <w:pPr>
              <w:ind w:left="140"/>
              <w:spacing w:after="0"/>
              <w:rPr>
                <w:sz w:val="20"/>
                <w:szCs w:val="20"/>
                <w:color w:val="auto"/>
              </w:rPr>
            </w:pPr>
            <w:r>
              <w:rPr>
                <w:rFonts w:ascii="Arial" w:cs="Arial" w:eastAsia="Arial" w:hAnsi="Arial"/>
                <w:sz w:val="18"/>
                <w:szCs w:val="18"/>
                <w:color w:val="auto"/>
              </w:rPr>
              <w:t>Proof of Execution by Securityholders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8.03</w:t>
            </w:r>
          </w:p>
        </w:tc>
        <w:tc>
          <w:tcPr>
            <w:tcW w:w="4880" w:type="dxa"/>
            <w:vAlign w:val="bottom"/>
          </w:tcPr>
          <w:p>
            <w:pPr>
              <w:ind w:left="140"/>
              <w:spacing w:after="0"/>
              <w:rPr>
                <w:sz w:val="20"/>
                <w:szCs w:val="20"/>
                <w:color w:val="auto"/>
              </w:rPr>
            </w:pPr>
            <w:r>
              <w:rPr>
                <w:rFonts w:ascii="Arial" w:cs="Arial" w:eastAsia="Arial" w:hAnsi="Arial"/>
                <w:sz w:val="18"/>
                <w:szCs w:val="18"/>
                <w:color w:val="auto"/>
              </w:rPr>
              <w:t>Who May be Deemed Owners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8.04</w:t>
            </w:r>
          </w:p>
        </w:tc>
        <w:tc>
          <w:tcPr>
            <w:tcW w:w="4880" w:type="dxa"/>
            <w:vAlign w:val="bottom"/>
          </w:tcPr>
          <w:p>
            <w:pPr>
              <w:ind w:left="140"/>
              <w:spacing w:after="0"/>
              <w:rPr>
                <w:sz w:val="20"/>
                <w:szCs w:val="20"/>
                <w:color w:val="auto"/>
              </w:rPr>
            </w:pPr>
            <w:r>
              <w:rPr>
                <w:rFonts w:ascii="Arial" w:cs="Arial" w:eastAsia="Arial" w:hAnsi="Arial"/>
                <w:sz w:val="18"/>
                <w:szCs w:val="18"/>
                <w:color w:val="auto"/>
              </w:rPr>
              <w:t>Certain Securities Owned by Company Disregarded</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Section 8.05</w:t>
            </w:r>
          </w:p>
        </w:tc>
        <w:tc>
          <w:tcPr>
            <w:tcW w:w="4880" w:type="dxa"/>
            <w:vAlign w:val="bottom"/>
          </w:tcPr>
          <w:p>
            <w:pPr>
              <w:ind w:left="140"/>
              <w:spacing w:after="0"/>
              <w:rPr>
                <w:sz w:val="20"/>
                <w:szCs w:val="20"/>
                <w:color w:val="auto"/>
              </w:rPr>
            </w:pPr>
            <w:r>
              <w:rPr>
                <w:rFonts w:ascii="Arial" w:cs="Arial" w:eastAsia="Arial" w:hAnsi="Arial"/>
                <w:sz w:val="18"/>
                <w:szCs w:val="18"/>
                <w:color w:val="auto"/>
              </w:rPr>
              <w:t>Actions Binding on Future Securityholders</w:t>
            </w:r>
          </w:p>
        </w:tc>
      </w:tr>
      <w:tr>
        <w:trPr>
          <w:trHeight w:val="28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SUPPLEMENTAL INDENTURES</w:t>
            </w:r>
          </w:p>
        </w:tc>
      </w:tr>
      <w:tr>
        <w:trPr>
          <w:trHeight w:val="311"/>
        </w:trPr>
        <w:tc>
          <w:tcPr>
            <w:tcW w:w="1120" w:type="dxa"/>
            <w:vAlign w:val="bottom"/>
          </w:tcPr>
          <w:p>
            <w:pPr>
              <w:spacing w:after="0"/>
              <w:rPr>
                <w:sz w:val="20"/>
                <w:szCs w:val="20"/>
                <w:color w:val="auto"/>
              </w:rPr>
            </w:pPr>
            <w:r>
              <w:rPr>
                <w:rFonts w:ascii="Arial" w:cs="Arial" w:eastAsia="Arial" w:hAnsi="Arial"/>
                <w:sz w:val="18"/>
                <w:szCs w:val="18"/>
                <w:color w:val="auto"/>
              </w:rPr>
              <w:t>Section 9.01</w:t>
            </w:r>
          </w:p>
        </w:tc>
        <w:tc>
          <w:tcPr>
            <w:tcW w:w="4880" w:type="dxa"/>
            <w:vAlign w:val="bottom"/>
          </w:tcPr>
          <w:p>
            <w:pPr>
              <w:ind w:left="140"/>
              <w:spacing w:after="0"/>
              <w:rPr>
                <w:sz w:val="20"/>
                <w:szCs w:val="20"/>
                <w:color w:val="auto"/>
              </w:rPr>
            </w:pPr>
            <w:r>
              <w:rPr>
                <w:rFonts w:ascii="Arial" w:cs="Arial" w:eastAsia="Arial" w:hAnsi="Arial"/>
                <w:sz w:val="18"/>
                <w:szCs w:val="18"/>
                <w:color w:val="auto"/>
                <w:w w:val="91"/>
              </w:rPr>
              <w:t>Supplemental Indentures Without the Consent of Securityholders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9.02</w:t>
            </w:r>
          </w:p>
        </w:tc>
        <w:tc>
          <w:tcPr>
            <w:tcW w:w="4880" w:type="dxa"/>
            <w:vAlign w:val="bottom"/>
          </w:tcPr>
          <w:p>
            <w:pPr>
              <w:ind w:left="140"/>
              <w:spacing w:after="0"/>
              <w:rPr>
                <w:sz w:val="20"/>
                <w:szCs w:val="20"/>
                <w:color w:val="auto"/>
              </w:rPr>
            </w:pPr>
            <w:r>
              <w:rPr>
                <w:rFonts w:ascii="Arial" w:cs="Arial" w:eastAsia="Arial" w:hAnsi="Arial"/>
                <w:sz w:val="18"/>
                <w:szCs w:val="18"/>
                <w:color w:val="auto"/>
              </w:rPr>
              <w:t>Supplemental Indentures With Consent of Securityholders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9.03</w:t>
            </w:r>
          </w:p>
        </w:tc>
        <w:tc>
          <w:tcPr>
            <w:tcW w:w="4880" w:type="dxa"/>
            <w:vAlign w:val="bottom"/>
          </w:tcPr>
          <w:p>
            <w:pPr>
              <w:ind w:left="140"/>
              <w:spacing w:after="0"/>
              <w:rPr>
                <w:sz w:val="20"/>
                <w:szCs w:val="20"/>
                <w:color w:val="auto"/>
              </w:rPr>
            </w:pPr>
            <w:r>
              <w:rPr>
                <w:rFonts w:ascii="Arial" w:cs="Arial" w:eastAsia="Arial" w:hAnsi="Arial"/>
                <w:sz w:val="18"/>
                <w:szCs w:val="18"/>
                <w:color w:val="auto"/>
              </w:rPr>
              <w:t>Effect of Supplemental Indentures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9.04</w:t>
            </w:r>
          </w:p>
        </w:tc>
        <w:tc>
          <w:tcPr>
            <w:tcW w:w="4880" w:type="dxa"/>
            <w:vAlign w:val="bottom"/>
          </w:tcPr>
          <w:p>
            <w:pPr>
              <w:ind w:left="140"/>
              <w:spacing w:after="0"/>
              <w:rPr>
                <w:sz w:val="20"/>
                <w:szCs w:val="20"/>
                <w:color w:val="auto"/>
              </w:rPr>
            </w:pPr>
            <w:r>
              <w:rPr>
                <w:rFonts w:ascii="Arial" w:cs="Arial" w:eastAsia="Arial" w:hAnsi="Arial"/>
                <w:sz w:val="18"/>
                <w:szCs w:val="18"/>
                <w:color w:val="auto"/>
              </w:rPr>
              <w:t>Securities Affected by Supplemental Indentures</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Section 9.05</w:t>
            </w:r>
          </w:p>
        </w:tc>
        <w:tc>
          <w:tcPr>
            <w:tcW w:w="4880" w:type="dxa"/>
            <w:vAlign w:val="bottom"/>
          </w:tcPr>
          <w:p>
            <w:pPr>
              <w:ind w:left="140"/>
              <w:spacing w:after="0"/>
              <w:rPr>
                <w:sz w:val="20"/>
                <w:szCs w:val="20"/>
                <w:color w:val="auto"/>
              </w:rPr>
            </w:pPr>
            <w:r>
              <w:rPr>
                <w:rFonts w:ascii="Arial" w:cs="Arial" w:eastAsia="Arial" w:hAnsi="Arial"/>
                <w:sz w:val="18"/>
                <w:szCs w:val="18"/>
                <w:color w:val="auto"/>
              </w:rPr>
              <w:t>Execution of Supplemental Indentures</w:t>
            </w:r>
          </w:p>
        </w:tc>
      </w:tr>
      <w:tr>
        <w:trPr>
          <w:trHeight w:val="28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SUCCESSOR ENTITY</w:t>
            </w:r>
          </w:p>
        </w:tc>
      </w:tr>
      <w:tr>
        <w:trPr>
          <w:trHeight w:val="311"/>
        </w:trPr>
        <w:tc>
          <w:tcPr>
            <w:tcW w:w="1120" w:type="dxa"/>
            <w:vAlign w:val="bottom"/>
          </w:tcPr>
          <w:p>
            <w:pPr>
              <w:spacing w:after="0"/>
              <w:rPr>
                <w:sz w:val="20"/>
                <w:szCs w:val="20"/>
                <w:color w:val="auto"/>
              </w:rPr>
            </w:pPr>
            <w:r>
              <w:rPr>
                <w:rFonts w:ascii="Arial" w:cs="Arial" w:eastAsia="Arial" w:hAnsi="Arial"/>
                <w:sz w:val="18"/>
                <w:szCs w:val="18"/>
                <w:color w:val="auto"/>
                <w:w w:val="99"/>
              </w:rPr>
              <w:t>Section 10.01</w:t>
            </w:r>
          </w:p>
        </w:tc>
        <w:tc>
          <w:tcPr>
            <w:tcW w:w="4880" w:type="dxa"/>
            <w:vAlign w:val="bottom"/>
          </w:tcPr>
          <w:p>
            <w:pPr>
              <w:ind w:left="140"/>
              <w:spacing w:after="0"/>
              <w:rPr>
                <w:sz w:val="20"/>
                <w:szCs w:val="20"/>
                <w:color w:val="auto"/>
              </w:rPr>
            </w:pPr>
            <w:r>
              <w:rPr>
                <w:rFonts w:ascii="Arial" w:cs="Arial" w:eastAsia="Arial" w:hAnsi="Arial"/>
                <w:sz w:val="18"/>
                <w:szCs w:val="18"/>
                <w:color w:val="auto"/>
              </w:rPr>
              <w:t>Company May Consolidate, Etc</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10.02</w:t>
            </w:r>
          </w:p>
        </w:tc>
        <w:tc>
          <w:tcPr>
            <w:tcW w:w="4880" w:type="dxa"/>
            <w:vAlign w:val="bottom"/>
          </w:tcPr>
          <w:p>
            <w:pPr>
              <w:ind w:left="140"/>
              <w:spacing w:after="0"/>
              <w:rPr>
                <w:sz w:val="20"/>
                <w:szCs w:val="20"/>
                <w:color w:val="auto"/>
              </w:rPr>
            </w:pPr>
            <w:r>
              <w:rPr>
                <w:rFonts w:ascii="Arial" w:cs="Arial" w:eastAsia="Arial" w:hAnsi="Arial"/>
                <w:sz w:val="18"/>
                <w:szCs w:val="18"/>
                <w:color w:val="auto"/>
              </w:rPr>
              <w:t>Successor Entity Substituted</w:t>
            </w:r>
          </w:p>
        </w:tc>
      </w:tr>
      <w:tr>
        <w:trPr>
          <w:trHeight w:val="28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SATISFACTION AND DISCHARGE</w:t>
            </w:r>
          </w:p>
        </w:tc>
      </w:tr>
      <w:tr>
        <w:trPr>
          <w:trHeight w:val="311"/>
        </w:trPr>
        <w:tc>
          <w:tcPr>
            <w:tcW w:w="1120" w:type="dxa"/>
            <w:vAlign w:val="bottom"/>
          </w:tcPr>
          <w:p>
            <w:pPr>
              <w:spacing w:after="0"/>
              <w:rPr>
                <w:sz w:val="20"/>
                <w:szCs w:val="20"/>
                <w:color w:val="auto"/>
              </w:rPr>
            </w:pPr>
            <w:r>
              <w:rPr>
                <w:rFonts w:ascii="Arial" w:cs="Arial" w:eastAsia="Arial" w:hAnsi="Arial"/>
                <w:sz w:val="18"/>
                <w:szCs w:val="18"/>
                <w:color w:val="auto"/>
                <w:w w:val="99"/>
              </w:rPr>
              <w:t>Section 11.01</w:t>
            </w:r>
          </w:p>
        </w:tc>
        <w:tc>
          <w:tcPr>
            <w:tcW w:w="4880" w:type="dxa"/>
            <w:vAlign w:val="bottom"/>
          </w:tcPr>
          <w:p>
            <w:pPr>
              <w:ind w:left="140"/>
              <w:spacing w:after="0"/>
              <w:rPr>
                <w:sz w:val="20"/>
                <w:szCs w:val="20"/>
                <w:color w:val="auto"/>
              </w:rPr>
            </w:pPr>
            <w:r>
              <w:rPr>
                <w:rFonts w:ascii="Arial" w:cs="Arial" w:eastAsia="Arial" w:hAnsi="Arial"/>
                <w:sz w:val="18"/>
                <w:szCs w:val="18"/>
                <w:color w:val="auto"/>
              </w:rPr>
              <w:t>Satisfaction and Discharge of Indenture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11.02</w:t>
            </w:r>
          </w:p>
        </w:tc>
        <w:tc>
          <w:tcPr>
            <w:tcW w:w="4880" w:type="dxa"/>
            <w:vAlign w:val="bottom"/>
          </w:tcPr>
          <w:p>
            <w:pPr>
              <w:ind w:left="140"/>
              <w:spacing w:after="0"/>
              <w:rPr>
                <w:sz w:val="20"/>
                <w:szCs w:val="20"/>
                <w:color w:val="auto"/>
              </w:rPr>
            </w:pPr>
            <w:r>
              <w:rPr>
                <w:rFonts w:ascii="Arial" w:cs="Arial" w:eastAsia="Arial" w:hAnsi="Arial"/>
                <w:sz w:val="18"/>
                <w:szCs w:val="18"/>
                <w:color w:val="auto"/>
              </w:rPr>
              <w:t>Discharge of Obligations</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11.03</w:t>
            </w:r>
          </w:p>
        </w:tc>
        <w:tc>
          <w:tcPr>
            <w:tcW w:w="4880" w:type="dxa"/>
            <w:vAlign w:val="bottom"/>
          </w:tcPr>
          <w:p>
            <w:pPr>
              <w:ind w:left="140"/>
              <w:spacing w:after="0"/>
              <w:rPr>
                <w:sz w:val="20"/>
                <w:szCs w:val="20"/>
                <w:color w:val="auto"/>
              </w:rPr>
            </w:pPr>
            <w:r>
              <w:rPr>
                <w:rFonts w:ascii="Arial" w:cs="Arial" w:eastAsia="Arial" w:hAnsi="Arial"/>
                <w:sz w:val="18"/>
                <w:szCs w:val="18"/>
                <w:color w:val="auto"/>
              </w:rPr>
              <w:t>Deposited Moneys to be Held in Trust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11.04</w:t>
            </w:r>
          </w:p>
        </w:tc>
        <w:tc>
          <w:tcPr>
            <w:tcW w:w="4880" w:type="dxa"/>
            <w:vAlign w:val="bottom"/>
          </w:tcPr>
          <w:p>
            <w:pPr>
              <w:ind w:left="140"/>
              <w:spacing w:after="0"/>
              <w:rPr>
                <w:sz w:val="20"/>
                <w:szCs w:val="20"/>
                <w:color w:val="auto"/>
              </w:rPr>
            </w:pPr>
            <w:r>
              <w:rPr>
                <w:rFonts w:ascii="Arial" w:cs="Arial" w:eastAsia="Arial" w:hAnsi="Arial"/>
                <w:sz w:val="18"/>
                <w:szCs w:val="18"/>
                <w:color w:val="auto"/>
              </w:rPr>
              <w:t>Payment of Moneys Held by Paying Agents</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w w:val="99"/>
              </w:rPr>
              <w:t>Section 11.05</w:t>
            </w:r>
          </w:p>
        </w:tc>
        <w:tc>
          <w:tcPr>
            <w:tcW w:w="4880" w:type="dxa"/>
            <w:vAlign w:val="bottom"/>
          </w:tcPr>
          <w:p>
            <w:pPr>
              <w:ind w:left="140"/>
              <w:spacing w:after="0"/>
              <w:rPr>
                <w:sz w:val="20"/>
                <w:szCs w:val="20"/>
                <w:color w:val="auto"/>
              </w:rPr>
            </w:pPr>
            <w:r>
              <w:rPr>
                <w:rFonts w:ascii="Arial" w:cs="Arial" w:eastAsia="Arial" w:hAnsi="Arial"/>
                <w:sz w:val="18"/>
                <w:szCs w:val="18"/>
                <w:color w:val="auto"/>
              </w:rPr>
              <w:t>Repayment to Company</w:t>
            </w:r>
          </w:p>
        </w:tc>
      </w:tr>
    </w:tbl>
    <w:p>
      <w:pPr>
        <w:spacing w:after="0" w:line="377" w:lineRule="exact"/>
        <w:rPr>
          <w:sz w:val="20"/>
          <w:szCs w:val="20"/>
          <w:color w:val="auto"/>
        </w:rPr>
      </w:pPr>
    </w:p>
    <w:p>
      <w:pPr>
        <w:jc w:val="center"/>
        <w:ind w:left="11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478155</wp:posOffset>
            </wp:positionV>
            <wp:extent cx="554863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ectPr>
          <w:pgSz w:w="11900" w:h="16838" w:orient="portrait"/>
          <w:cols w:equalWidth="0" w:num="2">
            <w:col w:w="7920" w:space="720"/>
            <w:col w:w="379"/>
          </w:cols>
          <w:pgMar w:left="1440" w:top="692" w:right="1440" w:bottom="1440" w:gutter="0" w:footer="0" w:header="0"/>
        </w:sectPr>
      </w:pPr>
    </w:p>
    <w:bookmarkStart w:id="79" w:name="page80"/>
    <w:bookmarkEnd w:id="79"/>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ARTICLE 12 </w:t>
      </w:r>
      <w:r>
        <w:rPr>
          <w:rFonts w:ascii="Arial" w:cs="Arial" w:eastAsia="Arial" w:hAnsi="Arial"/>
          <w:sz w:val="17"/>
          <w:szCs w:val="17"/>
          <w:color w:val="auto"/>
        </w:rPr>
        <w:t>IMMUNITY OF INCORPORATORS, STOCKHOLDERS, OFFICERS AND DIRECTORS</w:t>
      </w:r>
    </w:p>
    <w:p>
      <w:pPr>
        <w:spacing w:after="0" w:line="39" w:lineRule="exact"/>
        <w:rPr>
          <w:sz w:val="20"/>
          <w:szCs w:val="20"/>
          <w:color w:val="auto"/>
        </w:rPr>
      </w:pPr>
    </w:p>
    <w:p>
      <w:pPr>
        <w:ind w:left="160"/>
        <w:spacing w:after="0"/>
        <w:tabs>
          <w:tab w:leader="none" w:pos="204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24"/>
          <w:szCs w:val="24"/>
          <w:color w:val="auto"/>
          <w:vertAlign w:val="subscript"/>
        </w:rPr>
        <w:t>No Recourse</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ARTICLE 13 </w:t>
      </w:r>
      <w:r>
        <w:rPr>
          <w:rFonts w:ascii="Arial" w:cs="Arial" w:eastAsia="Arial" w:hAnsi="Arial"/>
          <w:sz w:val="18"/>
          <w:szCs w:val="18"/>
          <w:color w:val="auto"/>
        </w:rPr>
        <w:t>MISCELLANEOUS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26" w:lineRule="exact"/>
        <w:rPr>
          <w:sz w:val="20"/>
          <w:szCs w:val="20"/>
          <w:color w:val="auto"/>
        </w:rPr>
      </w:pPr>
    </w:p>
    <w:p>
      <w:pPr>
        <w:sectPr>
          <w:pgSz w:w="11900" w:h="16838" w:orient="portrait"/>
          <w:cols w:equalWidth="0" w:num="2">
            <w:col w:w="7900" w:space="720"/>
            <w:col w:w="399"/>
          </w:cols>
          <w:pgMar w:left="1440" w:top="449" w:right="1440" w:bottom="1440" w:gutter="0" w:footer="0" w:header="0"/>
        </w:sectPr>
      </w:pPr>
    </w:p>
    <w:p>
      <w:pPr>
        <w:ind w:left="160"/>
        <w:spacing w:after="0"/>
        <w:rPr>
          <w:sz w:val="20"/>
          <w:szCs w:val="20"/>
          <w:color w:val="auto"/>
        </w:rPr>
      </w:pPr>
      <w:r>
        <w:rPr>
          <w:rFonts w:ascii="Arial" w:cs="Arial" w:eastAsia="Arial" w:hAnsi="Arial"/>
          <w:sz w:val="16"/>
          <w:szCs w:val="16"/>
          <w:color w:val="auto"/>
        </w:rPr>
        <w:t>Section 13.01</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13.02</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13.03</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13.04</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13.05</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13.06</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13.07</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13.08</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13.09</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13.10</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13.11</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13.12</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13.13</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Section 13.14</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Effect on Successors and Assigns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Actions by Successor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Surrender of Company Powers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Governing Law; Jury Trial Waiver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Treatment of Securities as Debt</w:t>
      </w:r>
    </w:p>
    <w:p>
      <w:pPr>
        <w:spacing w:after="0" w:line="9" w:lineRule="exact"/>
        <w:rPr>
          <w:sz w:val="20"/>
          <w:szCs w:val="20"/>
          <w:color w:val="auto"/>
        </w:rPr>
      </w:pPr>
    </w:p>
    <w:p>
      <w:pPr>
        <w:ind w:right="2020"/>
        <w:spacing w:after="0" w:line="250" w:lineRule="auto"/>
        <w:rPr>
          <w:sz w:val="20"/>
          <w:szCs w:val="20"/>
          <w:color w:val="auto"/>
        </w:rPr>
      </w:pPr>
      <w:r>
        <w:rPr>
          <w:rFonts w:ascii="Arial" w:cs="Arial" w:eastAsia="Arial" w:hAnsi="Arial"/>
          <w:sz w:val="18"/>
          <w:szCs w:val="18"/>
          <w:color w:val="auto"/>
        </w:rPr>
        <w:t>Certificates and Opinions as to Conditions Precedent Payments on Business Days Conflict with Trust Indenture 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Counterparts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Separability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PATRIOT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Calculations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76" w:lineRule="exact"/>
        <w:rPr>
          <w:sz w:val="20"/>
          <w:szCs w:val="20"/>
          <w:color w:val="auto"/>
        </w:rPr>
      </w:pPr>
    </w:p>
    <w:p>
      <w:pPr>
        <w:sectPr>
          <w:pgSz w:w="11900" w:h="16838" w:orient="portrait"/>
          <w:cols w:equalWidth="0" w:num="3">
            <w:col w:w="1340" w:space="720"/>
            <w:col w:w="5840" w:space="720"/>
            <w:col w:w="399"/>
          </w:cols>
          <w:pgMar w:left="1440" w:top="449" w:right="1440" w:bottom="1440" w:gutter="0" w:footer="0" w:header="0"/>
          <w:type w:val="continuous"/>
        </w:sectPr>
      </w:pPr>
    </w:p>
    <w:p>
      <w:pPr>
        <w:ind w:left="160"/>
        <w:spacing w:after="0"/>
        <w:rPr>
          <w:sz w:val="20"/>
          <w:szCs w:val="20"/>
          <w:color w:val="auto"/>
        </w:rPr>
      </w:pPr>
      <w:r>
        <w:rPr>
          <w:rFonts w:ascii="Arial" w:cs="Arial" w:eastAsia="Arial" w:hAnsi="Arial"/>
          <w:sz w:val="18"/>
          <w:szCs w:val="18"/>
          <w:b w:val="1"/>
          <w:bCs w:val="1"/>
          <w:color w:val="auto"/>
        </w:rPr>
        <w:t xml:space="preserve">ARTICLE 14 </w:t>
      </w:r>
      <w:r>
        <w:rPr>
          <w:rFonts w:ascii="Arial" w:cs="Arial" w:eastAsia="Arial" w:hAnsi="Arial"/>
          <w:sz w:val="18"/>
          <w:szCs w:val="18"/>
          <w:color w:val="auto"/>
        </w:rPr>
        <w:t>SUBORDINATION OF SECURITIES</w:t>
      </w:r>
    </w:p>
    <w:p>
      <w:pPr>
        <w:spacing w:after="0" w:line="115" w:lineRule="exact"/>
        <w:rPr>
          <w:sz w:val="20"/>
          <w:szCs w:val="20"/>
          <w:color w:val="auto"/>
        </w:rPr>
      </w:pPr>
    </w:p>
    <w:p>
      <w:pPr>
        <w:ind w:left="160"/>
        <w:spacing w:after="0"/>
        <w:tabs>
          <w:tab w:leader="none" w:pos="2040" w:val="left"/>
        </w:tabs>
        <w:rPr>
          <w:sz w:val="20"/>
          <w:szCs w:val="20"/>
          <w:color w:val="auto"/>
        </w:rPr>
      </w:pPr>
      <w:r>
        <w:rPr>
          <w:rFonts w:ascii="Arial" w:cs="Arial" w:eastAsia="Arial" w:hAnsi="Arial"/>
          <w:sz w:val="36"/>
          <w:szCs w:val="36"/>
          <w:color w:val="auto"/>
          <w:vertAlign w:val="superscript"/>
        </w:rPr>
        <w:t>Section 14.01</w:t>
      </w:r>
      <w:r>
        <w:rPr>
          <w:sz w:val="20"/>
          <w:szCs w:val="20"/>
          <w:color w:val="auto"/>
        </w:rPr>
        <w:tab/>
      </w:r>
      <w:r>
        <w:rPr>
          <w:rFonts w:ascii="Arial" w:cs="Arial" w:eastAsia="Arial" w:hAnsi="Arial"/>
          <w:sz w:val="16"/>
          <w:szCs w:val="16"/>
          <w:color w:val="auto"/>
        </w:rPr>
        <w:t>Subordination Terms</w:t>
      </w:r>
    </w:p>
    <w:p>
      <w:pPr>
        <w:ind w:left="160"/>
        <w:spacing w:after="0"/>
        <w:rPr>
          <w:sz w:val="20"/>
          <w:szCs w:val="20"/>
          <w:color w:val="auto"/>
        </w:rPr>
      </w:pPr>
      <w:r>
        <w:rPr>
          <w:rFonts w:ascii="Arial" w:cs="Arial" w:eastAsia="Arial" w:hAnsi="Arial"/>
          <w:sz w:val="17"/>
          <w:szCs w:val="17"/>
          <w:color w:val="auto"/>
        </w:rPr>
        <w:t>TRUST INDENTURE ACT CROSS-REFERENCE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32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478155</wp:posOffset>
            </wp:positionV>
            <wp:extent cx="554863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6"/>
          <w:szCs w:val="16"/>
          <w:color w:val="auto"/>
        </w:rPr>
        <w:t>33</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33</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A-1</w:t>
      </w:r>
    </w:p>
    <w:p>
      <w:pPr>
        <w:sectPr>
          <w:pgSz w:w="11900" w:h="16838" w:orient="portrait"/>
          <w:cols w:equalWidth="0" w:num="2">
            <w:col w:w="7800" w:space="720"/>
            <w:col w:w="499"/>
          </w:cols>
          <w:pgMar w:left="1440" w:top="449" w:right="1440" w:bottom="1440" w:gutter="0" w:footer="0" w:header="0"/>
          <w:type w:val="continuous"/>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INDENTURE</w:t>
      </w:r>
    </w:p>
    <w:p>
      <w:pPr>
        <w:spacing w:after="0" w:line="185" w:lineRule="exact"/>
        <w:rPr>
          <w:sz w:val="20"/>
          <w:szCs w:val="20"/>
          <w:color w:val="auto"/>
        </w:rPr>
      </w:pPr>
    </w:p>
    <w:p>
      <w:pPr>
        <w:ind w:left="160" w:right="259"/>
        <w:spacing w:after="0" w:line="237"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 202_ , among</w:t>
      </w:r>
      <w:r>
        <w:rPr>
          <w:rFonts w:ascii="Arial" w:cs="Arial" w:eastAsia="Arial" w:hAnsi="Arial"/>
          <w:sz w:val="18"/>
          <w:szCs w:val="18"/>
          <w:b w:val="1"/>
          <w:bCs w:val="1"/>
          <w:color w:val="auto"/>
        </w:rPr>
        <w:t xml:space="preserve"> BLUEPRINT MEDICINES CORPORATION</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TRUSTEE</w:t>
      </w:r>
      <w:r>
        <w:rPr>
          <w:rFonts w:ascii="Arial" w:cs="Arial" w:eastAsia="Arial" w:hAnsi="Arial"/>
          <w:sz w:val="18"/>
          <w:szCs w:val="18"/>
          <w:color w:val="auto"/>
        </w:rPr>
        <w:t>]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58" w:lineRule="exact"/>
        <w:rPr>
          <w:sz w:val="20"/>
          <w:szCs w:val="20"/>
          <w:color w:val="auto"/>
        </w:rPr>
      </w:pPr>
    </w:p>
    <w:p>
      <w:pPr>
        <w:ind w:left="160" w:right="259"/>
        <w:spacing w:after="0" w:line="23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its lawful corporate purposes, the Company has duly authorized the execution and delivery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Indenture to provide for the issuance of subordinated debt securities (hereinafter referred to as the “</w:t>
      </w:r>
      <w:r>
        <w:rPr>
          <w:rFonts w:ascii="Arial" w:cs="Arial" w:eastAsia="Arial" w:hAnsi="Arial"/>
          <w:sz w:val="17"/>
          <w:szCs w:val="17"/>
          <w:b w:val="1"/>
          <w:bCs w:val="1"/>
          <w:color w:val="auto"/>
        </w:rPr>
        <w:t>Securities</w:t>
      </w:r>
      <w:r>
        <w:rPr>
          <w:rFonts w:ascii="Arial" w:cs="Arial" w:eastAsia="Arial" w:hAnsi="Arial"/>
          <w:sz w:val="17"/>
          <w:szCs w:val="17"/>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59" w:lineRule="exact"/>
        <w:rPr>
          <w:sz w:val="20"/>
          <w:szCs w:val="20"/>
          <w:color w:val="auto"/>
        </w:rPr>
      </w:pPr>
    </w:p>
    <w:p>
      <w:pPr>
        <w:ind w:left="160" w:right="899"/>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the Company has duly authorized the execution of this Indenture; and</w:t>
      </w:r>
    </w:p>
    <w:p>
      <w:pPr>
        <w:spacing w:after="0" w:line="158" w:lineRule="exact"/>
        <w:rPr>
          <w:sz w:val="20"/>
          <w:szCs w:val="20"/>
          <w:color w:val="auto"/>
        </w:rPr>
      </w:pPr>
    </w:p>
    <w:p>
      <w:pPr>
        <w:ind w:left="160" w:right="279"/>
        <w:spacing w:after="0" w:line="23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to make this Indenture a valid and binding agreement of the Company,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terms, have been done.</w:t>
      </w:r>
    </w:p>
    <w:p>
      <w:pPr>
        <w:spacing w:after="0" w:line="158" w:lineRule="exact"/>
        <w:rPr>
          <w:sz w:val="20"/>
          <w:szCs w:val="20"/>
          <w:color w:val="auto"/>
        </w:rPr>
      </w:pPr>
    </w:p>
    <w:p>
      <w:pPr>
        <w:ind w:left="160" w:right="379"/>
        <w:spacing w:after="0" w:line="26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purchase of the Securities by the holders thereof, it is</w:t>
      </w:r>
      <w:r>
        <w:rPr>
          <w:rFonts w:ascii="Arial" w:cs="Arial" w:eastAsia="Arial" w:hAnsi="Arial"/>
          <w:sz w:val="17"/>
          <w:szCs w:val="17"/>
          <w:b w:val="1"/>
          <w:bCs w:val="1"/>
          <w:color w:val="auto"/>
        </w:rPr>
        <w:t xml:space="preserve"> </w:t>
      </w:r>
      <w:r>
        <w:rPr>
          <w:rFonts w:ascii="Arial" w:cs="Arial" w:eastAsia="Arial" w:hAnsi="Arial"/>
          <w:sz w:val="17"/>
          <w:szCs w:val="17"/>
          <w:color w:val="auto"/>
        </w:rPr>
        <w:t>mutually covenanted and agreed as follows for the equal and ratable benefit of the holders of Securities:</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w:t>
      </w:r>
    </w:p>
    <w:p>
      <w:pPr>
        <w:jc w:val="center"/>
        <w:ind w:right="-20"/>
        <w:spacing w:after="0"/>
        <w:rPr>
          <w:sz w:val="20"/>
          <w:szCs w:val="20"/>
          <w:color w:val="auto"/>
        </w:rPr>
      </w:pPr>
      <w:r>
        <w:rPr>
          <w:rFonts w:ascii="Arial" w:cs="Arial" w:eastAsia="Arial" w:hAnsi="Arial"/>
          <w:sz w:val="18"/>
          <w:szCs w:val="18"/>
          <w:b w:val="1"/>
          <w:bCs w:val="1"/>
          <w:color w:val="auto"/>
        </w:rPr>
        <w:t>DEFINITIONS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 of Terms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39" w:lineRule="auto"/>
        <w:rPr>
          <w:sz w:val="20"/>
          <w:szCs w:val="20"/>
          <w:color w:val="auto"/>
        </w:rPr>
      </w:pPr>
      <w:r>
        <w:rPr>
          <w:rFonts w:ascii="Arial" w:cs="Arial" w:eastAsia="Arial" w:hAnsi="Arial"/>
          <w:sz w:val="16"/>
          <w:szCs w:val="16"/>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59" w:lineRule="exact"/>
        <w:rPr>
          <w:sz w:val="20"/>
          <w:szCs w:val="20"/>
          <w:color w:val="auto"/>
        </w:rPr>
      </w:pPr>
    </w:p>
    <w:p>
      <w:pPr>
        <w:ind w:left="160" w:right="15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xml:space="preserve">” means an authenticating agent with respect to all or any of the series of Securities appointed by the Trustee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185" w:lineRule="exact"/>
        <w:rPr>
          <w:sz w:val="20"/>
          <w:szCs w:val="20"/>
          <w:color w:val="auto"/>
        </w:rPr>
      </w:pPr>
    </w:p>
    <w:p>
      <w:pPr>
        <w:ind w:left="160" w:right="33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58" w:lineRule="exact"/>
        <w:rPr>
          <w:sz w:val="20"/>
          <w:szCs w:val="20"/>
          <w:color w:val="auto"/>
        </w:rPr>
      </w:pPr>
    </w:p>
    <w:p>
      <w:pPr>
        <w:ind w:left="160" w:right="159"/>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8" w:lineRule="exact"/>
        <w:rPr>
          <w:sz w:val="20"/>
          <w:szCs w:val="20"/>
          <w:color w:val="auto"/>
        </w:rPr>
      </w:pPr>
    </w:p>
    <w:p>
      <w:pPr>
        <w:ind w:left="160" w:right="539"/>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58" w:lineRule="exact"/>
        <w:rPr>
          <w:sz w:val="20"/>
          <w:szCs w:val="20"/>
          <w:color w:val="auto"/>
        </w:rPr>
      </w:pPr>
    </w:p>
    <w:p>
      <w:pPr>
        <w:ind w:left="160" w:right="339"/>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1" w:name="page82"/>
    <w:bookmarkEnd w:id="81"/>
    <w:p>
      <w:pPr>
        <w:ind w:left="160" w:right="379"/>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xml:space="preserve">” means Blueprint Medicines Corporation, a corporation duly organized and existing under the laws of the State of Delaware, and, subject to the provisions of </w:t>
      </w:r>
      <w:r>
        <w:rPr>
          <w:rFonts w:ascii="Arial" w:cs="Arial" w:eastAsia="Arial" w:hAnsi="Arial"/>
          <w:sz w:val="17"/>
          <w:szCs w:val="17"/>
          <w:u w:val="single" w:color="auto"/>
          <w:color w:val="auto"/>
        </w:rPr>
        <w:t>Article 10</w:t>
      </w:r>
      <w:r>
        <w:rPr>
          <w:rFonts w:ascii="Arial" w:cs="Arial" w:eastAsia="Arial" w:hAnsi="Arial"/>
          <w:sz w:val="17"/>
          <w:szCs w:val="17"/>
          <w:color w:val="auto"/>
        </w:rPr>
        <w:t>, shall also include its successors and assigns.</w:t>
      </w:r>
    </w:p>
    <w:p>
      <w:pPr>
        <w:spacing w:after="0" w:line="139" w:lineRule="exact"/>
        <w:rPr>
          <w:sz w:val="20"/>
          <w:szCs w:val="20"/>
          <w:color w:val="auto"/>
        </w:rPr>
      </w:pPr>
    </w:p>
    <w:p>
      <w:pPr>
        <w:ind w:left="160" w:right="35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an Officer of the Company, and delivered to the Trustee.</w:t>
      </w:r>
    </w:p>
    <w:p>
      <w:pPr>
        <w:spacing w:after="0" w:line="158" w:lineRule="exact"/>
        <w:rPr>
          <w:sz w:val="20"/>
          <w:szCs w:val="20"/>
          <w:color w:val="auto"/>
        </w:rPr>
      </w:pPr>
    </w:p>
    <w:p>
      <w:pPr>
        <w:ind w:left="160" w:right="37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at any particular time, its corporate trust business shall be administered, which office at the date hereof is located at .</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5" w:lineRule="exact"/>
        <w:rPr>
          <w:sz w:val="20"/>
          <w:szCs w:val="20"/>
          <w:color w:val="auto"/>
        </w:rPr>
      </w:pPr>
    </w:p>
    <w:p>
      <w:pPr>
        <w:ind w:left="160" w:right="159"/>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2.11</w:t>
      </w:r>
      <w:r>
        <w:rPr>
          <w:rFonts w:ascii="Arial" w:cs="Arial" w:eastAsia="Arial" w:hAnsi="Arial"/>
          <w:sz w:val="18"/>
          <w:szCs w:val="18"/>
          <w:color w:val="auto"/>
        </w:rPr>
        <w:t>.</w:t>
      </w:r>
    </w:p>
    <w:p>
      <w:pPr>
        <w:spacing w:after="0" w:line="159" w:lineRule="exact"/>
        <w:rPr>
          <w:sz w:val="20"/>
          <w:szCs w:val="20"/>
          <w:color w:val="auto"/>
        </w:rPr>
      </w:pPr>
    </w:p>
    <w:p>
      <w:pPr>
        <w:ind w:left="160" w:right="87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means, with respect to Securities of a particular series, any event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 continued for the period of time, if any, therein designated.</w:t>
      </w:r>
    </w:p>
    <w:p>
      <w:pPr>
        <w:spacing w:after="0" w:line="158" w:lineRule="exact"/>
        <w:rPr>
          <w:sz w:val="20"/>
          <w:szCs w:val="20"/>
          <w:color w:val="auto"/>
        </w:rPr>
      </w:pPr>
    </w:p>
    <w:p>
      <w:pPr>
        <w:ind w:left="160" w:right="89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58" w:lineRule="exact"/>
        <w:rPr>
          <w:sz w:val="20"/>
          <w:szCs w:val="20"/>
          <w:color w:val="auto"/>
        </w:rPr>
      </w:pPr>
    </w:p>
    <w:p>
      <w:pPr>
        <w:ind w:left="160" w:right="259"/>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Security</w:t>
      </w:r>
      <w:r>
        <w:rPr>
          <w:rFonts w:ascii="Arial" w:cs="Arial" w:eastAsia="Arial" w:hAnsi="Arial"/>
          <w:sz w:val="16"/>
          <w:szCs w:val="16"/>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43" w:lineRule="exact"/>
        <w:rPr>
          <w:sz w:val="20"/>
          <w:szCs w:val="20"/>
          <w:color w:val="auto"/>
        </w:rPr>
      </w:pPr>
    </w:p>
    <w:p>
      <w:pPr>
        <w:ind w:left="160" w:right="159"/>
        <w:spacing w:after="0" w:line="2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Obligations</w:t>
      </w:r>
      <w:r>
        <w:rPr>
          <w:rFonts w:ascii="Arial" w:cs="Arial" w:eastAsia="Arial" w:hAnsi="Arial"/>
          <w:sz w:val="16"/>
          <w:szCs w:val="16"/>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6" w:lineRule="exact"/>
        <w:rPr>
          <w:sz w:val="20"/>
          <w:szCs w:val="20"/>
          <w:color w:val="auto"/>
        </w:rPr>
      </w:pPr>
    </w:p>
    <w:p>
      <w:pPr>
        <w:ind w:left="160" w:right="43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58" w:lineRule="exact"/>
        <w:rPr>
          <w:sz w:val="20"/>
          <w:szCs w:val="20"/>
          <w:color w:val="auto"/>
        </w:rPr>
      </w:pPr>
    </w:p>
    <w:p>
      <w:pPr>
        <w:jc w:val="both"/>
        <w:ind w:left="160" w:right="33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159" w:lineRule="exact"/>
        <w:rPr>
          <w:sz w:val="20"/>
          <w:szCs w:val="20"/>
          <w:color w:val="auto"/>
        </w:rPr>
      </w:pPr>
    </w:p>
    <w:p>
      <w:pPr>
        <w:ind w:left="160" w:right="159"/>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2" w:name="page83"/>
    <w:bookmarkEnd w:id="82"/>
    <w:p>
      <w:pPr>
        <w:ind w:left="160" w:right="179"/>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59" w:lineRule="exact"/>
        <w:rPr>
          <w:sz w:val="20"/>
          <w:szCs w:val="20"/>
          <w:color w:val="auto"/>
        </w:rPr>
      </w:pPr>
    </w:p>
    <w:p>
      <w:pPr>
        <w:ind w:left="160" w:right="55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signed by any Officer. Each such certificate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58" w:lineRule="exact"/>
        <w:rPr>
          <w:sz w:val="20"/>
          <w:szCs w:val="20"/>
          <w:color w:val="auto"/>
        </w:rPr>
      </w:pPr>
    </w:p>
    <w:p>
      <w:pPr>
        <w:ind w:left="160" w:right="159"/>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Arial" w:cs="Arial" w:eastAsia="Arial" w:hAnsi="Arial"/>
          <w:sz w:val="16"/>
          <w:szCs w:val="16"/>
          <w:u w:val="single" w:color="auto"/>
          <w:color w:val="auto"/>
        </w:rPr>
        <w:t>Section 13.07</w:t>
      </w:r>
      <w:r>
        <w:rPr>
          <w:rFonts w:ascii="Arial" w:cs="Arial" w:eastAsia="Arial" w:hAnsi="Arial"/>
          <w:sz w:val="16"/>
          <w:szCs w:val="16"/>
          <w:color w:val="auto"/>
        </w:rPr>
        <w:t>, if and to the extent required by the provisions thereof.</w:t>
      </w:r>
    </w:p>
    <w:p>
      <w:pPr>
        <w:spacing w:after="0" w:line="143" w:lineRule="exact"/>
        <w:rPr>
          <w:sz w:val="20"/>
          <w:szCs w:val="20"/>
          <w:color w:val="auto"/>
        </w:rPr>
      </w:pPr>
    </w:p>
    <w:p>
      <w:pPr>
        <w:ind w:left="160" w:right="139"/>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w:t>
      </w:r>
      <w:r>
        <w:rPr>
          <w:rFonts w:ascii="Arial" w:cs="Arial" w:eastAsia="Arial" w:hAnsi="Arial"/>
          <w:sz w:val="17"/>
          <w:szCs w:val="17"/>
          <w:color w:val="auto"/>
        </w:rPr>
        <w:t xml:space="preserve">”, when used with reference to Securities of any series, means, subject to the provisions of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Securities or portions of such Securities are to be redeemed prior to the maturity thereof, notice of such redemption shall have been given as provided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158" w:lineRule="exact"/>
        <w:rPr>
          <w:sz w:val="20"/>
          <w:szCs w:val="20"/>
          <w:color w:val="auto"/>
        </w:rPr>
      </w:pPr>
    </w:p>
    <w:p>
      <w:pPr>
        <w:ind w:left="160" w:right="279"/>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8" w:lineRule="exact"/>
        <w:rPr>
          <w:sz w:val="20"/>
          <w:szCs w:val="20"/>
          <w:color w:val="auto"/>
        </w:rPr>
      </w:pPr>
    </w:p>
    <w:p>
      <w:pPr>
        <w:ind w:left="160" w:right="159"/>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Predecessor Security</w:t>
      </w:r>
      <w:r>
        <w:rPr>
          <w:rFonts w:ascii="Arial" w:cs="Arial" w:eastAsia="Arial" w:hAnsi="Arial"/>
          <w:sz w:val="18"/>
          <w:szCs w:val="18"/>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in lieu of a lost, destroyed or stolen Security shall be deemed to evidence the same debt as the lost, destroyed or stolen Security.</w:t>
      </w:r>
    </w:p>
    <w:p>
      <w:pPr>
        <w:spacing w:after="0" w:line="159" w:lineRule="exact"/>
        <w:rPr>
          <w:sz w:val="20"/>
          <w:szCs w:val="20"/>
          <w:color w:val="auto"/>
        </w:rPr>
      </w:pPr>
    </w:p>
    <w:p>
      <w:pPr>
        <w:ind w:left="160" w:right="199"/>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62" w:lineRule="exact"/>
        <w:rPr>
          <w:sz w:val="20"/>
          <w:szCs w:val="20"/>
          <w:color w:val="auto"/>
        </w:rPr>
      </w:pPr>
    </w:p>
    <w:p>
      <w:pPr>
        <w:ind w:left="160" w:right="59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58" w:lineRule="exact"/>
        <w:rPr>
          <w:sz w:val="20"/>
          <w:szCs w:val="20"/>
          <w:color w:val="auto"/>
        </w:rPr>
      </w:pPr>
    </w:p>
    <w:p>
      <w:pPr>
        <w:ind w:left="160" w:right="219"/>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Securityholder</w:t>
      </w:r>
      <w:r>
        <w:rPr>
          <w:rFonts w:ascii="Arial" w:cs="Arial" w:eastAsia="Arial" w:hAnsi="Arial"/>
          <w:sz w:val="18"/>
          <w:szCs w:val="18"/>
          <w:color w:val="auto"/>
        </w:rPr>
        <w:t>”, “</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registered holder</w:t>
      </w:r>
      <w:r>
        <w:rPr>
          <w:rFonts w:ascii="Arial" w:cs="Arial" w:eastAsia="Arial" w:hAnsi="Arial"/>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xml:space="preserve">” shall have the meanings as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spacing w:after="0" w:line="81" w:lineRule="exact"/>
        <w:rPr>
          <w:sz w:val="20"/>
          <w:szCs w:val="20"/>
          <w:color w:val="auto"/>
        </w:rPr>
      </w:pPr>
    </w:p>
    <w:p>
      <w:pPr>
        <w:jc w:val="both"/>
        <w:ind w:left="160" w:right="339" w:hanging="9"/>
        <w:spacing w:after="0" w:line="259" w:lineRule="auto"/>
        <w:tabs>
          <w:tab w:leader="none" w:pos="4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corporation or company a majority of whose capital stock with voting power, under ordinary circumstances, to elect directors is, at the date of determination, directly or indirectly, owned by such Person (a “subsidiary”), by one or more subsidiaries of such Person or by such Person and one or more subsidiaries of such Person;</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3" w:name="page84"/>
    <w:bookmarkEnd w:id="83"/>
    <w:p>
      <w:pPr>
        <w:ind w:left="160" w:right="159" w:hanging="9"/>
        <w:spacing w:after="0" w:line="235" w:lineRule="auto"/>
        <w:tabs>
          <w:tab w:leader="none" w:pos="4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partnership in which such Person or a subsidiary of such Person is, at the date of determination, a general partner of such partnership; or</w:t>
      </w:r>
    </w:p>
    <w:p>
      <w:pPr>
        <w:spacing w:after="0" w:line="53" w:lineRule="exact"/>
        <w:rPr>
          <w:rFonts w:ascii="Arial" w:cs="Arial" w:eastAsia="Arial" w:hAnsi="Arial"/>
          <w:sz w:val="18"/>
          <w:szCs w:val="18"/>
          <w:color w:val="auto"/>
        </w:rPr>
      </w:pPr>
    </w:p>
    <w:p>
      <w:pPr>
        <w:ind w:left="160" w:right="179" w:hanging="9"/>
        <w:spacing w:after="0" w:line="249" w:lineRule="auto"/>
        <w:tabs>
          <w:tab w:leader="none" w:pos="41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51" w:lineRule="exact"/>
        <w:rPr>
          <w:sz w:val="20"/>
          <w:szCs w:val="20"/>
          <w:color w:val="auto"/>
        </w:rPr>
      </w:pPr>
    </w:p>
    <w:p>
      <w:pPr>
        <w:jc w:val="both"/>
        <w:ind w:left="160" w:right="259"/>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xml:space="preserve">” means , and, subject to the provisions of </w:t>
      </w:r>
      <w:r>
        <w:rPr>
          <w:rFonts w:ascii="Arial" w:cs="Arial" w:eastAsia="Arial" w:hAnsi="Arial"/>
          <w:sz w:val="16"/>
          <w:szCs w:val="16"/>
          <w:u w:val="single" w:color="auto"/>
          <w:color w:val="auto"/>
        </w:rPr>
        <w:t>Article 7</w:t>
      </w:r>
      <w:r>
        <w:rPr>
          <w:rFonts w:ascii="Arial" w:cs="Arial" w:eastAsia="Arial" w:hAnsi="Arial"/>
          <w:sz w:val="16"/>
          <w:szCs w:val="16"/>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 and in effect from time to time.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w:t>
      </w:r>
    </w:p>
    <w:p>
      <w:pPr>
        <w:jc w:val="center"/>
        <w:ind w:right="-20"/>
        <w:spacing w:after="0" w:line="203" w:lineRule="auto"/>
        <w:rPr>
          <w:sz w:val="20"/>
          <w:szCs w:val="20"/>
          <w:color w:val="auto"/>
        </w:rPr>
      </w:pPr>
      <w:r>
        <w:rPr>
          <w:rFonts w:ascii="Arial" w:cs="Arial" w:eastAsia="Arial" w:hAnsi="Arial"/>
          <w:sz w:val="18"/>
          <w:szCs w:val="18"/>
          <w:b w:val="1"/>
          <w:bCs w:val="1"/>
          <w:color w:val="auto"/>
        </w:rPr>
        <w:t>ISSUE, DESCRIPTION, TERMS, EXECUTION, REGISTRATION AND</w:t>
      </w:r>
    </w:p>
    <w:p>
      <w:pPr>
        <w:jc w:val="center"/>
        <w:spacing w:after="0"/>
        <w:rPr>
          <w:sz w:val="20"/>
          <w:szCs w:val="20"/>
          <w:color w:val="auto"/>
        </w:rPr>
      </w:pPr>
      <w:r>
        <w:rPr>
          <w:rFonts w:ascii="Arial" w:cs="Arial" w:eastAsia="Arial" w:hAnsi="Arial"/>
          <w:sz w:val="18"/>
          <w:szCs w:val="18"/>
          <w:b w:val="1"/>
          <w:bCs w:val="1"/>
          <w:color w:val="auto"/>
        </w:rPr>
        <w:t>EXCHANGE OF SECURITIES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77" w:lineRule="exact"/>
        <w:rPr>
          <w:sz w:val="20"/>
          <w:szCs w:val="20"/>
          <w:color w:val="auto"/>
        </w:rPr>
      </w:pPr>
    </w:p>
    <w:p>
      <w:pPr>
        <w:ind w:left="160" w:right="239" w:hanging="9"/>
        <w:spacing w:after="0" w:line="244" w:lineRule="auto"/>
        <w:tabs>
          <w:tab w:leader="none" w:pos="4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51" w:lineRule="exact"/>
        <w:rPr>
          <w:sz w:val="20"/>
          <w:szCs w:val="20"/>
          <w:color w:val="auto"/>
        </w:rPr>
      </w:pPr>
    </w:p>
    <w:p>
      <w:pPr>
        <w:ind w:left="400" w:hanging="249"/>
        <w:spacing w:after="0"/>
        <w:tabs>
          <w:tab w:leader="none" w:pos="4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title of the Securities of the series (which shall distinguish the Securities of that series from all other Securities);</w:t>
      </w:r>
    </w:p>
    <w:p>
      <w:pPr>
        <w:spacing w:after="0" w:line="99" w:lineRule="exact"/>
        <w:rPr>
          <w:rFonts w:ascii="Arial" w:cs="Arial" w:eastAsia="Arial" w:hAnsi="Arial"/>
          <w:sz w:val="16"/>
          <w:szCs w:val="16"/>
          <w:color w:val="auto"/>
        </w:rPr>
      </w:pPr>
    </w:p>
    <w:p>
      <w:pPr>
        <w:ind w:left="160" w:right="419" w:hanging="9"/>
        <w:spacing w:after="0" w:line="224" w:lineRule="auto"/>
        <w:tabs>
          <w:tab w:leader="none" w:pos="4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55" w:lineRule="exact"/>
        <w:rPr>
          <w:rFonts w:ascii="Arial" w:cs="Arial" w:eastAsia="Arial" w:hAnsi="Arial"/>
          <w:sz w:val="18"/>
          <w:szCs w:val="18"/>
          <w:color w:val="auto"/>
        </w:rPr>
      </w:pPr>
    </w:p>
    <w:p>
      <w:pPr>
        <w:ind w:left="400" w:hanging="249"/>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76" w:lineRule="exact"/>
        <w:rPr>
          <w:rFonts w:ascii="Arial" w:cs="Arial" w:eastAsia="Arial" w:hAnsi="Arial"/>
          <w:sz w:val="18"/>
          <w:szCs w:val="18"/>
          <w:color w:val="auto"/>
        </w:rPr>
      </w:pPr>
    </w:p>
    <w:p>
      <w:pPr>
        <w:ind w:left="160" w:right="179" w:hanging="9"/>
        <w:spacing w:after="0" w:line="232" w:lineRule="auto"/>
        <w:tabs>
          <w:tab w:leader="none" w:pos="4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54" w:lineRule="exact"/>
        <w:rPr>
          <w:rFonts w:ascii="Arial" w:cs="Arial" w:eastAsia="Arial" w:hAnsi="Arial"/>
          <w:sz w:val="17"/>
          <w:szCs w:val="17"/>
          <w:color w:val="auto"/>
        </w:rPr>
      </w:pPr>
    </w:p>
    <w:p>
      <w:pPr>
        <w:ind w:left="160" w:right="439" w:hanging="9"/>
        <w:spacing w:after="0" w:line="235" w:lineRule="auto"/>
        <w:tabs>
          <w:tab w:leader="none" w:pos="4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or the manner of calculation of such rate or rates, if any;</w:t>
      </w:r>
    </w:p>
    <w:p>
      <w:pPr>
        <w:spacing w:after="0" w:line="53" w:lineRule="exact"/>
        <w:rPr>
          <w:rFonts w:ascii="Arial" w:cs="Arial" w:eastAsia="Arial" w:hAnsi="Arial"/>
          <w:sz w:val="18"/>
          <w:szCs w:val="18"/>
          <w:color w:val="auto"/>
        </w:rPr>
      </w:pPr>
    </w:p>
    <w:p>
      <w:pPr>
        <w:ind w:left="400" w:hanging="249"/>
        <w:spacing w:after="0"/>
        <w:tabs>
          <w:tab w:leader="none" w:pos="4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date or dates from which such interest shall accrue, the Interest Payment Dates on which such interest will be</w:t>
      </w:r>
    </w:p>
    <w:p>
      <w:pPr>
        <w:spacing w:after="0" w:line="7" w:lineRule="exact"/>
        <w:rPr>
          <w:rFonts w:ascii="Arial" w:cs="Arial" w:eastAsia="Arial" w:hAnsi="Arial"/>
          <w:sz w:val="16"/>
          <w:szCs w:val="16"/>
          <w:color w:val="auto"/>
        </w:rPr>
      </w:pPr>
    </w:p>
    <w:p>
      <w:pPr>
        <w:ind w:left="160" w:right="239"/>
        <w:spacing w:after="0" w:line="218" w:lineRule="auto"/>
        <w:rPr>
          <w:rFonts w:ascii="Arial" w:cs="Arial" w:eastAsia="Arial" w:hAnsi="Arial"/>
          <w:sz w:val="16"/>
          <w:szCs w:val="16"/>
          <w:color w:val="auto"/>
        </w:rPr>
      </w:pPr>
      <w:r>
        <w:rPr>
          <w:rFonts w:ascii="Arial" w:cs="Arial" w:eastAsia="Arial" w:hAnsi="Arial"/>
          <w:sz w:val="18"/>
          <w:szCs w:val="18"/>
          <w:color w:val="auto"/>
        </w:rPr>
        <w:t>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54" w:lineRule="exact"/>
        <w:rPr>
          <w:rFonts w:ascii="Arial" w:cs="Arial" w:eastAsia="Arial" w:hAnsi="Arial"/>
          <w:sz w:val="16"/>
          <w:szCs w:val="16"/>
          <w:color w:val="auto"/>
        </w:rPr>
      </w:pPr>
    </w:p>
    <w:p>
      <w:pPr>
        <w:ind w:left="400" w:hanging="249"/>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76" w:lineRule="exact"/>
        <w:rPr>
          <w:rFonts w:ascii="Arial" w:cs="Arial" w:eastAsia="Arial" w:hAnsi="Arial"/>
          <w:sz w:val="18"/>
          <w:szCs w:val="18"/>
          <w:color w:val="auto"/>
        </w:rPr>
      </w:pPr>
    </w:p>
    <w:p>
      <w:pPr>
        <w:ind w:left="160" w:right="319" w:hanging="9"/>
        <w:spacing w:after="0" w:line="235" w:lineRule="auto"/>
        <w:tabs>
          <w:tab w:leader="none" w:pos="4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53" w:lineRule="exact"/>
        <w:rPr>
          <w:rFonts w:ascii="Arial" w:cs="Arial" w:eastAsia="Arial" w:hAnsi="Arial"/>
          <w:sz w:val="18"/>
          <w:szCs w:val="18"/>
          <w:color w:val="auto"/>
        </w:rPr>
      </w:pPr>
    </w:p>
    <w:p>
      <w:pPr>
        <w:ind w:left="160" w:right="419" w:hanging="9"/>
        <w:spacing w:after="0" w:line="258" w:lineRule="auto"/>
        <w:tabs>
          <w:tab w:leader="none" w:pos="4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Securities of the series pursuant to any sinking fund, mandatory redemption, or analogous provisions (including payments made in cash in satisfaction of future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84" w:name="page85"/>
    <w:bookmarkEnd w:id="84"/>
    <w:p>
      <w:pPr>
        <w:ind w:left="160" w:right="139"/>
        <w:spacing w:after="0" w:line="224" w:lineRule="auto"/>
        <w:rPr>
          <w:sz w:val="20"/>
          <w:szCs w:val="20"/>
          <w:color w:val="auto"/>
        </w:rPr>
      </w:pPr>
      <w:r>
        <w:rPr>
          <w:rFonts w:ascii="Arial" w:cs="Arial" w:eastAsia="Arial" w:hAnsi="Arial"/>
          <w:sz w:val="18"/>
          <w:szCs w:val="18"/>
          <w:color w:val="auto"/>
        </w:rPr>
        <w:t>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55" w:lineRule="exact"/>
        <w:rPr>
          <w:sz w:val="20"/>
          <w:szCs w:val="20"/>
          <w:color w:val="auto"/>
        </w:rPr>
      </w:pPr>
    </w:p>
    <w:p>
      <w:pPr>
        <w:ind w:left="500" w:hanging="349"/>
        <w:spacing w:after="0"/>
        <w:tabs>
          <w:tab w:leader="none" w:pos="5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form of the Securities of the series including the form of the Certificate of Authentication for such series;</w:t>
      </w:r>
    </w:p>
    <w:p>
      <w:pPr>
        <w:spacing w:after="0" w:line="88" w:lineRule="exact"/>
        <w:rPr>
          <w:rFonts w:ascii="Arial" w:cs="Arial" w:eastAsia="Arial" w:hAnsi="Arial"/>
          <w:sz w:val="17"/>
          <w:szCs w:val="17"/>
          <w:color w:val="auto"/>
        </w:rPr>
      </w:pPr>
    </w:p>
    <w:p>
      <w:pPr>
        <w:ind w:left="160" w:right="579" w:hanging="9"/>
        <w:spacing w:after="0" w:line="235" w:lineRule="auto"/>
        <w:tabs>
          <w:tab w:leader="none" w:pos="498"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other than minimum denominations of one thousand U.S. dollars ($1,000) or any integral multiple of $1,000 thereof, the denominations in which the Securities of the series shall be issuable;</w:t>
      </w:r>
    </w:p>
    <w:p>
      <w:pPr>
        <w:spacing w:after="0" w:line="53" w:lineRule="exact"/>
        <w:rPr>
          <w:rFonts w:ascii="Arial" w:cs="Arial" w:eastAsia="Arial" w:hAnsi="Arial"/>
          <w:sz w:val="18"/>
          <w:szCs w:val="18"/>
          <w:color w:val="auto"/>
        </w:rPr>
      </w:pPr>
    </w:p>
    <w:p>
      <w:pPr>
        <w:ind w:left="160" w:right="179" w:hanging="9"/>
        <w:spacing w:after="0" w:line="229" w:lineRule="auto"/>
        <w:tabs>
          <w:tab w:leader="none" w:pos="5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53" w:lineRule="exact"/>
        <w:rPr>
          <w:rFonts w:ascii="Arial" w:cs="Arial" w:eastAsia="Arial" w:hAnsi="Arial"/>
          <w:sz w:val="17"/>
          <w:szCs w:val="17"/>
          <w:color w:val="auto"/>
        </w:rPr>
      </w:pPr>
    </w:p>
    <w:p>
      <w:pPr>
        <w:jc w:val="both"/>
        <w:ind w:left="160" w:right="159" w:hanging="9"/>
        <w:spacing w:after="0" w:line="238" w:lineRule="auto"/>
        <w:tabs>
          <w:tab w:leader="none" w:pos="5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53" w:lineRule="exact"/>
        <w:rPr>
          <w:rFonts w:ascii="Arial" w:cs="Arial" w:eastAsia="Arial" w:hAnsi="Arial"/>
          <w:sz w:val="17"/>
          <w:szCs w:val="17"/>
          <w:color w:val="auto"/>
        </w:rPr>
      </w:pPr>
    </w:p>
    <w:p>
      <w:pPr>
        <w:ind w:left="160" w:right="159" w:hanging="9"/>
        <w:spacing w:after="0" w:line="229" w:lineRule="auto"/>
        <w:tabs>
          <w:tab w:leader="none" w:pos="5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53" w:lineRule="exact"/>
        <w:rPr>
          <w:rFonts w:ascii="Arial" w:cs="Arial" w:eastAsia="Arial" w:hAnsi="Arial"/>
          <w:sz w:val="17"/>
          <w:szCs w:val="17"/>
          <w:color w:val="auto"/>
        </w:rPr>
      </w:pPr>
    </w:p>
    <w:p>
      <w:pPr>
        <w:ind w:left="160" w:right="299" w:hanging="9"/>
        <w:spacing w:after="0" w:line="258" w:lineRule="auto"/>
        <w:tabs>
          <w:tab w:leader="none" w:pos="5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if other than the full principal amount thereof, the portion of the principal amount of Securities of the series which shall be payable upon declaration of acceleration of the maturity thereof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500" w:hanging="349"/>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76" w:lineRule="exact"/>
        <w:rPr>
          <w:rFonts w:ascii="Arial" w:cs="Arial" w:eastAsia="Arial" w:hAnsi="Arial"/>
          <w:sz w:val="18"/>
          <w:szCs w:val="18"/>
          <w:color w:val="auto"/>
        </w:rPr>
      </w:pPr>
    </w:p>
    <w:p>
      <w:pPr>
        <w:ind w:left="160" w:right="199" w:hanging="9"/>
        <w:spacing w:after="0" w:line="222" w:lineRule="auto"/>
        <w:tabs>
          <w:tab w:leader="none" w:pos="5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55" w:lineRule="exact"/>
        <w:rPr>
          <w:rFonts w:ascii="Arial" w:cs="Arial" w:eastAsia="Arial" w:hAnsi="Arial"/>
          <w:sz w:val="17"/>
          <w:szCs w:val="17"/>
          <w:color w:val="auto"/>
        </w:rPr>
      </w:pPr>
    </w:p>
    <w:p>
      <w:pPr>
        <w:ind w:left="160" w:right="199" w:hanging="9"/>
        <w:spacing w:after="0" w:line="219" w:lineRule="auto"/>
        <w:tabs>
          <w:tab w:leader="none" w:pos="5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54" w:lineRule="exact"/>
        <w:rPr>
          <w:rFonts w:ascii="Arial" w:cs="Arial" w:eastAsia="Arial" w:hAnsi="Arial"/>
          <w:sz w:val="18"/>
          <w:szCs w:val="18"/>
          <w:color w:val="auto"/>
        </w:rPr>
      </w:pPr>
    </w:p>
    <w:p>
      <w:pPr>
        <w:ind w:left="160" w:right="259" w:hanging="9"/>
        <w:spacing w:after="0" w:line="259" w:lineRule="auto"/>
        <w:tabs>
          <w:tab w:leader="none" w:pos="5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39" w:lineRule="exact"/>
        <w:rPr>
          <w:rFonts w:ascii="Arial" w:cs="Arial" w:eastAsia="Arial" w:hAnsi="Arial"/>
          <w:sz w:val="16"/>
          <w:szCs w:val="16"/>
          <w:color w:val="auto"/>
        </w:rPr>
      </w:pPr>
    </w:p>
    <w:p>
      <w:pPr>
        <w:ind w:left="160" w:right="159" w:hanging="9"/>
        <w:spacing w:after="0" w:line="235" w:lineRule="auto"/>
        <w:tabs>
          <w:tab w:leader="none" w:pos="5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53" w:lineRule="exact"/>
        <w:rPr>
          <w:rFonts w:ascii="Arial" w:cs="Arial" w:eastAsia="Arial" w:hAnsi="Arial"/>
          <w:sz w:val="18"/>
          <w:szCs w:val="18"/>
          <w:color w:val="auto"/>
        </w:rPr>
      </w:pPr>
    </w:p>
    <w:p>
      <w:pPr>
        <w:ind w:left="160" w:right="379" w:hanging="9"/>
        <w:spacing w:after="0" w:line="224" w:lineRule="auto"/>
        <w:tabs>
          <w:tab w:leader="none" w:pos="5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5" w:lineRule="exact"/>
        <w:rPr>
          <w:rFonts w:ascii="Arial" w:cs="Arial" w:eastAsia="Arial" w:hAnsi="Arial"/>
          <w:sz w:val="18"/>
          <w:szCs w:val="18"/>
          <w:color w:val="auto"/>
        </w:rPr>
      </w:pPr>
    </w:p>
    <w:p>
      <w:pPr>
        <w:ind w:left="500" w:hanging="349"/>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additional or alternative provisions, if any, related to defeasance and discharge of the offered Securities;</w:t>
      </w:r>
    </w:p>
    <w:p>
      <w:pPr>
        <w:spacing w:after="0" w:line="76" w:lineRule="exact"/>
        <w:rPr>
          <w:rFonts w:ascii="Arial" w:cs="Arial" w:eastAsia="Arial" w:hAnsi="Arial"/>
          <w:sz w:val="18"/>
          <w:szCs w:val="18"/>
          <w:color w:val="auto"/>
        </w:rPr>
      </w:pPr>
    </w:p>
    <w:p>
      <w:pPr>
        <w:ind w:left="500" w:hanging="349"/>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76" w:lineRule="exact"/>
        <w:rPr>
          <w:rFonts w:ascii="Arial" w:cs="Arial" w:eastAsia="Arial" w:hAnsi="Arial"/>
          <w:sz w:val="18"/>
          <w:szCs w:val="18"/>
          <w:color w:val="auto"/>
        </w:rPr>
      </w:pPr>
    </w:p>
    <w:p>
      <w:pPr>
        <w:ind w:left="500" w:hanging="349"/>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 and</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85" w:name="page86"/>
    <w:bookmarkEnd w:id="85"/>
    <w:p>
      <w:pPr>
        <w:ind w:left="160"/>
        <w:spacing w:after="0"/>
        <w:rPr>
          <w:sz w:val="20"/>
          <w:szCs w:val="20"/>
          <w:color w:val="auto"/>
        </w:rPr>
      </w:pPr>
      <w:r>
        <w:rPr>
          <w:rFonts w:ascii="Arial" w:cs="Arial" w:eastAsia="Arial" w:hAnsi="Arial"/>
          <w:sz w:val="18"/>
          <w:szCs w:val="18"/>
          <w:color w:val="auto"/>
        </w:rPr>
        <w:t>(25) any other terms of the series.</w:t>
      </w:r>
    </w:p>
    <w:p>
      <w:pPr>
        <w:spacing w:after="0" w:line="185" w:lineRule="exact"/>
        <w:rPr>
          <w:sz w:val="20"/>
          <w:szCs w:val="20"/>
          <w:color w:val="auto"/>
        </w:rPr>
      </w:pPr>
    </w:p>
    <w:p>
      <w:pPr>
        <w:ind w:left="160" w:right="159"/>
        <w:spacing w:after="0" w:line="235"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left="160" w:right="319"/>
        <w:spacing w:after="0" w:line="219"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63" w:lineRule="exact"/>
        <w:rPr>
          <w:sz w:val="20"/>
          <w:szCs w:val="20"/>
          <w:color w:val="auto"/>
        </w:rPr>
      </w:pPr>
    </w:p>
    <w:p>
      <w:pPr>
        <w:ind w:left="160" w:right="279"/>
        <w:spacing w:after="0" w:line="259" w:lineRule="auto"/>
        <w:rPr>
          <w:sz w:val="20"/>
          <w:szCs w:val="20"/>
          <w:color w:val="auto"/>
        </w:rPr>
      </w:pPr>
      <w:r>
        <w:rPr>
          <w:rFonts w:ascii="Arial" w:cs="Arial" w:eastAsia="Arial" w:hAnsi="Arial"/>
          <w:sz w:val="16"/>
          <w:szCs w:val="16"/>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77" w:lineRule="exact"/>
        <w:rPr>
          <w:sz w:val="20"/>
          <w:szCs w:val="20"/>
          <w:color w:val="auto"/>
        </w:rPr>
      </w:pPr>
    </w:p>
    <w:p>
      <w:pPr>
        <w:ind w:left="160" w:right="259"/>
        <w:spacing w:after="0" w:line="225" w:lineRule="auto"/>
        <w:rPr>
          <w:sz w:val="20"/>
          <w:szCs w:val="20"/>
          <w:color w:val="auto"/>
        </w:rPr>
      </w:pPr>
      <w:r>
        <w:rPr>
          <w:rFonts w:ascii="Arial" w:cs="Arial" w:eastAsia="Arial" w:hAnsi="Arial"/>
          <w:sz w:val="17"/>
          <w:szCs w:val="17"/>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23" w:lineRule="auto"/>
        <w:rPr>
          <w:sz w:val="20"/>
          <w:szCs w:val="20"/>
          <w:color w:val="auto"/>
        </w:rPr>
      </w:pPr>
      <w:r>
        <w:rPr>
          <w:rFonts w:ascii="Arial" w:cs="Arial" w:eastAsia="Arial" w:hAnsi="Arial"/>
          <w:sz w:val="17"/>
          <w:szCs w:val="17"/>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Arial" w:cs="Arial" w:eastAsia="Arial" w:hAnsi="Arial"/>
          <w:sz w:val="17"/>
          <w:szCs w:val="17"/>
          <w:u w:val="single" w:color="auto"/>
          <w:color w:val="auto"/>
        </w:rPr>
        <w:t>Section 2.01(a)(18)</w:t>
      </w:r>
      <w:r>
        <w:rPr>
          <w:rFonts w:ascii="Arial" w:cs="Arial" w:eastAsia="Arial" w:hAnsi="Arial"/>
          <w:sz w:val="17"/>
          <w:szCs w:val="17"/>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60" w:lineRule="exact"/>
        <w:rPr>
          <w:sz w:val="20"/>
          <w:szCs w:val="20"/>
          <w:color w:val="auto"/>
        </w:rPr>
      </w:pPr>
    </w:p>
    <w:p>
      <w:pPr>
        <w:ind w:left="160" w:right="359"/>
        <w:spacing w:after="0" w:line="241" w:lineRule="auto"/>
        <w:rPr>
          <w:sz w:val="20"/>
          <w:szCs w:val="20"/>
          <w:color w:val="auto"/>
        </w:rPr>
      </w:pPr>
      <w:r>
        <w:rPr>
          <w:rFonts w:ascii="Arial" w:cs="Arial" w:eastAsia="Arial" w:hAnsi="Arial"/>
          <w:sz w:val="16"/>
          <w:szCs w:val="16"/>
          <w:color w:val="auto"/>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Arial" w:cs="Arial" w:eastAsia="Arial" w:hAnsi="Arial"/>
          <w:sz w:val="16"/>
          <w:szCs w:val="16"/>
          <w:u w:val="single" w:color="auto"/>
          <w:color w:val="auto"/>
        </w:rPr>
        <w:t>Section 3.03</w:t>
      </w:r>
      <w:r>
        <w:rPr>
          <w:rFonts w:ascii="Arial" w:cs="Arial" w:eastAsia="Arial" w:hAnsi="Arial"/>
          <w:sz w:val="16"/>
          <w:szCs w:val="16"/>
          <w:color w:val="auto"/>
        </w:rPr>
        <w:t>.</w:t>
      </w:r>
    </w:p>
    <w:p>
      <w:pPr>
        <w:spacing w:after="0" w:line="53" w:lineRule="exact"/>
        <w:rPr>
          <w:sz w:val="20"/>
          <w:szCs w:val="20"/>
          <w:color w:val="auto"/>
        </w:rPr>
      </w:pPr>
    </w:p>
    <w:p>
      <w:pPr>
        <w:ind w:left="160" w:right="379"/>
        <w:spacing w:after="0" w:line="249"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w:t>
      </w:r>
      <w:r>
        <w:rPr>
          <w:rFonts w:ascii="Arial" w:cs="Arial" w:eastAsia="Arial" w:hAnsi="Arial"/>
          <w:sz w:val="16"/>
          <w:szCs w:val="16"/>
          <w:b w:val="1"/>
          <w:bCs w:val="1"/>
          <w:color w:val="auto"/>
        </w:rPr>
        <w:t>Defaulted Interest</w:t>
      </w:r>
      <w:r>
        <w:rPr>
          <w:rFonts w:ascii="Arial" w:cs="Arial" w:eastAsia="Arial" w:hAnsi="Arial"/>
          <w:sz w:val="16"/>
          <w:szCs w:val="16"/>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47" w:lineRule="exact"/>
        <w:rPr>
          <w:sz w:val="20"/>
          <w:szCs w:val="20"/>
          <w:color w:val="auto"/>
        </w:rPr>
      </w:pPr>
    </w:p>
    <w:p>
      <w:pPr>
        <w:ind w:left="160" w:right="179" w:hanging="9"/>
        <w:spacing w:after="0" w:line="236" w:lineRule="auto"/>
        <w:tabs>
          <w:tab w:leader="none" w:pos="41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86" w:name="page87"/>
    <w:bookmarkEnd w:id="86"/>
    <w:p>
      <w:pPr>
        <w:ind w:left="160" w:right="179"/>
        <w:spacing w:after="0" w:line="223" w:lineRule="auto"/>
        <w:rPr>
          <w:sz w:val="20"/>
          <w:szCs w:val="20"/>
          <w:color w:val="auto"/>
        </w:rPr>
      </w:pPr>
      <w:r>
        <w:rPr>
          <w:rFonts w:ascii="Arial" w:cs="Arial" w:eastAsia="Arial" w:hAnsi="Arial"/>
          <w:sz w:val="17"/>
          <w:szCs w:val="17"/>
          <w:color w:val="auto"/>
        </w:rPr>
        <w:t>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54" w:lineRule="exact"/>
        <w:rPr>
          <w:sz w:val="20"/>
          <w:szCs w:val="20"/>
          <w:color w:val="auto"/>
        </w:rPr>
      </w:pPr>
    </w:p>
    <w:p>
      <w:pPr>
        <w:ind w:left="160" w:right="199" w:hanging="9"/>
        <w:spacing w:after="0" w:line="249" w:lineRule="auto"/>
        <w:tabs>
          <w:tab w:leader="none" w:pos="41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47" w:lineRule="exact"/>
        <w:rPr>
          <w:sz w:val="20"/>
          <w:szCs w:val="20"/>
          <w:color w:val="auto"/>
        </w:rPr>
      </w:pPr>
    </w:p>
    <w:p>
      <w:pPr>
        <w:ind w:left="160" w:right="159"/>
        <w:spacing w:after="0" w:line="239" w:lineRule="auto"/>
        <w:rPr>
          <w:sz w:val="20"/>
          <w:szCs w:val="20"/>
          <w:color w:val="auto"/>
        </w:rPr>
      </w:pPr>
      <w:r>
        <w:rPr>
          <w:rFonts w:ascii="Arial" w:cs="Arial" w:eastAsia="Arial" w:hAnsi="Arial"/>
          <w:sz w:val="16"/>
          <w:szCs w:val="16"/>
          <w:color w:val="auto"/>
        </w:rPr>
        <w:t xml:space="preserve">Unless otherwise set forth in a Board Resolution or one or more indentures supplemental hereto establishing the terms of any series of Securities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hereof shall occur, if such Interest Payment Date is the first day of a month, or (ii) the first day of the month in which an Interest Payment Date established for such series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hereof shall occur, if such Interest Payment Date is the fifteenth day of a month, whether or not such date is a Business Day.</w:t>
      </w:r>
    </w:p>
    <w:p>
      <w:pPr>
        <w:spacing w:after="0" w:line="54" w:lineRule="exact"/>
        <w:rPr>
          <w:sz w:val="20"/>
          <w:szCs w:val="20"/>
          <w:color w:val="auto"/>
        </w:rPr>
      </w:pPr>
    </w:p>
    <w:p>
      <w:pPr>
        <w:ind w:left="160" w:right="199"/>
        <w:spacing w:after="0" w:line="224" w:lineRule="auto"/>
        <w:rPr>
          <w:sz w:val="20"/>
          <w:szCs w:val="20"/>
          <w:color w:val="auto"/>
        </w:rPr>
      </w:pPr>
      <w:r>
        <w:rPr>
          <w:rFonts w:ascii="Arial" w:cs="Arial" w:eastAsia="Arial" w:hAnsi="Arial"/>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77" w:lineRule="exact"/>
        <w:rPr>
          <w:sz w:val="20"/>
          <w:szCs w:val="20"/>
          <w:color w:val="auto"/>
        </w:rPr>
      </w:pPr>
    </w:p>
    <w:p>
      <w:pPr>
        <w:ind w:left="160" w:right="639"/>
        <w:spacing w:after="0" w:line="235" w:lineRule="auto"/>
        <w:rPr>
          <w:sz w:val="20"/>
          <w:szCs w:val="20"/>
          <w:color w:val="auto"/>
        </w:rPr>
      </w:pPr>
      <w:r>
        <w:rPr>
          <w:rFonts w:ascii="Arial" w:cs="Arial" w:eastAsia="Arial" w:hAnsi="Arial"/>
          <w:sz w:val="18"/>
          <w:szCs w:val="18"/>
          <w:color w:val="auto"/>
        </w:rPr>
        <w:t>The Securities shall be signed on behalf of the Company by one of its Officers. Signatures may be in the form of a manual or facsimile signature.</w:t>
      </w:r>
    </w:p>
    <w:p>
      <w:pPr>
        <w:spacing w:after="0" w:line="162" w:lineRule="exact"/>
        <w:rPr>
          <w:sz w:val="20"/>
          <w:szCs w:val="20"/>
          <w:color w:val="auto"/>
        </w:rPr>
      </w:pPr>
    </w:p>
    <w:p>
      <w:pPr>
        <w:ind w:left="160" w:right="379"/>
        <w:spacing w:after="0" w:line="249" w:lineRule="auto"/>
        <w:rPr>
          <w:sz w:val="20"/>
          <w:szCs w:val="20"/>
          <w:color w:val="auto"/>
        </w:rPr>
      </w:pPr>
      <w:r>
        <w:rPr>
          <w:rFonts w:ascii="Arial" w:cs="Arial" w:eastAsia="Arial" w:hAnsi="Arial"/>
          <w:sz w:val="16"/>
          <w:szCs w:val="16"/>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55" w:lineRule="exact"/>
        <w:rPr>
          <w:sz w:val="20"/>
          <w:szCs w:val="20"/>
          <w:color w:val="auto"/>
        </w:rPr>
      </w:pPr>
    </w:p>
    <w:p>
      <w:pPr>
        <w:ind w:left="160" w:right="379"/>
        <w:spacing w:after="0" w:line="225" w:lineRule="auto"/>
        <w:rPr>
          <w:sz w:val="20"/>
          <w:szCs w:val="20"/>
          <w:color w:val="auto"/>
        </w:rPr>
      </w:pPr>
      <w:r>
        <w:rPr>
          <w:rFonts w:ascii="Arial" w:cs="Arial" w:eastAsia="Arial" w:hAnsi="Arial"/>
          <w:sz w:val="17"/>
          <w:szCs w:val="17"/>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62" w:lineRule="exact"/>
        <w:rPr>
          <w:sz w:val="20"/>
          <w:szCs w:val="20"/>
          <w:color w:val="auto"/>
        </w:rPr>
      </w:pPr>
    </w:p>
    <w:p>
      <w:pPr>
        <w:ind w:left="160" w:right="319"/>
        <w:spacing w:after="0" w:line="212" w:lineRule="auto"/>
        <w:rPr>
          <w:sz w:val="20"/>
          <w:szCs w:val="20"/>
          <w:color w:val="auto"/>
        </w:rPr>
      </w:pPr>
      <w:r>
        <w:rPr>
          <w:rFonts w:ascii="Arial" w:cs="Arial" w:eastAsia="Arial" w:hAnsi="Arial"/>
          <w:sz w:val="18"/>
          <w:szCs w:val="18"/>
          <w:color w:val="auto"/>
        </w:rPr>
        <w:t xml:space="preserve">In authenticating such Securities and accepting the additional responsibilities under this Indenture in relation to such Securities, the Trustee shall receive, and (subject to </w:t>
      </w:r>
      <w:r>
        <w:rPr>
          <w:rFonts w:ascii="Arial" w:cs="Arial" w:eastAsia="Arial" w:hAnsi="Arial"/>
          <w:sz w:val="18"/>
          <w:szCs w:val="18"/>
          <w:u w:val="single" w:color="auto"/>
          <w:color w:val="auto"/>
        </w:rPr>
        <w:t>Section 7.01</w:t>
      </w:r>
      <w:r>
        <w:rPr>
          <w:rFonts w:ascii="Arial" w:cs="Arial" w:eastAsia="Arial" w:hAnsi="Arial"/>
          <w:sz w:val="18"/>
          <w:szCs w:val="18"/>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165" w:lineRule="exact"/>
        <w:rPr>
          <w:sz w:val="20"/>
          <w:szCs w:val="20"/>
          <w:color w:val="auto"/>
        </w:rPr>
      </w:pPr>
    </w:p>
    <w:p>
      <w:pPr>
        <w:ind w:left="160" w:right="219"/>
        <w:spacing w:after="0" w:line="224" w:lineRule="auto"/>
        <w:rPr>
          <w:sz w:val="20"/>
          <w:szCs w:val="20"/>
          <w:color w:val="auto"/>
        </w:rPr>
      </w:pPr>
      <w:r>
        <w:rPr>
          <w:rFonts w:ascii="Arial" w:cs="Arial" w:eastAsia="Arial" w:hAnsi="Arial"/>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87" w:name="page88"/>
    <w:bookmarkEnd w:id="87"/>
    <w:p>
      <w:pPr>
        <w:ind w:left="1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77" w:lineRule="exact"/>
        <w:rPr>
          <w:sz w:val="20"/>
          <w:szCs w:val="20"/>
          <w:color w:val="auto"/>
        </w:rPr>
      </w:pPr>
    </w:p>
    <w:p>
      <w:pPr>
        <w:ind w:left="160" w:right="179" w:hanging="9"/>
        <w:spacing w:after="0" w:line="225" w:lineRule="auto"/>
        <w:tabs>
          <w:tab w:leader="none" w:pos="405" w:val="left"/>
        </w:tabs>
        <w:numPr>
          <w:ilvl w:val="0"/>
          <w:numId w:val="99"/>
        </w:numPr>
        <w:rPr>
          <w:rFonts w:ascii="Arial" w:cs="Arial" w:eastAsia="Arial" w:hAnsi="Arial"/>
          <w:sz w:val="17"/>
          <w:szCs w:val="17"/>
          <w:color w:val="auto"/>
        </w:rPr>
      </w:pPr>
      <w:r>
        <w:rPr>
          <w:rFonts w:ascii="Arial" w:cs="Arial" w:eastAsia="Arial" w:hAnsi="Arial"/>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4" w:lineRule="exact"/>
        <w:rPr>
          <w:rFonts w:ascii="Arial" w:cs="Arial" w:eastAsia="Arial" w:hAnsi="Arial"/>
          <w:sz w:val="17"/>
          <w:szCs w:val="17"/>
          <w:color w:val="auto"/>
        </w:rPr>
      </w:pPr>
    </w:p>
    <w:p>
      <w:pPr>
        <w:ind w:left="160" w:right="239" w:hanging="9"/>
        <w:spacing w:after="0" w:line="214" w:lineRule="auto"/>
        <w:tabs>
          <w:tab w:leader="none" w:pos="4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a register or registers (herein referred to as the “</w:t>
      </w:r>
      <w:r>
        <w:rPr>
          <w:rFonts w:ascii="Arial" w:cs="Arial" w:eastAsia="Arial" w:hAnsi="Arial"/>
          <w:sz w:val="18"/>
          <w:szCs w:val="18"/>
          <w:b w:val="1"/>
          <w:bCs w:val="1"/>
          <w:color w:val="auto"/>
        </w:rPr>
        <w:t>Security Register</w:t>
      </w:r>
      <w:r>
        <w:rPr>
          <w:rFonts w:ascii="Arial" w:cs="Arial" w:eastAsia="Arial" w:hAnsi="Arial"/>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62" w:lineRule="exact"/>
        <w:rPr>
          <w:sz w:val="20"/>
          <w:szCs w:val="20"/>
          <w:color w:val="auto"/>
        </w:rPr>
      </w:pPr>
    </w:p>
    <w:p>
      <w:pPr>
        <w:ind w:left="160" w:right="459"/>
        <w:spacing w:after="0" w:line="219"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3" w:lineRule="exact"/>
        <w:rPr>
          <w:sz w:val="20"/>
          <w:szCs w:val="20"/>
          <w:color w:val="auto"/>
        </w:rPr>
      </w:pPr>
    </w:p>
    <w:p>
      <w:pPr>
        <w:ind w:left="160" w:right="199"/>
        <w:spacing w:after="0" w:line="219"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55" w:lineRule="exact"/>
        <w:rPr>
          <w:sz w:val="20"/>
          <w:szCs w:val="20"/>
          <w:color w:val="auto"/>
        </w:rPr>
      </w:pPr>
    </w:p>
    <w:p>
      <w:pPr>
        <w:ind w:left="160" w:right="239" w:hanging="9"/>
        <w:spacing w:after="0" w:line="244" w:lineRule="auto"/>
        <w:tabs>
          <w:tab w:leader="none" w:pos="4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Except as provided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not involving any transfer.</w:t>
      </w:r>
    </w:p>
    <w:p>
      <w:pPr>
        <w:spacing w:after="0" w:line="50" w:lineRule="exact"/>
        <w:rPr>
          <w:rFonts w:ascii="Arial" w:cs="Arial" w:eastAsia="Arial" w:hAnsi="Arial"/>
          <w:sz w:val="16"/>
          <w:szCs w:val="16"/>
          <w:color w:val="auto"/>
        </w:rPr>
      </w:pPr>
    </w:p>
    <w:p>
      <w:pPr>
        <w:ind w:left="160" w:right="259" w:hanging="9"/>
        <w:spacing w:after="0" w:line="226" w:lineRule="auto"/>
        <w:tabs>
          <w:tab w:leader="none" w:pos="4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are, with respect to any Global Security,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hereof.</w:t>
      </w:r>
    </w:p>
    <w:p>
      <w:pPr>
        <w:spacing w:after="0" w:line="165" w:lineRule="exact"/>
        <w:rPr>
          <w:sz w:val="20"/>
          <w:szCs w:val="20"/>
          <w:color w:val="auto"/>
        </w:rPr>
      </w:pPr>
    </w:p>
    <w:p>
      <w:pPr>
        <w:ind w:left="160" w:right="219"/>
        <w:spacing w:after="0" w:line="226" w:lineRule="auto"/>
        <w:rPr>
          <w:sz w:val="20"/>
          <w:szCs w:val="20"/>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5" w:lineRule="exact"/>
        <w:rPr>
          <w:sz w:val="20"/>
          <w:szCs w:val="20"/>
          <w:color w:val="auto"/>
        </w:rPr>
      </w:pPr>
    </w:p>
    <w:p>
      <w:pPr>
        <w:ind w:left="160" w:right="559"/>
        <w:spacing w:after="0" w:line="235" w:lineRule="auto"/>
        <w:rPr>
          <w:sz w:val="20"/>
          <w:szCs w:val="20"/>
          <w:color w:val="auto"/>
        </w:rPr>
      </w:pPr>
      <w:r>
        <w:rPr>
          <w:rFonts w:ascii="Arial" w:cs="Arial" w:eastAsia="Arial" w:hAnsi="Arial"/>
          <w:sz w:val="18"/>
          <w:szCs w:val="18"/>
          <w:color w:val="auto"/>
        </w:rPr>
        <w:t>Neither the Trustee nor any Agent shall have any responsibility or liability for any actions taken or not taken by the Depositary.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77" w:lineRule="exact"/>
        <w:rPr>
          <w:sz w:val="20"/>
          <w:szCs w:val="20"/>
          <w:color w:val="auto"/>
        </w:rPr>
      </w:pPr>
    </w:p>
    <w:p>
      <w:pPr>
        <w:ind w:left="160" w:right="239"/>
        <w:spacing w:after="0" w:line="244"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8" w:name="page89"/>
    <w:bookmarkEnd w:id="88"/>
    <w:p>
      <w:pPr>
        <w:ind w:left="160" w:right="259"/>
        <w:spacing w:after="0" w:line="222" w:lineRule="auto"/>
        <w:rPr>
          <w:sz w:val="20"/>
          <w:szCs w:val="20"/>
          <w:color w:val="auto"/>
        </w:rPr>
      </w:pPr>
      <w:r>
        <w:rPr>
          <w:rFonts w:ascii="Arial" w:cs="Arial" w:eastAsia="Arial" w:hAnsi="Arial"/>
          <w:sz w:val="17"/>
          <w:szCs w:val="17"/>
          <w:color w:val="auto"/>
        </w:rPr>
        <w:t>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21" w:lineRule="auto"/>
        <w:rPr>
          <w:sz w:val="20"/>
          <w:szCs w:val="20"/>
          <w:color w:val="auto"/>
        </w:rPr>
      </w:pPr>
      <w:r>
        <w:rPr>
          <w:rFonts w:ascii="Arial" w:cs="Arial" w:eastAsia="Arial" w:hAnsi="Arial"/>
          <w:sz w:val="17"/>
          <w:szCs w:val="17"/>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3" w:lineRule="exact"/>
        <w:rPr>
          <w:sz w:val="20"/>
          <w:szCs w:val="20"/>
          <w:color w:val="auto"/>
        </w:rPr>
      </w:pPr>
    </w:p>
    <w:p>
      <w:pPr>
        <w:ind w:left="160" w:right="219"/>
        <w:spacing w:after="0" w:line="212" w:lineRule="auto"/>
        <w:rPr>
          <w:sz w:val="20"/>
          <w:szCs w:val="20"/>
          <w:color w:val="auto"/>
        </w:rPr>
      </w:pPr>
      <w:r>
        <w:rPr>
          <w:rFonts w:ascii="Arial" w:cs="Arial" w:eastAsia="Arial" w:hAnsi="Arial"/>
          <w:sz w:val="18"/>
          <w:szCs w:val="18"/>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65" w:lineRule="exact"/>
        <w:rPr>
          <w:sz w:val="20"/>
          <w:szCs w:val="20"/>
          <w:color w:val="auto"/>
        </w:rPr>
      </w:pPr>
    </w:p>
    <w:p>
      <w:pPr>
        <w:ind w:left="160" w:right="159"/>
        <w:spacing w:after="0" w:line="223" w:lineRule="auto"/>
        <w:rPr>
          <w:sz w:val="20"/>
          <w:szCs w:val="20"/>
          <w:color w:val="auto"/>
        </w:rPr>
      </w:pPr>
      <w:r>
        <w:rPr>
          <w:rFonts w:ascii="Arial" w:cs="Arial" w:eastAsia="Arial" w:hAnsi="Arial"/>
          <w:sz w:val="17"/>
          <w:szCs w:val="17"/>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77" w:lineRule="exact"/>
        <w:rPr>
          <w:sz w:val="20"/>
          <w:szCs w:val="20"/>
          <w:color w:val="auto"/>
        </w:rPr>
      </w:pPr>
    </w:p>
    <w:p>
      <w:pPr>
        <w:ind w:left="160" w:right="299"/>
        <w:spacing w:after="0" w:line="223"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89" w:name="page90"/>
    <w:bookmarkEnd w:id="89"/>
    <w:p>
      <w:pPr>
        <w:ind w:left="160" w:right="159"/>
        <w:spacing w:after="0" w:line="225" w:lineRule="auto"/>
        <w:rPr>
          <w:sz w:val="20"/>
          <w:szCs w:val="20"/>
          <w:color w:val="auto"/>
        </w:rPr>
      </w:pPr>
      <w:r>
        <w:rPr>
          <w:rFonts w:ascii="Arial" w:cs="Arial" w:eastAsia="Arial" w:hAnsi="Arial"/>
          <w:sz w:val="17"/>
          <w:szCs w:val="17"/>
          <w:color w:val="auto"/>
        </w:rPr>
        <w:t xml:space="preserve">Nothing in this Indenture or in the Securities, express or implied, shall give or be construed to give to any Person, other than the parties hereto and the holders of the Securities (and, with respect to the provisions of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w:t>
      </w:r>
      <w:r>
        <w:rPr>
          <w:rFonts w:ascii="Arial" w:cs="Arial" w:eastAsia="Arial" w:hAnsi="Arial"/>
          <w:sz w:val="17"/>
          <w:szCs w:val="17"/>
          <w:u w:val="single" w:color="auto"/>
          <w:color w:val="auto"/>
        </w:rPr>
        <w:t>Article 14</w:t>
      </w:r>
      <w:r>
        <w:rPr>
          <w:rFonts w:ascii="Arial" w:cs="Arial" w:eastAsia="Arial" w:hAnsi="Arial"/>
          <w:sz w:val="17"/>
          <w:szCs w:val="17"/>
          <w:color w:val="auto"/>
        </w:rPr>
        <w:t>, the holders of any indebtedness of the Company to which the Securities of any series are subordinated).</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21"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3" w:lineRule="exact"/>
        <w:rPr>
          <w:sz w:val="20"/>
          <w:szCs w:val="20"/>
          <w:color w:val="auto"/>
        </w:rPr>
      </w:pPr>
    </w:p>
    <w:p>
      <w:pPr>
        <w:ind w:left="160" w:right="159"/>
        <w:spacing w:after="0" w:line="225" w:lineRule="auto"/>
        <w:rPr>
          <w:sz w:val="20"/>
          <w:szCs w:val="20"/>
          <w:color w:val="auto"/>
        </w:rPr>
      </w:pPr>
      <w:r>
        <w:rPr>
          <w:rFonts w:ascii="Arial" w:cs="Arial" w:eastAsia="Arial" w:hAnsi="Arial"/>
          <w:sz w:val="17"/>
          <w:szCs w:val="17"/>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23" w:lineRule="auto"/>
        <w:tabs>
          <w:tab w:leader="none" w:pos="40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If the Company shall establish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that the Securities of a particular series are to be issued as a Global Security, then the Company shall execute and the Trustee shall,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 Indenture, this Security may be transferred, in whole but not in part, only to another nominee of the Depositary or to a successor Depositary or to a nominee of such successor Depositary.”</w:t>
      </w:r>
    </w:p>
    <w:p>
      <w:pPr>
        <w:spacing w:after="0" w:line="59" w:lineRule="exact"/>
        <w:rPr>
          <w:rFonts w:ascii="Arial" w:cs="Arial" w:eastAsia="Arial" w:hAnsi="Arial"/>
          <w:sz w:val="17"/>
          <w:szCs w:val="17"/>
          <w:color w:val="auto"/>
        </w:rPr>
      </w:pPr>
    </w:p>
    <w:p>
      <w:pPr>
        <w:ind w:left="160" w:right="139" w:hanging="9"/>
        <w:spacing w:after="0" w:line="259" w:lineRule="auto"/>
        <w:tabs>
          <w:tab w:leader="none" w:pos="4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the Global Security of a series may be transferred, in whole but not in part and in the manner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only to another nominee of the Depositary for such series, or to a successor Depositary for such series selected or approved by the Company or to a nominee of such successor Depositary.</w:t>
      </w:r>
    </w:p>
    <w:p>
      <w:pPr>
        <w:spacing w:after="0" w:line="39" w:lineRule="exact"/>
        <w:rPr>
          <w:rFonts w:ascii="Arial" w:cs="Arial" w:eastAsia="Arial" w:hAnsi="Arial"/>
          <w:sz w:val="16"/>
          <w:szCs w:val="16"/>
          <w:color w:val="auto"/>
        </w:rPr>
      </w:pPr>
    </w:p>
    <w:p>
      <w:pPr>
        <w:ind w:left="160" w:right="239" w:hanging="9"/>
        <w:spacing w:after="0" w:line="221" w:lineRule="auto"/>
        <w:tabs>
          <w:tab w:leader="none" w:pos="40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be applicable to the Securities of such series and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90" w:name="page91"/>
    <w:bookmarkEnd w:id="90"/>
    <w:p>
      <w:pPr>
        <w:ind w:left="160" w:right="159"/>
        <w:spacing w:after="0" w:line="221" w:lineRule="auto"/>
        <w:rPr>
          <w:sz w:val="20"/>
          <w:szCs w:val="20"/>
          <w:color w:val="auto"/>
        </w:rPr>
      </w:pP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apply to the Securities of such series. In such event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3</w:t>
      </w:r>
    </w:p>
    <w:p>
      <w:pPr>
        <w:jc w:val="center"/>
        <w:ind w:right="-20"/>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77" w:lineRule="exact"/>
        <w:rPr>
          <w:sz w:val="20"/>
          <w:szCs w:val="20"/>
          <w:color w:val="auto"/>
        </w:rPr>
      </w:pPr>
    </w:p>
    <w:p>
      <w:pPr>
        <w:ind w:left="160" w:right="379"/>
        <w:spacing w:after="0" w:line="235" w:lineRule="auto"/>
        <w:rPr>
          <w:sz w:val="20"/>
          <w:szCs w:val="20"/>
          <w:color w:val="auto"/>
        </w:rPr>
      </w:pPr>
      <w:r>
        <w:rPr>
          <w:rFonts w:ascii="Arial" w:cs="Arial" w:eastAsia="Arial" w:hAnsi="Arial"/>
          <w:sz w:val="18"/>
          <w:szCs w:val="18"/>
          <w:color w:val="auto"/>
        </w:rPr>
        <w:t xml:space="preserve">The Company may redeem the Securities of any series issued hereunder on and after the dates and in accordance with the terms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77" w:lineRule="exact"/>
        <w:rPr>
          <w:sz w:val="20"/>
          <w:szCs w:val="20"/>
          <w:color w:val="auto"/>
        </w:rPr>
      </w:pPr>
    </w:p>
    <w:p>
      <w:pPr>
        <w:ind w:left="160" w:right="139" w:hanging="9"/>
        <w:spacing w:after="0" w:line="219" w:lineRule="auto"/>
        <w:tabs>
          <w:tab w:leader="none" w:pos="40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1" w:lineRule="exact"/>
        <w:rPr>
          <w:sz w:val="20"/>
          <w:szCs w:val="20"/>
          <w:color w:val="auto"/>
        </w:rPr>
      </w:pPr>
    </w:p>
    <w:p>
      <w:pPr>
        <w:ind w:left="160" w:right="179"/>
        <w:spacing w:after="0" w:line="239" w:lineRule="auto"/>
        <w:rPr>
          <w:sz w:val="20"/>
          <w:szCs w:val="20"/>
          <w:color w:val="auto"/>
        </w:rPr>
      </w:pPr>
      <w:r>
        <w:rPr>
          <w:rFonts w:ascii="Arial" w:cs="Arial" w:eastAsia="Arial" w:hAnsi="Arial"/>
          <w:sz w:val="16"/>
          <w:szCs w:val="16"/>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63" w:lineRule="exact"/>
        <w:rPr>
          <w:sz w:val="20"/>
          <w:szCs w:val="20"/>
          <w:color w:val="auto"/>
        </w:rPr>
      </w:pPr>
    </w:p>
    <w:p>
      <w:pPr>
        <w:ind w:left="160" w:right="219"/>
        <w:spacing w:after="0" w:line="219"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55" w:lineRule="exact"/>
        <w:rPr>
          <w:sz w:val="20"/>
          <w:szCs w:val="20"/>
          <w:color w:val="auto"/>
        </w:rPr>
      </w:pPr>
    </w:p>
    <w:p>
      <w:pPr>
        <w:ind w:left="160" w:right="359" w:hanging="9"/>
        <w:spacing w:after="0" w:line="259" w:lineRule="auto"/>
        <w:tabs>
          <w:tab w:leader="none" w:pos="41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91" w:name="page92"/>
    <w:bookmarkEnd w:id="91"/>
    <w:p>
      <w:pPr>
        <w:ind w:left="160"/>
        <w:spacing w:after="0"/>
        <w:rPr>
          <w:sz w:val="20"/>
          <w:szCs w:val="20"/>
          <w:color w:val="auto"/>
        </w:rPr>
      </w:pPr>
      <w:r>
        <w:rPr>
          <w:rFonts w:ascii="Arial" w:cs="Arial" w:eastAsia="Arial" w:hAnsi="Arial"/>
          <w:sz w:val="16"/>
          <w:szCs w:val="16"/>
          <w:color w:val="auto"/>
        </w:rPr>
        <w:t>lot or in such other manner as it shall deem appropriate and fair in its discretion (and subject to the applicable procedures</w:t>
      </w:r>
    </w:p>
    <w:p>
      <w:pPr>
        <w:ind w:left="160"/>
        <w:spacing w:after="0" w:line="224" w:lineRule="auto"/>
        <w:rPr>
          <w:sz w:val="20"/>
          <w:szCs w:val="20"/>
          <w:color w:val="auto"/>
        </w:rPr>
      </w:pPr>
      <w:r>
        <w:rPr>
          <w:rFonts w:ascii="Arial" w:cs="Arial" w:eastAsia="Arial" w:hAnsi="Arial"/>
          <w:sz w:val="17"/>
          <w:szCs w:val="17"/>
          <w:color w:val="auto"/>
        </w:rPr>
        <w:t>of the Depositary) and that may provide for the selection of a portion or portions (equal to one thousand U.S. dollars</w:t>
      </w:r>
    </w:p>
    <w:p>
      <w:pPr>
        <w:ind w:left="160"/>
        <w:spacing w:after="0" w:line="216" w:lineRule="auto"/>
        <w:rPr>
          <w:sz w:val="20"/>
          <w:szCs w:val="20"/>
          <w:color w:val="auto"/>
        </w:rPr>
      </w:pPr>
      <w:r>
        <w:rPr>
          <w:rFonts w:ascii="Arial" w:cs="Arial" w:eastAsia="Arial" w:hAnsi="Arial"/>
          <w:sz w:val="17"/>
          <w:szCs w:val="17"/>
          <w:color w:val="auto"/>
        </w:rPr>
        <w:t>($1,000) or any integral multiple thereof) of the principal amount of such Securities of a denomination larger than</w:t>
      </w:r>
    </w:p>
    <w:p>
      <w:pPr>
        <w:ind w:left="160"/>
        <w:spacing w:after="0" w:line="229" w:lineRule="auto"/>
        <w:rPr>
          <w:sz w:val="20"/>
          <w:szCs w:val="20"/>
          <w:color w:val="auto"/>
        </w:rPr>
      </w:pPr>
      <w:r>
        <w:rPr>
          <w:rFonts w:ascii="Arial" w:cs="Arial" w:eastAsia="Arial" w:hAnsi="Arial"/>
          <w:sz w:val="16"/>
          <w:szCs w:val="16"/>
          <w:color w:val="auto"/>
        </w:rPr>
        <w:t>$1,000, the Securities to be redeemed and shall thereafter promptly notify the Company in writing of the numbers of the</w:t>
      </w:r>
    </w:p>
    <w:p>
      <w:pPr>
        <w:ind w:left="160"/>
        <w:spacing w:after="0" w:line="216" w:lineRule="auto"/>
        <w:rPr>
          <w:sz w:val="20"/>
          <w:szCs w:val="20"/>
          <w:color w:val="auto"/>
        </w:rPr>
      </w:pPr>
      <w:r>
        <w:rPr>
          <w:rFonts w:ascii="Arial" w:cs="Arial" w:eastAsia="Arial" w:hAnsi="Arial"/>
          <w:sz w:val="17"/>
          <w:szCs w:val="17"/>
          <w:color w:val="auto"/>
        </w:rPr>
        <w:t>Securities to be redeemed, in whole or in part. The Company may, if and whenever it shall so elect, by delivery of</w:t>
      </w:r>
    </w:p>
    <w:p>
      <w:pPr>
        <w:ind w:left="160"/>
        <w:spacing w:after="0" w:line="215" w:lineRule="auto"/>
        <w:rPr>
          <w:sz w:val="20"/>
          <w:szCs w:val="20"/>
          <w:color w:val="auto"/>
        </w:rPr>
      </w:pPr>
      <w:r>
        <w:rPr>
          <w:rFonts w:ascii="Arial" w:cs="Arial" w:eastAsia="Arial" w:hAnsi="Arial"/>
          <w:sz w:val="17"/>
          <w:szCs w:val="17"/>
          <w:color w:val="auto"/>
        </w:rPr>
        <w:t>instructions signed on its behalf by an Officer, instruct the Trustee or any paying agent to call all or any part of the</w:t>
      </w:r>
    </w:p>
    <w:p>
      <w:pPr>
        <w:ind w:left="160"/>
        <w:spacing w:after="0" w:line="229" w:lineRule="auto"/>
        <w:rPr>
          <w:sz w:val="20"/>
          <w:szCs w:val="20"/>
          <w:color w:val="auto"/>
        </w:rPr>
      </w:pPr>
      <w:r>
        <w:rPr>
          <w:rFonts w:ascii="Arial" w:cs="Arial" w:eastAsia="Arial" w:hAnsi="Arial"/>
          <w:sz w:val="16"/>
          <w:szCs w:val="16"/>
          <w:color w:val="auto"/>
        </w:rPr>
        <w:t>Securities of a particular series for redemption and to send notice of redemption in the manner set forth in this Section,</w:t>
      </w:r>
    </w:p>
    <w:p>
      <w:pPr>
        <w:ind w:left="160"/>
        <w:spacing w:after="0" w:line="229" w:lineRule="auto"/>
        <w:rPr>
          <w:sz w:val="20"/>
          <w:szCs w:val="20"/>
          <w:color w:val="auto"/>
        </w:rPr>
      </w:pPr>
      <w:r>
        <w:rPr>
          <w:rFonts w:ascii="Arial" w:cs="Arial" w:eastAsia="Arial" w:hAnsi="Arial"/>
          <w:sz w:val="16"/>
          <w:szCs w:val="16"/>
          <w:color w:val="auto"/>
        </w:rPr>
        <w:t>such notice to be in the name and at the expense of the Company. In any case in which notice of redemption is to be sent</w:t>
      </w:r>
    </w:p>
    <w:p>
      <w:pPr>
        <w:ind w:left="160"/>
        <w:spacing w:after="0" w:line="229" w:lineRule="auto"/>
        <w:rPr>
          <w:sz w:val="20"/>
          <w:szCs w:val="20"/>
          <w:color w:val="auto"/>
        </w:rPr>
      </w:pPr>
      <w:r>
        <w:rPr>
          <w:rFonts w:ascii="Arial" w:cs="Arial" w:eastAsia="Arial" w:hAnsi="Arial"/>
          <w:sz w:val="16"/>
          <w:szCs w:val="16"/>
          <w:color w:val="auto"/>
        </w:rPr>
        <w:t>by the Trustee or any such paying agent, the Company shall deliver or cause to be delivered to, or permit to remain with,</w:t>
      </w:r>
    </w:p>
    <w:p>
      <w:pPr>
        <w:ind w:left="160"/>
        <w:spacing w:after="0" w:line="229" w:lineRule="auto"/>
        <w:rPr>
          <w:sz w:val="20"/>
          <w:szCs w:val="20"/>
          <w:color w:val="auto"/>
        </w:rPr>
      </w:pPr>
      <w:r>
        <w:rPr>
          <w:rFonts w:ascii="Arial" w:cs="Arial" w:eastAsia="Arial" w:hAnsi="Arial"/>
          <w:sz w:val="16"/>
          <w:szCs w:val="16"/>
          <w:color w:val="auto"/>
        </w:rPr>
        <w:t>the Trustee or such paying agent, as the case may be, such Security Register, transfer books or other records, or suitable</w:t>
      </w:r>
    </w:p>
    <w:p>
      <w:pPr>
        <w:ind w:left="160"/>
        <w:spacing w:after="0" w:line="229" w:lineRule="auto"/>
        <w:rPr>
          <w:sz w:val="20"/>
          <w:szCs w:val="20"/>
          <w:color w:val="auto"/>
        </w:rPr>
      </w:pPr>
      <w:r>
        <w:rPr>
          <w:rFonts w:ascii="Arial" w:cs="Arial" w:eastAsia="Arial" w:hAnsi="Arial"/>
          <w:sz w:val="16"/>
          <w:szCs w:val="16"/>
          <w:color w:val="auto"/>
        </w:rPr>
        <w:t>copies or extracts therefrom, sufficient to enable the Trustee or such paying agent to give any notice by mail that may be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required under the provisions of this Section.</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36" w:lineRule="auto"/>
        <w:tabs>
          <w:tab w:leader="none" w:pos="4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60" w:right="419" w:hanging="9"/>
        <w:spacing w:after="0" w:line="232" w:lineRule="auto"/>
        <w:tabs>
          <w:tab w:leader="none" w:pos="41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58" w:lineRule="auto"/>
        <w:rPr>
          <w:sz w:val="20"/>
          <w:szCs w:val="20"/>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Sections 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3.06</w:t>
      </w:r>
      <w:r>
        <w:rPr>
          <w:rFonts w:ascii="Arial" w:cs="Arial" w:eastAsia="Arial" w:hAnsi="Arial"/>
          <w:sz w:val="17"/>
          <w:szCs w:val="17"/>
          <w:color w:val="auto"/>
        </w:rPr>
        <w:t xml:space="preserve"> shall be applicable to any sinking fund for the retirement of Securities of a series, except as otherwise specified as contemplated by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for Securities of such series.</w:t>
      </w:r>
    </w:p>
    <w:p>
      <w:pPr>
        <w:spacing w:after="0" w:line="147" w:lineRule="exact"/>
        <w:rPr>
          <w:sz w:val="20"/>
          <w:szCs w:val="20"/>
          <w:color w:val="auto"/>
        </w:rPr>
      </w:pPr>
    </w:p>
    <w:p>
      <w:pPr>
        <w:ind w:left="160" w:right="159"/>
        <w:spacing w:after="0" w:line="214" w:lineRule="auto"/>
        <w:rPr>
          <w:sz w:val="20"/>
          <w:szCs w:val="20"/>
          <w:color w:val="auto"/>
        </w:rPr>
      </w:pPr>
      <w:r>
        <w:rPr>
          <w:rFonts w:ascii="Arial" w:cs="Arial" w:eastAsia="Arial" w:hAnsi="Arial"/>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Arial" w:cs="Arial" w:eastAsia="Arial" w:hAnsi="Arial"/>
          <w:sz w:val="18"/>
          <w:szCs w:val="18"/>
          <w:u w:val="single" w:color="auto"/>
          <w:color w:val="auto"/>
        </w:rPr>
        <w:t>Section 3.05</w:t>
      </w:r>
      <w:r>
        <w:rPr>
          <w:rFonts w:ascii="Arial" w:cs="Arial" w:eastAsia="Arial" w:hAnsi="Arial"/>
          <w:sz w:val="18"/>
          <w:szCs w:val="18"/>
          <w:color w:val="auto"/>
        </w:rPr>
        <w:t>. Each sinking fund payment shall be applied to the redemption of Securities of any series as provided for by the terms of Securities of such series.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23" w:lineRule="auto"/>
        <w:rPr>
          <w:sz w:val="20"/>
          <w:szCs w:val="20"/>
          <w:color w:val="auto"/>
        </w:rPr>
      </w:pPr>
      <w:r>
        <w:rPr>
          <w:rFonts w:ascii="Arial" w:cs="Arial" w:eastAsia="Arial" w:hAnsi="Arial"/>
          <w:sz w:val="17"/>
          <w:szCs w:val="17"/>
          <w:color w:val="auto"/>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77" w:lineRule="exact"/>
        <w:rPr>
          <w:sz w:val="20"/>
          <w:szCs w:val="20"/>
          <w:color w:val="auto"/>
        </w:rPr>
      </w:pPr>
    </w:p>
    <w:p>
      <w:pPr>
        <w:ind w:left="160" w:right="339"/>
        <w:spacing w:after="0" w:line="289" w:lineRule="auto"/>
        <w:rPr>
          <w:sz w:val="20"/>
          <w:szCs w:val="20"/>
          <w:color w:val="auto"/>
        </w:rPr>
      </w:pPr>
      <w:r>
        <w:rPr>
          <w:rFonts w:ascii="Arial" w:cs="Arial" w:eastAsia="Arial" w:hAnsi="Arial"/>
          <w:sz w:val="16"/>
          <w:szCs w:val="16"/>
          <w:color w:val="auto"/>
        </w:rPr>
        <w:t>Not less than 45 days prior to each sinking fund payment date for any series of Securities (unless a shorter period shall be satisfactory to the Trustee), the Company will deliver to the Trustee an Officer’s Certificate specifying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92" w:name="page93"/>
    <w:bookmarkEnd w:id="92"/>
    <w:p>
      <w:pPr>
        <w:ind w:left="160" w:right="159"/>
        <w:spacing w:after="0" w:line="232" w:lineRule="auto"/>
        <w:rPr>
          <w:sz w:val="20"/>
          <w:szCs w:val="20"/>
          <w:color w:val="auto"/>
        </w:rPr>
      </w:pPr>
      <w:r>
        <w:rPr>
          <w:rFonts w:ascii="Arial" w:cs="Arial" w:eastAsia="Arial" w:hAnsi="Arial"/>
          <w:sz w:val="16"/>
          <w:szCs w:val="16"/>
          <w:color w:val="auto"/>
        </w:rPr>
        <w:t xml:space="preserve">amount of the next ensuing sinking fund payment for that series pursuant to the terms of the series, the portion thereof, if any, that is to be satisfied by delivering and crediting Securities of that series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and cause notice of the redemption thereof to be given in the name of and at the expense of the Company in the manner provided in </w:t>
      </w:r>
      <w:r>
        <w:rPr>
          <w:rFonts w:ascii="Arial" w:cs="Arial" w:eastAsia="Arial" w:hAnsi="Arial"/>
          <w:sz w:val="16"/>
          <w:szCs w:val="16"/>
          <w:u w:val="single" w:color="auto"/>
          <w:color w:val="auto"/>
        </w:rPr>
        <w:t>Section 3.02</w:t>
      </w:r>
      <w:r>
        <w:rPr>
          <w:rFonts w:ascii="Arial" w:cs="Arial" w:eastAsia="Arial" w:hAnsi="Arial"/>
          <w:sz w:val="16"/>
          <w:szCs w:val="16"/>
          <w:color w:val="auto"/>
        </w:rPr>
        <w:t>. Such notice having been duly given, the redemption of such Securities shall be made upon the terms and in the manner stated in</w:t>
      </w:r>
    </w:p>
    <w:p>
      <w:pPr>
        <w:ind w:left="160"/>
        <w:spacing w:after="0"/>
        <w:rPr>
          <w:sz w:val="20"/>
          <w:szCs w:val="20"/>
          <w:color w:val="auto"/>
        </w:rPr>
      </w:pP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4</w:t>
      </w:r>
    </w:p>
    <w:p>
      <w:pPr>
        <w:jc w:val="center"/>
        <w:ind w:right="-20"/>
        <w:spacing w:after="0"/>
        <w:rPr>
          <w:sz w:val="20"/>
          <w:szCs w:val="20"/>
          <w:color w:val="auto"/>
        </w:rPr>
      </w:pPr>
      <w:r>
        <w:rPr>
          <w:rFonts w:ascii="Arial" w:cs="Arial" w:eastAsia="Arial" w:hAnsi="Arial"/>
          <w:sz w:val="18"/>
          <w:szCs w:val="18"/>
          <w:b w:val="1"/>
          <w:bCs w:val="1"/>
          <w:color w:val="auto"/>
        </w:rPr>
        <w:t>COVENANTS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21" w:lineRule="auto"/>
        <w:rPr>
          <w:sz w:val="20"/>
          <w:szCs w:val="20"/>
          <w:color w:val="auto"/>
        </w:rPr>
      </w:pPr>
      <w:r>
        <w:rPr>
          <w:rFonts w:ascii="Arial" w:cs="Arial" w:eastAsia="Arial" w:hAnsi="Arial"/>
          <w:sz w:val="17"/>
          <w:szCs w:val="17"/>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21" w:lineRule="auto"/>
        <w:rPr>
          <w:sz w:val="20"/>
          <w:szCs w:val="20"/>
          <w:color w:val="auto"/>
        </w:rPr>
      </w:pPr>
      <w:r>
        <w:rPr>
          <w:rFonts w:ascii="Arial" w:cs="Arial" w:eastAsia="Arial" w:hAnsi="Arial"/>
          <w:sz w:val="17"/>
          <w:szCs w:val="17"/>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77" w:lineRule="exact"/>
        <w:rPr>
          <w:sz w:val="20"/>
          <w:szCs w:val="20"/>
          <w:color w:val="auto"/>
        </w:rPr>
      </w:pPr>
    </w:p>
    <w:p>
      <w:pPr>
        <w:jc w:val="both"/>
        <w:ind w:left="160" w:right="219" w:hanging="9"/>
        <w:spacing w:after="0" w:line="224" w:lineRule="auto"/>
        <w:tabs>
          <w:tab w:leader="none" w:pos="4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55" w:lineRule="exact"/>
        <w:rPr>
          <w:sz w:val="20"/>
          <w:szCs w:val="20"/>
          <w:color w:val="auto"/>
        </w:rPr>
      </w:pPr>
    </w:p>
    <w:p>
      <w:pPr>
        <w:jc w:val="both"/>
        <w:ind w:left="160" w:right="219" w:hanging="9"/>
        <w:spacing w:after="0" w:line="224" w:lineRule="auto"/>
        <w:tabs>
          <w:tab w:leader="none" w:pos="4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55" w:lineRule="exact"/>
        <w:rPr>
          <w:rFonts w:ascii="Arial" w:cs="Arial" w:eastAsia="Arial" w:hAnsi="Arial"/>
          <w:sz w:val="18"/>
          <w:szCs w:val="18"/>
          <w:color w:val="auto"/>
        </w:rPr>
      </w:pPr>
    </w:p>
    <w:p>
      <w:pPr>
        <w:ind w:left="160" w:right="179" w:hanging="9"/>
        <w:spacing w:after="0" w:line="224" w:lineRule="auto"/>
        <w:tabs>
          <w:tab w:leader="none" w:pos="4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55" w:lineRule="exact"/>
        <w:rPr>
          <w:rFonts w:ascii="Arial" w:cs="Arial" w:eastAsia="Arial" w:hAnsi="Arial"/>
          <w:sz w:val="18"/>
          <w:szCs w:val="18"/>
          <w:color w:val="auto"/>
        </w:rPr>
      </w:pPr>
    </w:p>
    <w:p>
      <w:pPr>
        <w:ind w:left="160" w:right="539" w:hanging="9"/>
        <w:spacing w:after="0" w:line="289" w:lineRule="auto"/>
        <w:tabs>
          <w:tab w:leader="none" w:pos="41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93" w:name="page94"/>
    <w:bookmarkEnd w:id="93"/>
    <w:p>
      <w:pPr>
        <w:ind w:left="160" w:right="499" w:hanging="9"/>
        <w:spacing w:after="0" w:line="289" w:lineRule="auto"/>
        <w:tabs>
          <w:tab w:leader="none" w:pos="41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that upon any receivership, insolvency, liquidation, bankruptcy, reorganization, readjustment, arrangement, composition or judicial proceedings affecting the Company, the Trustee will automatically be the Paying Agent; and</w:t>
      </w:r>
    </w:p>
    <w:p>
      <w:pPr>
        <w:spacing w:after="0" w:line="16" w:lineRule="exact"/>
        <w:rPr>
          <w:rFonts w:ascii="Arial" w:cs="Arial" w:eastAsia="Arial" w:hAnsi="Arial"/>
          <w:sz w:val="16"/>
          <w:szCs w:val="16"/>
          <w:color w:val="auto"/>
        </w:rPr>
      </w:pPr>
    </w:p>
    <w:p>
      <w:pPr>
        <w:ind w:left="400" w:hanging="249"/>
        <w:spacing w:after="0"/>
        <w:tabs>
          <w:tab w:leader="none" w:pos="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77" w:lineRule="exact"/>
        <w:rPr>
          <w:sz w:val="20"/>
          <w:szCs w:val="20"/>
          <w:color w:val="auto"/>
        </w:rPr>
      </w:pPr>
    </w:p>
    <w:p>
      <w:pPr>
        <w:ind w:left="160" w:right="159" w:hanging="9"/>
        <w:spacing w:after="0" w:line="236" w:lineRule="auto"/>
        <w:tabs>
          <w:tab w:leader="none" w:pos="41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54" w:lineRule="exact"/>
        <w:rPr>
          <w:rFonts w:ascii="Arial" w:cs="Arial" w:eastAsia="Arial" w:hAnsi="Arial"/>
          <w:sz w:val="16"/>
          <w:szCs w:val="16"/>
          <w:color w:val="auto"/>
        </w:rPr>
      </w:pPr>
    </w:p>
    <w:p>
      <w:pPr>
        <w:ind w:left="160" w:right="219" w:hanging="9"/>
        <w:spacing w:after="0" w:line="225" w:lineRule="auto"/>
        <w:tabs>
          <w:tab w:leader="none" w:pos="40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Section to the contrary, (i) the agreement to hold sums in trust as provided in this Section is subject to the provisions of </w:t>
      </w:r>
      <w:r>
        <w:rPr>
          <w:rFonts w:ascii="Arial" w:cs="Arial" w:eastAsia="Arial" w:hAnsi="Arial"/>
          <w:sz w:val="17"/>
          <w:szCs w:val="17"/>
          <w:u w:val="single" w:color="auto"/>
          <w:color w:val="auto"/>
        </w:rPr>
        <w:t>Section 11.05</w:t>
      </w:r>
      <w:r>
        <w:rPr>
          <w:rFonts w:ascii="Arial" w:cs="Arial" w:eastAsia="Arial" w:hAnsi="Arial"/>
          <w:sz w:val="17"/>
          <w:szCs w:val="17"/>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54" w:lineRule="exact"/>
        <w:rPr>
          <w:rFonts w:ascii="Arial" w:cs="Arial" w:eastAsia="Arial" w:hAnsi="Arial"/>
          <w:sz w:val="17"/>
          <w:szCs w:val="17"/>
          <w:color w:val="auto"/>
        </w:rPr>
      </w:pPr>
    </w:p>
    <w:p>
      <w:pPr>
        <w:ind w:left="160" w:right="659" w:hanging="9"/>
        <w:spacing w:after="0" w:line="235" w:lineRule="auto"/>
        <w:tabs>
          <w:tab w:leader="none" w:pos="4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initially appoints the Trustee at its Corporate Trust Office as its paying agent with respect to the Securities.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w:t>
      </w:r>
    </w:p>
    <w:p>
      <w:pPr>
        <w:spacing w:after="0" w:line="77" w:lineRule="exact"/>
        <w:rPr>
          <w:sz w:val="20"/>
          <w:szCs w:val="20"/>
          <w:color w:val="auto"/>
        </w:rPr>
      </w:pPr>
    </w:p>
    <w:p>
      <w:pPr>
        <w:ind w:left="160" w:right="759"/>
        <w:spacing w:after="0" w:line="258" w:lineRule="auto"/>
        <w:rPr>
          <w:sz w:val="20"/>
          <w:szCs w:val="20"/>
          <w:color w:val="auto"/>
        </w:rPr>
      </w:pPr>
      <w:r>
        <w:rPr>
          <w:rFonts w:ascii="Arial" w:cs="Arial" w:eastAsia="Arial" w:hAnsi="Arial"/>
          <w:sz w:val="17"/>
          <w:szCs w:val="17"/>
          <w:color w:val="auto"/>
        </w:rPr>
        <w:t xml:space="preserve">The Company, whenever necessary to avoid or fill a vacancy in the office of Trustee, will appoint, in the manner provided in </w:t>
      </w:r>
      <w:r>
        <w:rPr>
          <w:rFonts w:ascii="Arial" w:cs="Arial" w:eastAsia="Arial" w:hAnsi="Arial"/>
          <w:sz w:val="17"/>
          <w:szCs w:val="17"/>
          <w:u w:val="single" w:color="auto"/>
          <w:color w:val="auto"/>
        </w:rPr>
        <w:t>Section 7.10</w:t>
      </w:r>
      <w:r>
        <w:rPr>
          <w:rFonts w:ascii="Arial" w:cs="Arial" w:eastAsia="Arial" w:hAnsi="Arial"/>
          <w:sz w:val="17"/>
          <w:szCs w:val="17"/>
          <w:color w:val="auto"/>
        </w:rPr>
        <w:t>, a Trustee, so that there shall at all times be a Trustee hereunder.</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38" w:lineRule="auto"/>
        <w:rPr>
          <w:sz w:val="20"/>
          <w:szCs w:val="20"/>
          <w:color w:val="auto"/>
        </w:rPr>
      </w:pPr>
      <w:r>
        <w:rPr>
          <w:rFonts w:ascii="Arial" w:cs="Arial" w:eastAsia="Arial" w:hAnsi="Arial"/>
          <w:sz w:val="17"/>
          <w:szCs w:val="17"/>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hereof are complied with.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jc w:val="center"/>
        <w:spacing w:after="0" w:line="203" w:lineRule="auto"/>
        <w:rPr>
          <w:sz w:val="20"/>
          <w:szCs w:val="20"/>
          <w:color w:val="auto"/>
        </w:rPr>
      </w:pPr>
      <w:r>
        <w:rPr>
          <w:rFonts w:ascii="Arial" w:cs="Arial" w:eastAsia="Arial" w:hAnsi="Arial"/>
          <w:sz w:val="18"/>
          <w:szCs w:val="18"/>
          <w:b w:val="1"/>
          <w:bCs w:val="1"/>
          <w:color w:val="auto"/>
        </w:rPr>
        <w:t>SECURITYHOLDERS’ LISTS AND REPORTS BY THE COMPANY</w:t>
      </w:r>
    </w:p>
    <w:p>
      <w:pPr>
        <w:jc w:val="center"/>
        <w:spacing w:after="0"/>
        <w:rPr>
          <w:sz w:val="20"/>
          <w:szCs w:val="20"/>
          <w:color w:val="auto"/>
        </w:rPr>
      </w:pPr>
      <w:r>
        <w:rPr>
          <w:rFonts w:ascii="Arial" w:cs="Arial" w:eastAsia="Arial" w:hAnsi="Arial"/>
          <w:sz w:val="18"/>
          <w:szCs w:val="18"/>
          <w:b w:val="1"/>
          <w:bCs w:val="1"/>
          <w:color w:val="auto"/>
        </w:rPr>
        <w:t>AND THE TRUSTEE</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23" w:lineRule="auto"/>
        <w:rPr>
          <w:sz w:val="20"/>
          <w:szCs w:val="20"/>
          <w:color w:val="auto"/>
        </w:rPr>
      </w:pPr>
      <w:r>
        <w:rPr>
          <w:rFonts w:ascii="Arial" w:cs="Arial" w:eastAsia="Arial" w:hAnsi="Arial"/>
          <w:sz w:val="17"/>
          <w:szCs w:val="17"/>
          <w:color w:val="auto"/>
        </w:rPr>
        <w:t xml:space="preserve">The Company will furnish or cause to be furnished to the Trustee (a) within 5 days after each regular record date (as defined in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 list, in such form as the Trustee may reasonably require, of the names and addresses of the holders of each series of Securities as of such regular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obligated to furnish or cause to be furnished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either case, no such list need be furnished for any series for which the Trustee shall be the Security Registrar.</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77" w:lineRule="exact"/>
        <w:rPr>
          <w:sz w:val="20"/>
          <w:szCs w:val="20"/>
          <w:color w:val="auto"/>
        </w:rPr>
      </w:pPr>
    </w:p>
    <w:p>
      <w:pPr>
        <w:ind w:left="160" w:right="479" w:hanging="9"/>
        <w:spacing w:after="0" w:line="289" w:lineRule="auto"/>
        <w:tabs>
          <w:tab w:leader="none" w:pos="40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94" w:name="page95"/>
    <w:bookmarkEnd w:id="94"/>
    <w:p>
      <w:pPr>
        <w:ind w:left="160" w:right="479"/>
        <w:spacing w:after="0" w:line="235" w:lineRule="auto"/>
        <w:rPr>
          <w:sz w:val="20"/>
          <w:szCs w:val="20"/>
          <w:color w:val="auto"/>
        </w:rPr>
      </w:pPr>
      <w:r>
        <w:rPr>
          <w:rFonts w:ascii="Arial" w:cs="Arial" w:eastAsia="Arial" w:hAnsi="Arial"/>
          <w:sz w:val="18"/>
          <w:szCs w:val="18"/>
          <w:color w:val="auto"/>
        </w:rPr>
        <w:t>as to the names and addresses of holders of Securities received by the Trustee in its capacity as Security Registrar (if acting in such capacity).</w:t>
      </w:r>
    </w:p>
    <w:p>
      <w:pPr>
        <w:spacing w:after="0" w:line="54" w:lineRule="exact"/>
        <w:rPr>
          <w:sz w:val="20"/>
          <w:szCs w:val="20"/>
          <w:color w:val="auto"/>
        </w:rPr>
      </w:pPr>
    </w:p>
    <w:p>
      <w:pPr>
        <w:ind w:left="400" w:hanging="249"/>
        <w:spacing w:after="0"/>
        <w:tabs>
          <w:tab w:leader="none" w:pos="4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The Trustee may destroy any list furnished to it as provided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upon receipt of a new list so furnished.</w:t>
      </w:r>
    </w:p>
    <w:p>
      <w:pPr>
        <w:spacing w:after="0" w:line="99" w:lineRule="exact"/>
        <w:rPr>
          <w:rFonts w:ascii="Arial" w:cs="Arial" w:eastAsia="Arial" w:hAnsi="Arial"/>
          <w:sz w:val="16"/>
          <w:szCs w:val="16"/>
          <w:color w:val="auto"/>
        </w:rPr>
      </w:pPr>
    </w:p>
    <w:p>
      <w:pPr>
        <w:ind w:left="160" w:right="179" w:hanging="9"/>
        <w:spacing w:after="0" w:line="219" w:lineRule="auto"/>
        <w:tabs>
          <w:tab w:leader="none" w:pos="4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20" w:lineRule="auto"/>
        <w:tabs>
          <w:tab w:leader="none" w:pos="40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Company shall not be required to deliver to the Trustee any materials for which the Company has sought and received confidential treatment by the Commission;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so long as such filings by the Company are available on the Commission’s Electronic Data Gathering,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Analysis and Retrieval System (EDGAR), or Interactive Data Electronic Applications (IDEA), or any successor system, such filings shall be deemed to have been filed with the Trustee for purposes hereof without any further action required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Arial" w:cs="Arial" w:eastAsia="Arial" w:hAnsi="Arial"/>
          <w:sz w:val="17"/>
          <w:szCs w:val="17"/>
          <w:u w:val="single" w:color="auto"/>
          <w:color w:val="auto"/>
        </w:rPr>
        <w:t>Section 5.03</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jc w:val="both"/>
        <w:ind w:left="160" w:right="219" w:hanging="9"/>
        <w:spacing w:after="0" w:line="249" w:lineRule="auto"/>
        <w:tabs>
          <w:tab w:leader="none" w:pos="41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Delivery of reports, information and documents to the Trustee under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73" w:lineRule="exact"/>
        <w:rPr>
          <w:sz w:val="20"/>
          <w:szCs w:val="20"/>
          <w:color w:val="auto"/>
        </w:rPr>
      </w:pPr>
    </w:p>
    <w:p>
      <w:pPr>
        <w:ind w:left="400" w:hanging="249"/>
        <w:spacing w:after="0"/>
        <w:tabs>
          <w:tab w:leader="none" w:pos="4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If required by Section 313(a) of the Trust Indenture Act, the Trustee, within sixty (60) days after each May 15,</w:t>
      </w:r>
    </w:p>
    <w:p>
      <w:pPr>
        <w:ind w:left="160" w:right="139"/>
        <w:spacing w:after="0" w:line="231" w:lineRule="auto"/>
        <w:rPr>
          <w:rFonts w:ascii="Arial" w:cs="Arial" w:eastAsia="Arial" w:hAnsi="Arial"/>
          <w:sz w:val="17"/>
          <w:szCs w:val="17"/>
          <w:color w:val="auto"/>
        </w:rPr>
      </w:pPr>
      <w:r>
        <w:rPr>
          <w:rFonts w:ascii="Arial" w:cs="Arial" w:eastAsia="Arial" w:hAnsi="Arial"/>
          <w:sz w:val="17"/>
          <w:szCs w:val="17"/>
          <w:color w:val="auto"/>
        </w:rPr>
        <w:t>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54" w:lineRule="exact"/>
        <w:rPr>
          <w:rFonts w:ascii="Arial" w:cs="Arial" w:eastAsia="Arial" w:hAnsi="Arial"/>
          <w:sz w:val="17"/>
          <w:szCs w:val="17"/>
          <w:color w:val="auto"/>
        </w:rPr>
      </w:pPr>
    </w:p>
    <w:p>
      <w:pPr>
        <w:ind w:left="400" w:hanging="249"/>
        <w:spacing w:after="0"/>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76" w:lineRule="exact"/>
        <w:rPr>
          <w:rFonts w:ascii="Arial" w:cs="Arial" w:eastAsia="Arial" w:hAnsi="Arial"/>
          <w:sz w:val="18"/>
          <w:szCs w:val="18"/>
          <w:color w:val="auto"/>
        </w:rPr>
      </w:pPr>
    </w:p>
    <w:p>
      <w:pPr>
        <w:ind w:left="160" w:right="219" w:hanging="9"/>
        <w:spacing w:after="0" w:line="219" w:lineRule="auto"/>
        <w:tabs>
          <w:tab w:leader="none" w:pos="4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6</w:t>
      </w:r>
    </w:p>
    <w:p>
      <w:pPr>
        <w:jc w:val="center"/>
        <w:ind w:right="-20"/>
        <w:spacing w:after="0" w:line="203" w:lineRule="auto"/>
        <w:rPr>
          <w:sz w:val="20"/>
          <w:szCs w:val="20"/>
          <w:color w:val="auto"/>
        </w:rPr>
      </w:pPr>
      <w:r>
        <w:rPr>
          <w:rFonts w:ascii="Arial" w:cs="Arial" w:eastAsia="Arial" w:hAnsi="Arial"/>
          <w:sz w:val="18"/>
          <w:szCs w:val="18"/>
          <w:b w:val="1"/>
          <w:bCs w:val="1"/>
          <w:color w:val="auto"/>
        </w:rPr>
        <w:t>REMEDIES OF THE TRUSTEE AND SECURITYHOLDERS ON</w:t>
      </w:r>
    </w:p>
    <w:p>
      <w:pPr>
        <w:jc w:val="center"/>
        <w:ind w:right="-20"/>
        <w:spacing w:after="0"/>
        <w:rPr>
          <w:sz w:val="20"/>
          <w:szCs w:val="20"/>
          <w:color w:val="auto"/>
        </w:rPr>
      </w:pPr>
      <w:r>
        <w:rPr>
          <w:rFonts w:ascii="Arial" w:cs="Arial" w:eastAsia="Arial" w:hAnsi="Arial"/>
          <w:sz w:val="18"/>
          <w:szCs w:val="18"/>
          <w:b w:val="1"/>
          <w:bCs w:val="1"/>
          <w:color w:val="auto"/>
        </w:rPr>
        <w:t>EVENT OF DEFAULT</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77" w:lineRule="exact"/>
        <w:rPr>
          <w:sz w:val="20"/>
          <w:szCs w:val="20"/>
          <w:color w:val="auto"/>
        </w:rPr>
      </w:pPr>
    </w:p>
    <w:p>
      <w:pPr>
        <w:ind w:left="160" w:right="279" w:hanging="9"/>
        <w:spacing w:after="0" w:line="235" w:lineRule="auto"/>
        <w:tabs>
          <w:tab w:leader="none" w:pos="4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54" w:lineRule="exact"/>
        <w:rPr>
          <w:sz w:val="20"/>
          <w:szCs w:val="20"/>
          <w:color w:val="auto"/>
        </w:rPr>
      </w:pPr>
    </w:p>
    <w:p>
      <w:pPr>
        <w:ind w:left="160" w:right="379" w:hanging="9"/>
        <w:spacing w:after="0" w:line="289" w:lineRule="auto"/>
        <w:tabs>
          <w:tab w:leader="none" w:pos="41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defaults in the payment of any installment of interest upon any of the Securities of that series, as and when the same shall become due and payable, and such default continues for a period of 90 days; provided,</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95" w:name="page96"/>
    <w:bookmarkEnd w:id="95"/>
    <w:p>
      <w:pPr>
        <w:ind w:left="160" w:right="619"/>
        <w:spacing w:after="0" w:line="258" w:lineRule="auto"/>
        <w:rPr>
          <w:sz w:val="20"/>
          <w:szCs w:val="20"/>
          <w:color w:val="auto"/>
        </w:rPr>
      </w:pPr>
      <w:r>
        <w:rPr>
          <w:rFonts w:ascii="Arial" w:cs="Arial" w:eastAsia="Arial" w:hAnsi="Arial"/>
          <w:sz w:val="17"/>
          <w:szCs w:val="17"/>
          <w:color w:val="auto"/>
        </w:rPr>
        <w:t>however, that a valid extension of an interest payment period by the Company in accordance with the terms of any indenture supplemental hereto shall not constitute a default in the payment of interest for this purpose;</w:t>
      </w:r>
    </w:p>
    <w:p>
      <w:pPr>
        <w:spacing w:after="0" w:line="39" w:lineRule="exact"/>
        <w:rPr>
          <w:sz w:val="20"/>
          <w:szCs w:val="20"/>
          <w:color w:val="auto"/>
        </w:rPr>
      </w:pPr>
    </w:p>
    <w:p>
      <w:pPr>
        <w:ind w:left="160" w:right="239" w:hanging="9"/>
        <w:spacing w:after="0" w:line="229" w:lineRule="auto"/>
        <w:tabs>
          <w:tab w:leader="none" w:pos="41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53" w:lineRule="exact"/>
        <w:rPr>
          <w:rFonts w:ascii="Arial" w:cs="Arial" w:eastAsia="Arial" w:hAnsi="Arial"/>
          <w:sz w:val="17"/>
          <w:szCs w:val="17"/>
          <w:color w:val="auto"/>
        </w:rPr>
      </w:pPr>
    </w:p>
    <w:p>
      <w:pPr>
        <w:ind w:left="160" w:right="319" w:hanging="9"/>
        <w:spacing w:after="0" w:line="225" w:lineRule="auto"/>
        <w:tabs>
          <w:tab w:leader="none" w:pos="41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shall have been given to the Company by the Trustee or to the Company and the Trustee by the holders of at least 25% in principal amount of the Securities of that series at the time Outstanding;</w:t>
      </w:r>
    </w:p>
    <w:p>
      <w:pPr>
        <w:spacing w:after="0" w:line="38" w:lineRule="exact"/>
        <w:rPr>
          <w:rFonts w:ascii="Arial" w:cs="Arial" w:eastAsia="Arial" w:hAnsi="Arial"/>
          <w:sz w:val="17"/>
          <w:szCs w:val="17"/>
          <w:color w:val="auto"/>
        </w:rPr>
      </w:pPr>
    </w:p>
    <w:p>
      <w:pPr>
        <w:ind w:left="400" w:hanging="249"/>
        <w:spacing w:after="0"/>
        <w:tabs>
          <w:tab w:leader="none" w:pos="4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w:t>
      </w:r>
    </w:p>
    <w:p>
      <w:pPr>
        <w:ind w:left="160" w:right="539" w:hanging="9"/>
        <w:spacing w:after="0" w:line="218" w:lineRule="auto"/>
        <w:tabs>
          <w:tab w:leader="none" w:pos="42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55" w:lineRule="exact"/>
        <w:rPr>
          <w:sz w:val="20"/>
          <w:szCs w:val="20"/>
          <w:color w:val="auto"/>
        </w:rPr>
      </w:pPr>
    </w:p>
    <w:p>
      <w:pPr>
        <w:ind w:left="160" w:right="199" w:hanging="9"/>
        <w:spacing w:after="0" w:line="238" w:lineRule="auto"/>
        <w:tabs>
          <w:tab w:leader="none" w:pos="41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53" w:lineRule="exact"/>
        <w:rPr>
          <w:sz w:val="20"/>
          <w:szCs w:val="20"/>
          <w:color w:val="auto"/>
        </w:rPr>
      </w:pPr>
    </w:p>
    <w:p>
      <w:pPr>
        <w:ind w:left="160" w:right="139" w:hanging="9"/>
        <w:spacing w:after="0" w:line="223" w:lineRule="auto"/>
        <w:tabs>
          <w:tab w:leader="none" w:pos="41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53" w:lineRule="exact"/>
        <w:rPr>
          <w:rFonts w:ascii="Arial" w:cs="Arial" w:eastAsia="Arial" w:hAnsi="Arial"/>
          <w:sz w:val="17"/>
          <w:szCs w:val="17"/>
          <w:color w:val="auto"/>
        </w:rPr>
      </w:pPr>
    </w:p>
    <w:p>
      <w:pPr>
        <w:ind w:left="160" w:right="139" w:hanging="9"/>
        <w:spacing w:after="0" w:line="234" w:lineRule="auto"/>
        <w:tabs>
          <w:tab w:leader="none" w:pos="4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166" w:lineRule="exact"/>
        <w:rPr>
          <w:sz w:val="20"/>
          <w:szCs w:val="20"/>
          <w:color w:val="auto"/>
        </w:rPr>
      </w:pPr>
    </w:p>
    <w:p>
      <w:pPr>
        <w:ind w:left="160" w:right="339"/>
        <w:spacing w:after="0" w:line="235" w:lineRule="auto"/>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54" w:lineRule="exact"/>
        <w:rPr>
          <w:sz w:val="20"/>
          <w:szCs w:val="20"/>
          <w:color w:val="auto"/>
        </w:rPr>
      </w:pPr>
    </w:p>
    <w:p>
      <w:pPr>
        <w:ind w:left="160" w:right="259" w:hanging="9"/>
        <w:spacing w:after="0" w:line="226" w:lineRule="auto"/>
        <w:tabs>
          <w:tab w:leader="none" w:pos="41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96" w:name="page97"/>
    <w:bookmarkEnd w:id="96"/>
    <w:p>
      <w:pPr>
        <w:ind w:left="1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77" w:lineRule="exact"/>
        <w:rPr>
          <w:sz w:val="20"/>
          <w:szCs w:val="20"/>
          <w:color w:val="auto"/>
        </w:rPr>
      </w:pPr>
    </w:p>
    <w:p>
      <w:pPr>
        <w:ind w:left="160" w:right="199" w:hanging="9"/>
        <w:spacing w:after="0" w:line="211" w:lineRule="auto"/>
        <w:tabs>
          <w:tab w:leader="none" w:pos="4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56" w:lineRule="exact"/>
        <w:rPr>
          <w:rFonts w:ascii="Arial" w:cs="Arial" w:eastAsia="Arial" w:hAnsi="Arial"/>
          <w:sz w:val="18"/>
          <w:szCs w:val="18"/>
          <w:color w:val="auto"/>
        </w:rPr>
      </w:pPr>
    </w:p>
    <w:p>
      <w:pPr>
        <w:ind w:left="160" w:right="259" w:hanging="9"/>
        <w:spacing w:after="0" w:line="241" w:lineRule="auto"/>
        <w:tabs>
          <w:tab w:leader="none" w:pos="41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52" w:lineRule="exact"/>
        <w:rPr>
          <w:rFonts w:ascii="Arial" w:cs="Arial" w:eastAsia="Arial" w:hAnsi="Arial"/>
          <w:sz w:val="16"/>
          <w:szCs w:val="16"/>
          <w:color w:val="auto"/>
        </w:rPr>
      </w:pPr>
    </w:p>
    <w:p>
      <w:pPr>
        <w:ind w:left="160" w:right="199" w:hanging="9"/>
        <w:spacing w:after="0" w:line="220" w:lineRule="auto"/>
        <w:tabs>
          <w:tab w:leader="none" w:pos="40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160" w:right="199" w:hanging="9"/>
        <w:spacing w:after="0" w:line="214" w:lineRule="auto"/>
        <w:tabs>
          <w:tab w:leader="none" w:pos="4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Arial" w:cs="Arial" w:eastAsia="Arial" w:hAnsi="Arial"/>
          <w:sz w:val="18"/>
          <w:szCs w:val="18"/>
          <w:u w:val="single" w:color="auto"/>
          <w:color w:val="auto"/>
        </w:rPr>
        <w:t>Section 7.06</w:t>
      </w:r>
      <w:r>
        <w:rPr>
          <w:rFonts w:ascii="Arial" w:cs="Arial" w:eastAsia="Arial" w:hAnsi="Arial"/>
          <w:sz w:val="18"/>
          <w:szCs w:val="18"/>
          <w:color w:val="auto"/>
        </w:rPr>
        <w:t>, be for the ratable benefit of the holders of the Securities of such series.</w:t>
      </w:r>
    </w:p>
    <w:p>
      <w:pPr>
        <w:spacing w:after="0" w:line="162" w:lineRule="exact"/>
        <w:rPr>
          <w:sz w:val="20"/>
          <w:szCs w:val="20"/>
          <w:color w:val="auto"/>
        </w:rPr>
      </w:pPr>
    </w:p>
    <w:p>
      <w:pPr>
        <w:ind w:left="160" w:right="199"/>
        <w:spacing w:after="0" w:line="244"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9" w:lineRule="exact"/>
        <w:rPr>
          <w:sz w:val="20"/>
          <w:szCs w:val="20"/>
          <w:color w:val="auto"/>
        </w:rPr>
      </w:pPr>
    </w:p>
    <w:p>
      <w:pPr>
        <w:ind w:left="160" w:right="159"/>
        <w:spacing w:after="0" w:line="219"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49" w:lineRule="auto"/>
        <w:rPr>
          <w:sz w:val="20"/>
          <w:szCs w:val="20"/>
          <w:color w:val="auto"/>
        </w:rPr>
      </w:pPr>
      <w:r>
        <w:rPr>
          <w:rFonts w:ascii="Arial" w:cs="Arial" w:eastAsia="Arial" w:hAnsi="Arial"/>
          <w:sz w:val="16"/>
          <w:szCs w:val="16"/>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7" w:name="page98"/>
    <w:bookmarkEnd w:id="97"/>
    <w:p>
      <w:pPr>
        <w:ind w:left="160" w:right="479"/>
        <w:spacing w:after="0" w:line="294" w:lineRule="auto"/>
        <w:rPr>
          <w:sz w:val="20"/>
          <w:szCs w:val="20"/>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To the payment of all indebtedness of the Company to which such series of Securities is subordinated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extent required by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any subordination terms of the series specified as contemplated by </w:t>
      </w:r>
      <w:r>
        <w:rPr>
          <w:rFonts w:ascii="Arial" w:cs="Arial" w:eastAsia="Arial" w:hAnsi="Arial"/>
          <w:sz w:val="16"/>
          <w:szCs w:val="16"/>
          <w:u w:val="single" w:color="auto"/>
          <w:color w:val="auto"/>
        </w:rPr>
        <w:t>Article 14</w:t>
      </w:r>
      <w:r>
        <w:rPr>
          <w:rFonts w:ascii="Arial" w:cs="Arial" w:eastAsia="Arial" w:hAnsi="Arial"/>
          <w:sz w:val="16"/>
          <w:szCs w:val="16"/>
          <w:color w:val="auto"/>
        </w:rPr>
        <w:t>;</w:t>
      </w:r>
    </w:p>
    <w:p>
      <w:pPr>
        <w:spacing w:after="0" w:line="116" w:lineRule="exact"/>
        <w:rPr>
          <w:sz w:val="20"/>
          <w:szCs w:val="20"/>
          <w:color w:val="auto"/>
        </w:rPr>
      </w:pPr>
    </w:p>
    <w:p>
      <w:pPr>
        <w:ind w:left="160" w:right="459"/>
        <w:spacing w:after="0" w:line="220"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To the payment of the amounts then due and unpaid upon Securities of such series for principal (and</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To the payment of the remainder, if any, to the Company or any other Person lawfully entitled thereto.</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21"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3" w:lineRule="exact"/>
        <w:rPr>
          <w:sz w:val="20"/>
          <w:szCs w:val="20"/>
          <w:color w:val="auto"/>
        </w:rPr>
      </w:pPr>
    </w:p>
    <w:p>
      <w:pPr>
        <w:ind w:left="160" w:right="199"/>
        <w:spacing w:after="0" w:line="234"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77" w:lineRule="exact"/>
        <w:rPr>
          <w:sz w:val="20"/>
          <w:szCs w:val="20"/>
          <w:color w:val="auto"/>
        </w:rPr>
      </w:pPr>
    </w:p>
    <w:p>
      <w:pPr>
        <w:jc w:val="both"/>
        <w:ind w:left="160" w:right="319" w:hanging="9"/>
        <w:spacing w:after="0" w:line="216" w:lineRule="auto"/>
        <w:tabs>
          <w:tab w:leader="none" w:pos="4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54" w:lineRule="exact"/>
        <w:rPr>
          <w:rFonts w:ascii="Arial" w:cs="Arial" w:eastAsia="Arial" w:hAnsi="Arial"/>
          <w:sz w:val="18"/>
          <w:szCs w:val="18"/>
          <w:color w:val="auto"/>
        </w:rPr>
      </w:pPr>
    </w:p>
    <w:p>
      <w:pPr>
        <w:ind w:left="160" w:right="259" w:hanging="9"/>
        <w:spacing w:after="0" w:line="229" w:lineRule="auto"/>
        <w:tabs>
          <w:tab w:leader="none" w:pos="41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Arial" w:cs="Arial" w:eastAsia="Arial" w:hAnsi="Arial"/>
          <w:sz w:val="17"/>
          <w:szCs w:val="17"/>
          <w:u w:val="single" w:color="auto"/>
          <w:color w:val="auto"/>
        </w:rPr>
        <w:t>Section 6.04</w:t>
      </w:r>
      <w:r>
        <w:rPr>
          <w:rFonts w:ascii="Arial" w:cs="Arial" w:eastAsia="Arial" w:hAnsi="Arial"/>
          <w:sz w:val="17"/>
          <w:szCs w:val="17"/>
          <w:color w:val="auto"/>
        </w:rPr>
        <w:t>, every power and remedy given by this Article or by law to the Trustee or the Securityholders may be exercised from time to time, and as often as shall be deemed expedient, by the Trustee or by the Securityholders.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8" w:name="page99"/>
    <w:bookmarkEnd w:id="98"/>
    <w:p>
      <w:pPr>
        <w:ind w:left="160" w:right="159"/>
        <w:spacing w:after="0"/>
        <w:rPr>
          <w:sz w:val="20"/>
          <w:szCs w:val="20"/>
          <w:color w:val="auto"/>
        </w:rPr>
      </w:pPr>
      <w:r>
        <w:rPr>
          <w:rFonts w:ascii="Arial" w:cs="Arial" w:eastAsia="Arial" w:hAnsi="Arial"/>
          <w:sz w:val="16"/>
          <w:szCs w:val="16"/>
          <w:color w:val="auto"/>
        </w:rPr>
        <w:t xml:space="preserve">The holders of a majority in aggregate principal amount of the Securities of any series at the time Outstanding, determined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may on behalf of the holders of all of the Securities of such series waive any past default in the performance of any of the covenants contained herein or established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Arial" w:cs="Arial" w:eastAsia="Arial" w:hAnsi="Arial"/>
          <w:sz w:val="16"/>
          <w:szCs w:val="16"/>
          <w:u w:val="single" w:color="auto"/>
          <w:color w:val="auto"/>
        </w:rPr>
        <w:t>Section 6.01(c)</w:t>
      </w:r>
      <w:r>
        <w:rPr>
          <w:rFonts w:ascii="Arial" w:cs="Arial" w:eastAsia="Arial" w:hAnsi="Arial"/>
          <w:sz w:val="16"/>
          <w:szCs w:val="16"/>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21" w:lineRule="auto"/>
        <w:rPr>
          <w:sz w:val="20"/>
          <w:szCs w:val="20"/>
          <w:color w:val="auto"/>
        </w:rPr>
      </w:pPr>
      <w:r>
        <w:rPr>
          <w:rFonts w:ascii="Arial" w:cs="Arial" w:eastAsia="Arial" w:hAnsi="Arial"/>
          <w:sz w:val="17"/>
          <w:szCs w:val="17"/>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7</w:t>
      </w:r>
    </w:p>
    <w:p>
      <w:pPr>
        <w:jc w:val="center"/>
        <w:ind w:right="-20"/>
        <w:spacing w:after="0"/>
        <w:rPr>
          <w:sz w:val="20"/>
          <w:szCs w:val="20"/>
          <w:color w:val="auto"/>
        </w:rPr>
      </w:pPr>
      <w:r>
        <w:rPr>
          <w:rFonts w:ascii="Arial" w:cs="Arial" w:eastAsia="Arial" w:hAnsi="Arial"/>
          <w:sz w:val="18"/>
          <w:szCs w:val="18"/>
          <w:b w:val="1"/>
          <w:bCs w:val="1"/>
          <w:color w:val="auto"/>
        </w:rPr>
        <w:t>CONCERNING THE TRUSTEE</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11" w:lineRule="auto"/>
        <w:tabs>
          <w:tab w:leader="none" w:pos="4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56" w:lineRule="exact"/>
        <w:rPr>
          <w:rFonts w:ascii="Arial" w:cs="Arial" w:eastAsia="Arial" w:hAnsi="Arial"/>
          <w:sz w:val="18"/>
          <w:szCs w:val="18"/>
          <w:color w:val="auto"/>
        </w:rPr>
      </w:pPr>
    </w:p>
    <w:p>
      <w:pPr>
        <w:ind w:left="160" w:right="239" w:hanging="9"/>
        <w:spacing w:after="0" w:line="235" w:lineRule="auto"/>
        <w:tabs>
          <w:tab w:leader="none" w:pos="4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54" w:lineRule="exact"/>
        <w:rPr>
          <w:sz w:val="20"/>
          <w:szCs w:val="20"/>
          <w:color w:val="auto"/>
        </w:rPr>
      </w:pPr>
    </w:p>
    <w:p>
      <w:pPr>
        <w:ind w:left="160" w:right="159" w:hanging="9"/>
        <w:spacing w:after="0" w:line="235" w:lineRule="auto"/>
        <w:tabs>
          <w:tab w:leader="none" w:pos="4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54" w:lineRule="exact"/>
        <w:rPr>
          <w:sz w:val="20"/>
          <w:szCs w:val="20"/>
          <w:color w:val="auto"/>
        </w:rPr>
      </w:pPr>
    </w:p>
    <w:p>
      <w:pPr>
        <w:ind w:left="160" w:right="379" w:hanging="9"/>
        <w:spacing w:after="0" w:line="289" w:lineRule="auto"/>
        <w:tabs>
          <w:tab w:leader="none" w:pos="45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duties and obligations of the Trustee shall with respect to the Securities of such series be determined solely by the express provisions of this Indenture, and the Trustee shall not be liable with respect to the Securities of such</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99" w:name="page100"/>
    <w:bookmarkEnd w:id="99"/>
    <w:p>
      <w:pPr>
        <w:ind w:left="160" w:right="499"/>
        <w:spacing w:after="0" w:line="258" w:lineRule="auto"/>
        <w:rPr>
          <w:sz w:val="20"/>
          <w:szCs w:val="20"/>
          <w:color w:val="auto"/>
        </w:rPr>
      </w:pPr>
      <w:r>
        <w:rPr>
          <w:rFonts w:ascii="Arial" w:cs="Arial" w:eastAsia="Arial" w:hAnsi="Arial"/>
          <w:sz w:val="17"/>
          <w:szCs w:val="17"/>
          <w:color w:val="auto"/>
        </w:rPr>
        <w:t>series except for the performance of such duties and obligations as are specifically set forth in this Indenture, and no implied covenants or obligations shall be read into this Indenture against the Trustee; and</w:t>
      </w:r>
    </w:p>
    <w:p>
      <w:pPr>
        <w:spacing w:after="0" w:line="39" w:lineRule="exact"/>
        <w:rPr>
          <w:sz w:val="20"/>
          <w:szCs w:val="20"/>
          <w:color w:val="auto"/>
        </w:rPr>
      </w:pPr>
    </w:p>
    <w:p>
      <w:pPr>
        <w:ind w:left="160" w:right="179" w:hanging="9"/>
        <w:spacing w:after="0" w:line="241" w:lineRule="auto"/>
        <w:tabs>
          <w:tab w:leader="none" w:pos="44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53" w:lineRule="exact"/>
        <w:rPr>
          <w:sz w:val="20"/>
          <w:szCs w:val="20"/>
          <w:color w:val="auto"/>
        </w:rPr>
      </w:pPr>
    </w:p>
    <w:p>
      <w:pPr>
        <w:ind w:left="160" w:right="259" w:hanging="9"/>
        <w:spacing w:after="0" w:line="289" w:lineRule="auto"/>
        <w:tabs>
          <w:tab w:leader="none" w:pos="41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6" w:lineRule="exact"/>
        <w:rPr>
          <w:rFonts w:ascii="Arial" w:cs="Arial" w:eastAsia="Arial" w:hAnsi="Arial"/>
          <w:sz w:val="16"/>
          <w:szCs w:val="16"/>
          <w:color w:val="auto"/>
        </w:rPr>
      </w:pPr>
    </w:p>
    <w:p>
      <w:pPr>
        <w:ind w:left="160" w:right="159" w:hanging="9"/>
        <w:spacing w:after="0" w:line="216" w:lineRule="auto"/>
        <w:tabs>
          <w:tab w:leader="none" w:pos="4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54" w:lineRule="exact"/>
        <w:rPr>
          <w:rFonts w:ascii="Arial" w:cs="Arial" w:eastAsia="Arial" w:hAnsi="Arial"/>
          <w:sz w:val="18"/>
          <w:szCs w:val="18"/>
          <w:color w:val="auto"/>
        </w:rPr>
      </w:pPr>
    </w:p>
    <w:p>
      <w:pPr>
        <w:ind w:left="160" w:right="199" w:hanging="9"/>
        <w:spacing w:after="0" w:line="249" w:lineRule="auto"/>
        <w:tabs>
          <w:tab w:leader="none" w:pos="41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77" w:lineRule="exact"/>
        <w:rPr>
          <w:sz w:val="20"/>
          <w:szCs w:val="20"/>
          <w:color w:val="auto"/>
        </w:rPr>
      </w:pPr>
    </w:p>
    <w:p>
      <w:pPr>
        <w:ind w:left="160" w:right="259" w:hanging="9"/>
        <w:spacing w:after="0" w:line="212" w:lineRule="auto"/>
        <w:tabs>
          <w:tab w:leader="none" w:pos="4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57" w:lineRule="exact"/>
        <w:rPr>
          <w:rFonts w:ascii="Arial" w:cs="Arial" w:eastAsia="Arial" w:hAnsi="Arial"/>
          <w:sz w:val="18"/>
          <w:szCs w:val="18"/>
          <w:color w:val="auto"/>
        </w:rPr>
      </w:pPr>
    </w:p>
    <w:p>
      <w:pPr>
        <w:jc w:val="both"/>
        <w:ind w:left="160" w:right="159" w:hanging="9"/>
        <w:spacing w:after="0" w:line="224" w:lineRule="auto"/>
        <w:tabs>
          <w:tab w:leader="none" w:pos="41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55" w:lineRule="exact"/>
        <w:rPr>
          <w:rFonts w:ascii="Arial" w:cs="Arial" w:eastAsia="Arial" w:hAnsi="Arial"/>
          <w:sz w:val="18"/>
          <w:szCs w:val="18"/>
          <w:color w:val="auto"/>
        </w:rPr>
      </w:pPr>
    </w:p>
    <w:p>
      <w:pPr>
        <w:ind w:left="160" w:right="239" w:hanging="9"/>
        <w:spacing w:after="0" w:line="224" w:lineRule="auto"/>
        <w:tabs>
          <w:tab w:leader="none" w:pos="4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55" w:lineRule="exact"/>
        <w:rPr>
          <w:rFonts w:ascii="Arial" w:cs="Arial" w:eastAsia="Arial" w:hAnsi="Arial"/>
          <w:sz w:val="18"/>
          <w:szCs w:val="18"/>
          <w:color w:val="auto"/>
        </w:rPr>
      </w:pPr>
    </w:p>
    <w:p>
      <w:pPr>
        <w:ind w:left="160" w:right="359" w:hanging="9"/>
        <w:spacing w:after="0" w:line="232" w:lineRule="auto"/>
        <w:tabs>
          <w:tab w:leader="none" w:pos="41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54" w:lineRule="exact"/>
        <w:rPr>
          <w:rFonts w:ascii="Arial" w:cs="Arial" w:eastAsia="Arial" w:hAnsi="Arial"/>
          <w:sz w:val="17"/>
          <w:szCs w:val="17"/>
          <w:color w:val="auto"/>
        </w:rPr>
      </w:pPr>
    </w:p>
    <w:p>
      <w:pPr>
        <w:ind w:left="160" w:right="279" w:hanging="9"/>
        <w:spacing w:after="0" w:line="235" w:lineRule="auto"/>
        <w:tabs>
          <w:tab w:leader="none" w:pos="4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53" w:lineRule="exact"/>
        <w:rPr>
          <w:rFonts w:ascii="Arial" w:cs="Arial" w:eastAsia="Arial" w:hAnsi="Arial"/>
          <w:sz w:val="18"/>
          <w:szCs w:val="18"/>
          <w:color w:val="auto"/>
        </w:rPr>
      </w:pPr>
    </w:p>
    <w:p>
      <w:pPr>
        <w:ind w:left="160" w:right="199" w:hanging="9"/>
        <w:spacing w:after="0" w:line="226" w:lineRule="auto"/>
        <w:tabs>
          <w:tab w:leader="none" w:pos="38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payment within a reasonable time to the Trustee of the costs, expenses, claims or liabilities likely to be incurred by it in the making of such investigation 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00" w:name="page101"/>
    <w:bookmarkEnd w:id="100"/>
    <w:p>
      <w:pPr>
        <w:ind w:left="160" w:right="559"/>
        <w:spacing w:after="0" w:line="232" w:lineRule="auto"/>
        <w:rPr>
          <w:sz w:val="20"/>
          <w:szCs w:val="20"/>
          <w:color w:val="auto"/>
        </w:rPr>
      </w:pPr>
      <w:r>
        <w:rPr>
          <w:rFonts w:ascii="Arial" w:cs="Arial" w:eastAsia="Arial" w:hAnsi="Arial"/>
          <w:sz w:val="17"/>
          <w:szCs w:val="17"/>
          <w:color w:val="auto"/>
        </w:rPr>
        <w:t>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54" w:lineRule="exact"/>
        <w:rPr>
          <w:sz w:val="20"/>
          <w:szCs w:val="20"/>
          <w:color w:val="auto"/>
        </w:rPr>
      </w:pPr>
    </w:p>
    <w:p>
      <w:pPr>
        <w:ind w:left="160" w:right="239" w:hanging="9"/>
        <w:spacing w:after="0" w:line="224" w:lineRule="auto"/>
        <w:tabs>
          <w:tab w:leader="none" w:pos="4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55" w:lineRule="exact"/>
        <w:rPr>
          <w:rFonts w:ascii="Arial" w:cs="Arial" w:eastAsia="Arial" w:hAnsi="Arial"/>
          <w:sz w:val="18"/>
          <w:szCs w:val="18"/>
          <w:color w:val="auto"/>
        </w:rPr>
      </w:pPr>
    </w:p>
    <w:p>
      <w:pPr>
        <w:ind w:left="160" w:right="179" w:hanging="9"/>
        <w:spacing w:after="0" w:line="241" w:lineRule="auto"/>
        <w:tabs>
          <w:tab w:leader="none" w:pos="41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52" w:lineRule="exact"/>
        <w:rPr>
          <w:rFonts w:ascii="Arial" w:cs="Arial" w:eastAsia="Arial" w:hAnsi="Arial"/>
          <w:sz w:val="16"/>
          <w:szCs w:val="16"/>
          <w:color w:val="auto"/>
        </w:rPr>
      </w:pPr>
    </w:p>
    <w:p>
      <w:pPr>
        <w:jc w:val="both"/>
        <w:ind w:left="160" w:right="179" w:hanging="9"/>
        <w:spacing w:after="0" w:line="224" w:lineRule="auto"/>
        <w:tabs>
          <w:tab w:leader="none" w:pos="3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55" w:lineRule="exact"/>
        <w:rPr>
          <w:rFonts w:ascii="Arial" w:cs="Arial" w:eastAsia="Arial" w:hAnsi="Arial"/>
          <w:sz w:val="18"/>
          <w:szCs w:val="18"/>
          <w:color w:val="auto"/>
        </w:rPr>
      </w:pPr>
    </w:p>
    <w:p>
      <w:pPr>
        <w:ind w:left="360" w:hanging="209"/>
        <w:spacing w:after="0"/>
        <w:tabs>
          <w:tab w:leader="none" w:pos="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76" w:lineRule="exact"/>
        <w:rPr>
          <w:rFonts w:ascii="Arial" w:cs="Arial" w:eastAsia="Arial" w:hAnsi="Arial"/>
          <w:sz w:val="18"/>
          <w:szCs w:val="18"/>
          <w:color w:val="auto"/>
        </w:rPr>
      </w:pPr>
    </w:p>
    <w:p>
      <w:pPr>
        <w:ind w:left="160" w:right="259" w:hanging="9"/>
        <w:spacing w:after="0" w:line="235" w:lineRule="auto"/>
        <w:tabs>
          <w:tab w:leader="none" w:pos="4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53" w:lineRule="exact"/>
        <w:rPr>
          <w:rFonts w:ascii="Arial" w:cs="Arial" w:eastAsia="Arial" w:hAnsi="Arial"/>
          <w:sz w:val="18"/>
          <w:szCs w:val="18"/>
          <w:color w:val="auto"/>
        </w:rPr>
      </w:pPr>
    </w:p>
    <w:p>
      <w:pPr>
        <w:ind w:left="160" w:right="439" w:hanging="9"/>
        <w:spacing w:after="0" w:line="235" w:lineRule="auto"/>
        <w:tabs>
          <w:tab w:leader="none" w:pos="3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162" w:lineRule="exact"/>
        <w:rPr>
          <w:sz w:val="20"/>
          <w:szCs w:val="20"/>
          <w:color w:val="auto"/>
        </w:rPr>
      </w:pPr>
    </w:p>
    <w:p>
      <w:pPr>
        <w:ind w:left="160" w:right="359"/>
        <w:spacing w:after="0" w:line="219" w:lineRule="auto"/>
        <w:rPr>
          <w:sz w:val="20"/>
          <w:szCs w:val="20"/>
          <w:color w:val="auto"/>
        </w:rPr>
      </w:pPr>
      <w:r>
        <w:rPr>
          <w:rFonts w:ascii="Arial" w:cs="Arial" w:eastAsia="Arial" w:hAnsi="Arial"/>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77" w:lineRule="exact"/>
        <w:rPr>
          <w:sz w:val="20"/>
          <w:szCs w:val="20"/>
          <w:color w:val="auto"/>
        </w:rPr>
      </w:pPr>
    </w:p>
    <w:p>
      <w:pPr>
        <w:ind w:left="160" w:right="339" w:hanging="9"/>
        <w:spacing w:after="0" w:line="235" w:lineRule="auto"/>
        <w:tabs>
          <w:tab w:leader="none" w:pos="4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53" w:lineRule="exact"/>
        <w:rPr>
          <w:rFonts w:ascii="Arial" w:cs="Arial" w:eastAsia="Arial" w:hAnsi="Arial"/>
          <w:sz w:val="18"/>
          <w:szCs w:val="18"/>
          <w:color w:val="auto"/>
        </w:rPr>
      </w:pPr>
    </w:p>
    <w:p>
      <w:pPr>
        <w:ind w:left="400" w:hanging="249"/>
        <w:spacing w:after="0"/>
        <w:tabs>
          <w:tab w:leader="none" w:pos="4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Trustee makes no representations as to the validity or sufficiency of this Indenture or of the Securities.</w:t>
      </w:r>
    </w:p>
    <w:p>
      <w:pPr>
        <w:spacing w:after="0" w:line="88" w:lineRule="exact"/>
        <w:rPr>
          <w:rFonts w:ascii="Arial" w:cs="Arial" w:eastAsia="Arial" w:hAnsi="Arial"/>
          <w:sz w:val="17"/>
          <w:szCs w:val="17"/>
          <w:color w:val="auto"/>
        </w:rPr>
      </w:pPr>
    </w:p>
    <w:p>
      <w:pPr>
        <w:ind w:left="160" w:right="219" w:hanging="9"/>
        <w:spacing w:after="0" w:line="219" w:lineRule="auto"/>
        <w:tabs>
          <w:tab w:leader="none" w:pos="4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or for the use or application of any moneys received by any paying agent other than the Trustee.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77" w:lineRule="exact"/>
        <w:rPr>
          <w:sz w:val="20"/>
          <w:szCs w:val="20"/>
          <w:color w:val="auto"/>
        </w:rPr>
      </w:pPr>
    </w:p>
    <w:p>
      <w:pPr>
        <w:ind w:left="160" w:right="279"/>
        <w:spacing w:after="0" w:line="289" w:lineRule="auto"/>
        <w:rPr>
          <w:sz w:val="20"/>
          <w:szCs w:val="20"/>
          <w:color w:val="auto"/>
        </w:rPr>
      </w:pPr>
      <w:r>
        <w:rPr>
          <w:rFonts w:ascii="Arial" w:cs="Arial" w:eastAsia="Arial" w:hAnsi="Arial"/>
          <w:sz w:val="16"/>
          <w:szCs w:val="16"/>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77" w:lineRule="exact"/>
        <w:rPr>
          <w:sz w:val="20"/>
          <w:szCs w:val="20"/>
          <w:color w:val="auto"/>
        </w:rPr>
      </w:pPr>
    </w:p>
    <w:p>
      <w:pPr>
        <w:ind w:left="160" w:right="459"/>
        <w:spacing w:after="0" w:line="232" w:lineRule="auto"/>
        <w:rPr>
          <w:sz w:val="20"/>
          <w:szCs w:val="20"/>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11.05</w:t>
      </w:r>
      <w:r>
        <w:rPr>
          <w:rFonts w:ascii="Arial" w:cs="Arial" w:eastAsia="Arial" w:hAnsi="Arial"/>
          <w:sz w:val="17"/>
          <w:szCs w:val="17"/>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01" w:name="page102"/>
    <w:bookmarkEnd w:id="101"/>
    <w:p>
      <w:pPr>
        <w:ind w:left="160" w:right="179" w:hanging="9"/>
        <w:spacing w:after="0" w:line="233" w:lineRule="auto"/>
        <w:tabs>
          <w:tab w:leader="none" w:pos="40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62" w:lineRule="exact"/>
        <w:rPr>
          <w:rFonts w:ascii="Arial" w:cs="Arial" w:eastAsia="Arial" w:hAnsi="Arial"/>
          <w:sz w:val="16"/>
          <w:szCs w:val="16"/>
          <w:color w:val="auto"/>
        </w:rPr>
      </w:pPr>
    </w:p>
    <w:p>
      <w:pPr>
        <w:ind w:left="160" w:right="179" w:hanging="9"/>
        <w:spacing w:after="0" w:line="216" w:lineRule="auto"/>
        <w:tabs>
          <w:tab w:leader="none" w:pos="4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54" w:lineRule="exact"/>
        <w:rPr>
          <w:rFonts w:ascii="Arial" w:cs="Arial" w:eastAsia="Arial" w:hAnsi="Arial"/>
          <w:sz w:val="18"/>
          <w:szCs w:val="18"/>
          <w:color w:val="auto"/>
        </w:rPr>
      </w:pPr>
    </w:p>
    <w:p>
      <w:pPr>
        <w:ind w:left="160" w:right="279" w:hanging="9"/>
        <w:spacing w:after="0" w:line="225" w:lineRule="auto"/>
        <w:tabs>
          <w:tab w:leader="none" w:pos="40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Arial" w:cs="Arial" w:eastAsia="Arial" w:hAnsi="Arial"/>
          <w:sz w:val="17"/>
          <w:szCs w:val="17"/>
          <w:u w:val="single" w:color="auto"/>
          <w:color w:val="auto"/>
        </w:rPr>
        <w:t>Section 6.01(a)(4)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w:t>
      </w:r>
      <w:r>
        <w:rPr>
          <w:rFonts w:ascii="Arial" w:cs="Arial" w:eastAsia="Arial" w:hAnsi="Arial"/>
          <w:sz w:val="17"/>
          <w:szCs w:val="17"/>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shall survive the termination of this Indenture and the earlier resignation or removal of the Trustee.</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Reliance on Officer’s Certificate or Opinion of Counsel</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11" w:lineRule="auto"/>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77" w:lineRule="exact"/>
        <w:rPr>
          <w:sz w:val="20"/>
          <w:szCs w:val="20"/>
          <w:color w:val="auto"/>
        </w:rPr>
      </w:pPr>
    </w:p>
    <w:p>
      <w:pPr>
        <w:ind w:left="160" w:right="239"/>
        <w:spacing w:after="0" w:line="224"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14" w:lineRule="auto"/>
        <w:rPr>
          <w:sz w:val="20"/>
          <w:szCs w:val="20"/>
          <w:color w:val="auto"/>
        </w:rPr>
      </w:pPr>
      <w:r>
        <w:rPr>
          <w:rFonts w:ascii="Arial" w:cs="Arial" w:eastAsia="Arial" w:hAnsi="Arial"/>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02" w:name="page103"/>
    <w:bookmarkEnd w:id="102"/>
    <w:p>
      <w:pPr>
        <w:ind w:left="160" w:right="339"/>
        <w:spacing w:after="0" w:line="225" w:lineRule="auto"/>
        <w:rPr>
          <w:sz w:val="20"/>
          <w:szCs w:val="20"/>
          <w:color w:val="auto"/>
        </w:rPr>
      </w:pPr>
      <w:r>
        <w:rPr>
          <w:rFonts w:ascii="Arial" w:cs="Arial" w:eastAsia="Arial" w:hAnsi="Arial"/>
          <w:sz w:val="17"/>
          <w:szCs w:val="17"/>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Arial" w:cs="Arial" w:eastAsia="Arial" w:hAnsi="Arial"/>
          <w:sz w:val="17"/>
          <w:szCs w:val="17"/>
          <w:u w:val="single" w:color="auto"/>
          <w:color w:val="auto"/>
        </w:rPr>
        <w:t>Section 7.10</w:t>
      </w:r>
      <w:r>
        <w:rPr>
          <w:rFonts w:ascii="Arial" w:cs="Arial" w:eastAsia="Arial" w:hAnsi="Arial"/>
          <w:sz w:val="17"/>
          <w:szCs w:val="17"/>
          <w:color w:val="auto"/>
        </w:rPr>
        <w: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34" w:lineRule="auto"/>
        <w:tabs>
          <w:tab w:leader="none" w:pos="40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2" w:lineRule="exact"/>
        <w:rPr>
          <w:rFonts w:ascii="Arial" w:cs="Arial" w:eastAsia="Arial" w:hAnsi="Arial"/>
          <w:sz w:val="16"/>
          <w:szCs w:val="16"/>
          <w:color w:val="auto"/>
        </w:rPr>
      </w:pPr>
    </w:p>
    <w:p>
      <w:pPr>
        <w:ind w:left="400" w:hanging="249"/>
        <w:spacing w:after="0"/>
        <w:tabs>
          <w:tab w:leader="none" w:pos="4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77" w:lineRule="exact"/>
        <w:rPr>
          <w:sz w:val="20"/>
          <w:szCs w:val="20"/>
          <w:color w:val="auto"/>
        </w:rPr>
      </w:pPr>
    </w:p>
    <w:p>
      <w:pPr>
        <w:ind w:left="160" w:right="319" w:hanging="9"/>
        <w:spacing w:after="0" w:line="289" w:lineRule="auto"/>
        <w:tabs>
          <w:tab w:leader="none" w:pos="37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Trustee shall fail to comply with the provisions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after written request therefor by the Company or by any Securityholder who has been a bona fide holder of a Security or Securities for at least six months; or</w:t>
      </w:r>
    </w:p>
    <w:p>
      <w:pPr>
        <w:spacing w:after="0" w:line="16" w:lineRule="exact"/>
        <w:rPr>
          <w:rFonts w:ascii="Arial" w:cs="Arial" w:eastAsia="Arial" w:hAnsi="Arial"/>
          <w:sz w:val="16"/>
          <w:szCs w:val="16"/>
          <w:color w:val="auto"/>
        </w:rPr>
      </w:pPr>
    </w:p>
    <w:p>
      <w:pPr>
        <w:ind w:left="160" w:right="379" w:hanging="9"/>
        <w:spacing w:after="0" w:line="235" w:lineRule="auto"/>
        <w:tabs>
          <w:tab w:leader="none" w:pos="42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in accordance with the provisions of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shall fail to resign after written request therefor by the Company or by any such Securityholder; or</w:t>
      </w:r>
    </w:p>
    <w:p>
      <w:pPr>
        <w:spacing w:after="0" w:line="53" w:lineRule="exact"/>
        <w:rPr>
          <w:rFonts w:ascii="Arial" w:cs="Arial" w:eastAsia="Arial" w:hAnsi="Arial"/>
          <w:sz w:val="18"/>
          <w:szCs w:val="18"/>
          <w:color w:val="auto"/>
        </w:rPr>
      </w:pPr>
    </w:p>
    <w:p>
      <w:pPr>
        <w:ind w:left="160" w:right="179" w:hanging="9"/>
        <w:spacing w:after="0" w:line="219" w:lineRule="auto"/>
        <w:tabs>
          <w:tab w:leader="none" w:pos="4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3" w:lineRule="exact"/>
        <w:rPr>
          <w:sz w:val="20"/>
          <w:szCs w:val="20"/>
          <w:color w:val="auto"/>
        </w:rPr>
      </w:pPr>
    </w:p>
    <w:p>
      <w:pPr>
        <w:ind w:left="160" w:right="179"/>
        <w:spacing w:after="0" w:line="212" w:lineRule="auto"/>
        <w:rPr>
          <w:sz w:val="20"/>
          <w:szCs w:val="20"/>
          <w:color w:val="auto"/>
        </w:rPr>
      </w:pPr>
      <w:r>
        <w:rPr>
          <w:rFonts w:ascii="Arial" w:cs="Arial" w:eastAsia="Arial" w:hAnsi="Arial"/>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57" w:lineRule="exact"/>
        <w:rPr>
          <w:sz w:val="20"/>
          <w:szCs w:val="20"/>
          <w:color w:val="auto"/>
        </w:rPr>
      </w:pPr>
    </w:p>
    <w:p>
      <w:pPr>
        <w:jc w:val="both"/>
        <w:ind w:left="160" w:right="159" w:hanging="9"/>
        <w:spacing w:after="0" w:line="224" w:lineRule="auto"/>
        <w:tabs>
          <w:tab w:leader="none" w:pos="40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55" w:lineRule="exact"/>
        <w:rPr>
          <w:rFonts w:ascii="Arial" w:cs="Arial" w:eastAsia="Arial" w:hAnsi="Arial"/>
          <w:sz w:val="18"/>
          <w:szCs w:val="18"/>
          <w:color w:val="auto"/>
        </w:rPr>
      </w:pPr>
    </w:p>
    <w:p>
      <w:pPr>
        <w:ind w:left="160" w:right="319" w:hanging="9"/>
        <w:spacing w:after="0" w:line="224" w:lineRule="auto"/>
        <w:tabs>
          <w:tab w:leader="none" w:pos="4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55" w:lineRule="exact"/>
        <w:rPr>
          <w:rFonts w:ascii="Arial" w:cs="Arial" w:eastAsia="Arial" w:hAnsi="Arial"/>
          <w:sz w:val="18"/>
          <w:szCs w:val="18"/>
          <w:color w:val="auto"/>
        </w:rPr>
      </w:pPr>
    </w:p>
    <w:p>
      <w:pPr>
        <w:ind w:left="160" w:right="419" w:hanging="9"/>
        <w:spacing w:after="0" w:line="224" w:lineRule="auto"/>
        <w:tabs>
          <w:tab w:leader="none" w:pos="40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58" w:lineRule="auto"/>
        <w:tabs>
          <w:tab w:leader="none" w:pos="40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3" w:name="page104"/>
    <w:bookmarkEnd w:id="103"/>
    <w:p>
      <w:pPr>
        <w:ind w:left="160" w:right="159"/>
        <w:spacing w:after="0" w:line="241" w:lineRule="auto"/>
        <w:rPr>
          <w:sz w:val="20"/>
          <w:szCs w:val="20"/>
          <w:color w:val="auto"/>
        </w:rPr>
      </w:pPr>
      <w:r>
        <w:rPr>
          <w:rFonts w:ascii="Arial" w:cs="Arial" w:eastAsia="Arial" w:hAnsi="Arial"/>
          <w:sz w:val="16"/>
          <w:szCs w:val="16"/>
          <w:color w:val="auto"/>
        </w:rPr>
        <w:t xml:space="preserve">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3" w:lineRule="exact"/>
        <w:rPr>
          <w:sz w:val="20"/>
          <w:szCs w:val="20"/>
          <w:color w:val="auto"/>
        </w:rPr>
      </w:pPr>
    </w:p>
    <w:p>
      <w:pPr>
        <w:ind w:left="160" w:right="159" w:hanging="9"/>
        <w:spacing w:after="0" w:line="232" w:lineRule="auto"/>
        <w:tabs>
          <w:tab w:leader="none" w:pos="41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55" w:lineRule="exact"/>
        <w:rPr>
          <w:rFonts w:ascii="Arial" w:cs="Arial" w:eastAsia="Arial" w:hAnsi="Arial"/>
          <w:sz w:val="16"/>
          <w:szCs w:val="16"/>
          <w:color w:val="auto"/>
        </w:rPr>
      </w:pPr>
    </w:p>
    <w:p>
      <w:pPr>
        <w:jc w:val="both"/>
        <w:ind w:left="160" w:right="359" w:hanging="9"/>
        <w:spacing w:after="0" w:line="239" w:lineRule="auto"/>
        <w:tabs>
          <w:tab w:leader="none" w:pos="40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w:t>
      </w:r>
    </w:p>
    <w:p>
      <w:pPr>
        <w:ind w:left="400" w:hanging="249"/>
        <w:spacing w:after="0"/>
        <w:tabs>
          <w:tab w:leader="none" w:pos="4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or (b) of this Section, as the case may be.</w:t>
      </w:r>
    </w:p>
    <w:p>
      <w:pPr>
        <w:spacing w:after="0" w:line="60" w:lineRule="exact"/>
        <w:rPr>
          <w:rFonts w:ascii="Arial" w:cs="Arial" w:eastAsia="Arial" w:hAnsi="Arial"/>
          <w:sz w:val="18"/>
          <w:szCs w:val="18"/>
          <w:color w:val="auto"/>
        </w:rPr>
      </w:pPr>
    </w:p>
    <w:p>
      <w:pPr>
        <w:ind w:left="160" w:right="139" w:hanging="9"/>
        <w:spacing w:after="0" w:line="235" w:lineRule="auto"/>
        <w:tabs>
          <w:tab w:leader="none" w:pos="41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53" w:lineRule="exact"/>
        <w:rPr>
          <w:rFonts w:ascii="Arial" w:cs="Arial" w:eastAsia="Arial" w:hAnsi="Arial"/>
          <w:sz w:val="18"/>
          <w:szCs w:val="18"/>
          <w:color w:val="auto"/>
        </w:rPr>
      </w:pPr>
    </w:p>
    <w:p>
      <w:pPr>
        <w:ind w:left="160" w:right="299" w:hanging="9"/>
        <w:spacing w:after="0" w:line="216" w:lineRule="auto"/>
        <w:tabs>
          <w:tab w:leader="none" w:pos="4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36"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corporation shall be qualified under the provisions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and eligible under the provisions of </w:t>
      </w:r>
      <w:r>
        <w:rPr>
          <w:rFonts w:ascii="Arial" w:cs="Arial" w:eastAsia="Arial" w:hAnsi="Arial"/>
          <w:sz w:val="16"/>
          <w:szCs w:val="16"/>
          <w:u w:val="single" w:color="auto"/>
          <w:color w:val="auto"/>
        </w:rPr>
        <w:t>Section 7.09</w:t>
      </w:r>
      <w:r>
        <w:rPr>
          <w:rFonts w:ascii="Arial" w:cs="Arial" w:eastAsia="Arial" w:hAnsi="Arial"/>
          <w:sz w:val="16"/>
          <w:szCs w:val="16"/>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04" w:name="page105"/>
    <w:bookmarkEnd w:id="104"/>
    <w:p>
      <w:pPr>
        <w:ind w:left="16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77" w:lineRule="exact"/>
        <w:rPr>
          <w:sz w:val="20"/>
          <w:szCs w:val="20"/>
          <w:color w:val="auto"/>
        </w:rPr>
      </w:pPr>
    </w:p>
    <w:p>
      <w:pPr>
        <w:ind w:left="160" w:right="319"/>
        <w:spacing w:after="0" w:line="224"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77" w:lineRule="exact"/>
        <w:rPr>
          <w:sz w:val="20"/>
          <w:szCs w:val="20"/>
          <w:color w:val="auto"/>
        </w:rPr>
      </w:pPr>
    </w:p>
    <w:p>
      <w:pPr>
        <w:ind w:left="160" w:right="219"/>
        <w:spacing w:after="0" w:line="239" w:lineRule="auto"/>
        <w:rPr>
          <w:sz w:val="20"/>
          <w:szCs w:val="20"/>
          <w:color w:val="auto"/>
        </w:rPr>
      </w:pPr>
      <w:r>
        <w:rPr>
          <w:rFonts w:ascii="Arial" w:cs="Arial" w:eastAsia="Arial" w:hAnsi="Arial"/>
          <w:sz w:val="16"/>
          <w:szCs w:val="16"/>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jc w:val="center"/>
        <w:spacing w:after="0"/>
        <w:rPr>
          <w:sz w:val="20"/>
          <w:szCs w:val="20"/>
          <w:color w:val="auto"/>
        </w:rPr>
      </w:pPr>
      <w:r>
        <w:rPr>
          <w:rFonts w:ascii="Arial" w:cs="Arial" w:eastAsia="Arial" w:hAnsi="Arial"/>
          <w:sz w:val="18"/>
          <w:szCs w:val="18"/>
          <w:b w:val="1"/>
          <w:bCs w:val="1"/>
          <w:color w:val="auto"/>
        </w:rPr>
        <w:t>CONCERNING THE SECURITYHOLDERS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w:t>
      </w:r>
    </w:p>
    <w:p>
      <w:pPr>
        <w:spacing w:after="0" w:line="77" w:lineRule="exact"/>
        <w:rPr>
          <w:sz w:val="20"/>
          <w:szCs w:val="20"/>
          <w:color w:val="auto"/>
        </w:rPr>
      </w:pPr>
    </w:p>
    <w:p>
      <w:pPr>
        <w:ind w:left="160" w:right="279"/>
        <w:spacing w:after="0" w:line="214" w:lineRule="auto"/>
        <w:rPr>
          <w:sz w:val="20"/>
          <w:szCs w:val="20"/>
          <w:color w:val="auto"/>
        </w:rPr>
      </w:pPr>
      <w:r>
        <w:rPr>
          <w:rFonts w:ascii="Arial" w:cs="Arial" w:eastAsia="Arial" w:hAnsi="Arial"/>
          <w:sz w:val="18"/>
          <w:szCs w:val="18"/>
          <w:color w:val="auto"/>
        </w:rPr>
        <w:t xml:space="preserve">Whenever in this Indenture it 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62" w:lineRule="exact"/>
        <w:rPr>
          <w:sz w:val="20"/>
          <w:szCs w:val="20"/>
          <w:color w:val="auto"/>
        </w:rPr>
      </w:pPr>
    </w:p>
    <w:p>
      <w:pPr>
        <w:ind w:left="160" w:right="159"/>
        <w:spacing w:after="0" w:line="234" w:lineRule="auto"/>
        <w:rPr>
          <w:sz w:val="20"/>
          <w:szCs w:val="20"/>
          <w:color w:val="auto"/>
        </w:rPr>
      </w:pPr>
      <w:r>
        <w:rPr>
          <w:rFonts w:ascii="Arial" w:cs="Arial" w:eastAsia="Arial" w:hAnsi="Arial"/>
          <w:sz w:val="16"/>
          <w:szCs w:val="16"/>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77" w:lineRule="exact"/>
        <w:rPr>
          <w:sz w:val="20"/>
          <w:szCs w:val="20"/>
          <w:color w:val="auto"/>
        </w:rPr>
      </w:pPr>
    </w:p>
    <w:p>
      <w:pPr>
        <w:ind w:left="160" w:right="299"/>
        <w:spacing w:after="0" w:line="224" w:lineRule="auto"/>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7.01</w:t>
      </w:r>
      <w:r>
        <w:rPr>
          <w:rFonts w:ascii="Arial" w:cs="Arial" w:eastAsia="Arial" w:hAnsi="Arial"/>
          <w:sz w:val="18"/>
          <w:szCs w:val="18"/>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55" w:lineRule="exact"/>
        <w:rPr>
          <w:sz w:val="20"/>
          <w:szCs w:val="20"/>
          <w:color w:val="auto"/>
        </w:rPr>
      </w:pPr>
    </w:p>
    <w:p>
      <w:pPr>
        <w:ind w:left="160" w:right="419" w:hanging="9"/>
        <w:spacing w:after="0" w:line="235" w:lineRule="auto"/>
        <w:tabs>
          <w:tab w:leader="none" w:pos="4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and date of the execution by any such Person of any instrument may be proved in any reasonable manner acceptable to the Trustee.</w:t>
      </w:r>
    </w:p>
    <w:p>
      <w:pPr>
        <w:spacing w:after="0" w:line="53" w:lineRule="exact"/>
        <w:rPr>
          <w:rFonts w:ascii="Arial" w:cs="Arial" w:eastAsia="Arial" w:hAnsi="Arial"/>
          <w:sz w:val="18"/>
          <w:szCs w:val="18"/>
          <w:color w:val="auto"/>
        </w:rPr>
      </w:pPr>
    </w:p>
    <w:p>
      <w:pPr>
        <w:ind w:left="160" w:right="359" w:hanging="9"/>
        <w:spacing w:after="0" w:line="224" w:lineRule="auto"/>
        <w:tabs>
          <w:tab w:leader="none" w:pos="4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5" w:name="page106"/>
    <w:bookmarkEnd w:id="105"/>
    <w:p>
      <w:pPr>
        <w:ind w:left="160" w:right="159"/>
        <w:spacing w:after="0" w:line="225" w:lineRule="auto"/>
        <w:rPr>
          <w:sz w:val="20"/>
          <w:szCs w:val="20"/>
          <w:color w:val="auto"/>
        </w:rPr>
      </w:pPr>
      <w:r>
        <w:rPr>
          <w:rFonts w:ascii="Arial" w:cs="Arial" w:eastAsia="Arial" w:hAnsi="Arial"/>
          <w:sz w:val="17"/>
          <w:szCs w:val="17"/>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Arial" w:cs="Arial" w:eastAsia="Arial" w:hAnsi="Arial"/>
          <w:sz w:val="17"/>
          <w:szCs w:val="17"/>
          <w:u w:val="single" w:color="auto"/>
          <w:color w:val="auto"/>
        </w:rPr>
        <w:t>Section 2.03</w:t>
      </w:r>
      <w:r>
        <w:rPr>
          <w:rFonts w:ascii="Arial" w:cs="Arial" w:eastAsia="Arial" w:hAnsi="Arial"/>
          <w:sz w:val="17"/>
          <w:szCs w:val="17"/>
          <w:color w:val="auto"/>
        </w:rPr>
        <w:t>) interest on such Security and for all other purposes; and neither the Company nor the Trustee nor any paying agent nor any Security Registrar shall be affected by any notice to the contrary.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34"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35" w:lineRule="auto"/>
        <w:rPr>
          <w:sz w:val="20"/>
          <w:szCs w:val="20"/>
          <w:color w:val="auto"/>
        </w:rPr>
      </w:pPr>
      <w:r>
        <w:rPr>
          <w:rFonts w:ascii="Arial" w:cs="Arial" w:eastAsia="Arial" w:hAnsi="Arial"/>
          <w:sz w:val="16"/>
          <w:szCs w:val="16"/>
          <w:color w:val="auto"/>
        </w:rPr>
        <w:t xml:space="preserve">At any time prior to (but not after) the evidencing to the Trustee,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Arial" w:cs="Arial" w:eastAsia="Arial" w:hAnsi="Arial"/>
          <w:sz w:val="16"/>
          <w:szCs w:val="16"/>
          <w:u w:val="single" w:color="auto"/>
          <w:color w:val="auto"/>
        </w:rPr>
        <w:t>Section 8.02</w:t>
      </w:r>
      <w:r>
        <w:rPr>
          <w:rFonts w:ascii="Arial" w:cs="Arial" w:eastAsia="Arial" w:hAnsi="Arial"/>
          <w:sz w:val="16"/>
          <w:szCs w:val="16"/>
          <w:color w:val="auto"/>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77" w:lineRule="exact"/>
        <w:rPr>
          <w:sz w:val="20"/>
          <w:szCs w:val="20"/>
          <w:color w:val="auto"/>
        </w:rPr>
      </w:pPr>
    </w:p>
    <w:p>
      <w:pPr>
        <w:ind w:left="160" w:right="259"/>
        <w:spacing w:after="0" w:line="219"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55" w:lineRule="exact"/>
        <w:rPr>
          <w:sz w:val="20"/>
          <w:szCs w:val="20"/>
          <w:color w:val="auto"/>
        </w:rPr>
      </w:pPr>
    </w:p>
    <w:p>
      <w:pPr>
        <w:ind w:left="400" w:hanging="249"/>
        <w:spacing w:after="0"/>
        <w:tabs>
          <w:tab w:leader="none" w:pos="4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w:t>
      </w:r>
    </w:p>
    <w:p>
      <w:pPr>
        <w:spacing w:after="0" w:line="76" w:lineRule="exact"/>
        <w:rPr>
          <w:rFonts w:ascii="Arial" w:cs="Arial" w:eastAsia="Arial" w:hAnsi="Arial"/>
          <w:sz w:val="18"/>
          <w:szCs w:val="18"/>
          <w:color w:val="auto"/>
        </w:rPr>
      </w:pPr>
    </w:p>
    <w:p>
      <w:pPr>
        <w:ind w:left="400" w:hanging="249"/>
        <w:spacing w:after="0"/>
        <w:tabs>
          <w:tab w:leader="none" w:pos="4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to comply with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00" w:hanging="249"/>
        <w:spacing w:after="0"/>
        <w:tabs>
          <w:tab w:leader="none" w:pos="4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76" w:lineRule="exact"/>
        <w:rPr>
          <w:rFonts w:ascii="Arial" w:cs="Arial" w:eastAsia="Arial" w:hAnsi="Arial"/>
          <w:sz w:val="18"/>
          <w:szCs w:val="18"/>
          <w:color w:val="auto"/>
        </w:rPr>
      </w:pPr>
    </w:p>
    <w:p>
      <w:pPr>
        <w:jc w:val="both"/>
        <w:ind w:left="160" w:right="159" w:hanging="9"/>
        <w:spacing w:after="0" w:line="238" w:lineRule="auto"/>
        <w:tabs>
          <w:tab w:leader="none" w:pos="41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06" w:name="page107"/>
    <w:bookmarkEnd w:id="106"/>
    <w:p>
      <w:pPr>
        <w:ind w:left="160" w:right="279"/>
        <w:spacing w:after="0" w:line="224" w:lineRule="auto"/>
        <w:rPr>
          <w:sz w:val="20"/>
          <w:szCs w:val="20"/>
          <w:color w:val="auto"/>
        </w:rPr>
      </w:pPr>
      <w:r>
        <w:rPr>
          <w:rFonts w:ascii="Arial" w:cs="Arial" w:eastAsia="Arial" w:hAnsi="Arial"/>
          <w:sz w:val="18"/>
          <w:szCs w:val="18"/>
          <w:color w:val="auto"/>
        </w:rPr>
        <w:t>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55" w:lineRule="exact"/>
        <w:rPr>
          <w:sz w:val="20"/>
          <w:szCs w:val="20"/>
          <w:color w:val="auto"/>
        </w:rPr>
      </w:pPr>
    </w:p>
    <w:p>
      <w:pPr>
        <w:ind w:left="160" w:right="639" w:hanging="9"/>
        <w:spacing w:after="0" w:line="235" w:lineRule="auto"/>
        <w:tabs>
          <w:tab w:leader="none" w:pos="4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53" w:lineRule="exact"/>
        <w:rPr>
          <w:rFonts w:ascii="Arial" w:cs="Arial" w:eastAsia="Arial" w:hAnsi="Arial"/>
          <w:sz w:val="18"/>
          <w:szCs w:val="18"/>
          <w:color w:val="auto"/>
        </w:rPr>
      </w:pPr>
    </w:p>
    <w:p>
      <w:pPr>
        <w:ind w:left="380" w:hanging="229"/>
        <w:spacing w:after="0"/>
        <w:tabs>
          <w:tab w:leader="none" w:pos="3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76" w:lineRule="exact"/>
        <w:rPr>
          <w:rFonts w:ascii="Arial" w:cs="Arial" w:eastAsia="Arial" w:hAnsi="Arial"/>
          <w:sz w:val="18"/>
          <w:szCs w:val="18"/>
          <w:color w:val="auto"/>
        </w:rPr>
      </w:pPr>
    </w:p>
    <w:p>
      <w:pPr>
        <w:ind w:left="160" w:right="219" w:hanging="9"/>
        <w:spacing w:after="0" w:line="238" w:lineRule="auto"/>
        <w:tabs>
          <w:tab w:leader="none" w:pos="41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to provide for the issuance of and establish the form and terms and conditions of the Securities of any series as provided in </w:t>
      </w:r>
      <w:r>
        <w:rPr>
          <w:rFonts w:ascii="Arial" w:cs="Arial" w:eastAsia="Arial" w:hAnsi="Arial"/>
          <w:sz w:val="17"/>
          <w:szCs w:val="17"/>
          <w:u w:val="single" w:color="auto"/>
          <w:color w:val="auto"/>
        </w:rPr>
        <w:t>Section 2.01</w:t>
      </w:r>
      <w:r>
        <w:rPr>
          <w:rFonts w:ascii="Arial" w:cs="Arial" w:eastAsia="Arial" w:hAnsi="Arial"/>
          <w:sz w:val="17"/>
          <w:szCs w:val="17"/>
          <w:color w:val="auto"/>
        </w:rPr>
        <w:t>, to establish the form of any certifications required to be furnished pursuant to the terms of this Indenture or any series of Securities, or to add to the rights of the holders of any series of Securities;</w:t>
      </w:r>
    </w:p>
    <w:p>
      <w:pPr>
        <w:spacing w:after="0" w:line="53" w:lineRule="exact"/>
        <w:rPr>
          <w:rFonts w:ascii="Arial" w:cs="Arial" w:eastAsia="Arial" w:hAnsi="Arial"/>
          <w:sz w:val="17"/>
          <w:szCs w:val="17"/>
          <w:color w:val="auto"/>
        </w:rPr>
      </w:pPr>
    </w:p>
    <w:p>
      <w:pPr>
        <w:ind w:left="160" w:right="299" w:hanging="9"/>
        <w:spacing w:after="0" w:line="235" w:lineRule="auto"/>
        <w:tabs>
          <w:tab w:leader="none" w:pos="41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appoint a separate trustee with respect to any series; or</w:t>
      </w:r>
    </w:p>
    <w:p>
      <w:pPr>
        <w:spacing w:after="0" w:line="53" w:lineRule="exact"/>
        <w:rPr>
          <w:rFonts w:ascii="Arial" w:cs="Arial" w:eastAsia="Arial" w:hAnsi="Arial"/>
          <w:sz w:val="18"/>
          <w:szCs w:val="18"/>
          <w:color w:val="auto"/>
        </w:rPr>
      </w:pPr>
    </w:p>
    <w:p>
      <w:pPr>
        <w:ind w:left="160" w:right="519" w:hanging="9"/>
        <w:spacing w:after="0" w:line="235" w:lineRule="auto"/>
        <w:tabs>
          <w:tab w:leader="none" w:pos="3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left="160" w:right="239"/>
        <w:spacing w:after="0" w:line="219"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63" w:lineRule="exact"/>
        <w:rPr>
          <w:sz w:val="20"/>
          <w:szCs w:val="20"/>
          <w:color w:val="auto"/>
        </w:rPr>
      </w:pPr>
    </w:p>
    <w:p>
      <w:pPr>
        <w:ind w:left="160" w:right="379"/>
        <w:spacing w:after="0" w:line="224" w:lineRule="auto"/>
        <w:rPr>
          <w:sz w:val="20"/>
          <w:szCs w:val="20"/>
          <w:color w:val="auto"/>
        </w:rPr>
      </w:pPr>
      <w:r>
        <w:rPr>
          <w:rFonts w:ascii="Arial" w:cs="Arial" w:eastAsia="Arial" w:hAnsi="Arial"/>
          <w:sz w:val="18"/>
          <w:szCs w:val="18"/>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35" w:lineRule="auto"/>
        <w:rPr>
          <w:sz w:val="20"/>
          <w:szCs w:val="20"/>
          <w:color w:val="auto"/>
        </w:rPr>
      </w:pPr>
      <w:r>
        <w:rPr>
          <w:rFonts w:ascii="Arial" w:cs="Arial" w:eastAsia="Arial" w:hAnsi="Arial"/>
          <w:sz w:val="16"/>
          <w:szCs w:val="16"/>
          <w:color w:val="auto"/>
        </w:rPr>
        <w:t xml:space="preserve">With the consent (evidenced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the rights of the holders of the Securities of such series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6" w:lineRule="exact"/>
        <w:rPr>
          <w:sz w:val="20"/>
          <w:szCs w:val="20"/>
          <w:color w:val="auto"/>
        </w:rPr>
      </w:pPr>
    </w:p>
    <w:p>
      <w:pPr>
        <w:ind w:left="160" w:right="539"/>
        <w:spacing w:after="0" w:line="249" w:lineRule="auto"/>
        <w:rPr>
          <w:sz w:val="20"/>
          <w:szCs w:val="20"/>
          <w:color w:val="auto"/>
        </w:rPr>
      </w:pPr>
      <w:r>
        <w:rPr>
          <w:rFonts w:ascii="Arial" w:cs="Arial" w:eastAsia="Arial" w:hAnsi="Arial"/>
          <w:sz w:val="16"/>
          <w:szCs w:val="16"/>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25" w:lineRule="auto"/>
        <w:rPr>
          <w:sz w:val="20"/>
          <w:szCs w:val="20"/>
          <w:color w:val="auto"/>
        </w:rPr>
      </w:pPr>
      <w:r>
        <w:rPr>
          <w:rFonts w:ascii="Arial" w:cs="Arial" w:eastAsia="Arial" w:hAnsi="Arial"/>
          <w:sz w:val="17"/>
          <w:szCs w:val="17"/>
          <w:color w:val="auto"/>
        </w:rPr>
        <w:t xml:space="preserve">Upon the execution of any supplemental indenture pursuant to the provisions of this Article or of </w:t>
      </w:r>
      <w:r>
        <w:rPr>
          <w:rFonts w:ascii="Arial" w:cs="Arial" w:eastAsia="Arial" w:hAnsi="Arial"/>
          <w:sz w:val="17"/>
          <w:szCs w:val="17"/>
          <w:u w:val="single" w:color="auto"/>
          <w:color w:val="auto"/>
        </w:rPr>
        <w:t>Section 10.01</w:t>
      </w:r>
      <w:r>
        <w:rPr>
          <w:rFonts w:ascii="Arial" w:cs="Arial" w:eastAsia="Arial" w:hAnsi="Arial"/>
          <w:sz w:val="17"/>
          <w:szCs w:val="17"/>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162"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Securities Affected by Supplemental Indentures</w:t>
      </w:r>
      <w:r>
        <w:rPr>
          <w:rFonts w:ascii="Arial" w:cs="Arial" w:eastAsia="Arial" w:hAnsi="Arial"/>
          <w:sz w:val="16"/>
          <w:szCs w:val="16"/>
          <w:color w:val="auto"/>
        </w:rPr>
        <w:t>.</w:t>
      </w:r>
    </w:p>
    <w:p>
      <w:pPr>
        <w:spacing w:after="0" w:line="20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07" w:name="page108"/>
    <w:bookmarkEnd w:id="107"/>
    <w:p>
      <w:pPr>
        <w:ind w:left="160" w:right="279"/>
        <w:spacing w:after="0" w:line="239" w:lineRule="auto"/>
        <w:rPr>
          <w:sz w:val="20"/>
          <w:szCs w:val="20"/>
          <w:color w:val="auto"/>
        </w:rPr>
      </w:pPr>
      <w:r>
        <w:rPr>
          <w:rFonts w:ascii="Arial" w:cs="Arial" w:eastAsia="Arial" w:hAnsi="Arial"/>
          <w:sz w:val="16"/>
          <w:szCs w:val="16"/>
          <w:color w:val="auto"/>
        </w:rPr>
        <w:t xml:space="preserve">Securities of any series affected by a supplemental indenture, authenticated and delivered after the execution of such supplemental indenture pursuant to the provisions of this Article or of </w:t>
      </w:r>
      <w:r>
        <w:rPr>
          <w:rFonts w:ascii="Arial" w:cs="Arial" w:eastAsia="Arial" w:hAnsi="Arial"/>
          <w:sz w:val="16"/>
          <w:szCs w:val="16"/>
          <w:u w:val="single" w:color="auto"/>
          <w:color w:val="auto"/>
        </w:rPr>
        <w:t>Section 10.01</w:t>
      </w:r>
      <w:r>
        <w:rPr>
          <w:rFonts w:ascii="Arial" w:cs="Arial" w:eastAsia="Arial" w:hAnsi="Arial"/>
          <w:sz w:val="16"/>
          <w:szCs w:val="16"/>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77" w:lineRule="exact"/>
        <w:rPr>
          <w:sz w:val="20"/>
          <w:szCs w:val="20"/>
          <w:color w:val="auto"/>
        </w:rPr>
      </w:pPr>
    </w:p>
    <w:p>
      <w:pPr>
        <w:ind w:left="160" w:right="279"/>
        <w:spacing w:after="0" w:line="236"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63" w:lineRule="exact"/>
        <w:rPr>
          <w:sz w:val="20"/>
          <w:szCs w:val="20"/>
          <w:color w:val="auto"/>
        </w:rPr>
      </w:pPr>
    </w:p>
    <w:p>
      <w:pPr>
        <w:ind w:left="160" w:right="259"/>
        <w:spacing w:after="0" w:line="214"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10</w:t>
      </w:r>
    </w:p>
    <w:p>
      <w:pPr>
        <w:jc w:val="center"/>
        <w:ind w:right="-20"/>
        <w:spacing w:after="0"/>
        <w:rPr>
          <w:sz w:val="20"/>
          <w:szCs w:val="20"/>
          <w:color w:val="auto"/>
        </w:rPr>
      </w:pPr>
      <w:r>
        <w:rPr>
          <w:rFonts w:ascii="Arial" w:cs="Arial" w:eastAsia="Arial" w:hAnsi="Arial"/>
          <w:sz w:val="18"/>
          <w:szCs w:val="18"/>
          <w:b w:val="1"/>
          <w:bCs w:val="1"/>
          <w:color w:val="auto"/>
        </w:rPr>
        <w:t>SUCCESSOR ENTITY</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32" w:lineRule="auto"/>
        <w:rPr>
          <w:sz w:val="20"/>
          <w:szCs w:val="20"/>
          <w:color w:val="auto"/>
        </w:rPr>
      </w:pPr>
      <w:r>
        <w:rPr>
          <w:rFonts w:ascii="Arial" w:cs="Arial" w:eastAsia="Arial" w:hAnsi="Arial"/>
          <w:sz w:val="16"/>
          <w:szCs w:val="16"/>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08" w:name="page109"/>
    <w:bookmarkEnd w:id="108"/>
    <w:p>
      <w:pPr>
        <w:ind w:left="160" w:right="199"/>
        <w:spacing w:after="0" w:line="235" w:lineRule="auto"/>
        <w:rPr>
          <w:sz w:val="20"/>
          <w:szCs w:val="20"/>
          <w:color w:val="auto"/>
        </w:rPr>
      </w:pPr>
      <w:r>
        <w:rPr>
          <w:rFonts w:ascii="Arial" w:cs="Arial" w:eastAsia="Arial" w:hAnsi="Arial"/>
          <w:sz w:val="18"/>
          <w:szCs w:val="18"/>
          <w:color w:val="auto"/>
        </w:rPr>
        <w:t>and Opinion of Counsel stating that the transaction and the supplemental indenture complies with this Section 10.01 and that all conditions precedent herein relating to the transaction have been satisfied.</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77" w:lineRule="exact"/>
        <w:rPr>
          <w:sz w:val="20"/>
          <w:szCs w:val="20"/>
          <w:color w:val="auto"/>
        </w:rPr>
      </w:pPr>
    </w:p>
    <w:p>
      <w:pPr>
        <w:ind w:left="160" w:right="179" w:hanging="9"/>
        <w:spacing w:after="0" w:line="244" w:lineRule="auto"/>
        <w:tabs>
          <w:tab w:leader="none" w:pos="40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50" w:lineRule="exact"/>
        <w:rPr>
          <w:rFonts w:ascii="Arial" w:cs="Arial" w:eastAsia="Arial" w:hAnsi="Arial"/>
          <w:sz w:val="16"/>
          <w:szCs w:val="16"/>
          <w:color w:val="auto"/>
        </w:rPr>
      </w:pPr>
    </w:p>
    <w:p>
      <w:pPr>
        <w:ind w:left="160" w:right="179" w:hanging="9"/>
        <w:spacing w:after="0" w:line="289" w:lineRule="auto"/>
        <w:tabs>
          <w:tab w:leader="none" w:pos="41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 w:lineRule="exact"/>
        <w:rPr>
          <w:rFonts w:ascii="Arial" w:cs="Arial" w:eastAsia="Arial" w:hAnsi="Arial"/>
          <w:sz w:val="16"/>
          <w:szCs w:val="16"/>
          <w:color w:val="auto"/>
        </w:rPr>
      </w:pPr>
    </w:p>
    <w:p>
      <w:pPr>
        <w:jc w:val="both"/>
        <w:ind w:left="160" w:right="159" w:hanging="9"/>
        <w:spacing w:after="0" w:line="219" w:lineRule="auto"/>
        <w:tabs>
          <w:tab w:leader="none" w:pos="4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18" w:lineRule="auto"/>
        <w:rPr>
          <w:sz w:val="20"/>
          <w:szCs w:val="20"/>
          <w:color w:val="auto"/>
        </w:rPr>
      </w:pPr>
      <w:r>
        <w:rPr>
          <w:rFonts w:ascii="Arial" w:cs="Arial" w:eastAsia="Arial" w:hAnsi="Arial"/>
          <w:sz w:val="17"/>
          <w:szCs w:val="17"/>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2.07</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4.03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7.10</w:t>
      </w:r>
      <w:r>
        <w:rPr>
          <w:rFonts w:ascii="Arial" w:cs="Arial" w:eastAsia="Arial" w:hAnsi="Arial"/>
          <w:sz w:val="17"/>
          <w:szCs w:val="17"/>
          <w:color w:val="auto"/>
        </w:rPr>
        <w:t xml:space="preserve">, that shall survive until the date of maturity or redemption date, as the case may be, and </w:t>
      </w:r>
      <w:r>
        <w:rPr>
          <w:rFonts w:ascii="Arial" w:cs="Arial" w:eastAsia="Arial" w:hAnsi="Arial"/>
          <w:sz w:val="17"/>
          <w:szCs w:val="17"/>
          <w:u w:val="single" w:color="auto"/>
          <w:color w:val="auto"/>
        </w:rPr>
        <w:t>Sections 7.06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11.05</w:t>
      </w:r>
      <w:r>
        <w:rPr>
          <w:rFonts w:ascii="Arial" w:cs="Arial" w:eastAsia="Arial" w:hAnsi="Arial"/>
          <w:sz w:val="17"/>
          <w:szCs w:val="17"/>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Discharge of Obligations</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37" w:lineRule="auto"/>
        <w:rPr>
          <w:sz w:val="20"/>
          <w:szCs w:val="20"/>
          <w:color w:val="auto"/>
        </w:rPr>
      </w:pPr>
      <w:r>
        <w:rPr>
          <w:rFonts w:ascii="Arial" w:cs="Arial" w:eastAsia="Arial" w:hAnsi="Arial"/>
          <w:sz w:val="16"/>
          <w:szCs w:val="16"/>
          <w:color w:val="auto"/>
        </w:rPr>
        <w:t xml:space="preserve">If at any time all such Securities of a particular series not heretofore delivered to the Trustee for cancellation or that have not become due and payable as described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09" w:name="page110"/>
    <w:bookmarkEnd w:id="109"/>
    <w:p>
      <w:pPr>
        <w:ind w:left="200" w:right="139" w:hanging="44"/>
        <w:spacing w:after="0" w:line="258" w:lineRule="auto"/>
        <w:rPr>
          <w:sz w:val="20"/>
          <w:szCs w:val="20"/>
          <w:color w:val="auto"/>
        </w:rPr>
      </w:pPr>
      <w:r>
        <w:rPr>
          <w:rFonts w:ascii="Arial" w:cs="Arial" w:eastAsia="Arial" w:hAnsi="Arial"/>
          <w:sz w:val="17"/>
          <w:szCs w:val="17"/>
          <w:color w:val="auto"/>
        </w:rPr>
        <w:t xml:space="preserve">with respect to such series shall cease to be of further effect except for the provisions of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2.07</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4.03</w:t>
      </w:r>
      <w:r>
        <w:rPr>
          <w:rFonts w:ascii="Arial" w:cs="Arial" w:eastAsia="Arial" w:hAnsi="Arial"/>
          <w:sz w:val="17"/>
          <w:szCs w:val="17"/>
          <w:color w:val="auto"/>
        </w:rPr>
        <w:t xml:space="preserve">, </w:t>
      </w:r>
      <w:r>
        <w:rPr>
          <w:rFonts w:ascii="Arial" w:cs="Arial" w:eastAsia="Arial" w:hAnsi="Arial"/>
          <w:sz w:val="17"/>
          <w:szCs w:val="17"/>
          <w:u w:val="single" w:color="auto"/>
          <w:color w:val="auto"/>
        </w:rPr>
        <w:t>7.06</w:t>
      </w:r>
      <w:r>
        <w:rPr>
          <w:rFonts w:ascii="Arial" w:cs="Arial" w:eastAsia="Arial" w:hAnsi="Arial"/>
          <w:sz w:val="17"/>
          <w:szCs w:val="17"/>
          <w:color w:val="auto"/>
        </w:rPr>
        <w:t xml:space="preserve">, </w:t>
      </w:r>
      <w:r>
        <w:rPr>
          <w:rFonts w:ascii="Arial" w:cs="Arial" w:eastAsia="Arial" w:hAnsi="Arial"/>
          <w:sz w:val="17"/>
          <w:szCs w:val="17"/>
          <w:u w:val="single" w:color="auto"/>
          <w:color w:val="auto"/>
        </w:rPr>
        <w:t>7.10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11.05</w:t>
      </w:r>
      <w:r>
        <w:rPr>
          <w:rFonts w:ascii="Arial" w:cs="Arial" w:eastAsia="Arial" w:hAnsi="Arial"/>
          <w:sz w:val="17"/>
          <w:szCs w:val="17"/>
          <w:color w:val="auto"/>
        </w:rPr>
        <w:t xml:space="preserve"> hereof that shall survive until such Securities shall mature and be paid.</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Thereafter, </w:t>
      </w:r>
      <w:r>
        <w:rPr>
          <w:rFonts w:ascii="Arial" w:cs="Arial" w:eastAsia="Arial" w:hAnsi="Arial"/>
          <w:sz w:val="18"/>
          <w:szCs w:val="18"/>
          <w:u w:val="single" w:color="auto"/>
          <w:color w:val="auto"/>
        </w:rPr>
        <w:t>Sections 7.06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11.05</w:t>
      </w:r>
      <w:r>
        <w:rPr>
          <w:rFonts w:ascii="Arial" w:cs="Arial" w:eastAsia="Arial" w:hAnsi="Arial"/>
          <w:sz w:val="18"/>
          <w:szCs w:val="18"/>
          <w:color w:val="auto"/>
        </w:rPr>
        <w:t xml:space="preserve"> shall survive.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77" w:lineRule="exact"/>
        <w:rPr>
          <w:sz w:val="20"/>
          <w:szCs w:val="20"/>
          <w:color w:val="auto"/>
        </w:rPr>
      </w:pPr>
    </w:p>
    <w:p>
      <w:pPr>
        <w:ind w:left="160" w:right="219"/>
        <w:spacing w:after="0" w:line="232" w:lineRule="auto"/>
        <w:rPr>
          <w:sz w:val="20"/>
          <w:szCs w:val="20"/>
          <w:color w:val="auto"/>
        </w:rPr>
      </w:pPr>
      <w:r>
        <w:rPr>
          <w:rFonts w:ascii="Arial" w:cs="Arial" w:eastAsia="Arial" w:hAnsi="Arial"/>
          <w:sz w:val="17"/>
          <w:szCs w:val="17"/>
          <w:color w:val="auto"/>
        </w:rPr>
        <w:t xml:space="preserve">All moneys or Governmental Obligations deposited with the Trustee pursuant to </w:t>
      </w:r>
      <w:r>
        <w:rPr>
          <w:rFonts w:ascii="Arial" w:cs="Arial" w:eastAsia="Arial" w:hAnsi="Arial"/>
          <w:sz w:val="17"/>
          <w:szCs w:val="17"/>
          <w:u w:val="single" w:color="auto"/>
          <w:color w:val="auto"/>
        </w:rPr>
        <w:t>Sections 11.01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11.02</w:t>
      </w:r>
      <w:r>
        <w:rPr>
          <w:rFonts w:ascii="Arial" w:cs="Arial" w:eastAsia="Arial" w:hAnsi="Arial"/>
          <w:sz w:val="17"/>
          <w:szCs w:val="17"/>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19"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77" w:lineRule="exact"/>
        <w:rPr>
          <w:sz w:val="20"/>
          <w:szCs w:val="20"/>
          <w:color w:val="auto"/>
        </w:rPr>
      </w:pPr>
    </w:p>
    <w:p>
      <w:pPr>
        <w:ind w:left="160" w:right="159"/>
        <w:spacing w:after="0" w:line="236"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12</w:t>
      </w:r>
    </w:p>
    <w:p>
      <w:pPr>
        <w:jc w:val="center"/>
        <w:ind w:right="-20"/>
        <w:spacing w:after="0" w:line="203" w:lineRule="auto"/>
        <w:rPr>
          <w:sz w:val="20"/>
          <w:szCs w:val="20"/>
          <w:color w:val="auto"/>
        </w:rPr>
      </w:pPr>
      <w:r>
        <w:rPr>
          <w:rFonts w:ascii="Arial" w:cs="Arial" w:eastAsia="Arial" w:hAnsi="Arial"/>
          <w:sz w:val="18"/>
          <w:szCs w:val="18"/>
          <w:b w:val="1"/>
          <w:bCs w:val="1"/>
          <w:color w:val="auto"/>
        </w:rPr>
        <w:t>IMMUNITY OF INCORPORATORS, STOCKHOLDERS, OFFICERS</w:t>
      </w:r>
    </w:p>
    <w:p>
      <w:pPr>
        <w:jc w:val="center"/>
        <w:ind w:right="-20"/>
        <w:spacing w:after="0"/>
        <w:rPr>
          <w:sz w:val="20"/>
          <w:szCs w:val="20"/>
          <w:color w:val="auto"/>
        </w:rPr>
      </w:pPr>
      <w:r>
        <w:rPr>
          <w:rFonts w:ascii="Arial" w:cs="Arial" w:eastAsia="Arial" w:hAnsi="Arial"/>
          <w:sz w:val="18"/>
          <w:szCs w:val="18"/>
          <w:b w:val="1"/>
          <w:bCs w:val="1"/>
          <w:color w:val="auto"/>
        </w:rPr>
        <w:t>AND DIRECTORS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33" w:lineRule="auto"/>
        <w:rPr>
          <w:sz w:val="20"/>
          <w:szCs w:val="20"/>
          <w:color w:val="auto"/>
        </w:rPr>
      </w:pPr>
      <w:r>
        <w:rPr>
          <w:rFonts w:ascii="Arial" w:cs="Arial" w:eastAsia="Arial" w:hAnsi="Arial"/>
          <w:sz w:val="16"/>
          <w:szCs w:val="16"/>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8"/>
          <w:szCs w:val="18"/>
          <w:b w:val="1"/>
          <w:bCs w:val="1"/>
          <w:color w:val="auto"/>
        </w:rPr>
        <w:t>ARTICLE 13</w:t>
      </w:r>
    </w:p>
    <w:p>
      <w:pPr>
        <w:jc w:val="center"/>
        <w:ind w:right="-20"/>
        <w:spacing w:after="0"/>
        <w:rPr>
          <w:sz w:val="20"/>
          <w:szCs w:val="20"/>
          <w:color w:val="auto"/>
        </w:rPr>
      </w:pPr>
      <w:r>
        <w:rPr>
          <w:rFonts w:ascii="Arial" w:cs="Arial" w:eastAsia="Arial" w:hAnsi="Arial"/>
          <w:sz w:val="18"/>
          <w:szCs w:val="18"/>
          <w:b w:val="1"/>
          <w:bCs w:val="1"/>
          <w:color w:val="auto"/>
        </w:rPr>
        <w:t>MISCELLANEOUS PROVISIONS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77" w:lineRule="exact"/>
        <w:rPr>
          <w:sz w:val="20"/>
          <w:szCs w:val="20"/>
          <w:color w:val="auto"/>
        </w:rPr>
      </w:pPr>
    </w:p>
    <w:p>
      <w:pPr>
        <w:ind w:left="160" w:right="399"/>
        <w:spacing w:after="0" w:line="235"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77" w:lineRule="exact"/>
        <w:rPr>
          <w:sz w:val="20"/>
          <w:szCs w:val="20"/>
          <w:color w:val="auto"/>
        </w:rPr>
      </w:pPr>
    </w:p>
    <w:p>
      <w:pPr>
        <w:ind w:left="160" w:right="319"/>
        <w:spacing w:after="0" w:line="219"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77" w:lineRule="exact"/>
        <w:rPr>
          <w:sz w:val="20"/>
          <w:szCs w:val="20"/>
          <w:color w:val="auto"/>
        </w:rPr>
      </w:pPr>
    </w:p>
    <w:p>
      <w:pPr>
        <w:jc w:val="both"/>
        <w:ind w:left="160" w:right="239"/>
        <w:spacing w:after="0" w:line="224" w:lineRule="auto"/>
        <w:rPr>
          <w:sz w:val="20"/>
          <w:szCs w:val="20"/>
          <w:color w:val="auto"/>
        </w:rPr>
      </w:pPr>
      <w:r>
        <w:rPr>
          <w:rFonts w:ascii="Arial" w:cs="Arial" w:eastAsia="Arial" w:hAnsi="Arial"/>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35"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Blueprint Medicines Corporation, 45 Sidney Street Cambridge, Massachusetts 02139 USA, Attention: Chief Executive Officer.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Governing Law; Jury Trial Waiver</w:t>
      </w:r>
      <w:r>
        <w:rPr>
          <w:rFonts w:ascii="Arial" w:cs="Arial" w:eastAsia="Arial" w:hAnsi="Arial"/>
          <w:sz w:val="18"/>
          <w:szCs w:val="18"/>
          <w:color w:val="auto"/>
        </w:rPr>
        <w:t>.</w:t>
      </w:r>
    </w:p>
    <w:p>
      <w:pPr>
        <w:spacing w:after="0" w:line="77" w:lineRule="exact"/>
        <w:rPr>
          <w:sz w:val="20"/>
          <w:szCs w:val="20"/>
          <w:color w:val="auto"/>
        </w:rPr>
      </w:pPr>
    </w:p>
    <w:p>
      <w:pPr>
        <w:ind w:left="160" w:right="239"/>
        <w:spacing w:after="0" w:line="225" w:lineRule="auto"/>
        <w:rPr>
          <w:sz w:val="20"/>
          <w:szCs w:val="20"/>
          <w:color w:val="auto"/>
        </w:rPr>
      </w:pPr>
      <w:r>
        <w:rPr>
          <w:rFonts w:ascii="Arial" w:cs="Arial" w:eastAsia="Arial" w:hAnsi="Arial"/>
          <w:sz w:val="17"/>
          <w:szCs w:val="17"/>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w:t>
      </w:r>
    </w:p>
    <w:p>
      <w:pPr>
        <w:spacing w:after="0" w:line="77" w:lineRule="exact"/>
        <w:rPr>
          <w:sz w:val="20"/>
          <w:szCs w:val="20"/>
          <w:color w:val="auto"/>
        </w:rPr>
      </w:pPr>
    </w:p>
    <w:p>
      <w:pPr>
        <w:ind w:left="160" w:right="379"/>
        <w:spacing w:after="0" w:line="235"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77" w:lineRule="exact"/>
        <w:rPr>
          <w:sz w:val="20"/>
          <w:szCs w:val="20"/>
          <w:color w:val="auto"/>
        </w:rPr>
      </w:pPr>
    </w:p>
    <w:p>
      <w:pPr>
        <w:ind w:left="160" w:right="159" w:hanging="9"/>
        <w:spacing w:after="0" w:line="229" w:lineRule="auto"/>
        <w:tabs>
          <w:tab w:leader="none" w:pos="40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Arial" w:cs="Arial" w:eastAsia="Arial" w:hAnsi="Arial"/>
          <w:sz w:val="17"/>
          <w:szCs w:val="17"/>
          <w:u w:val="single" w:color="auto"/>
          <w:color w:val="auto"/>
        </w:rPr>
        <w:t>Section 13.12</w:t>
      </w:r>
      <w:r>
        <w:rPr>
          <w:rFonts w:ascii="Arial" w:cs="Arial" w:eastAsia="Arial" w:hAnsi="Arial"/>
          <w:sz w:val="17"/>
          <w:szCs w:val="17"/>
          <w:color w:val="auto"/>
        </w:rPr>
        <w:t>) relating to the proposed action have been complied with and an Opinion of Counsel stating that in the opinion of such counsel all such covenants and conditions precedent have been complied with.</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744" w:right="1440" w:bottom="1440" w:gutter="0" w:footer="0" w:header="0"/>
        </w:sectPr>
      </w:pPr>
    </w:p>
    <w:bookmarkStart w:id="111" w:name="page112"/>
    <w:bookmarkEnd w:id="111"/>
    <w:p>
      <w:pPr>
        <w:ind w:left="160" w:right="139" w:hanging="9"/>
        <w:spacing w:after="0" w:line="239" w:lineRule="auto"/>
        <w:tabs>
          <w:tab w:leader="none" w:pos="41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77" w:lineRule="exact"/>
        <w:rPr>
          <w:sz w:val="20"/>
          <w:szCs w:val="20"/>
          <w:color w:val="auto"/>
        </w:rPr>
      </w:pPr>
    </w:p>
    <w:p>
      <w:pPr>
        <w:ind w:left="160" w:right="139"/>
        <w:spacing w:after="0" w:line="223" w:lineRule="auto"/>
        <w:rPr>
          <w:sz w:val="20"/>
          <w:szCs w:val="20"/>
          <w:color w:val="auto"/>
        </w:rPr>
      </w:pPr>
      <w:r>
        <w:rPr>
          <w:rFonts w:ascii="Arial" w:cs="Arial" w:eastAsia="Arial" w:hAnsi="Arial"/>
          <w:sz w:val="17"/>
          <w:szCs w:val="17"/>
          <w:color w:val="auto"/>
        </w:rPr>
        <w:t xml:space="preserve">Except as provided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77" w:lineRule="exact"/>
        <w:rPr>
          <w:sz w:val="20"/>
          <w:szCs w:val="20"/>
          <w:color w:val="auto"/>
        </w:rPr>
      </w:pPr>
    </w:p>
    <w:p>
      <w:pPr>
        <w:ind w:left="160" w:right="259"/>
        <w:spacing w:after="0" w:line="235"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77" w:lineRule="exact"/>
        <w:rPr>
          <w:sz w:val="20"/>
          <w:szCs w:val="20"/>
          <w:color w:val="auto"/>
        </w:rPr>
      </w:pPr>
    </w:p>
    <w:p>
      <w:pPr>
        <w:ind w:left="160" w:right="199"/>
        <w:spacing w:after="0" w:line="22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77" w:lineRule="exact"/>
        <w:rPr>
          <w:sz w:val="20"/>
          <w:szCs w:val="20"/>
          <w:color w:val="auto"/>
        </w:rPr>
      </w:pPr>
    </w:p>
    <w:p>
      <w:pPr>
        <w:ind w:left="160" w:right="359"/>
        <w:spacing w:after="0" w:line="249"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77" w:lineRule="exact"/>
        <w:rPr>
          <w:sz w:val="20"/>
          <w:szCs w:val="20"/>
          <w:color w:val="auto"/>
        </w:rPr>
      </w:pPr>
    </w:p>
    <w:p>
      <w:pPr>
        <w:ind w:left="160" w:right="179"/>
        <w:spacing w:after="0" w:line="210" w:lineRule="auto"/>
        <w:rPr>
          <w:sz w:val="20"/>
          <w:szCs w:val="20"/>
          <w:color w:val="auto"/>
        </w:rPr>
      </w:pPr>
      <w:r>
        <w:rPr>
          <w:rFonts w:ascii="Arial" w:cs="Arial" w:eastAsia="Arial" w:hAnsi="Arial"/>
          <w:sz w:val="18"/>
          <w:szCs w:val="18"/>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Arial" w:cs="Arial" w:eastAsia="Arial" w:hAnsi="Arial"/>
          <w:sz w:val="18"/>
          <w:szCs w:val="18"/>
          <w:u w:val="single" w:color="auto"/>
          <w:color w:val="auto"/>
        </w:rPr>
        <w:t>Section 13.12</w:t>
      </w:r>
      <w:r>
        <w:rPr>
          <w:rFonts w:ascii="Arial" w:cs="Arial" w:eastAsia="Arial" w:hAnsi="Arial"/>
          <w:sz w:val="18"/>
          <w:szCs w:val="18"/>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77" w:lineRule="exact"/>
        <w:rPr>
          <w:sz w:val="20"/>
          <w:szCs w:val="20"/>
          <w:color w:val="auto"/>
        </w:rPr>
      </w:pPr>
    </w:p>
    <w:p>
      <w:pPr>
        <w:jc w:val="both"/>
        <w:ind w:left="160" w:right="539"/>
        <w:spacing w:after="0" w:line="259" w:lineRule="auto"/>
        <w:rPr>
          <w:sz w:val="20"/>
          <w:szCs w:val="20"/>
          <w:color w:val="auto"/>
        </w:rPr>
      </w:pPr>
      <w:r>
        <w:rPr>
          <w:rFonts w:ascii="Arial" w:cs="Arial" w:eastAsia="Arial" w:hAnsi="Arial"/>
          <w:sz w:val="16"/>
          <w:szCs w:val="16"/>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12" w:name="page113"/>
    <w:bookmarkEnd w:id="112"/>
    <w:p>
      <w:pPr>
        <w:ind w:left="160" w:right="279"/>
        <w:spacing w:after="0" w:line="235" w:lineRule="auto"/>
        <w:rPr>
          <w:sz w:val="20"/>
          <w:szCs w:val="20"/>
          <w:color w:val="auto"/>
        </w:rPr>
      </w:pPr>
      <w:r>
        <w:rPr>
          <w:rFonts w:ascii="Arial" w:cs="Arial" w:eastAsia="Arial" w:hAnsi="Arial"/>
          <w:sz w:val="18"/>
          <w:szCs w:val="18"/>
          <w:color w:val="auto"/>
        </w:rPr>
        <w:t>account with the Trustee. The parties to this Indenture agree that they will provide the Trustee with such information as it may request in order for the Trustee to satisfy the requirements of the USA PATRIOT Act.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Calculations</w:t>
      </w:r>
      <w:r>
        <w:rPr>
          <w:rFonts w:ascii="Arial" w:cs="Arial" w:eastAsia="Arial" w:hAnsi="Arial"/>
          <w:sz w:val="18"/>
          <w:szCs w:val="18"/>
          <w:color w:val="auto"/>
        </w:rPr>
        <w:t>.</w:t>
      </w:r>
    </w:p>
    <w:p>
      <w:pPr>
        <w:spacing w:after="0" w:line="77" w:lineRule="exact"/>
        <w:rPr>
          <w:sz w:val="20"/>
          <w:szCs w:val="20"/>
          <w:color w:val="auto"/>
        </w:rPr>
      </w:pPr>
    </w:p>
    <w:p>
      <w:pPr>
        <w:ind w:left="160" w:right="459"/>
        <w:spacing w:after="0" w:line="224" w:lineRule="auto"/>
        <w:rPr>
          <w:sz w:val="20"/>
          <w:szCs w:val="20"/>
          <w:color w:val="auto"/>
        </w:rPr>
      </w:pPr>
      <w:r>
        <w:rPr>
          <w:rFonts w:ascii="Arial" w:cs="Arial" w:eastAsia="Arial" w:hAnsi="Arial"/>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14</w:t>
      </w:r>
    </w:p>
    <w:p>
      <w:pPr>
        <w:jc w:val="center"/>
        <w:ind w:right="-20"/>
        <w:spacing w:after="0"/>
        <w:rPr>
          <w:sz w:val="20"/>
          <w:szCs w:val="20"/>
          <w:color w:val="auto"/>
        </w:rPr>
      </w:pPr>
      <w:r>
        <w:rPr>
          <w:rFonts w:ascii="Arial" w:cs="Arial" w:eastAsia="Arial" w:hAnsi="Arial"/>
          <w:sz w:val="18"/>
          <w:szCs w:val="18"/>
          <w:b w:val="1"/>
          <w:bCs w:val="1"/>
          <w:color w:val="auto"/>
        </w:rPr>
        <w:t>SUBORDINATION OF SECURITIES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Subordination Terms</w:t>
      </w:r>
      <w:r>
        <w:rPr>
          <w:rFonts w:ascii="Arial" w:cs="Arial" w:eastAsia="Arial" w:hAnsi="Arial"/>
          <w:sz w:val="18"/>
          <w:szCs w:val="18"/>
          <w:color w:val="auto"/>
        </w:rPr>
        <w:t>.</w:t>
      </w:r>
    </w:p>
    <w:p>
      <w:pPr>
        <w:spacing w:after="0" w:line="77" w:lineRule="exact"/>
        <w:rPr>
          <w:sz w:val="20"/>
          <w:szCs w:val="20"/>
          <w:color w:val="auto"/>
        </w:rPr>
      </w:pPr>
    </w:p>
    <w:p>
      <w:pPr>
        <w:jc w:val="both"/>
        <w:ind w:left="160" w:right="719"/>
        <w:spacing w:after="0" w:line="289" w:lineRule="auto"/>
        <w:rPr>
          <w:sz w:val="20"/>
          <w:szCs w:val="20"/>
          <w:color w:val="auto"/>
        </w:rPr>
      </w:pPr>
      <w:r>
        <w:rPr>
          <w:rFonts w:ascii="Arial" w:cs="Arial" w:eastAsia="Arial" w:hAnsi="Arial"/>
          <w:sz w:val="16"/>
          <w:szCs w:val="16"/>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649605</wp:posOffset>
            </wp:positionV>
            <wp:extent cx="554863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13" w:name="page114"/>
    <w:bookmarkEnd w:id="113"/>
    <w:p>
      <w:pPr>
        <w:ind w:left="160" w:right="239"/>
        <w:spacing w:after="0" w:line="23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Indenture to be duly executed all as of the day and year</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ectPr>
          <w:pgSz w:w="11900" w:h="16838" w:orient="portrait"/>
          <w:cols w:equalWidth="0" w:num="1">
            <w:col w:w="9019"/>
          </w:cols>
          <w:pgMar w:left="1440" w:top="4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Signature Page to Form of Indenture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219"/>
        <w:spacing w:after="0" w:line="237" w:lineRule="auto"/>
        <w:rPr>
          <w:sz w:val="20"/>
          <w:szCs w:val="20"/>
          <w:color w:val="auto"/>
        </w:rPr>
      </w:pPr>
      <w:r>
        <w:rPr>
          <w:rFonts w:ascii="Arial" w:cs="Arial" w:eastAsia="Arial" w:hAnsi="Arial"/>
          <w:sz w:val="18"/>
          <w:szCs w:val="18"/>
          <w:b w:val="1"/>
          <w:bCs w:val="1"/>
          <w:color w:val="auto"/>
        </w:rPr>
        <w:t xml:space="preserve">BLUEPRINT MEDICINES CORPORATION, </w:t>
      </w:r>
      <w:r>
        <w:rPr>
          <w:rFonts w:ascii="Arial" w:cs="Arial" w:eastAsia="Arial" w:hAnsi="Arial"/>
          <w:sz w:val="18"/>
          <w:szCs w:val="18"/>
          <w:color w:val="auto"/>
        </w:rPr>
        <w:t>as</w:t>
      </w:r>
      <w:r>
        <w:rPr>
          <w:rFonts w:ascii="Arial" w:cs="Arial" w:eastAsia="Arial" w:hAnsi="Arial"/>
          <w:sz w:val="18"/>
          <w:szCs w:val="18"/>
          <w:b w:val="1"/>
          <w:bCs w:val="1"/>
          <w:color w:val="auto"/>
        </w:rPr>
        <w:t xml:space="preserve"> </w:t>
      </w:r>
      <w:r>
        <w:rPr>
          <w:rFonts w:ascii="Arial" w:cs="Arial" w:eastAsia="Arial" w:hAnsi="Arial"/>
          <w:sz w:val="18"/>
          <w:szCs w:val="18"/>
          <w:color w:val="auto"/>
        </w:rPr>
        <w:t>Issuer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[TRUSTEE], </w:t>
      </w:r>
      <w:r>
        <w:rPr>
          <w:rFonts w:ascii="Arial" w:cs="Arial" w:eastAsia="Arial" w:hAnsi="Arial"/>
          <w:sz w:val="18"/>
          <w:szCs w:val="18"/>
          <w:color w:val="auto"/>
        </w:rPr>
        <w:t>as Trustee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57785</wp:posOffset>
            </wp:positionV>
            <wp:extent cx="554863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2">
            <w:col w:w="4300" w:space="720"/>
            <w:col w:w="3999"/>
          </w:cols>
          <w:pgMar w:left="1440" w:top="472" w:right="1440" w:bottom="1440" w:gutter="0" w:footer="0" w:header="0"/>
          <w:type w:val="continuous"/>
        </w:sectPr>
      </w:pPr>
    </w:p>
    <w:bookmarkStart w:id="114" w:name="page115"/>
    <w:bookmarkEnd w:id="114"/>
    <w:p>
      <w:pPr>
        <w:ind w:left="160"/>
        <w:spacing w:after="0"/>
        <w:rPr>
          <w:sz w:val="20"/>
          <w:szCs w:val="20"/>
          <w:color w:val="auto"/>
        </w:rPr>
      </w:pPr>
      <w:r>
        <w:rPr>
          <w:rFonts w:ascii="Arial" w:cs="Arial" w:eastAsia="Arial" w:hAnsi="Arial"/>
          <w:sz w:val="18"/>
          <w:szCs w:val="18"/>
          <w:b w:val="1"/>
          <w:bCs w:val="1"/>
          <w:color w:val="auto"/>
        </w:rPr>
        <w:t>TRUST INDENTURE ACT CROSS-REFERENCE TABLE</w:t>
      </w:r>
      <w:r>
        <w:rPr>
          <w:rFonts w:ascii="Arial" w:cs="Arial" w:eastAsia="Arial" w:hAnsi="Arial"/>
          <w:sz w:val="15"/>
          <w:szCs w:val="15"/>
          <w:b w:val="1"/>
          <w:bCs w:val="1"/>
          <w:color w:val="auto"/>
        </w:rPr>
        <w:t>2</w:t>
      </w:r>
    </w:p>
    <w:p>
      <w:pPr>
        <w:spacing w:after="0" w:line="200" w:lineRule="exact"/>
        <w:rPr>
          <w:sz w:val="20"/>
          <w:szCs w:val="20"/>
          <w:color w:val="auto"/>
        </w:rPr>
      </w:pP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6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 of Trust Indenture Act of 1939, as amended</w:t>
            </w:r>
          </w:p>
        </w:tc>
        <w:tc>
          <w:tcPr>
            <w:tcW w:w="480" w:type="dxa"/>
            <w:vAlign w:val="bottom"/>
          </w:tcPr>
          <w:p>
            <w:pPr>
              <w:spacing w:after="0"/>
              <w:rPr>
                <w:sz w:val="16"/>
                <w:szCs w:val="16"/>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Section of Indenture</w:t>
            </w:r>
          </w:p>
        </w:tc>
        <w:tc>
          <w:tcPr>
            <w:tcW w:w="0" w:type="dxa"/>
            <w:vAlign w:val="bottom"/>
          </w:tcPr>
          <w:p>
            <w:pPr>
              <w:spacing w:after="0"/>
              <w:rPr>
                <w:sz w:val="1"/>
                <w:szCs w:val="1"/>
                <w:color w:val="auto"/>
              </w:rPr>
            </w:pPr>
          </w:p>
        </w:tc>
      </w:tr>
      <w:tr>
        <w:trPr>
          <w:trHeight w:val="136"/>
        </w:trPr>
        <w:tc>
          <w:tcPr>
            <w:tcW w:w="6920" w:type="dxa"/>
            <w:vAlign w:val="bottom"/>
          </w:tcPr>
          <w:p>
            <w:pPr>
              <w:spacing w:after="0" w:line="136" w:lineRule="exact"/>
              <w:rPr>
                <w:sz w:val="20"/>
                <w:szCs w:val="20"/>
                <w:color w:val="auto"/>
              </w:rPr>
            </w:pPr>
            <w:r>
              <w:rPr>
                <w:rFonts w:ascii="Arial" w:cs="Arial" w:eastAsia="Arial" w:hAnsi="Arial"/>
                <w:sz w:val="15"/>
                <w:szCs w:val="15"/>
                <w:color w:val="auto"/>
              </w:rPr>
              <w:t>310(a)</w:t>
            </w:r>
          </w:p>
        </w:tc>
        <w:tc>
          <w:tcPr>
            <w:tcW w:w="480" w:type="dxa"/>
            <w:vAlign w:val="bottom"/>
          </w:tcPr>
          <w:p>
            <w:pPr>
              <w:spacing w:after="0"/>
              <w:rPr>
                <w:sz w:val="11"/>
                <w:szCs w:val="11"/>
                <w:color w:val="auto"/>
              </w:rPr>
            </w:pPr>
          </w:p>
        </w:tc>
        <w:tc>
          <w:tcPr>
            <w:tcW w:w="1320" w:type="dxa"/>
            <w:vAlign w:val="bottom"/>
          </w:tcPr>
          <w:p>
            <w:pPr>
              <w:spacing w:after="0" w:line="136" w:lineRule="exact"/>
              <w:rPr>
                <w:sz w:val="20"/>
                <w:szCs w:val="20"/>
                <w:color w:val="auto"/>
              </w:rPr>
            </w:pPr>
            <w:r>
              <w:rPr>
                <w:rFonts w:ascii="Arial" w:cs="Arial" w:eastAsia="Arial" w:hAnsi="Arial"/>
                <w:sz w:val="15"/>
                <w:szCs w:val="15"/>
                <w:color w:val="auto"/>
              </w:rPr>
              <w:t>7.09</w:t>
            </w:r>
          </w:p>
        </w:tc>
        <w:tc>
          <w:tcPr>
            <w:tcW w:w="0" w:type="dxa"/>
            <w:vAlign w:val="bottom"/>
          </w:tcPr>
          <w:p>
            <w:pPr>
              <w:spacing w:after="0"/>
              <w:rPr>
                <w:sz w:val="1"/>
                <w:szCs w:val="1"/>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310(b)</w:t>
            </w:r>
          </w:p>
        </w:tc>
        <w:tc>
          <w:tcPr>
            <w:tcW w:w="1800" w:type="dxa"/>
            <w:vAlign w:val="bottom"/>
            <w:gridSpan w:val="2"/>
          </w:tcPr>
          <w:p>
            <w:pPr>
              <w:ind w:left="48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76"/>
        </w:trPr>
        <w:tc>
          <w:tcPr>
            <w:tcW w:w="6920" w:type="dxa"/>
            <w:vAlign w:val="bottom"/>
            <w:vMerge w:val="restart"/>
          </w:tcPr>
          <w:p>
            <w:pPr>
              <w:spacing w:after="0"/>
              <w:rPr>
                <w:sz w:val="20"/>
                <w:szCs w:val="20"/>
                <w:color w:val="auto"/>
              </w:rPr>
            </w:pPr>
            <w:r>
              <w:rPr>
                <w:rFonts w:ascii="Arial" w:cs="Arial" w:eastAsia="Arial" w:hAnsi="Arial"/>
                <w:sz w:val="18"/>
                <w:szCs w:val="18"/>
                <w:color w:val="auto"/>
              </w:rPr>
              <w:t>310(c)</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76"/>
        </w:trPr>
        <w:tc>
          <w:tcPr>
            <w:tcW w:w="6920" w:type="dxa"/>
            <w:vAlign w:val="bottom"/>
            <w:vMerge w:val="continue"/>
          </w:tcPr>
          <w:p>
            <w:pPr>
              <w:spacing w:after="0"/>
              <w:rPr>
                <w:sz w:val="15"/>
                <w:szCs w:val="15"/>
                <w:color w:val="auto"/>
              </w:rPr>
            </w:pP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311(a)</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311(b)</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311(c)</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312(a)</w:t>
            </w:r>
          </w:p>
        </w:tc>
        <w:tc>
          <w:tcPr>
            <w:tcW w:w="1800" w:type="dxa"/>
            <w:vAlign w:val="bottom"/>
            <w:gridSpan w:val="2"/>
          </w:tcPr>
          <w:p>
            <w:pPr>
              <w:ind w:left="48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76"/>
        </w:trPr>
        <w:tc>
          <w:tcPr>
            <w:tcW w:w="6920" w:type="dxa"/>
            <w:vAlign w:val="bottom"/>
            <w:vMerge w:val="restart"/>
          </w:tcPr>
          <w:p>
            <w:pPr>
              <w:spacing w:after="0"/>
              <w:rPr>
                <w:sz w:val="20"/>
                <w:szCs w:val="20"/>
                <w:color w:val="auto"/>
              </w:rPr>
            </w:pPr>
            <w:r>
              <w:rPr>
                <w:rFonts w:ascii="Arial" w:cs="Arial" w:eastAsia="Arial" w:hAnsi="Arial"/>
                <w:sz w:val="18"/>
                <w:szCs w:val="18"/>
                <w:color w:val="auto"/>
              </w:rPr>
              <w:t>312(b)</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5.02(a)</w:t>
            </w:r>
          </w:p>
        </w:tc>
        <w:tc>
          <w:tcPr>
            <w:tcW w:w="0" w:type="dxa"/>
            <w:vAlign w:val="bottom"/>
          </w:tcPr>
          <w:p>
            <w:pPr>
              <w:spacing w:after="0"/>
              <w:rPr>
                <w:sz w:val="1"/>
                <w:szCs w:val="1"/>
                <w:color w:val="auto"/>
              </w:rPr>
            </w:pPr>
          </w:p>
        </w:tc>
      </w:tr>
      <w:tr>
        <w:trPr>
          <w:trHeight w:val="176"/>
        </w:trPr>
        <w:tc>
          <w:tcPr>
            <w:tcW w:w="6920" w:type="dxa"/>
            <w:vAlign w:val="bottom"/>
            <w:vMerge w:val="continue"/>
          </w:tcPr>
          <w:p>
            <w:pPr>
              <w:spacing w:after="0"/>
              <w:rPr>
                <w:sz w:val="15"/>
                <w:szCs w:val="15"/>
                <w:color w:val="auto"/>
              </w:rPr>
            </w:pP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5.02(c)</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312(c)</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5.02(c)</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313(a)</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5.04(a)</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313(b)</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5.04(b)</w:t>
            </w:r>
          </w:p>
        </w:tc>
        <w:tc>
          <w:tcPr>
            <w:tcW w:w="0" w:type="dxa"/>
            <w:vAlign w:val="bottom"/>
          </w:tcPr>
          <w:p>
            <w:pPr>
              <w:spacing w:after="0"/>
              <w:rPr>
                <w:sz w:val="1"/>
                <w:szCs w:val="1"/>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313(c)</w:t>
            </w:r>
          </w:p>
        </w:tc>
        <w:tc>
          <w:tcPr>
            <w:tcW w:w="1800" w:type="dxa"/>
            <w:vAlign w:val="bottom"/>
            <w:gridSpan w:val="2"/>
          </w:tcPr>
          <w:p>
            <w:pPr>
              <w:ind w:left="480"/>
              <w:spacing w:after="0"/>
              <w:rPr>
                <w:sz w:val="20"/>
                <w:szCs w:val="20"/>
                <w:color w:val="auto"/>
              </w:rPr>
            </w:pPr>
            <w:r>
              <w:rPr>
                <w:rFonts w:ascii="Arial" w:cs="Arial" w:eastAsia="Arial" w:hAnsi="Arial"/>
                <w:sz w:val="18"/>
                <w:szCs w:val="18"/>
                <w:color w:val="auto"/>
              </w:rPr>
              <w:t>5.04(a)</w:t>
            </w:r>
          </w:p>
        </w:tc>
        <w:tc>
          <w:tcPr>
            <w:tcW w:w="0" w:type="dxa"/>
            <w:vAlign w:val="bottom"/>
          </w:tcPr>
          <w:p>
            <w:pPr>
              <w:spacing w:after="0"/>
              <w:rPr>
                <w:sz w:val="1"/>
                <w:szCs w:val="1"/>
                <w:color w:val="auto"/>
              </w:rPr>
            </w:pPr>
          </w:p>
        </w:tc>
      </w:tr>
      <w:tr>
        <w:trPr>
          <w:trHeight w:val="176"/>
        </w:trPr>
        <w:tc>
          <w:tcPr>
            <w:tcW w:w="6920" w:type="dxa"/>
            <w:vAlign w:val="bottom"/>
            <w:vMerge w:val="restart"/>
          </w:tcPr>
          <w:p>
            <w:pPr>
              <w:spacing w:after="0"/>
              <w:rPr>
                <w:sz w:val="20"/>
                <w:szCs w:val="20"/>
                <w:color w:val="auto"/>
              </w:rPr>
            </w:pPr>
            <w:r>
              <w:rPr>
                <w:rFonts w:ascii="Arial" w:cs="Arial" w:eastAsia="Arial" w:hAnsi="Arial"/>
                <w:sz w:val="18"/>
                <w:szCs w:val="18"/>
                <w:color w:val="auto"/>
              </w:rPr>
              <w:t>313(d)</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5.04(b)</w:t>
            </w:r>
          </w:p>
        </w:tc>
        <w:tc>
          <w:tcPr>
            <w:tcW w:w="0" w:type="dxa"/>
            <w:vAlign w:val="bottom"/>
          </w:tcPr>
          <w:p>
            <w:pPr>
              <w:spacing w:after="0"/>
              <w:rPr>
                <w:sz w:val="1"/>
                <w:szCs w:val="1"/>
                <w:color w:val="auto"/>
              </w:rPr>
            </w:pPr>
          </w:p>
        </w:tc>
      </w:tr>
      <w:tr>
        <w:trPr>
          <w:trHeight w:val="176"/>
        </w:trPr>
        <w:tc>
          <w:tcPr>
            <w:tcW w:w="6920" w:type="dxa"/>
            <w:vAlign w:val="bottom"/>
            <w:vMerge w:val="continue"/>
          </w:tcPr>
          <w:p>
            <w:pPr>
              <w:spacing w:after="0"/>
              <w:rPr>
                <w:sz w:val="15"/>
                <w:szCs w:val="15"/>
                <w:color w:val="auto"/>
              </w:rPr>
            </w:pP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5.04(c)</w:t>
            </w:r>
          </w:p>
        </w:tc>
        <w:tc>
          <w:tcPr>
            <w:tcW w:w="0" w:type="dxa"/>
            <w:vAlign w:val="bottom"/>
          </w:tcPr>
          <w:p>
            <w:pPr>
              <w:spacing w:after="0"/>
              <w:rPr>
                <w:sz w:val="1"/>
                <w:szCs w:val="1"/>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314(a)</w:t>
            </w:r>
          </w:p>
        </w:tc>
        <w:tc>
          <w:tcPr>
            <w:tcW w:w="1800" w:type="dxa"/>
            <w:vAlign w:val="bottom"/>
            <w:gridSpan w:val="2"/>
          </w:tcPr>
          <w:p>
            <w:pPr>
              <w:ind w:left="48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176"/>
        </w:trPr>
        <w:tc>
          <w:tcPr>
            <w:tcW w:w="6920" w:type="dxa"/>
            <w:vAlign w:val="bottom"/>
            <w:vMerge w:val="restart"/>
          </w:tcPr>
          <w:p>
            <w:pPr>
              <w:spacing w:after="0"/>
              <w:rPr>
                <w:sz w:val="20"/>
                <w:szCs w:val="20"/>
                <w:color w:val="auto"/>
              </w:rPr>
            </w:pPr>
            <w:r>
              <w:rPr>
                <w:rFonts w:ascii="Arial" w:cs="Arial" w:eastAsia="Arial" w:hAnsi="Arial"/>
                <w:sz w:val="18"/>
                <w:szCs w:val="18"/>
                <w:color w:val="auto"/>
              </w:rPr>
              <w:t>314(b)</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176"/>
        </w:trPr>
        <w:tc>
          <w:tcPr>
            <w:tcW w:w="6920" w:type="dxa"/>
            <w:vAlign w:val="bottom"/>
            <w:vMerge w:val="continue"/>
          </w:tcPr>
          <w:p>
            <w:pPr>
              <w:spacing w:after="0"/>
              <w:rPr>
                <w:sz w:val="15"/>
                <w:szCs w:val="15"/>
                <w:color w:val="auto"/>
              </w:rPr>
            </w:pP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314(c)</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13.07(a)</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314(d)</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314(e)</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13.07(b)</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314(f)</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315(a)</w:t>
            </w:r>
          </w:p>
        </w:tc>
        <w:tc>
          <w:tcPr>
            <w:tcW w:w="1800" w:type="dxa"/>
            <w:vAlign w:val="bottom"/>
            <w:gridSpan w:val="2"/>
          </w:tcPr>
          <w:p>
            <w:pPr>
              <w:ind w:left="480"/>
              <w:spacing w:after="0"/>
              <w:rPr>
                <w:sz w:val="20"/>
                <w:szCs w:val="20"/>
                <w:color w:val="auto"/>
              </w:rPr>
            </w:pPr>
            <w:r>
              <w:rPr>
                <w:rFonts w:ascii="Arial" w:cs="Arial" w:eastAsia="Arial" w:hAnsi="Arial"/>
                <w:sz w:val="18"/>
                <w:szCs w:val="18"/>
                <w:color w:val="auto"/>
              </w:rPr>
              <w:t>7.01(a)</w:t>
            </w:r>
          </w:p>
        </w:tc>
        <w:tc>
          <w:tcPr>
            <w:tcW w:w="0" w:type="dxa"/>
            <w:vAlign w:val="bottom"/>
          </w:tcPr>
          <w:p>
            <w:pPr>
              <w:spacing w:after="0"/>
              <w:rPr>
                <w:sz w:val="1"/>
                <w:szCs w:val="1"/>
                <w:color w:val="auto"/>
              </w:rPr>
            </w:pPr>
          </w:p>
        </w:tc>
      </w:tr>
      <w:tr>
        <w:trPr>
          <w:trHeight w:val="176"/>
        </w:trPr>
        <w:tc>
          <w:tcPr>
            <w:tcW w:w="6920" w:type="dxa"/>
            <w:vAlign w:val="bottom"/>
            <w:vMerge w:val="restart"/>
          </w:tcPr>
          <w:p>
            <w:pPr>
              <w:spacing w:after="0"/>
              <w:rPr>
                <w:sz w:val="20"/>
                <w:szCs w:val="20"/>
                <w:color w:val="auto"/>
              </w:rPr>
            </w:pPr>
            <w:r>
              <w:rPr>
                <w:rFonts w:ascii="Arial" w:cs="Arial" w:eastAsia="Arial" w:hAnsi="Arial"/>
                <w:sz w:val="18"/>
                <w:szCs w:val="18"/>
                <w:color w:val="auto"/>
              </w:rPr>
              <w:t>315(b)</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7.01(b)</w:t>
            </w:r>
          </w:p>
        </w:tc>
        <w:tc>
          <w:tcPr>
            <w:tcW w:w="0" w:type="dxa"/>
            <w:vAlign w:val="bottom"/>
          </w:tcPr>
          <w:p>
            <w:pPr>
              <w:spacing w:after="0"/>
              <w:rPr>
                <w:sz w:val="1"/>
                <w:szCs w:val="1"/>
                <w:color w:val="auto"/>
              </w:rPr>
            </w:pPr>
          </w:p>
        </w:tc>
      </w:tr>
      <w:tr>
        <w:trPr>
          <w:trHeight w:val="176"/>
        </w:trPr>
        <w:tc>
          <w:tcPr>
            <w:tcW w:w="6920" w:type="dxa"/>
            <w:vAlign w:val="bottom"/>
            <w:vMerge w:val="continue"/>
          </w:tcPr>
          <w:p>
            <w:pPr>
              <w:spacing w:after="0"/>
              <w:rPr>
                <w:sz w:val="15"/>
                <w:szCs w:val="15"/>
                <w:color w:val="auto"/>
              </w:rPr>
            </w:pP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315(c)</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7.01(a)</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315(d)</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7.01(b)</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315(e)</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316(a)</w:t>
            </w:r>
          </w:p>
        </w:tc>
        <w:tc>
          <w:tcPr>
            <w:tcW w:w="1800" w:type="dxa"/>
            <w:vAlign w:val="bottom"/>
            <w:gridSpan w:val="2"/>
          </w:tcPr>
          <w:p>
            <w:pPr>
              <w:ind w:left="48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176"/>
        </w:trPr>
        <w:tc>
          <w:tcPr>
            <w:tcW w:w="6920" w:type="dxa"/>
            <w:vAlign w:val="bottom"/>
            <w:vMerge w:val="restart"/>
          </w:tcPr>
          <w:p>
            <w:pPr>
              <w:spacing w:after="0"/>
              <w:rPr>
                <w:sz w:val="20"/>
                <w:szCs w:val="20"/>
                <w:color w:val="auto"/>
              </w:rPr>
            </w:pPr>
            <w:r>
              <w:rPr>
                <w:rFonts w:ascii="Arial" w:cs="Arial" w:eastAsia="Arial" w:hAnsi="Arial"/>
                <w:sz w:val="18"/>
                <w:szCs w:val="18"/>
                <w:color w:val="auto"/>
              </w:rPr>
              <w:t>316(b)</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176"/>
        </w:trPr>
        <w:tc>
          <w:tcPr>
            <w:tcW w:w="6920" w:type="dxa"/>
            <w:vAlign w:val="bottom"/>
            <w:vMerge w:val="continue"/>
          </w:tcPr>
          <w:p>
            <w:pPr>
              <w:spacing w:after="0"/>
              <w:rPr>
                <w:sz w:val="15"/>
                <w:szCs w:val="15"/>
                <w:color w:val="auto"/>
              </w:rPr>
            </w:pP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316(c)</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317(a)</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317(b)</w:t>
            </w:r>
          </w:p>
        </w:tc>
        <w:tc>
          <w:tcPr>
            <w:tcW w:w="1800" w:type="dxa"/>
            <w:vAlign w:val="bottom"/>
            <w:gridSpan w:val="2"/>
          </w:tcPr>
          <w:p>
            <w:pPr>
              <w:ind w:left="480"/>
              <w:spacing w:after="0" w:line="176"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318(a)</w:t>
            </w:r>
          </w:p>
        </w:tc>
        <w:tc>
          <w:tcPr>
            <w:tcW w:w="1800" w:type="dxa"/>
            <w:vAlign w:val="bottom"/>
            <w:gridSpan w:val="2"/>
          </w:tcPr>
          <w:p>
            <w:pPr>
              <w:ind w:left="48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80" w:right="879" w:hanging="329"/>
        <w:spacing w:after="0" w:line="235" w:lineRule="auto"/>
        <w:tabs>
          <w:tab w:leader="none" w:pos="480" w:val="left"/>
        </w:tabs>
        <w:numPr>
          <w:ilvl w:val="0"/>
          <w:numId w:val="144"/>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1200785</wp:posOffset>
            </wp:positionV>
            <wp:extent cx="554863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5" w:name="page116"/>
    <w:bookmarkEnd w:id="115"/>
    <w:p>
      <w:pPr>
        <w:jc w:val="right"/>
        <w:ind w:right="139"/>
        <w:spacing w:after="0"/>
        <w:rPr>
          <w:sz w:val="20"/>
          <w:szCs w:val="20"/>
          <w:color w:val="auto"/>
        </w:rPr>
      </w:pPr>
      <w:r>
        <w:rPr>
          <w:rFonts w:ascii="Arial" w:cs="Arial" w:eastAsia="Arial" w:hAnsi="Arial"/>
          <w:sz w:val="18"/>
          <w:szCs w:val="18"/>
          <w:b w:val="1"/>
          <w:bCs w:val="1"/>
          <w:color w:val="auto"/>
        </w:rPr>
        <w:t>Exhibit 5.1</w:t>
      </w:r>
    </w:p>
    <w:p>
      <w:pPr>
        <w:spacing w:after="0" w:line="398" w:lineRule="exact"/>
        <w:rPr>
          <w:sz w:val="20"/>
          <w:szCs w:val="20"/>
          <w:color w:val="auto"/>
        </w:rPr>
      </w:pPr>
    </w:p>
    <w:p>
      <w:pPr>
        <w:jc w:val="right"/>
        <w:ind w:right="139"/>
        <w:spacing w:after="0"/>
        <w:rPr>
          <w:sz w:val="20"/>
          <w:szCs w:val="20"/>
          <w:color w:val="auto"/>
        </w:rPr>
      </w:pPr>
      <w:r>
        <w:rPr>
          <w:rFonts w:ascii="Arial" w:cs="Arial" w:eastAsia="Arial" w:hAnsi="Arial"/>
          <w:sz w:val="22"/>
          <w:szCs w:val="22"/>
          <w:color w:val="auto"/>
        </w:rPr>
        <w:t>February 13, 2020</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05" w:lineRule="auto"/>
        <w:rPr>
          <w:sz w:val="20"/>
          <w:szCs w:val="20"/>
          <w:color w:val="auto"/>
        </w:rPr>
      </w:pPr>
      <w:r>
        <w:rPr>
          <w:rFonts w:ascii="Arial" w:cs="Arial" w:eastAsia="Arial" w:hAnsi="Arial"/>
          <w:sz w:val="22"/>
          <w:szCs w:val="22"/>
          <w:color w:val="auto"/>
        </w:rPr>
        <w:t>45 Sidney Street</w:t>
      </w:r>
    </w:p>
    <w:p>
      <w:pPr>
        <w:ind w:left="160"/>
        <w:spacing w:after="0"/>
        <w:rPr>
          <w:sz w:val="20"/>
          <w:szCs w:val="20"/>
          <w:color w:val="auto"/>
        </w:rPr>
      </w:pPr>
      <w:r>
        <w:rPr>
          <w:rFonts w:ascii="Arial" w:cs="Arial" w:eastAsia="Arial" w:hAnsi="Arial"/>
          <w:sz w:val="22"/>
          <w:szCs w:val="22"/>
          <w:color w:val="auto"/>
        </w:rPr>
        <w:t>Cambridge, MA 02139</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Re: Securities Being Registered under Registration Statement on Form S-3</w:t>
      </w:r>
    </w:p>
    <w:p>
      <w:pPr>
        <w:spacing w:after="0" w:line="179" w:lineRule="exact"/>
        <w:rPr>
          <w:sz w:val="20"/>
          <w:szCs w:val="20"/>
          <w:color w:val="auto"/>
        </w:rPr>
      </w:pPr>
    </w:p>
    <w:p>
      <w:pPr>
        <w:ind w:left="160" w:right="219"/>
        <w:spacing w:after="0" w:line="247" w:lineRule="auto"/>
        <w:rPr>
          <w:sz w:val="20"/>
          <w:szCs w:val="20"/>
          <w:color w:val="auto"/>
        </w:rPr>
      </w:pPr>
      <w:r>
        <w:rPr>
          <w:rFonts w:ascii="Arial" w:cs="Arial" w:eastAsia="Arial" w:hAnsi="Arial"/>
          <w:sz w:val="19"/>
          <w:szCs w:val="19"/>
          <w:color w:val="auto"/>
        </w:rPr>
        <w:t>We have acted as counsel to you in connection with your filing of a Registration Statement on Form S-3 (File No. 333-_____) (as amended or supplemented,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pursuant to</w:t>
      </w:r>
    </w:p>
    <w:p>
      <w:pPr>
        <w:ind w:left="160" w:right="299"/>
        <w:spacing w:after="0" w:line="237" w:lineRule="auto"/>
        <w:rPr>
          <w:sz w:val="20"/>
          <w:szCs w:val="20"/>
          <w:color w:val="auto"/>
        </w:rPr>
      </w:pPr>
      <w:r>
        <w:rPr>
          <w:rFonts w:ascii="Arial" w:cs="Arial" w:eastAsia="Arial" w:hAnsi="Arial"/>
          <w:sz w:val="19"/>
          <w:szCs w:val="19"/>
          <w:color w:val="auto"/>
        </w:rPr>
        <w:t>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relating to the offering by Blueprint Medicines Corporation,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of an indeterminate amount of any combination of (i) common stock, par value $0.001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of the Company, (ii) preferred stock, par value $0.001 per share, of the Company (the “</w:t>
      </w:r>
      <w:r>
        <w:rPr>
          <w:rFonts w:ascii="Arial" w:cs="Arial" w:eastAsia="Arial" w:hAnsi="Arial"/>
          <w:sz w:val="19"/>
          <w:szCs w:val="19"/>
          <w:u w:val="single" w:color="auto"/>
          <w:color w:val="auto"/>
        </w:rPr>
        <w:t>Preferred Stock</w:t>
      </w:r>
      <w:r>
        <w:rPr>
          <w:rFonts w:ascii="Arial" w:cs="Arial" w:eastAsia="Arial" w:hAnsi="Arial"/>
          <w:sz w:val="19"/>
          <w:szCs w:val="19"/>
          <w:color w:val="auto"/>
        </w:rPr>
        <w:t>”),</w:t>
      </w:r>
    </w:p>
    <w:p>
      <w:pPr>
        <w:spacing w:after="0" w:line="1" w:lineRule="exact"/>
        <w:rPr>
          <w:sz w:val="20"/>
          <w:szCs w:val="20"/>
          <w:color w:val="auto"/>
        </w:rPr>
      </w:pPr>
    </w:p>
    <w:p>
      <w:pPr>
        <w:ind w:left="160" w:right="139" w:hanging="9"/>
        <w:spacing w:after="0"/>
        <w:tabs>
          <w:tab w:leader="none" w:pos="53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debt securities of the Company (“</w:t>
      </w:r>
      <w:r>
        <w:rPr>
          <w:rFonts w:ascii="Arial" w:cs="Arial" w:eastAsia="Arial" w:hAnsi="Arial"/>
          <w:sz w:val="19"/>
          <w:szCs w:val="19"/>
          <w:u w:val="single" w:color="auto"/>
          <w:color w:val="auto"/>
        </w:rPr>
        <w:t>Debt Securities</w:t>
      </w:r>
      <w:r>
        <w:rPr>
          <w:rFonts w:ascii="Arial" w:cs="Arial" w:eastAsia="Arial" w:hAnsi="Arial"/>
          <w:sz w:val="19"/>
          <w:szCs w:val="19"/>
          <w:color w:val="auto"/>
        </w:rPr>
        <w:t>”), (iv) warrants to purchase Common Stock, Preferred Stock, Debt Securities or Units (as defined below ) (“</w:t>
      </w:r>
      <w:r>
        <w:rPr>
          <w:rFonts w:ascii="Arial" w:cs="Arial" w:eastAsia="Arial" w:hAnsi="Arial"/>
          <w:sz w:val="19"/>
          <w:szCs w:val="19"/>
          <w:u w:val="single" w:color="auto"/>
          <w:color w:val="auto"/>
        </w:rPr>
        <w:t>Warrants</w:t>
      </w:r>
      <w:r>
        <w:rPr>
          <w:rFonts w:ascii="Arial" w:cs="Arial" w:eastAsia="Arial" w:hAnsi="Arial"/>
          <w:sz w:val="19"/>
          <w:szCs w:val="19"/>
          <w:color w:val="auto"/>
        </w:rPr>
        <w:t>”), (v) purchase contracts of the Company obligating the holders thereof to purchase from or sell to the Company, or the Company to sell to or purchase from such holders, Common Stock, Preferred Stock or other securities at a future date or dates (“Stock Purchase Contracts”) and (vi) units comprised of Common Stock, Preferred Stock, Debt Securities, Stock Purchase Contracts, Warrants and other securities in any combination (“</w:t>
      </w:r>
      <w:r>
        <w:rPr>
          <w:rFonts w:ascii="Arial" w:cs="Arial" w:eastAsia="Arial" w:hAnsi="Arial"/>
          <w:sz w:val="19"/>
          <w:szCs w:val="19"/>
          <w:u w:val="single" w:color="auto"/>
          <w:color w:val="auto"/>
        </w:rPr>
        <w:t>Units</w:t>
      </w:r>
      <w:r>
        <w:rPr>
          <w:rFonts w:ascii="Arial" w:cs="Arial" w:eastAsia="Arial" w:hAnsi="Arial"/>
          <w:sz w:val="19"/>
          <w:szCs w:val="19"/>
          <w:color w:val="auto"/>
        </w:rPr>
        <w:t>”). The Common Stock, Preferred Stock, Debt Securities, Warrants, Units and Stock Purchase Contracts are sometimes referred to collectively herein as the “</w:t>
      </w:r>
      <w:r>
        <w:rPr>
          <w:rFonts w:ascii="Arial" w:cs="Arial" w:eastAsia="Arial" w:hAnsi="Arial"/>
          <w:sz w:val="19"/>
          <w:szCs w:val="19"/>
          <w:u w:val="single" w:color="auto"/>
          <w:color w:val="auto"/>
        </w:rPr>
        <w:t>Securities</w:t>
      </w:r>
      <w:r>
        <w:rPr>
          <w:rFonts w:ascii="Arial" w:cs="Arial" w:eastAsia="Arial" w:hAnsi="Arial"/>
          <w:sz w:val="19"/>
          <w:szCs w:val="19"/>
          <w:color w:val="auto"/>
        </w:rPr>
        <w:t>.” Securities may be issued in an unspecified number (with respect to Common Stock, Preferred Stock, Warrants, Units and Stock Purchase Contracts)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w:t>
      </w:r>
      <w:r>
        <w:rPr>
          <w:rFonts w:ascii="Arial" w:cs="Arial" w:eastAsia="Arial" w:hAnsi="Arial"/>
          <w:sz w:val="19"/>
          <w:szCs w:val="19"/>
          <w:u w:val="single" w:color="auto"/>
          <w:color w:val="auto"/>
        </w:rPr>
        <w:t>Prospectus Supplement</w:t>
      </w:r>
      <w:r>
        <w:rPr>
          <w:rFonts w:ascii="Arial" w:cs="Arial" w:eastAsia="Arial" w:hAnsi="Arial"/>
          <w:sz w:val="19"/>
          <w:szCs w:val="19"/>
          <w:color w:val="auto"/>
        </w:rPr>
        <w:t>”) to the prospectus contained in the Registration Statement.</w:t>
      </w:r>
    </w:p>
    <w:p>
      <w:pPr>
        <w:spacing w:after="0" w:line="383" w:lineRule="exact"/>
        <w:rPr>
          <w:sz w:val="20"/>
          <w:szCs w:val="20"/>
          <w:color w:val="auto"/>
        </w:rPr>
      </w:pPr>
    </w:p>
    <w:p>
      <w:pPr>
        <w:ind w:left="160" w:right="359"/>
        <w:spacing w:after="0" w:line="218" w:lineRule="auto"/>
        <w:rPr>
          <w:sz w:val="20"/>
          <w:szCs w:val="20"/>
          <w:color w:val="auto"/>
        </w:rPr>
      </w:pPr>
      <w:r>
        <w:rPr>
          <w:rFonts w:ascii="Arial" w:cs="Arial" w:eastAsia="Arial" w:hAnsi="Arial"/>
          <w:sz w:val="22"/>
          <w:szCs w:val="22"/>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61" w:lineRule="exact"/>
        <w:rPr>
          <w:sz w:val="20"/>
          <w:szCs w:val="20"/>
          <w:color w:val="auto"/>
        </w:rPr>
      </w:pPr>
    </w:p>
    <w:p>
      <w:pPr>
        <w:ind w:left="160" w:right="419"/>
        <w:spacing w:after="0" w:line="232" w:lineRule="auto"/>
        <w:rPr>
          <w:sz w:val="20"/>
          <w:szCs w:val="20"/>
          <w:color w:val="auto"/>
        </w:rPr>
      </w:pPr>
      <w:r>
        <w:rPr>
          <w:rFonts w:ascii="Arial" w:cs="Arial" w:eastAsia="Arial" w:hAnsi="Arial"/>
          <w:sz w:val="22"/>
          <w:szCs w:val="22"/>
          <w:color w:val="auto"/>
        </w:rPr>
        <w:t>The opinions set forth below are limited to the Delaware General Corporation Law and the law of New York.</w:t>
      </w:r>
    </w:p>
    <w:p>
      <w:pPr>
        <w:spacing w:after="0" w:line="159" w:lineRule="exact"/>
        <w:rPr>
          <w:sz w:val="20"/>
          <w:szCs w:val="20"/>
          <w:color w:val="auto"/>
        </w:rPr>
      </w:pPr>
    </w:p>
    <w:p>
      <w:pPr>
        <w:ind w:left="160" w:right="239"/>
        <w:spacing w:after="0" w:line="249" w:lineRule="auto"/>
        <w:rPr>
          <w:sz w:val="20"/>
          <w:szCs w:val="20"/>
          <w:color w:val="auto"/>
        </w:rPr>
      </w:pPr>
      <w:r>
        <w:rPr>
          <w:rFonts w:ascii="Arial" w:cs="Arial" w:eastAsia="Arial" w:hAnsi="Arial"/>
          <w:sz w:val="19"/>
          <w:szCs w:val="19"/>
          <w:color w:val="auto"/>
        </w:rPr>
        <w:t>For purposes of the opinions set forth below, without limiting any other exceptions or qualifications set forth herein, we have assumed that (i) each of the Debt Securities, Warrants and Units and Purchase Contract Agreements,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325120</wp:posOffset>
            </wp:positionV>
            <wp:extent cx="554863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6" w:name="page117"/>
    <w:bookmarkEnd w:id="116"/>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05" w:lineRule="auto"/>
        <w:rPr>
          <w:sz w:val="20"/>
          <w:szCs w:val="20"/>
          <w:color w:val="auto"/>
        </w:rPr>
      </w:pPr>
      <w:r>
        <w:rPr>
          <w:rFonts w:ascii="Arial" w:cs="Arial" w:eastAsia="Arial" w:hAnsi="Arial"/>
          <w:sz w:val="22"/>
          <w:szCs w:val="22"/>
          <w:color w:val="auto"/>
        </w:rPr>
        <w:t>February 13, 2020</w:t>
      </w:r>
    </w:p>
    <w:p>
      <w:pPr>
        <w:ind w:left="160"/>
        <w:spacing w:after="0"/>
        <w:rPr>
          <w:sz w:val="20"/>
          <w:szCs w:val="20"/>
          <w:color w:val="auto"/>
        </w:rPr>
      </w:pPr>
      <w:r>
        <w:rPr>
          <w:rFonts w:ascii="Arial" w:cs="Arial" w:eastAsia="Arial" w:hAnsi="Arial"/>
          <w:sz w:val="22"/>
          <w:szCs w:val="22"/>
          <w:color w:val="auto"/>
        </w:rPr>
        <w:t>Page 2</w:t>
      </w:r>
    </w:p>
    <w:p>
      <w:pPr>
        <w:spacing w:after="0" w:line="134" w:lineRule="exact"/>
        <w:rPr>
          <w:sz w:val="20"/>
          <w:szCs w:val="20"/>
          <w:color w:val="auto"/>
        </w:rPr>
      </w:pPr>
    </w:p>
    <w:p>
      <w:pPr>
        <w:ind w:left="160" w:right="319"/>
        <w:spacing w:after="0" w:line="249" w:lineRule="auto"/>
        <w:rPr>
          <w:sz w:val="20"/>
          <w:szCs w:val="20"/>
          <w:color w:val="auto"/>
        </w:rPr>
      </w:pPr>
      <w:r>
        <w:rPr>
          <w:rFonts w:ascii="Arial" w:cs="Arial" w:eastAsia="Arial" w:hAnsi="Arial"/>
          <w:sz w:val="19"/>
          <w:szCs w:val="19"/>
          <w:color w:val="auto"/>
        </w:rPr>
        <w:t>Common Stock or Preferred Stock, as applicable, together with the total number of shares of such stock issuable upon the exercise, exchange, conversion or settlement, as the case may be, of any exercisable, exchangeable or convertible security (including without limitation any Unit or Stock Purchase Contract), as the case may be, then outstanding, will not exceed the total number of authorized shares of Common Stock or Preferred Stock, as applicable, available for issuance under the Company’s certificate of incorporation as then in effect (the “</w:t>
      </w:r>
      <w:r>
        <w:rPr>
          <w:rFonts w:ascii="Arial" w:cs="Arial" w:eastAsia="Arial" w:hAnsi="Arial"/>
          <w:sz w:val="19"/>
          <w:szCs w:val="19"/>
          <w:u w:val="single" w:color="auto"/>
          <w:color w:val="auto"/>
        </w:rPr>
        <w:t>Charter</w:t>
      </w:r>
      <w:r>
        <w:rPr>
          <w:rFonts w:ascii="Arial" w:cs="Arial" w:eastAsia="Arial" w:hAnsi="Arial"/>
          <w:sz w:val="19"/>
          <w:szCs w:val="19"/>
          <w:color w:val="auto"/>
        </w:rPr>
        <w:t>”).</w:t>
      </w:r>
    </w:p>
    <w:p>
      <w:pPr>
        <w:spacing w:after="0" w:line="153" w:lineRule="exact"/>
        <w:rPr>
          <w:sz w:val="20"/>
          <w:szCs w:val="20"/>
          <w:color w:val="auto"/>
        </w:rPr>
      </w:pPr>
    </w:p>
    <w:p>
      <w:pPr>
        <w:ind w:left="160" w:right="279"/>
        <w:spacing w:after="0" w:line="232" w:lineRule="auto"/>
        <w:rPr>
          <w:sz w:val="20"/>
          <w:szCs w:val="20"/>
          <w:color w:val="auto"/>
        </w:rPr>
      </w:pPr>
      <w:r>
        <w:rPr>
          <w:rFonts w:ascii="Arial" w:cs="Arial" w:eastAsia="Arial" w:hAnsi="Arial"/>
          <w:sz w:val="22"/>
          <w:szCs w:val="22"/>
          <w:color w:val="auto"/>
        </w:rPr>
        <w:t>For purposes of the opinions set forth below, we refer to the following as the “Future Authorization and Issuance” of Securities:</w:t>
      </w:r>
    </w:p>
    <w:p>
      <w:pPr>
        <w:spacing w:after="0" w:line="159" w:lineRule="exact"/>
        <w:rPr>
          <w:sz w:val="20"/>
          <w:szCs w:val="20"/>
          <w:color w:val="auto"/>
        </w:rPr>
      </w:pPr>
    </w:p>
    <w:p>
      <w:pPr>
        <w:ind w:left="1500" w:right="399"/>
        <w:spacing w:after="0" w:line="249" w:lineRule="auto"/>
        <w:rPr>
          <w:sz w:val="20"/>
          <w:szCs w:val="20"/>
          <w:color w:val="auto"/>
        </w:rPr>
      </w:pPr>
      <w:r>
        <w:rPr>
          <w:rFonts w:ascii="Arial" w:cs="Arial" w:eastAsia="Arial" w:hAnsi="Arial"/>
          <w:sz w:val="19"/>
          <w:szCs w:val="19"/>
          <w:color w:val="auto"/>
        </w:rPr>
        <w:t>with respect to any of the Securities, (a) the authorization by the Company of the amount, terms and issuance of such Securities (the “</w:t>
      </w:r>
      <w:r>
        <w:rPr>
          <w:rFonts w:ascii="Arial" w:cs="Arial" w:eastAsia="Arial" w:hAnsi="Arial"/>
          <w:sz w:val="19"/>
          <w:szCs w:val="19"/>
          <w:u w:val="single" w:color="auto"/>
          <w:color w:val="auto"/>
        </w:rPr>
        <w:t>Authorization</w:t>
      </w:r>
      <w:r>
        <w:rPr>
          <w:rFonts w:ascii="Arial" w:cs="Arial" w:eastAsia="Arial" w:hAnsi="Arial"/>
          <w:sz w:val="19"/>
          <w:szCs w:val="19"/>
          <w:color w:val="auto"/>
        </w:rPr>
        <w:t>”)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153" w:lineRule="exact"/>
        <w:rPr>
          <w:sz w:val="20"/>
          <w:szCs w:val="20"/>
          <w:color w:val="auto"/>
        </w:rPr>
      </w:pPr>
    </w:p>
    <w:p>
      <w:pPr>
        <w:ind w:left="1500" w:right="139"/>
        <w:spacing w:after="0" w:line="252" w:lineRule="auto"/>
        <w:rPr>
          <w:sz w:val="20"/>
          <w:szCs w:val="20"/>
          <w:color w:val="auto"/>
        </w:rPr>
      </w:pPr>
      <w:r>
        <w:rPr>
          <w:rFonts w:ascii="Arial" w:cs="Arial" w:eastAsia="Arial" w:hAnsi="Arial"/>
          <w:sz w:val="19"/>
          <w:szCs w:val="19"/>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149" w:lineRule="exact"/>
        <w:rPr>
          <w:sz w:val="20"/>
          <w:szCs w:val="20"/>
          <w:color w:val="auto"/>
        </w:rPr>
      </w:pPr>
    </w:p>
    <w:p>
      <w:pPr>
        <w:ind w:left="1500" w:right="219"/>
        <w:spacing w:after="0" w:line="223" w:lineRule="auto"/>
        <w:rPr>
          <w:sz w:val="20"/>
          <w:szCs w:val="20"/>
          <w:color w:val="auto"/>
        </w:rPr>
      </w:pPr>
      <w:r>
        <w:rPr>
          <w:rFonts w:ascii="Arial" w:cs="Arial" w:eastAsia="Arial" w:hAnsi="Arial"/>
          <w:sz w:val="21"/>
          <w:szCs w:val="21"/>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158" w:lineRule="exact"/>
        <w:rPr>
          <w:sz w:val="20"/>
          <w:szCs w:val="20"/>
          <w:color w:val="auto"/>
        </w:rPr>
      </w:pPr>
    </w:p>
    <w:p>
      <w:pPr>
        <w:ind w:left="1500" w:right="279"/>
        <w:spacing w:after="0" w:line="224" w:lineRule="auto"/>
        <w:rPr>
          <w:sz w:val="20"/>
          <w:szCs w:val="20"/>
          <w:color w:val="auto"/>
        </w:rPr>
      </w:pPr>
      <w:r>
        <w:rPr>
          <w:rFonts w:ascii="Arial" w:cs="Arial" w:eastAsia="Arial" w:hAnsi="Arial"/>
          <w:sz w:val="21"/>
          <w:szCs w:val="21"/>
          <w:color w:val="auto"/>
        </w:rPr>
        <w:t>with respect to Warrants, Units and Stock Purchase Contracts, (a) the authorization, execution and delivery by the Company and the other parties thereto of any agreement under which such Securities are to be issued and (b) the establishment of the terms of such Securities, and the execution and delivery of such Securities, in conformity with any applicable agreement under which such Securities are to be issued and applicable law.</w:t>
      </w:r>
    </w:p>
    <w:p>
      <w:pPr>
        <w:spacing w:after="0" w:line="160" w:lineRule="exact"/>
        <w:rPr>
          <w:sz w:val="20"/>
          <w:szCs w:val="20"/>
          <w:color w:val="auto"/>
        </w:rPr>
      </w:pPr>
    </w:p>
    <w:p>
      <w:pPr>
        <w:ind w:left="160" w:right="299"/>
        <w:spacing w:after="0" w:line="232" w:lineRule="auto"/>
        <w:rPr>
          <w:sz w:val="20"/>
          <w:szCs w:val="20"/>
          <w:color w:val="auto"/>
        </w:rPr>
      </w:pPr>
      <w:r>
        <w:rPr>
          <w:rFonts w:ascii="Arial" w:cs="Arial" w:eastAsia="Arial" w:hAnsi="Arial"/>
          <w:sz w:val="22"/>
          <w:szCs w:val="22"/>
          <w:color w:val="auto"/>
        </w:rPr>
        <w:t>Based upon the foregoing, and subject to the additional qualifications set forth below, we are of the opinion that:</w:t>
      </w:r>
    </w:p>
    <w:p>
      <w:pPr>
        <w:spacing w:after="0" w:line="159" w:lineRule="exact"/>
        <w:rPr>
          <w:sz w:val="20"/>
          <w:szCs w:val="20"/>
          <w:color w:val="auto"/>
        </w:rPr>
      </w:pPr>
    </w:p>
    <w:p>
      <w:pPr>
        <w:ind w:left="200" w:right="319" w:firstLine="653"/>
        <w:spacing w:after="0" w:line="232" w:lineRule="auto"/>
        <w:tabs>
          <w:tab w:leader="none" w:pos="106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Upon the Future Authorization and Issuance of shares of Common Stock, such shares of Common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466090</wp:posOffset>
            </wp:positionV>
            <wp:extent cx="554863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17" w:name="page118"/>
    <w:bookmarkEnd w:id="117"/>
    <w:p>
      <w:pPr>
        <w:ind w:left="160"/>
        <w:spacing w:after="0"/>
        <w:rPr>
          <w:sz w:val="20"/>
          <w:szCs w:val="20"/>
          <w:color w:val="auto"/>
        </w:rPr>
      </w:pPr>
      <w:r>
        <w:rPr>
          <w:rFonts w:ascii="Arial" w:cs="Arial" w:eastAsia="Arial" w:hAnsi="Arial"/>
          <w:sz w:val="22"/>
          <w:szCs w:val="22"/>
          <w:color w:val="auto"/>
        </w:rPr>
        <w:t>Blueprint Medicines Corporation</w:t>
      </w:r>
    </w:p>
    <w:p>
      <w:pPr>
        <w:ind w:left="160"/>
        <w:spacing w:after="0" w:line="205" w:lineRule="auto"/>
        <w:rPr>
          <w:sz w:val="20"/>
          <w:szCs w:val="20"/>
          <w:color w:val="auto"/>
        </w:rPr>
      </w:pPr>
      <w:r>
        <w:rPr>
          <w:rFonts w:ascii="Arial" w:cs="Arial" w:eastAsia="Arial" w:hAnsi="Arial"/>
          <w:sz w:val="22"/>
          <w:szCs w:val="22"/>
          <w:color w:val="auto"/>
        </w:rPr>
        <w:t>February 13, 2020</w:t>
      </w:r>
    </w:p>
    <w:p>
      <w:pPr>
        <w:ind w:left="160"/>
        <w:spacing w:after="0"/>
        <w:rPr>
          <w:sz w:val="20"/>
          <w:szCs w:val="20"/>
          <w:color w:val="auto"/>
        </w:rPr>
      </w:pPr>
      <w:r>
        <w:rPr>
          <w:rFonts w:ascii="Arial" w:cs="Arial" w:eastAsia="Arial" w:hAnsi="Arial"/>
          <w:sz w:val="22"/>
          <w:szCs w:val="22"/>
          <w:color w:val="auto"/>
        </w:rPr>
        <w:t>Page 3</w:t>
      </w:r>
    </w:p>
    <w:p>
      <w:pPr>
        <w:spacing w:after="0" w:line="134" w:lineRule="exact"/>
        <w:rPr>
          <w:sz w:val="20"/>
          <w:szCs w:val="20"/>
          <w:color w:val="auto"/>
        </w:rPr>
      </w:pPr>
    </w:p>
    <w:p>
      <w:pPr>
        <w:ind w:left="200" w:right="319" w:firstLine="653"/>
        <w:spacing w:after="0" w:line="232" w:lineRule="auto"/>
        <w:tabs>
          <w:tab w:leader="none" w:pos="106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Upon the Future Authorization and Issuance of shares of Preferred Stock, such shares of Preferred Stock will be validly issued, fully paid and non-assessable.</w:t>
      </w:r>
    </w:p>
    <w:p>
      <w:pPr>
        <w:spacing w:after="0" w:line="159" w:lineRule="exact"/>
        <w:rPr>
          <w:rFonts w:ascii="Arial" w:cs="Arial" w:eastAsia="Arial" w:hAnsi="Arial"/>
          <w:sz w:val="22"/>
          <w:szCs w:val="22"/>
          <w:color w:val="auto"/>
        </w:rPr>
      </w:pPr>
    </w:p>
    <w:p>
      <w:pPr>
        <w:ind w:left="200" w:right="219" w:firstLine="653"/>
        <w:spacing w:after="0" w:line="232" w:lineRule="auto"/>
        <w:tabs>
          <w:tab w:leader="none" w:pos="106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Upon the Future Authorization and Issuance of Debt Securities, such Debt Securities will be valid and binding obligations of the Company.</w:t>
      </w:r>
    </w:p>
    <w:p>
      <w:pPr>
        <w:spacing w:after="0" w:line="159" w:lineRule="exact"/>
        <w:rPr>
          <w:rFonts w:ascii="Arial" w:cs="Arial" w:eastAsia="Arial" w:hAnsi="Arial"/>
          <w:sz w:val="22"/>
          <w:szCs w:val="22"/>
          <w:color w:val="auto"/>
        </w:rPr>
      </w:pPr>
    </w:p>
    <w:p>
      <w:pPr>
        <w:ind w:left="200" w:right="219" w:firstLine="653"/>
        <w:spacing w:after="0" w:line="232" w:lineRule="auto"/>
        <w:tabs>
          <w:tab w:leader="none" w:pos="106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Upon the Future Authorization and Issuance of Warrants, such Warrants will be valid and binding obligations of the Company.</w:t>
      </w:r>
    </w:p>
    <w:p>
      <w:pPr>
        <w:spacing w:after="0" w:line="159" w:lineRule="exact"/>
        <w:rPr>
          <w:rFonts w:ascii="Arial" w:cs="Arial" w:eastAsia="Arial" w:hAnsi="Arial"/>
          <w:sz w:val="22"/>
          <w:szCs w:val="22"/>
          <w:color w:val="auto"/>
        </w:rPr>
      </w:pPr>
    </w:p>
    <w:p>
      <w:pPr>
        <w:ind w:left="200" w:right="839" w:firstLine="653"/>
        <w:spacing w:after="0" w:line="232" w:lineRule="auto"/>
        <w:tabs>
          <w:tab w:leader="none" w:pos="106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Upon the Future Authorization and Issuance of Units, such Units will be valid and binding obligations of the Company.</w:t>
      </w:r>
    </w:p>
    <w:p>
      <w:pPr>
        <w:spacing w:after="0" w:line="159" w:lineRule="exact"/>
        <w:rPr>
          <w:rFonts w:ascii="Arial" w:cs="Arial" w:eastAsia="Arial" w:hAnsi="Arial"/>
          <w:sz w:val="22"/>
          <w:szCs w:val="22"/>
          <w:color w:val="auto"/>
        </w:rPr>
      </w:pPr>
    </w:p>
    <w:p>
      <w:pPr>
        <w:ind w:left="200" w:right="559" w:firstLine="653"/>
        <w:spacing w:after="0" w:line="232" w:lineRule="auto"/>
        <w:tabs>
          <w:tab w:leader="none" w:pos="106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Upon the Future Authorization and Issuance of Stock Purchase Contracts, such Stock Purchase Contracts will be valid and binding obligations of the Company.</w:t>
      </w:r>
    </w:p>
    <w:p>
      <w:pPr>
        <w:spacing w:after="0" w:line="159" w:lineRule="exact"/>
        <w:rPr>
          <w:sz w:val="20"/>
          <w:szCs w:val="20"/>
          <w:color w:val="auto"/>
        </w:rPr>
      </w:pPr>
    </w:p>
    <w:p>
      <w:pPr>
        <w:ind w:left="160" w:right="539"/>
        <w:spacing w:after="0" w:line="223" w:lineRule="auto"/>
        <w:rPr>
          <w:sz w:val="20"/>
          <w:szCs w:val="20"/>
          <w:color w:val="auto"/>
        </w:rPr>
      </w:pPr>
      <w:r>
        <w:rPr>
          <w:rFonts w:ascii="Arial" w:cs="Arial" w:eastAsia="Arial" w:hAnsi="Arial"/>
          <w:sz w:val="22"/>
          <w:szCs w:val="22"/>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59" w:lineRule="exact"/>
        <w:rPr>
          <w:sz w:val="20"/>
          <w:szCs w:val="20"/>
          <w:color w:val="auto"/>
        </w:rPr>
      </w:pPr>
    </w:p>
    <w:p>
      <w:pPr>
        <w:ind w:left="160" w:right="659"/>
        <w:spacing w:after="0" w:line="247" w:lineRule="auto"/>
        <w:rPr>
          <w:sz w:val="20"/>
          <w:szCs w:val="20"/>
          <w:color w:val="auto"/>
        </w:rPr>
      </w:pPr>
      <w:r>
        <w:rPr>
          <w:rFonts w:ascii="Arial" w:cs="Arial" w:eastAsia="Arial" w:hAnsi="Arial"/>
          <w:sz w:val="21"/>
          <w:szCs w:val="21"/>
          <w:color w:val="auto"/>
        </w:rPr>
        <w:t xml:space="preserve">This opinion letter and the opinions it contains shall be interpreted in accordance with the Core Opinion Principles as published in 74 </w:t>
      </w:r>
      <w:r>
        <w:rPr>
          <w:rFonts w:ascii="Arial" w:cs="Arial" w:eastAsia="Arial" w:hAnsi="Arial"/>
          <w:sz w:val="21"/>
          <w:szCs w:val="21"/>
          <w:i w:val="1"/>
          <w:iCs w:val="1"/>
          <w:color w:val="auto"/>
        </w:rPr>
        <w:t>Business Lawyer</w:t>
      </w:r>
      <w:r>
        <w:rPr>
          <w:rFonts w:ascii="Arial" w:cs="Arial" w:eastAsia="Arial" w:hAnsi="Arial"/>
          <w:sz w:val="21"/>
          <w:szCs w:val="21"/>
          <w:color w:val="auto"/>
        </w:rPr>
        <w:t xml:space="preserve"> 815 (Summer 2019)</w:t>
      </w:r>
    </w:p>
    <w:p>
      <w:pPr>
        <w:spacing w:after="0" w:line="151" w:lineRule="exact"/>
        <w:rPr>
          <w:sz w:val="20"/>
          <w:szCs w:val="20"/>
          <w:color w:val="auto"/>
        </w:rPr>
      </w:pPr>
    </w:p>
    <w:p>
      <w:pPr>
        <w:ind w:left="160" w:right="179"/>
        <w:spacing w:after="0" w:line="257" w:lineRule="auto"/>
        <w:rPr>
          <w:sz w:val="20"/>
          <w:szCs w:val="20"/>
          <w:color w:val="auto"/>
        </w:rPr>
      </w:pPr>
      <w:r>
        <w:rPr>
          <w:rFonts w:ascii="Arial" w:cs="Arial" w:eastAsia="Arial" w:hAnsi="Arial"/>
          <w:sz w:val="19"/>
          <w:szCs w:val="19"/>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Very truly yours,</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/s/ Goodwin Procter LLP</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624840</wp:posOffset>
            </wp:positionV>
            <wp:extent cx="554863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18" w:name="page119"/>
    <w:bookmarkEnd w:id="118"/>
    <w:p>
      <w:pPr>
        <w:ind w:left="7760"/>
        <w:spacing w:after="0"/>
        <w:rPr>
          <w:sz w:val="20"/>
          <w:szCs w:val="20"/>
          <w:color w:val="auto"/>
        </w:rPr>
      </w:pPr>
      <w:r>
        <w:rPr>
          <w:rFonts w:ascii="Arial" w:cs="Arial" w:eastAsia="Arial" w:hAnsi="Arial"/>
          <w:sz w:val="20"/>
          <w:szCs w:val="20"/>
          <w:b w:val="1"/>
          <w:bCs w:val="1"/>
          <w:color w:val="auto"/>
        </w:rPr>
        <w:t>Exhibit 23.1</w:t>
      </w:r>
    </w:p>
    <w:p>
      <w:pPr>
        <w:jc w:val="center"/>
        <w:ind w:right="-20"/>
        <w:spacing w:after="0"/>
        <w:rPr>
          <w:sz w:val="20"/>
          <w:szCs w:val="20"/>
          <w:color w:val="auto"/>
        </w:rPr>
      </w:pPr>
      <w:r>
        <w:rPr>
          <w:rFonts w:ascii="Arial" w:cs="Arial" w:eastAsia="Arial" w:hAnsi="Arial"/>
          <w:sz w:val="19"/>
          <w:szCs w:val="19"/>
          <w:color w:val="auto"/>
        </w:rPr>
        <w:t>Consent of Independent Registered Public Accounting Firm</w:t>
      </w:r>
    </w:p>
    <w:p>
      <w:pPr>
        <w:spacing w:after="0" w:line="117" w:lineRule="exact"/>
        <w:rPr>
          <w:sz w:val="20"/>
          <w:szCs w:val="20"/>
          <w:color w:val="auto"/>
        </w:rPr>
      </w:pPr>
    </w:p>
    <w:p>
      <w:pPr>
        <w:ind w:left="160" w:right="219"/>
        <w:spacing w:after="0" w:line="203" w:lineRule="auto"/>
        <w:rPr>
          <w:sz w:val="20"/>
          <w:szCs w:val="20"/>
          <w:color w:val="auto"/>
        </w:rPr>
      </w:pPr>
      <w:r>
        <w:rPr>
          <w:rFonts w:ascii="Arial" w:cs="Arial" w:eastAsia="Arial" w:hAnsi="Arial"/>
          <w:sz w:val="19"/>
          <w:szCs w:val="19"/>
          <w:color w:val="auto"/>
        </w:rPr>
        <w:t>We consent to the reference to our firm under the caption "Experts" in the Registration Statement (Form S-3) and related Prospectus of Blueprint Medicines Corporation for the registration of common stock, preferred stock, debt securities, purchase contracts, purchase units, and warrants and to the incorporation by reference therein of our reports dated February 13, 2020 with respect to the consolidated financial statements of Blueprint Medicines Corporation, and the effectiveness of internal control over financial reporting of Blueprint Medicines Corporation, included in its Annual Report (Form 10-K) for the year ended December 31, 2019, filed with the Securities and Exchange Commission.</w:t>
      </w:r>
    </w:p>
    <w:p>
      <w:pPr>
        <w:spacing w:after="0" w:line="84" w:lineRule="exact"/>
        <w:rPr>
          <w:sz w:val="20"/>
          <w:szCs w:val="20"/>
          <w:color w:val="auto"/>
        </w:rPr>
      </w:pPr>
    </w:p>
    <w:p>
      <w:pPr>
        <w:jc w:val="right"/>
        <w:ind w:right="139"/>
        <w:spacing w:after="0"/>
        <w:rPr>
          <w:sz w:val="20"/>
          <w:szCs w:val="20"/>
          <w:color w:val="auto"/>
        </w:rPr>
      </w:pPr>
      <w:r>
        <w:rPr>
          <w:rFonts w:ascii="Arial" w:cs="Arial" w:eastAsia="Arial" w:hAnsi="Arial"/>
          <w:sz w:val="19"/>
          <w:szCs w:val="19"/>
          <w:color w:val="auto"/>
        </w:rPr>
        <w:t>/s/ Ernst &amp; Young LLP</w:t>
      </w:r>
    </w:p>
    <w:p>
      <w:pPr>
        <w:ind w:left="160"/>
        <w:spacing w:after="0" w:line="192" w:lineRule="auto"/>
        <w:rPr>
          <w:sz w:val="20"/>
          <w:szCs w:val="20"/>
          <w:color w:val="auto"/>
        </w:rPr>
      </w:pPr>
      <w:r>
        <w:rPr>
          <w:rFonts w:ascii="Arial" w:cs="Arial" w:eastAsia="Arial" w:hAnsi="Arial"/>
          <w:sz w:val="19"/>
          <w:szCs w:val="19"/>
          <w:color w:val="auto"/>
        </w:rPr>
        <w:t>Boston, Massachusetts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9"/>
          <w:szCs w:val="19"/>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457200</wp:posOffset>
            </wp:positionV>
            <wp:extent cx="554863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1)"/>
      <w:numFmt w:val="lowerRoman"/>
      <w:start w:val="2"/>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1)"/>
      <w:numFmt w:val="lowerLetter"/>
      <w:start w:val="9"/>
    </w:lvl>
    <w:lvl w:ilvl="1">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1)"/>
      <w:numFmt w:val="decimal"/>
      <w:start w:val="1"/>
    </w:lvl>
  </w:abstractNum>
  <w:abstractNum w:abstractNumId="31">
    <w:nsid w:val="74DE0EE3"/>
    <w:multiLevelType w:val="hybridMultilevel"/>
    <w:lvl w:ilvl="0">
      <w:lvlJc w:val="left"/>
      <w:lvlText w:val="(%1)"/>
      <w:numFmt w:val="decimal"/>
      <w:start w:val="1"/>
    </w:lvl>
    <w:lvl w:ilvl="1">
      <w:lvlJc w:val="left"/>
      <w:lvlText w:val="(%2)"/>
      <w:numFmt w:val="lowerRoman"/>
      <w:start w:val="1"/>
    </w:lvl>
  </w:abstractNum>
  <w:abstractNum w:abstractNumId="32">
    <w:nsid w:val="68EBC550"/>
    <w:multiLevelType w:val="hybridMultilevel"/>
    <w:lvl w:ilvl="0">
      <w:lvlJc w:val="left"/>
      <w:lvlText w:val="(%1)"/>
      <w:numFmt w:val="decimal"/>
      <w:start w:val="2"/>
    </w:lvl>
    <w:lvl w:ilvl="1">
      <w:lvlJc w:val="left"/>
      <w:lvlText w:val="(%2)"/>
      <w:numFmt w:val="lowerRoman"/>
      <w:start w:val="1"/>
    </w:lvl>
  </w:abstractNum>
  <w:abstractNum w:abstractNumId="33">
    <w:nsid w:val="2DF6D648"/>
    <w:multiLevelType w:val="hybridMultilevel"/>
    <w:lvl w:ilvl="0">
      <w:lvlJc w:val="left"/>
      <w:lvlText w:val="(%1)"/>
      <w:numFmt w:val="decimal"/>
      <w:start w:val="5"/>
    </w:lvl>
    <w:lvl w:ilvl="1">
      <w:lvlJc w:val="left"/>
      <w:lvlText w:val="(%2)"/>
      <w:numFmt w:val="lowerRoman"/>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1"/>
      <w:numFmt w:val="bullet"/>
      <w:start w:val="1"/>
    </w:lvl>
  </w:abstractNum>
  <w:abstractNum w:abstractNumId="37">
    <w:nsid w:val="57FC4FBB"/>
    <w:multiLevelType w:val="hybridMultilevel"/>
    <w:lvl w:ilvl="0">
      <w:lvlJc w:val="left"/>
      <w:lvlText w:val="(%1)"/>
      <w:numFmt w:val="decimal"/>
      <w:start w:val="1"/>
    </w:lvl>
  </w:abstractNum>
  <w:abstractNum w:abstractNumId="38">
    <w:nsid w:val="CC1016F"/>
    <w:multiLevelType w:val="hybridMultilevel"/>
    <w:lvl w:ilvl="0">
      <w:lvlJc w:val="left"/>
      <w:lvlText w:val="(%1)"/>
      <w:numFmt w:val="decimal"/>
      <w:start w:val="2"/>
    </w:lvl>
  </w:abstractNum>
  <w:abstractNum w:abstractNumId="39">
    <w:nsid w:val="43F18422"/>
    <w:multiLevelType w:val="hybridMultilevel"/>
    <w:lvl w:ilvl="0">
      <w:lvlJc w:val="left"/>
      <w:lvlText w:val="(%1)"/>
      <w:numFmt w:val="lowerLetter"/>
      <w:start w:val="1"/>
    </w:lvl>
  </w:abstractNum>
  <w:abstractNum w:abstractNumId="40">
    <w:nsid w:val="60EF0119"/>
    <w:multiLevelType w:val="hybridMultilevel"/>
    <w:lvl w:ilvl="0">
      <w:lvlJc w:val="left"/>
      <w:lvlText w:val="(%1)"/>
      <w:numFmt w:val="decimal"/>
      <w:start w:val="1"/>
    </w:lvl>
  </w:abstractNum>
  <w:abstractNum w:abstractNumId="41">
    <w:nsid w:val="26F324BA"/>
    <w:multiLevelType w:val="hybridMultilevel"/>
    <w:lvl w:ilvl="0">
      <w:lvlJc w:val="left"/>
      <w:lvlText w:val="(%1)"/>
      <w:numFmt w:val="decimal"/>
      <w:start w:val="9"/>
    </w:lvl>
  </w:abstractNum>
  <w:abstractNum w:abstractNumId="42">
    <w:nsid w:val="7F01579B"/>
    <w:multiLevelType w:val="hybridMultilevel"/>
    <w:lvl w:ilvl="0">
      <w:lvlJc w:val="left"/>
      <w:lvlText w:val="(%1)"/>
      <w:numFmt w:val="decimal"/>
      <w:start w:val="23"/>
    </w:lvl>
  </w:abstractNum>
  <w:abstractNum w:abstractNumId="43">
    <w:nsid w:val="49DA307D"/>
    <w:multiLevelType w:val="hybridMultilevel"/>
    <w:lvl w:ilvl="0">
      <w:lvlJc w:val="left"/>
      <w:lvlText w:val="(%1)"/>
      <w:numFmt w:val="decimal"/>
      <w:start w:val="1"/>
    </w:lvl>
  </w:abstractNum>
  <w:abstractNum w:abstractNumId="44">
    <w:nsid w:val="7055A5F5"/>
    <w:multiLevelType w:val="hybridMultilevel"/>
    <w:lvl w:ilvl="0">
      <w:lvlJc w:val="left"/>
      <w:lvlText w:val="(%1)"/>
      <w:numFmt w:val="decimal"/>
      <w:start w:val="2"/>
    </w:lvl>
  </w:abstractNum>
  <w:abstractNum w:abstractNumId="45">
    <w:nsid w:val="5FB8370B"/>
    <w:multiLevelType w:val="hybridMultilevel"/>
    <w:lvl w:ilvl="0">
      <w:lvlJc w:val="left"/>
      <w:lvlText w:val="(%1)"/>
      <w:numFmt w:val="lowerLetter"/>
      <w:start w:val="1"/>
    </w:lvl>
  </w:abstractNum>
  <w:abstractNum w:abstractNumId="46">
    <w:nsid w:val="50801EE1"/>
    <w:multiLevelType w:val="hybridMultilevel"/>
    <w:lvl w:ilvl="0">
      <w:lvlJc w:val="left"/>
      <w:lvlText w:val="(%1)"/>
      <w:numFmt w:val="lowerLetter"/>
      <w:start w:val="3"/>
    </w:lvl>
  </w:abstractNum>
  <w:abstractNum w:abstractNumId="47">
    <w:nsid w:val="488AC1A"/>
    <w:multiLevelType w:val="hybridMultilevel"/>
    <w:lvl w:ilvl="0">
      <w:lvlJc w:val="left"/>
      <w:lvlText w:val="(%1)"/>
      <w:numFmt w:val="lowerLetter"/>
      <w:start w:val="1"/>
    </w:lvl>
  </w:abstractNum>
  <w:abstractNum w:abstractNumId="48">
    <w:nsid w:val="5FB8011C"/>
    <w:multiLevelType w:val="hybridMultilevel"/>
    <w:lvl w:ilvl="0">
      <w:lvlJc w:val="left"/>
      <w:lvlText w:val="(%1)"/>
      <w:numFmt w:val="lowerLetter"/>
      <w:start w:val="1"/>
    </w:lvl>
  </w:abstractNum>
  <w:abstractNum w:abstractNumId="49">
    <w:nsid w:val="6AA78F7F"/>
    <w:multiLevelType w:val="hybridMultilevel"/>
    <w:lvl w:ilvl="0">
      <w:lvlJc w:val="left"/>
      <w:lvlText w:val="(%1)"/>
      <w:numFmt w:val="lowerLetter"/>
      <w:start w:val="2"/>
    </w:lvl>
  </w:abstractNum>
  <w:abstractNum w:abstractNumId="50">
    <w:nsid w:val="7672BD23"/>
    <w:multiLevelType w:val="hybridMultilevel"/>
    <w:lvl w:ilvl="0">
      <w:lvlJc w:val="left"/>
      <w:lvlText w:val="(%1)"/>
      <w:numFmt w:val="lowerLetter"/>
      <w:start w:val="1"/>
    </w:lvl>
  </w:abstractNum>
  <w:abstractNum w:abstractNumId="51">
    <w:nsid w:val="6FC75AF8"/>
    <w:multiLevelType w:val="hybridMultilevel"/>
    <w:lvl w:ilvl="0">
      <w:lvlJc w:val="left"/>
      <w:lvlText w:val="(%1)"/>
      <w:numFmt w:val="lowerLetter"/>
      <w:start w:val="1"/>
    </w:lvl>
  </w:abstractNum>
  <w:abstractNum w:abstractNumId="52">
    <w:nsid w:val="6A5F7029"/>
    <w:multiLevelType w:val="hybridMultilevel"/>
    <w:lvl w:ilvl="0">
      <w:lvlJc w:val="left"/>
      <w:lvlText w:val="(%1)"/>
      <w:numFmt w:val="decimal"/>
      <w:start w:val="1"/>
    </w:lvl>
  </w:abstractNum>
  <w:abstractNum w:abstractNumId="53">
    <w:nsid w:val="7D5E18F8"/>
    <w:multiLevelType w:val="hybridMultilevel"/>
    <w:lvl w:ilvl="0">
      <w:lvlJc w:val="left"/>
      <w:lvlText w:val="(%1)"/>
      <w:numFmt w:val="decimal"/>
      <w:start w:val="2"/>
    </w:lvl>
  </w:abstractNum>
  <w:abstractNum w:abstractNumId="54">
    <w:nsid w:val="5F3534A4"/>
    <w:multiLevelType w:val="hybridMultilevel"/>
    <w:lvl w:ilvl="0">
      <w:lvlJc w:val="left"/>
      <w:lvlText w:val="(%1)"/>
      <w:numFmt w:val="lowerLetter"/>
      <w:start w:val="2"/>
    </w:lvl>
  </w:abstractNum>
  <w:abstractNum w:abstractNumId="55">
    <w:nsid w:val="73A1821B"/>
    <w:multiLevelType w:val="hybridMultilevel"/>
    <w:lvl w:ilvl="0">
      <w:lvlJc w:val="left"/>
      <w:lvlText w:val="(%1)"/>
      <w:numFmt w:val="lowerLetter"/>
      <w:start w:val="1"/>
    </w:lvl>
  </w:abstractNum>
  <w:abstractNum w:abstractNumId="56">
    <w:nsid w:val="7DE67713"/>
    <w:multiLevelType w:val="hybridMultilevel"/>
    <w:lvl w:ilvl="0">
      <w:lvlJc w:val="left"/>
      <w:lvlText w:val="(%1)"/>
      <w:numFmt w:val="lowerLetter"/>
      <w:start w:val="1"/>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lowerLetter"/>
      <w:start w:val="1"/>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lowerRoman"/>
      <w:start w:val="2"/>
    </w:lvl>
  </w:abstractNum>
  <w:abstractNum w:abstractNumId="61">
    <w:nsid w:val="71C91298"/>
    <w:multiLevelType w:val="hybridMultilevel"/>
    <w:lvl w:ilvl="0">
      <w:lvlJc w:val="left"/>
      <w:lvlText w:val="(%1)"/>
      <w:numFmt w:val="decimal"/>
      <w:start w:val="5"/>
    </w:lvl>
  </w:abstractNum>
  <w:abstractNum w:abstractNumId="62">
    <w:nsid w:val="9DAF632"/>
    <w:multiLevelType w:val="hybridMultilevel"/>
    <w:lvl w:ilvl="0">
      <w:lvlJc w:val="left"/>
      <w:lvlText w:val="(%1)"/>
      <w:numFmt w:val="lowerLetter"/>
      <w:start w:val="2"/>
    </w:lvl>
  </w:abstractNum>
  <w:abstractNum w:abstractNumId="63">
    <w:nsid w:val="53299938"/>
    <w:multiLevelType w:val="hybridMultilevel"/>
    <w:lvl w:ilvl="0">
      <w:lvlJc w:val="left"/>
      <w:lvlText w:val="(%1)"/>
      <w:numFmt w:val="lowerLetter"/>
      <w:start w:val="4"/>
    </w:lvl>
  </w:abstractNum>
  <w:abstractNum w:abstractNumId="64">
    <w:nsid w:val="1FBFE8E0"/>
    <w:multiLevelType w:val="hybridMultilevel"/>
    <w:lvl w:ilvl="0">
      <w:lvlJc w:val="left"/>
      <w:lvlText w:val="(%1)"/>
      <w:numFmt w:val="lowerLetter"/>
      <w:start w:val="1"/>
    </w:lvl>
  </w:abstractNum>
  <w:abstractNum w:abstractNumId="65">
    <w:nsid w:val="5092CA79"/>
    <w:multiLevelType w:val="hybridMultilevel"/>
    <w:lvl w:ilvl="0">
      <w:lvlJc w:val="left"/>
      <w:lvlText w:val="(%1)"/>
      <w:numFmt w:val="lowerLetter"/>
      <w:start w:val="1"/>
    </w:lvl>
  </w:abstractNum>
  <w:abstractNum w:abstractNumId="66">
    <w:nsid w:val="1D545C4D"/>
    <w:multiLevelType w:val="hybridMultilevel"/>
    <w:lvl w:ilvl="0">
      <w:lvlJc w:val="left"/>
      <w:lvlText w:val="(%1)"/>
      <w:numFmt w:val="lowerLetter"/>
      <w:start w:val="2"/>
    </w:lvl>
  </w:abstractNum>
  <w:abstractNum w:abstractNumId="67">
    <w:nsid w:val="59ADEA3D"/>
    <w:multiLevelType w:val="hybridMultilevel"/>
    <w:lvl w:ilvl="0">
      <w:lvlJc w:val="left"/>
      <w:lvlText w:val="(%1)"/>
      <w:numFmt w:val="lowerLetter"/>
      <w:start w:val="1"/>
    </w:lvl>
  </w:abstractNum>
  <w:abstractNum w:abstractNumId="68">
    <w:nsid w:val="288F1A34"/>
    <w:multiLevelType w:val="hybridMultilevel"/>
    <w:lvl w:ilvl="0">
      <w:lvlJc w:val="left"/>
      <w:lvlText w:val="(%1)"/>
      <w:numFmt w:val="lowerLetter"/>
      <w:start w:val="2"/>
    </w:lvl>
  </w:abstractNum>
  <w:abstractNum w:abstractNumId="69">
    <w:nsid w:val="2A155DBC"/>
    <w:multiLevelType w:val="hybridMultilevel"/>
    <w:lvl w:ilvl="0">
      <w:lvlJc w:val="left"/>
      <w:lvlText w:val="(%1)"/>
      <w:numFmt w:val="decimal"/>
      <w:start w:val="1"/>
    </w:lvl>
  </w:abstractNum>
  <w:abstractNum w:abstractNumId="70">
    <w:nsid w:val="1D9F6E5F"/>
    <w:multiLevelType w:val="hybridMultilevel"/>
    <w:lvl w:ilvl="0">
      <w:lvlJc w:val="left"/>
      <w:lvlText w:val="(%1)"/>
      <w:numFmt w:val="upperLetter"/>
      <w:start w:val="1"/>
    </w:lvl>
  </w:abstractNum>
  <w:abstractNum w:abstractNumId="71">
    <w:nsid w:val="97E1B4E"/>
    <w:multiLevelType w:val="hybridMultilevel"/>
    <w:lvl w:ilvl="0">
      <w:lvlJc w:val="left"/>
      <w:lvlText w:val="(%1)"/>
      <w:numFmt w:val="decimal"/>
      <w:start w:val="2"/>
    </w:lvl>
  </w:abstractNum>
  <w:abstractNum w:abstractNumId="72">
    <w:nsid w:val="51088277"/>
    <w:multiLevelType w:val="hybridMultilevel"/>
    <w:lvl w:ilvl="0">
      <w:lvlJc w:val="left"/>
      <w:lvlText w:val="(%1)"/>
      <w:numFmt w:val="lowerLetter"/>
      <w:start w:val="1"/>
    </w:lvl>
  </w:abstractNum>
  <w:abstractNum w:abstractNumId="73">
    <w:nsid w:val="1CA0C5FA"/>
    <w:multiLevelType w:val="hybridMultilevel"/>
    <w:lvl w:ilvl="0">
      <w:lvlJc w:val="left"/>
      <w:lvlText w:val="(%1)"/>
      <w:numFmt w:val="lowerLetter"/>
      <w:start w:val="5"/>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1)"/>
      <w:numFmt w:val="lowerLetter"/>
      <w:start w:val="1"/>
    </w:lvl>
  </w:abstractNum>
  <w:abstractNum w:abstractNumId="76">
    <w:nsid w:val="7C58FD05"/>
    <w:multiLevelType w:val="hybridMultilevel"/>
    <w:lvl w:ilvl="0">
      <w:lvlJc w:val="left"/>
      <w:lvlText w:val="(%1)"/>
      <w:numFmt w:val="lowerLetter"/>
      <w:start w:val="1"/>
    </w:lvl>
  </w:abstractNum>
  <w:abstractNum w:abstractNumId="77">
    <w:nsid w:val="23D86AAC"/>
    <w:multiLevelType w:val="hybridMultilevel"/>
    <w:lvl w:ilvl="0">
      <w:lvlJc w:val="left"/>
      <w:lvlText w:val="(%1)"/>
      <w:numFmt w:val="lowerRoman"/>
      <w:start w:val="1"/>
    </w:lvl>
  </w:abstractNum>
  <w:abstractNum w:abstractNumId="78">
    <w:nsid w:val="45E6D486"/>
    <w:multiLevelType w:val="hybridMultilevel"/>
    <w:lvl w:ilvl="0">
      <w:lvlJc w:val="left"/>
      <w:lvlText w:val="(%1)"/>
      <w:numFmt w:val="lowerLetter"/>
      <w:start w:val="3"/>
    </w:lvl>
  </w:abstractNum>
  <w:abstractNum w:abstractNumId="79">
    <w:nsid w:val="5C10FE21"/>
    <w:multiLevelType w:val="hybridMultilevel"/>
    <w:lvl w:ilvl="0">
      <w:lvlJc w:val="left"/>
      <w:lvlText w:val="(%1)"/>
      <w:numFmt w:val="lowerLetter"/>
      <w:start w:val="1"/>
    </w:lvl>
  </w:abstractNum>
  <w:abstractNum w:abstractNumId="80">
    <w:nsid w:val="E7FFA2B"/>
    <w:multiLevelType w:val="hybridMultilevel"/>
    <w:lvl w:ilvl="0">
      <w:lvlJc w:val="left"/>
      <w:lvlText w:val="(%1)"/>
      <w:numFmt w:val="lowerLetter"/>
      <w:start w:val="1"/>
    </w:lvl>
  </w:abstractNum>
  <w:abstractNum w:abstractNumId="81">
    <w:nsid w:val="3C5991AA"/>
    <w:multiLevelType w:val="hybridMultilevel"/>
    <w:lvl w:ilvl="0">
      <w:lvlJc w:val="left"/>
      <w:lvlText w:val="(%1)"/>
      <w:numFmt w:val="lowerLetter"/>
      <w:start w:val="4"/>
    </w:lvl>
  </w:abstractNum>
  <w:abstractNum w:abstractNumId="82">
    <w:nsid w:val="4BD8591A"/>
    <w:multiLevelType w:val="hybridMultilevel"/>
    <w:lvl w:ilvl="0">
      <w:lvlJc w:val="left"/>
      <w:lvlText w:val="(%1)"/>
      <w:numFmt w:val="lowerLetter"/>
      <w:start w:val="1"/>
    </w:lvl>
  </w:abstractNum>
  <w:abstractNum w:abstractNumId="83">
    <w:nsid w:val="78DF6A55"/>
    <w:multiLevelType w:val="hybridMultilevel"/>
    <w:lvl w:ilvl="0">
      <w:lvlJc w:val="left"/>
      <w:lvlText w:val="(%1)"/>
      <w:numFmt w:val="lowerLetter"/>
      <w:start w:val="2"/>
    </w:lvl>
  </w:abstractNum>
  <w:abstractNum w:abstractNumId="84">
    <w:nsid w:val="39B7AAA2"/>
    <w:multiLevelType w:val="hybridMultilevel"/>
    <w:lvl w:ilvl="0">
      <w:lvlJc w:val="left"/>
      <w:lvlText w:val="(%1)"/>
      <w:numFmt w:val="lowerLetter"/>
      <w:start w:val="1"/>
    </w:lvl>
  </w:abstractNum>
  <w:abstractNum w:abstractNumId="85">
    <w:nsid w:val="2B0D8DBE"/>
    <w:multiLevelType w:val="hybridMultilevel"/>
    <w:lvl w:ilvl="0">
      <w:lvlJc w:val="left"/>
      <w:lvlText w:val="(%1)"/>
      <w:numFmt w:val="lowerLetter"/>
      <w:start w:val="4"/>
    </w:lvl>
  </w:abstractNum>
  <w:abstractNum w:abstractNumId="86">
    <w:nsid w:val="6C80EC70"/>
    <w:multiLevelType w:val="hybridMultilevel"/>
    <w:lvl w:ilvl="0">
      <w:lvlJc w:val="left"/>
      <w:lvlText w:val="(%1)"/>
      <w:numFmt w:val="lowerLetter"/>
      <w:start w:val="1"/>
    </w:lvl>
  </w:abstractNum>
  <w:abstractNum w:abstractNumId="87">
    <w:nsid w:val="379E21B5"/>
    <w:multiLevelType w:val="hybridMultilevel"/>
    <w:lvl w:ilvl="0">
      <w:lvlJc w:val="left"/>
      <w:lvlText w:val="(%1)"/>
      <w:numFmt w:val="lowerLetter"/>
      <w:start w:val="1"/>
    </w:lvl>
  </w:abstractNum>
  <w:abstractNum w:abstractNumId="88">
    <w:nsid w:val="69E373"/>
    <w:multiLevelType w:val="hybridMultilevel"/>
    <w:lvl w:ilvl="0">
      <w:lvlJc w:val="left"/>
      <w:lvlText w:val="(%1)"/>
      <w:numFmt w:val="lowerLetter"/>
      <w:start w:val="2"/>
    </w:lvl>
  </w:abstractNum>
  <w:abstractNum w:abstractNumId="89">
    <w:nsid w:val="2C27173B"/>
    <w:multiLevelType w:val="hybridMultilevel"/>
    <w:lvl w:ilvl="0">
      <w:lvlJc w:val="left"/>
      <w:lvlText w:val="2"/>
      <w:numFmt w:val="bullet"/>
      <w:start w:val="1"/>
    </w:lvl>
  </w:abstractNum>
  <w:abstractNum w:abstractNumId="90">
    <w:nsid w:val="4C9B0904"/>
    <w:multiLevelType w:val="hybridMultilevel"/>
    <w:lvl w:ilvl="0">
      <w:lvlJc w:val="left"/>
      <w:lvlText w:val="1"/>
      <w:numFmt w:val="bullet"/>
      <w:start w:val="1"/>
    </w:lvl>
  </w:abstractNum>
  <w:abstractNum w:abstractNumId="91">
    <w:nsid w:val="6AA7B75C"/>
    <w:multiLevelType w:val="hybridMultilevel"/>
    <w:lvl w:ilvl="0">
      <w:lvlJc w:val="left"/>
      <w:lvlText w:val="(%1)"/>
      <w:numFmt w:val="decimal"/>
      <w:start w:val="1"/>
    </w:lvl>
  </w:abstractNum>
  <w:abstractNum w:abstractNumId="92">
    <w:nsid w:val="1DF029D3"/>
    <w:multiLevelType w:val="hybridMultilevel"/>
    <w:lvl w:ilvl="0">
      <w:lvlJc w:val="left"/>
      <w:lvlText w:val="(%1)"/>
      <w:numFmt w:val="decimal"/>
      <w:start w:val="2"/>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decimal"/>
      <w:start w:val="1"/>
    </w:lvl>
  </w:abstractNum>
  <w:abstractNum w:abstractNumId="95">
    <w:nsid w:val="3DB012B3"/>
    <w:multiLevelType w:val="hybridMultilevel"/>
    <w:lvl w:ilvl="0">
      <w:lvlJc w:val="left"/>
      <w:lvlText w:val="(%1)"/>
      <w:numFmt w:val="decimal"/>
      <w:start w:val="10"/>
    </w:lvl>
  </w:abstractNum>
  <w:abstractNum w:abstractNumId="96">
    <w:nsid w:val="2708C9AF"/>
    <w:multiLevelType w:val="hybridMultilevel"/>
    <w:lvl w:ilvl="0">
      <w:lvlJc w:val="left"/>
      <w:lvlText w:val="(%1)"/>
      <w:numFmt w:val="decimal"/>
      <w:start w:val="1"/>
    </w:lvl>
  </w:abstractNum>
  <w:abstractNum w:abstractNumId="97">
    <w:nsid w:val="5B25ACE2"/>
    <w:multiLevelType w:val="hybridMultilevel"/>
    <w:lvl w:ilvl="0">
      <w:lvlJc w:val="left"/>
      <w:lvlText w:val="(%1)"/>
      <w:numFmt w:val="decimal"/>
      <w:start w:val="2"/>
    </w:lvl>
  </w:abstractNum>
  <w:abstractNum w:abstractNumId="98">
    <w:nsid w:val="175DFCF0"/>
    <w:multiLevelType w:val="hybridMultilevel"/>
    <w:lvl w:ilvl="0">
      <w:lvlJc w:val="left"/>
      <w:lvlText w:val="(%1)"/>
      <w:numFmt w:val="lowerLetter"/>
      <w:start w:val="1"/>
    </w:lvl>
  </w:abstractNum>
  <w:abstractNum w:abstractNumId="99">
    <w:nsid w:val="4F97E3E4"/>
    <w:multiLevelType w:val="hybridMultilevel"/>
    <w:lvl w:ilvl="0">
      <w:lvlJc w:val="left"/>
      <w:lvlText w:val="(%1)"/>
      <w:numFmt w:val="lowerLetter"/>
      <w:start w:val="3"/>
    </w:lvl>
  </w:abstractNum>
  <w:abstractNum w:abstractNumId="100">
    <w:nsid w:val="53B0A9E"/>
    <w:multiLevelType w:val="hybridMultilevel"/>
    <w:lvl w:ilvl="0">
      <w:lvlJc w:val="left"/>
      <w:lvlText w:val="(%1)"/>
      <w:numFmt w:val="lowerLetter"/>
      <w:start w:val="1"/>
    </w:lvl>
  </w:abstractNum>
  <w:abstractNum w:abstractNumId="101">
    <w:nsid w:val="34FD6B4F"/>
    <w:multiLevelType w:val="hybridMultilevel"/>
    <w:lvl w:ilvl="0">
      <w:lvlJc w:val="left"/>
      <w:lvlText w:val="(%1)"/>
      <w:numFmt w:val="lowerLetter"/>
      <w:start w:val="1"/>
    </w:lvl>
  </w:abstractNum>
  <w:abstractNum w:abstractNumId="102">
    <w:nsid w:val="5915FF32"/>
    <w:multiLevelType w:val="hybridMultilevel"/>
    <w:lvl w:ilvl="0">
      <w:lvlJc w:val="left"/>
      <w:lvlText w:val="(%1)"/>
      <w:numFmt w:val="lowerLetter"/>
      <w:start w:val="2"/>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decimal"/>
      <w:start w:val="1"/>
    </w:lvl>
  </w:abstractNum>
  <w:abstractNum w:abstractNumId="106">
    <w:nsid w:val="17A1B582"/>
    <w:multiLevelType w:val="hybridMultilevel"/>
    <w:lvl w:ilvl="0">
      <w:lvlJc w:val="left"/>
      <w:lvlText w:val="(%1)"/>
      <w:numFmt w:val="decimal"/>
      <w:start w:val="4"/>
    </w:lvl>
  </w:abstractNum>
  <w:abstractNum w:abstractNumId="107">
    <w:nsid w:val="4DF72E4E"/>
    <w:multiLevelType w:val="hybridMultilevel"/>
    <w:lvl w:ilvl="0">
      <w:lvlJc w:val="left"/>
      <w:lvlText w:val="(%1)"/>
      <w:numFmt w:val="lowerLetter"/>
      <w:start w:val="2"/>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Letter"/>
      <w:start w:val="2"/>
    </w:lvl>
  </w:abstractNum>
  <w:abstractNum w:abstractNumId="110">
    <w:nsid w:val="2A082C70"/>
    <w:multiLevelType w:val="hybridMultilevel"/>
    <w:lvl w:ilvl="0">
      <w:lvlJc w:val="left"/>
      <w:lvlText w:val="(%1)"/>
      <w:numFmt w:val="lowerLetter"/>
      <w:start w:val="1"/>
    </w:lvl>
  </w:abstractNum>
  <w:abstractNum w:abstractNumId="111">
    <w:nsid w:val="5EC6AFD4"/>
    <w:multiLevelType w:val="hybridMultilevel"/>
    <w:lvl w:ilvl="0">
      <w:lvlJc w:val="left"/>
      <w:lvlText w:val="(%1)"/>
      <w:numFmt w:val="lowerLetter"/>
      <w:start w:val="1"/>
    </w:lvl>
  </w:abstractNum>
  <w:abstractNum w:abstractNumId="112">
    <w:nsid w:val="19E21BB2"/>
    <w:multiLevelType w:val="hybridMultilevel"/>
    <w:lvl w:ilvl="0">
      <w:lvlJc w:val="left"/>
      <w:lvlText w:val="(%1)"/>
      <w:numFmt w:val="lowerLetter"/>
      <w:start w:val="1"/>
    </w:lvl>
  </w:abstractNum>
  <w:abstractNum w:abstractNumId="113">
    <w:nsid w:val="75E0858A"/>
    <w:multiLevelType w:val="hybridMultilevel"/>
    <w:lvl w:ilvl="0">
      <w:lvlJc w:val="left"/>
      <w:lvlText w:val="(%1)"/>
      <w:numFmt w:val="decimal"/>
      <w:start w:val="1"/>
    </w:lvl>
  </w:abstractNum>
  <w:abstractNum w:abstractNumId="114">
    <w:nsid w:val="57A61A29"/>
    <w:multiLevelType w:val="hybridMultilevel"/>
    <w:lvl w:ilvl="0">
      <w:lvlJc w:val="left"/>
      <w:lvlText w:val="(%1)"/>
      <w:numFmt w:val="decimal"/>
      <w:start w:val="2"/>
    </w:lvl>
  </w:abstractNum>
  <w:abstractNum w:abstractNumId="115">
    <w:nsid w:val="5399C654"/>
    <w:multiLevelType w:val="hybridMultilevel"/>
    <w:lvl w:ilvl="0">
      <w:lvlJc w:val="left"/>
      <w:lvlText w:val="(%1)"/>
      <w:numFmt w:val="lowerRoman"/>
      <w:start w:val="2"/>
    </w:lvl>
  </w:abstractNum>
  <w:abstractNum w:abstractNumId="116">
    <w:nsid w:val="20EE1348"/>
    <w:multiLevelType w:val="hybridMultilevel"/>
    <w:lvl w:ilvl="0">
      <w:lvlJc w:val="left"/>
      <w:lvlText w:val="(%1)"/>
      <w:numFmt w:val="decimal"/>
      <w:start w:val="5"/>
    </w:lvl>
  </w:abstractNum>
  <w:abstractNum w:abstractNumId="117">
    <w:nsid w:val="4427069A"/>
    <w:multiLevelType w:val="hybridMultilevel"/>
    <w:lvl w:ilvl="0">
      <w:lvlJc w:val="left"/>
      <w:lvlText w:val="(%1)"/>
      <w:numFmt w:val="lowerLetter"/>
      <w:start w:val="2"/>
    </w:lvl>
  </w:abstractNum>
  <w:abstractNum w:abstractNumId="118">
    <w:nsid w:val="B37E80A"/>
    <w:multiLevelType w:val="hybridMultilevel"/>
    <w:lvl w:ilvl="0">
      <w:lvlJc w:val="left"/>
      <w:lvlText w:val="(%1)"/>
      <w:numFmt w:val="lowerLetter"/>
      <w:start w:val="4"/>
    </w:lvl>
  </w:abstractNum>
  <w:abstractNum w:abstractNumId="119">
    <w:nsid w:val="2157F6BC"/>
    <w:multiLevelType w:val="hybridMultilevel"/>
    <w:lvl w:ilvl="0">
      <w:lvlJc w:val="left"/>
      <w:lvlText w:val="(%1)"/>
      <w:numFmt w:val="lowerLetter"/>
      <w:start w:val="1"/>
    </w:lvl>
  </w:abstractNum>
  <w:abstractNum w:abstractNumId="120">
    <w:nsid w:val="704E1DD5"/>
    <w:multiLevelType w:val="hybridMultilevel"/>
    <w:lvl w:ilvl="0">
      <w:lvlJc w:val="left"/>
      <w:lvlText w:val="(%1)"/>
      <w:numFmt w:val="lowerLetter"/>
      <w:start w:val="1"/>
    </w:lvl>
  </w:abstractNum>
  <w:abstractNum w:abstractNumId="121">
    <w:nsid w:val="57D2F10E"/>
    <w:multiLevelType w:val="hybridMultilevel"/>
    <w:lvl w:ilvl="0">
      <w:lvlJc w:val="left"/>
      <w:lvlText w:val="(%1)"/>
      <w:numFmt w:val="lowerLetter"/>
      <w:start w:val="1"/>
    </w:lvl>
  </w:abstractNum>
  <w:abstractNum w:abstractNumId="122">
    <w:nsid w:val="BFFAE18"/>
    <w:multiLevelType w:val="hybridMultilevel"/>
    <w:lvl w:ilvl="0">
      <w:lvlJc w:val="left"/>
      <w:lvlText w:val="(%1)"/>
      <w:numFmt w:val="decimal"/>
      <w:start w:val="1"/>
    </w:lvl>
  </w:abstractNum>
  <w:abstractNum w:abstractNumId="123">
    <w:nsid w:val="E3E47A8"/>
    <w:multiLevelType w:val="hybridMultilevel"/>
    <w:lvl w:ilvl="0">
      <w:lvlJc w:val="left"/>
      <w:lvlText w:val="(%1)"/>
      <w:numFmt w:val="upperLetter"/>
      <w:start w:val="1"/>
    </w:lvl>
  </w:abstractNum>
  <w:abstractNum w:abstractNumId="124">
    <w:nsid w:val="2E48F044"/>
    <w:multiLevelType w:val="hybridMultilevel"/>
    <w:lvl w:ilvl="0">
      <w:lvlJc w:val="left"/>
      <w:lvlText w:val="(%1)"/>
      <w:numFmt w:val="upperLetter"/>
      <w:start w:val="2"/>
    </w:lvl>
  </w:abstractNum>
  <w:abstractNum w:abstractNumId="125">
    <w:nsid w:val="49D0FEAC"/>
    <w:multiLevelType w:val="hybridMultilevel"/>
    <w:lvl w:ilvl="0">
      <w:lvlJc w:val="left"/>
      <w:lvlText w:val="(%1)"/>
      <w:numFmt w:val="decimal"/>
      <w:start w:val="2"/>
    </w:lvl>
  </w:abstractNum>
  <w:abstractNum w:abstractNumId="126">
    <w:nsid w:val="4BEE5A5B"/>
    <w:multiLevelType w:val="hybridMultilevel"/>
    <w:lvl w:ilvl="0">
      <w:lvlJc w:val="left"/>
      <w:lvlText w:val="(%1)"/>
      <w:numFmt w:val="lowerLetter"/>
      <w:start w:val="1"/>
    </w:lvl>
  </w:abstractNum>
  <w:abstractNum w:abstractNumId="127">
    <w:nsid w:val="5551B9F3"/>
    <w:multiLevelType w:val="hybridMultilevel"/>
    <w:lvl w:ilvl="0">
      <w:lvlJc w:val="left"/>
      <w:lvlText w:val="(%1)"/>
      <w:numFmt w:val="lowerLetter"/>
      <w:start w:val="7"/>
    </w:lvl>
  </w:abstractNum>
  <w:abstractNum w:abstractNumId="128">
    <w:nsid w:val="24F6AB8E"/>
    <w:multiLevelType w:val="hybridMultilevel"/>
    <w:lvl w:ilvl="0">
      <w:lvlJc w:val="left"/>
      <w:lvlText w:val="(%1)"/>
      <w:numFmt w:val="lowerLetter"/>
      <w:start w:val="1"/>
    </w:lvl>
  </w:abstractNum>
  <w:abstractNum w:abstractNumId="129">
    <w:nsid w:val="634C574C"/>
    <w:multiLevelType w:val="hybridMultilevel"/>
    <w:lvl w:ilvl="0">
      <w:lvlJc w:val="left"/>
      <w:lvlText w:val="(%1)"/>
      <w:numFmt w:val="lowerLetter"/>
      <w:start w:val="1"/>
    </w:lvl>
  </w:abstractNum>
  <w:abstractNum w:abstractNumId="130">
    <w:nsid w:val="24E99DD7"/>
    <w:multiLevelType w:val="hybridMultilevel"/>
    <w:lvl w:ilvl="0">
      <w:lvlJc w:val="left"/>
      <w:lvlText w:val="(%1)"/>
      <w:numFmt w:val="lowerLetter"/>
      <w:start w:val="1"/>
    </w:lvl>
  </w:abstractNum>
  <w:abstractNum w:abstractNumId="131">
    <w:nsid w:val="2A31B62D"/>
    <w:multiLevelType w:val="hybridMultilevel"/>
    <w:lvl w:ilvl="0">
      <w:lvlJc w:val="left"/>
      <w:lvlText w:val="(%1)"/>
      <w:numFmt w:val="lowerRoman"/>
      <w:start w:val="1"/>
    </w:lvl>
  </w:abstractNum>
  <w:abstractNum w:abstractNumId="132">
    <w:nsid w:val="1849C29B"/>
    <w:multiLevelType w:val="hybridMultilevel"/>
    <w:lvl w:ilvl="0">
      <w:lvlJc w:val="left"/>
      <w:lvlText w:val="(%1)"/>
      <w:numFmt w:val="lowerLetter"/>
      <w:start w:val="3"/>
    </w:lvl>
  </w:abstractNum>
  <w:abstractNum w:abstractNumId="133">
    <w:nsid w:val="7DFF9D09"/>
    <w:multiLevelType w:val="hybridMultilevel"/>
    <w:lvl w:ilvl="0">
      <w:lvlJc w:val="left"/>
      <w:lvlText w:val="(%1)"/>
      <w:numFmt w:val="lowerLetter"/>
      <w:start w:val="1"/>
    </w:lvl>
  </w:abstractNum>
  <w:abstractNum w:abstractNumId="134">
    <w:nsid w:val="754342"/>
    <w:multiLevelType w:val="hybridMultilevel"/>
    <w:lvl w:ilvl="0">
      <w:lvlJc w:val="left"/>
      <w:lvlText w:val="(%1)"/>
      <w:numFmt w:val="lowerLetter"/>
      <w:start w:val="2"/>
    </w:lvl>
  </w:abstractNum>
  <w:abstractNum w:abstractNumId="135">
    <w:nsid w:val="69E7F3E5"/>
    <w:multiLevelType w:val="hybridMultilevel"/>
    <w:lvl w:ilvl="0">
      <w:lvlJc w:val="left"/>
      <w:lvlText w:val="(%1)"/>
      <w:numFmt w:val="lowerLetter"/>
      <w:start w:val="1"/>
    </w:lvl>
  </w:abstractNum>
  <w:abstractNum w:abstractNumId="136">
    <w:nsid w:val="2A6DE806"/>
    <w:multiLevelType w:val="hybridMultilevel"/>
    <w:lvl w:ilvl="0">
      <w:lvlJc w:val="left"/>
      <w:lvlText w:val="(%1)"/>
      <w:numFmt w:val="lowerLetter"/>
      <w:start w:val="4"/>
    </w:lvl>
  </w:abstractNum>
  <w:abstractNum w:abstractNumId="137">
    <w:nsid w:val="1816F8C4"/>
    <w:multiLevelType w:val="hybridMultilevel"/>
    <w:lvl w:ilvl="0">
      <w:lvlJc w:val="left"/>
      <w:lvlText w:val="(%1)"/>
      <w:numFmt w:val="lowerLetter"/>
      <w:start w:val="1"/>
    </w:lvl>
  </w:abstractNum>
  <w:abstractNum w:abstractNumId="138">
    <w:nsid w:val="37DF2233"/>
    <w:multiLevelType w:val="hybridMultilevel"/>
    <w:lvl w:ilvl="0">
      <w:lvlJc w:val="left"/>
      <w:lvlText w:val="(%1)"/>
      <w:numFmt w:val="lowerLetter"/>
      <w:start w:val="1"/>
    </w:lvl>
  </w:abstractNum>
  <w:abstractNum w:abstractNumId="139">
    <w:nsid w:val="7AB49DAF"/>
    <w:multiLevelType w:val="hybridMultilevel"/>
    <w:lvl w:ilvl="0">
      <w:lvlJc w:val="left"/>
      <w:lvlText w:val="(%1)"/>
      <w:numFmt w:val="lowerLetter"/>
      <w:start w:val="5"/>
    </w:lvl>
  </w:abstractNum>
  <w:abstractNum w:abstractNumId="140">
    <w:nsid w:val="759F82CD"/>
    <w:multiLevelType w:val="hybridMultilevel"/>
    <w:lvl w:ilvl="0">
      <w:lvlJc w:val="left"/>
      <w:lvlText w:val="(%1)"/>
      <w:numFmt w:val="lowerLetter"/>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lowerLetter"/>
      <w:start w:val="2"/>
    </w:lvl>
  </w:abstractNum>
  <w:abstractNum w:abstractNumId="143">
    <w:nsid w:val="F819E7F"/>
    <w:multiLevelType w:val="hybridMultilevel"/>
    <w:lvl w:ilvl="0">
      <w:lvlJc w:val="left"/>
      <w:lvlText w:val="2"/>
      <w:numFmt w:val="bullet"/>
      <w:start w:val="1"/>
    </w:lvl>
  </w:abstractNum>
  <w:abstractNum w:abstractNumId="144">
    <w:nsid w:val="57C7D42D"/>
    <w:multiLevelType w:val="hybridMultilevel"/>
    <w:lvl w:ilvl="0">
      <w:lvlJc w:val="left"/>
      <w:lvlText w:val="(%1)"/>
      <w:numFmt w:val="lowerRoman"/>
      <w:start w:val="3"/>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21" Type="http://schemas.openxmlformats.org/officeDocument/2006/relationships/hyperlink" Target="http://www.sec.gov/Archives/edgar/data/1597264/000155837020000784/0001558370-20-000784-index.htm" TargetMode="External"/><Relationship Id="rId23" Type="http://schemas.openxmlformats.org/officeDocument/2006/relationships/hyperlink" Target="http://www.sec.gov/Archives/edgar/data/1597264/000155837019001094/bpmc-20181231x10k.htm" TargetMode="External"/><Relationship Id="rId24" Type="http://schemas.openxmlformats.org/officeDocument/2006/relationships/hyperlink" Target="http://www.sec.gov/Archives/edgar/data/1597264/000155837019003477/def14a.htm" TargetMode="External"/><Relationship Id="rId25" Type="http://schemas.openxmlformats.org/officeDocument/2006/relationships/hyperlink" Target="http://www.sec.gov/Archives/edgar/data/1597264/000110465915030565/a15-4342_98a12b.htm" TargetMode="External"/><Relationship Id="rId59" Type="http://schemas.openxmlformats.org/officeDocument/2006/relationships/hyperlink" Target="http://www.sec.gov/Archives/edgar/data/1597264/000155837015002529/bpmc-20150930ex3100367a3.htm" TargetMode="External"/><Relationship Id="rId60" Type="http://schemas.openxmlformats.org/officeDocument/2006/relationships/hyperlink" Target="http://www.sec.gov/Archives/edgar/data/1597264/000155837015002529/bpmc-20150930ex32d28c430.htm" TargetMode="External"/><Relationship Id="rId61" Type="http://schemas.openxmlformats.org/officeDocument/2006/relationships/hyperlink" Target="http://www.sec.gov/Archives/edgar/data/1597264/000104746915002608/a2223883zex-4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2020-02-13T17:12:51Z</dcterms:created>
  <dcterms:modified xsi:type="dcterms:W3CDTF">2020-02-13T17:12:51Z</dcterms:modified>
</cp:coreProperties>
</file>