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Rossi Christina</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40" w:type="dxa"/>
            <w:vAlign w:val="bottom"/>
            <w:tcBorders>
              <w:top w:val="single" w:sz="8" w:color="0000EE"/>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02/20/2025</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02139</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2,274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95.14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64,835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August 27, 2024 pursuant to Rule 10b5-1 under the Securities Exchange Act of 1934, as amended.</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sale price. The shares were sold in multiple transactions ranging from $95.00 to $95.23.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02/24/2025</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6941"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2025-02-24T15:44:53Z</dcterms:created>
  <dcterms:modified xsi:type="dcterms:W3CDTF">2025-02-24T15:44:53Z</dcterms:modified>
</cp:coreProperties>
</file>