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5816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816600"/>
                    </a:xfrm>
                    <a:prstGeom prst="rect">
                      <a:avLst/>
                    </a:prstGeom>
                    <a:noFill/>
                  </pic:spPr>
                </pic:pic>
              </a:graphicData>
            </a:graphic>
          </wp:anchor>
        </w:drawing>
      </w:r>
    </w:p>
    <w:p>
      <w:pPr>
        <w:spacing w:after="0" w:line="54"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McCain Tracey L</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700" w:type="dxa"/>
            <w:vAlign w:val="bottom"/>
            <w:tcBorders>
              <w:top w:val="single" w:sz="8" w:color="0000EE"/>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4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4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02/27/2018</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6" w:right="640" w:hanging="6"/>
        <w:spacing w:after="0" w:line="269"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6"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626"/>
        <w:spacing w:after="0"/>
        <w:rPr>
          <w:sz w:val="20"/>
          <w:szCs w:val="20"/>
          <w:color w:val="auto"/>
        </w:rPr>
      </w:pPr>
      <w:r>
        <w:rPr>
          <w:rFonts w:ascii="Times New Roman" w:cs="Times New Roman" w:eastAsia="Times New Roman" w:hAnsi="Times New Roman"/>
          <w:sz w:val="17"/>
          <w:szCs w:val="17"/>
          <w:color w:val="0000FF"/>
        </w:rPr>
        <w:t>EVP and Chief Legal Officer</w:t>
      </w:r>
    </w:p>
    <w:p>
      <w:pPr>
        <w:spacing w:after="0" w:line="414" w:lineRule="exact"/>
        <w:rPr>
          <w:sz w:val="20"/>
          <w:szCs w:val="20"/>
          <w:color w:val="auto"/>
        </w:rPr>
      </w:pPr>
    </w:p>
    <w:p>
      <w:pPr>
        <w:sectPr>
          <w:pgSz w:w="11900" w:h="16838" w:orient="portrait"/>
          <w:cols w:equalWidth="0" w:num="2">
            <w:col w:w="7980" w:space="74"/>
            <w:col w:w="3466"/>
          </w:cols>
          <w:pgMar w:left="240" w:top="219"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7"/>
          </w:tcPr>
          <w:p>
            <w:pPr>
              <w:jc w:val="center"/>
              <w:ind w:right="31"/>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02139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4"/>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816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Borders>
              <w:bottom w:val="single" w:sz="8" w:color="2C2C2C"/>
            </w:tcBorders>
            <w:gridSpan w:val="4"/>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3"/>
          </w:tcPr>
          <w:p>
            <w:pPr>
              <w:jc w:val="center"/>
              <w:ind w:left="60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02/27/2018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6"/>
                <w:szCs w:val="26"/>
                <w:color w:val="0000FF"/>
                <w:w w:val="91"/>
                <w:vertAlign w:val="subscript"/>
              </w:rPr>
              <w:t>M</w:t>
            </w:r>
            <w:r>
              <w:rPr>
                <w:rFonts w:ascii="Times New Roman" w:cs="Times New Roman" w:eastAsia="Times New Roman" w:hAnsi="Times New Roman"/>
                <w:sz w:val="11"/>
                <w:szCs w:val="11"/>
                <w:color w:val="008000"/>
                <w:w w:val="91"/>
              </w:rPr>
              <w:t>(1)</w:t>
            </w:r>
          </w:p>
        </w:tc>
        <w:tc>
          <w:tcPr>
            <w:tcW w:w="740" w:type="dxa"/>
            <w:vAlign w:val="bottom"/>
            <w:tcBorders>
              <w:bottom w:val="single" w:sz="8" w:color="2C2C2C"/>
            </w:tcBorders>
          </w:tcPr>
          <w:p>
            <w:pPr>
              <w:jc w:val="center"/>
              <w:ind w:left="108"/>
              <w:spacing w:after="0"/>
              <w:rPr>
                <w:sz w:val="20"/>
                <w:szCs w:val="20"/>
                <w:color w:val="auto"/>
              </w:rPr>
            </w:pPr>
            <w:r>
              <w:rPr>
                <w:rFonts w:ascii="Times New Roman" w:cs="Times New Roman" w:eastAsia="Times New Roman" w:hAnsi="Times New Roman"/>
                <w:sz w:val="17"/>
                <w:szCs w:val="17"/>
                <w:color w:val="0000FF"/>
              </w:rPr>
              <w:t>10,000</w:t>
            </w:r>
          </w:p>
        </w:tc>
        <w:tc>
          <w:tcPr>
            <w:tcW w:w="680" w:type="dxa"/>
            <w:vAlign w:val="bottom"/>
            <w:tcBorders>
              <w:bottom w:val="single" w:sz="8" w:color="2C2C2C"/>
            </w:tcBorders>
          </w:tcPr>
          <w:p>
            <w:pPr>
              <w:jc w:val="right"/>
              <w:ind w:right="151"/>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28.36</w:t>
            </w:r>
          </w:p>
        </w:tc>
        <w:tc>
          <w:tcPr>
            <w:tcW w:w="13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10,000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02/27/2018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(2)</w:t>
            </w:r>
          </w:p>
        </w:tc>
        <w:tc>
          <w:tcPr>
            <w:tcW w:w="740" w:type="dxa"/>
            <w:vAlign w:val="bottom"/>
            <w:tcBorders>
              <w:bottom w:val="single" w:sz="8" w:color="2C2C2C"/>
            </w:tcBorders>
          </w:tcPr>
          <w:p>
            <w:pPr>
              <w:jc w:val="center"/>
              <w:ind w:left="108"/>
              <w:spacing w:after="0"/>
              <w:rPr>
                <w:sz w:val="20"/>
                <w:szCs w:val="20"/>
                <w:color w:val="auto"/>
              </w:rPr>
            </w:pPr>
            <w:r>
              <w:rPr>
                <w:rFonts w:ascii="Times New Roman" w:cs="Times New Roman" w:eastAsia="Times New Roman" w:hAnsi="Times New Roman"/>
                <w:sz w:val="17"/>
                <w:szCs w:val="17"/>
                <w:color w:val="0000FF"/>
              </w:rPr>
              <w:t>100</w:t>
            </w:r>
          </w:p>
        </w:tc>
        <w:tc>
          <w:tcPr>
            <w:tcW w:w="680" w:type="dxa"/>
            <w:vAlign w:val="bottom"/>
            <w:tcBorders>
              <w:bottom w:val="single" w:sz="8" w:color="2C2C2C"/>
            </w:tcBorders>
          </w:tcPr>
          <w:p>
            <w:pPr>
              <w:jc w:val="right"/>
              <w:ind w:right="151"/>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jc w:val="center"/>
              <w:ind w:left="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90.75</w:t>
            </w:r>
          </w:p>
        </w:tc>
        <w:tc>
          <w:tcPr>
            <w:tcW w:w="13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9,900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02/27/2018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(2)</w:t>
            </w:r>
          </w:p>
        </w:tc>
        <w:tc>
          <w:tcPr>
            <w:tcW w:w="740" w:type="dxa"/>
            <w:vAlign w:val="bottom"/>
            <w:tcBorders>
              <w:bottom w:val="single" w:sz="8" w:color="2C2C2C"/>
            </w:tcBorders>
          </w:tcPr>
          <w:p>
            <w:pPr>
              <w:jc w:val="center"/>
              <w:ind w:left="108"/>
              <w:spacing w:after="0"/>
              <w:rPr>
                <w:sz w:val="20"/>
                <w:szCs w:val="20"/>
                <w:color w:val="auto"/>
              </w:rPr>
            </w:pPr>
            <w:r>
              <w:rPr>
                <w:rFonts w:ascii="Times New Roman" w:cs="Times New Roman" w:eastAsia="Times New Roman" w:hAnsi="Times New Roman"/>
                <w:sz w:val="17"/>
                <w:szCs w:val="17"/>
                <w:color w:val="0000FF"/>
              </w:rPr>
              <w:t>8,794</w:t>
            </w:r>
          </w:p>
        </w:tc>
        <w:tc>
          <w:tcPr>
            <w:tcW w:w="680" w:type="dxa"/>
            <w:vAlign w:val="bottom"/>
            <w:tcBorders>
              <w:bottom w:val="single" w:sz="8" w:color="2C2C2C"/>
            </w:tcBorders>
          </w:tcPr>
          <w:p>
            <w:pPr>
              <w:jc w:val="right"/>
              <w:ind w:right="151"/>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jc w:val="center"/>
              <w:ind w:left="7"/>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88.4</w:t>
            </w:r>
            <w:r>
              <w:rPr>
                <w:rFonts w:ascii="Times New Roman" w:cs="Times New Roman" w:eastAsia="Times New Roman" w:hAnsi="Times New Roman"/>
                <w:sz w:val="22"/>
                <w:szCs w:val="22"/>
                <w:color w:val="008000"/>
                <w:w w:val="95"/>
                <w:vertAlign w:val="superscript"/>
              </w:rPr>
              <w:t>(3)</w:t>
            </w:r>
          </w:p>
        </w:tc>
        <w:tc>
          <w:tcPr>
            <w:tcW w:w="13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1,106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02/27/2018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(2)</w:t>
            </w:r>
          </w:p>
        </w:tc>
        <w:tc>
          <w:tcPr>
            <w:tcW w:w="740" w:type="dxa"/>
            <w:vAlign w:val="bottom"/>
            <w:tcBorders>
              <w:bottom w:val="single" w:sz="8" w:color="2C2C2C"/>
            </w:tcBorders>
          </w:tcPr>
          <w:p>
            <w:pPr>
              <w:jc w:val="center"/>
              <w:ind w:left="108"/>
              <w:spacing w:after="0"/>
              <w:rPr>
                <w:sz w:val="20"/>
                <w:szCs w:val="20"/>
                <w:color w:val="auto"/>
              </w:rPr>
            </w:pPr>
            <w:r>
              <w:rPr>
                <w:rFonts w:ascii="Times New Roman" w:cs="Times New Roman" w:eastAsia="Times New Roman" w:hAnsi="Times New Roman"/>
                <w:sz w:val="17"/>
                <w:szCs w:val="17"/>
                <w:color w:val="0000FF"/>
              </w:rPr>
              <w:t>1,106</w:t>
            </w:r>
          </w:p>
        </w:tc>
        <w:tc>
          <w:tcPr>
            <w:tcW w:w="680" w:type="dxa"/>
            <w:vAlign w:val="bottom"/>
            <w:tcBorders>
              <w:bottom w:val="single" w:sz="8" w:color="2C2C2C"/>
            </w:tcBorders>
          </w:tcPr>
          <w:p>
            <w:pPr>
              <w:jc w:val="right"/>
              <w:ind w:right="151"/>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87.69</w:t>
            </w:r>
            <w:r>
              <w:rPr>
                <w:rFonts w:ascii="Times New Roman" w:cs="Times New Roman" w:eastAsia="Times New Roman" w:hAnsi="Times New Roman"/>
                <w:sz w:val="22"/>
                <w:szCs w:val="22"/>
                <w:color w:val="008000"/>
                <w:w w:val="95"/>
                <w:vertAlign w:val="superscript"/>
              </w:rPr>
              <w:t>(4)</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97"/>
              <w:spacing w:after="0"/>
              <w:rPr>
                <w:sz w:val="20"/>
                <w:szCs w:val="20"/>
                <w:color w:val="auto"/>
              </w:rPr>
            </w:pPr>
            <w:r>
              <w:rPr>
                <w:rFonts w:ascii="Times New Roman" w:cs="Times New Roman" w:eastAsia="Times New Roman" w:hAnsi="Times New Roman"/>
                <w:sz w:val="17"/>
                <w:szCs w:val="17"/>
                <w:color w:val="0000FF"/>
                <w:w w:val="93"/>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360" w:type="dxa"/>
            <w:vAlign w:val="bottom"/>
            <w:tcBorders>
              <w:top w:val="single" w:sz="8" w:color="2C2C2C"/>
            </w:tcBorders>
            <w:gridSpan w:val="13"/>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40" w:type="dxa"/>
            <w:vAlign w:val="bottom"/>
            <w:gridSpan w:val="11"/>
          </w:tcPr>
          <w:p>
            <w:pPr>
              <w:jc w:val="center"/>
              <w:ind w:left="48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28.36</w:t>
            </w:r>
          </w:p>
        </w:tc>
        <w:tc>
          <w:tcPr>
            <w:tcW w:w="10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02/27/2018</w:t>
            </w:r>
          </w:p>
        </w:tc>
        <w:tc>
          <w:tcPr>
            <w:tcW w:w="1180" w:type="dxa"/>
            <w:vAlign w:val="bottom"/>
          </w:tcPr>
          <w:p>
            <w:pPr>
              <w:spacing w:after="0"/>
              <w:rPr>
                <w:sz w:val="17"/>
                <w:szCs w:val="17"/>
                <w:color w:val="auto"/>
              </w:rPr>
            </w:pPr>
          </w:p>
        </w:tc>
        <w:tc>
          <w:tcPr>
            <w:tcW w:w="640" w:type="dxa"/>
            <w:vAlign w:val="bottom"/>
            <w:gridSpan w:val="2"/>
          </w:tcPr>
          <w:p>
            <w:pPr>
              <w:ind w:left="100"/>
              <w:spacing w:after="0" w:line="200"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10,000</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10/03/2026</w:t>
            </w:r>
          </w:p>
        </w:tc>
        <w:tc>
          <w:tcPr>
            <w:tcW w:w="6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10,000</w:t>
            </w:r>
          </w:p>
        </w:tc>
        <w:tc>
          <w:tcPr>
            <w:tcW w:w="60" w:type="dxa"/>
            <w:vAlign w:val="bottom"/>
          </w:tcPr>
          <w:p>
            <w:pPr>
              <w:spacing w:after="0"/>
              <w:rPr>
                <w:sz w:val="17"/>
                <w:szCs w:val="17"/>
                <w:color w:val="auto"/>
              </w:rPr>
            </w:pPr>
          </w:p>
        </w:tc>
        <w:tc>
          <w:tcPr>
            <w:tcW w:w="6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0000FF"/>
              </w:rPr>
              <w:t>134,000</w:t>
            </w:r>
          </w:p>
        </w:tc>
        <w:tc>
          <w:tcPr>
            <w:tcW w:w="70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Times New Roman" w:cs="Times New Roman" w:eastAsia="Times New Roman" w:hAnsi="Times New Roman"/>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71"/>
              <w:spacing w:after="0" w:line="109"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00" w:firstLine="8"/>
        <w:spacing w:after="0" w:line="257"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exercise reported on this Form 4 was effected pursuant to a trading plan adopted on December 18, 2017 pursuant to Rule 10b5-1 under the Securities Exchange Act of 1934, as amended (the "Exchange Act").</w:t>
      </w:r>
    </w:p>
    <w:p>
      <w:pPr>
        <w:spacing w:after="0" w:line="188"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trading plan adopted on December 18, 2017 pursuant to Rule 10b5-1 under the Exchange Act.</w:t>
      </w:r>
    </w:p>
    <w:p>
      <w:pPr>
        <w:spacing w:after="0" w:line="51" w:lineRule="exact"/>
        <w:rPr>
          <w:rFonts w:ascii="Times New Roman" w:cs="Times New Roman" w:eastAsia="Times New Roman" w:hAnsi="Times New Roman"/>
          <w:sz w:val="13"/>
          <w:szCs w:val="13"/>
          <w:color w:val="008000"/>
        </w:rPr>
      </w:pPr>
    </w:p>
    <w:p>
      <w:pPr>
        <w:ind w:left="40" w:right="180" w:firstLine="8"/>
        <w:spacing w:after="0" w:line="256"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$87.90 to $88.88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17"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$87.47 to $87.85 per share.</w:t>
      </w:r>
    </w:p>
    <w:p>
      <w:pPr>
        <w:spacing w:after="0" w:line="51" w:lineRule="exact"/>
        <w:rPr>
          <w:rFonts w:ascii="Times New Roman" w:cs="Times New Roman" w:eastAsia="Times New Roman" w:hAnsi="Times New Roman"/>
          <w:sz w:val="13"/>
          <w:szCs w:val="13"/>
          <w:color w:val="008000"/>
        </w:rPr>
      </w:pPr>
    </w:p>
    <w:p>
      <w:pPr>
        <w:ind w:left="40" w:right="18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October 3, 2016. This option vested with respect to 25% of the shares underlying the option on September 6, 2017 and as to an additional 1/48th of the shares underlying the option each month thereafter.</w:t>
      </w:r>
    </w:p>
    <w:p>
      <w:pPr>
        <w:spacing w:after="0" w:line="25"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Christopher Frankenfield,</w:t>
            </w:r>
          </w:p>
        </w:tc>
        <w:tc>
          <w:tcPr>
            <w:tcW w:w="280" w:type="dxa"/>
            <w:vAlign w:val="bottom"/>
          </w:tcPr>
          <w:p>
            <w:pPr>
              <w:spacing w:after="0"/>
              <w:rPr>
                <w:sz w:val="17"/>
                <w:szCs w:val="17"/>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03/01/2018</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360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2019-12-08T10:09:35Z</dcterms:created>
  <dcterms:modified xsi:type="dcterms:W3CDTF">2019-12-08T10:09:35Z</dcterms:modified>
</cp:coreProperties>
</file>