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FMR LLC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245 SUMMER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1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Blueprint Medicines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BPMC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11/20/2015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543" w:type="dxa"/>
        <w:tblCellMar>
          <w:top w:w="0" w:type="dxa"/>
          <w:left w:w="0" w:type="dxa"/>
          <w:bottom w:w="0" w:type="dxa"/>
          <w:right w:w="0" w:type="dxa"/>
        </w:tblCellMar>
      </w:tblPr>
      <w:tr>
        <w:trPr>
          <w:trHeight w:val="222"/>
        </w:trPr>
        <w:tc>
          <w:tcPr>
            <w:tcW w:w="1140" w:type="dxa"/>
            <w:vAlign w:val="bottom"/>
          </w:tcPr>
          <w:p>
            <w:pPr>
              <w:spacing w:after="0"/>
              <w:rPr>
                <w:sz w:val="20"/>
                <w:szCs w:val="20"/>
                <w:color w:val="auto"/>
              </w:rPr>
            </w:pPr>
            <w:r>
              <w:rPr>
                <w:rFonts w:ascii="Arial" w:cs="Arial" w:eastAsia="Arial" w:hAnsi="Arial"/>
                <w:sz w:val="14"/>
                <w:szCs w:val="14"/>
                <w:color w:val="auto"/>
              </w:rPr>
              <w:t>Director</w:t>
            </w:r>
          </w:p>
        </w:tc>
        <w:tc>
          <w:tcPr>
            <w:tcW w:w="380" w:type="dxa"/>
            <w:vAlign w:val="bottom"/>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1140" w:type="dxa"/>
            <w:vAlign w:val="bottom"/>
          </w:tcPr>
          <w:p>
            <w:pPr>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1140" w:type="dxa"/>
            <w:vAlign w:val="bottom"/>
            <w:vMerge w:val="restart"/>
          </w:tcPr>
          <w:p>
            <w:pPr>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114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43"/>
        <w:spacing w:after="0"/>
        <w:rPr>
          <w:sz w:val="20"/>
          <w:szCs w:val="20"/>
          <w:color w:val="auto"/>
        </w:rPr>
      </w:pPr>
      <w:r>
        <w:rPr>
          <w:rFonts w:ascii="Arial" w:cs="Arial" w:eastAsia="Arial" w:hAnsi="Arial"/>
          <w:sz w:val="18"/>
          <w:szCs w:val="18"/>
          <w:color w:val="0000FF"/>
        </w:rPr>
        <w:t>See Remark 1</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shd w:val="clear" w:color="auto" w:fill="9A9A9A"/>
          </w:tcPr>
          <w:p>
            <w:pPr>
              <w:spacing w:after="0"/>
              <w:rPr>
                <w:sz w:val="2"/>
                <w:szCs w:val="2"/>
                <w:color w:val="auto"/>
              </w:rPr>
            </w:pPr>
          </w:p>
        </w:tc>
        <w:tc>
          <w:tcPr>
            <w:tcW w:w="74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600" w:type="dxa"/>
            <w:vAlign w:val="bottom"/>
            <w:gridSpan w:val="7"/>
            <w:vMerge w:val="restart"/>
          </w:tcPr>
          <w:p>
            <w:pPr>
              <w:ind w:left="160"/>
              <w:spacing w:after="0"/>
              <w:rPr>
                <w:sz w:val="20"/>
                <w:szCs w:val="20"/>
                <w:color w:val="auto"/>
              </w:rPr>
            </w:pPr>
            <w:r>
              <w:rPr>
                <w:rFonts w:ascii="Arial" w:cs="Arial" w:eastAsia="Arial" w:hAnsi="Arial"/>
                <w:sz w:val="14"/>
                <w:szCs w:val="14"/>
                <w:color w:val="auto"/>
                <w:w w:val="95"/>
              </w:rPr>
              <w:t>4. If Amendment, Date of Original Filed (Month/Day/Year)</w:t>
            </w:r>
          </w:p>
        </w:tc>
        <w:tc>
          <w:tcPr>
            <w:tcW w:w="3900" w:type="dxa"/>
            <w:vAlign w:val="bottom"/>
            <w:gridSpan w:val="10"/>
            <w:vMerge w:val="restart"/>
          </w:tcPr>
          <w:p>
            <w:pPr>
              <w:ind w:left="5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0" w:type="dxa"/>
            <w:vAlign w:val="bottom"/>
            <w:gridSpan w:val="7"/>
            <w:vMerge w:val="continue"/>
          </w:tcPr>
          <w:p>
            <w:pPr>
              <w:spacing w:after="0"/>
              <w:rPr>
                <w:sz w:val="11"/>
                <w:szCs w:val="11"/>
                <w:color w:val="auto"/>
              </w:rPr>
            </w:pPr>
          </w:p>
        </w:tc>
        <w:tc>
          <w:tcPr>
            <w:tcW w:w="390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7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0" w:type="dxa"/>
            <w:vAlign w:val="bottom"/>
            <w:gridSpan w:val="4"/>
          </w:tcPr>
          <w:p>
            <w:pPr>
              <w:ind w:left="540"/>
              <w:spacing w:after="0" w:line="155" w:lineRule="exact"/>
              <w:rPr>
                <w:sz w:val="20"/>
                <w:szCs w:val="20"/>
                <w:color w:val="auto"/>
              </w:rPr>
            </w:pPr>
            <w:r>
              <w:rPr>
                <w:rFonts w:ascii="Arial" w:cs="Arial" w:eastAsia="Arial" w:hAnsi="Arial"/>
                <w:sz w:val="14"/>
                <w:szCs w:val="14"/>
                <w:color w:val="auto"/>
              </w:rPr>
              <w:t>Line)</w:t>
            </w: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0"/>
                <w:szCs w:val="20"/>
                <w:color w:val="auto"/>
              </w:rPr>
            </w:pPr>
            <w:r>
              <w:rPr>
                <w:rFonts w:ascii="Arial" w:cs="Arial" w:eastAsia="Arial" w:hAnsi="Arial"/>
                <w:sz w:val="18"/>
                <w:szCs w:val="18"/>
                <w:color w:val="0000FF"/>
                <w:w w:val="92"/>
              </w:rPr>
              <w:t>BOSTON</w:t>
            </w:r>
          </w:p>
        </w:tc>
        <w:tc>
          <w:tcPr>
            <w:tcW w:w="1820" w:type="dxa"/>
            <w:vAlign w:val="bottom"/>
            <w:gridSpan w:val="2"/>
          </w:tcPr>
          <w:p>
            <w:pPr>
              <w:ind w:left="560"/>
              <w:spacing w:after="0"/>
              <w:rPr>
                <w:sz w:val="20"/>
                <w:szCs w:val="20"/>
                <w:color w:val="auto"/>
              </w:rPr>
            </w:pPr>
            <w:r>
              <w:rPr>
                <w:rFonts w:ascii="Arial" w:cs="Arial" w:eastAsia="Arial" w:hAnsi="Arial"/>
                <w:sz w:val="18"/>
                <w:szCs w:val="18"/>
                <w:color w:val="0000FF"/>
              </w:rPr>
              <w:t>MA</w:t>
            </w:r>
          </w:p>
        </w:tc>
        <w:tc>
          <w:tcPr>
            <w:tcW w:w="1260" w:type="dxa"/>
            <w:vAlign w:val="bottom"/>
          </w:tcPr>
          <w:p>
            <w:pPr>
              <w:spacing w:after="0"/>
              <w:rPr>
                <w:sz w:val="20"/>
                <w:szCs w:val="20"/>
                <w:color w:val="auto"/>
              </w:rPr>
            </w:pPr>
            <w:r>
              <w:rPr>
                <w:rFonts w:ascii="Arial" w:cs="Arial" w:eastAsia="Arial" w:hAnsi="Arial"/>
                <w:sz w:val="18"/>
                <w:szCs w:val="18"/>
                <w:color w:val="0000FF"/>
              </w:rPr>
              <w:t>02210</w:t>
            </w:r>
          </w:p>
        </w:tc>
        <w:tc>
          <w:tcPr>
            <w:tcW w:w="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160" w:type="dxa"/>
            <w:vAlign w:val="bottom"/>
            <w:gridSpan w:val="7"/>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vMerge w:val="restart"/>
          </w:tcPr>
          <w:p>
            <w:pPr>
              <w:spacing w:after="0"/>
              <w:rPr>
                <w:sz w:val="12"/>
                <w:szCs w:val="12"/>
                <w:color w:val="auto"/>
              </w:rPr>
            </w:pPr>
          </w:p>
        </w:tc>
        <w:tc>
          <w:tcPr>
            <w:tcW w:w="3160" w:type="dxa"/>
            <w:vAlign w:val="bottom"/>
            <w:gridSpan w:val="7"/>
            <w:vMerge w:val="restart"/>
          </w:tcPr>
          <w:p>
            <w:pPr>
              <w:ind w:left="3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Borders>
              <w:top w:val="single" w:sz="8" w:color="EEEEEE"/>
            </w:tcBorders>
          </w:tcPr>
          <w:p>
            <w:pPr>
              <w:spacing w:after="0"/>
              <w:rPr>
                <w:sz w:val="3"/>
                <w:szCs w:val="3"/>
                <w:color w:val="auto"/>
              </w:rPr>
            </w:pPr>
          </w:p>
        </w:tc>
        <w:tc>
          <w:tcPr>
            <w:tcW w:w="74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3160" w:type="dxa"/>
            <w:vAlign w:val="bottom"/>
            <w:gridSpan w:val="7"/>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820" w:type="dxa"/>
            <w:vAlign w:val="bottom"/>
            <w:gridSpan w:val="2"/>
            <w:vMerge w:val="restart"/>
          </w:tcPr>
          <w:p>
            <w:pPr>
              <w:ind w:left="56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gridSpan w:val="2"/>
          </w:tcPr>
          <w:p>
            <w:pPr>
              <w:jc w:val="center"/>
              <w:ind w:right="19"/>
              <w:spacing w:after="0"/>
              <w:rPr>
                <w:sz w:val="20"/>
                <w:szCs w:val="20"/>
                <w:color w:val="auto"/>
              </w:rPr>
            </w:pPr>
            <w:r>
              <w:rPr>
                <w:rFonts w:ascii="Arial" w:cs="Arial" w:eastAsia="Arial" w:hAnsi="Arial"/>
                <w:sz w:val="14"/>
                <w:szCs w:val="14"/>
                <w:color w:val="auto"/>
                <w:w w:val="94"/>
              </w:rPr>
              <w:t>Person</w:t>
            </w: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182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340" w:type="dxa"/>
            <w:vAlign w:val="bottom"/>
            <w:tcBorders>
              <w:bottom w:val="single" w:sz="8" w:color="2C2C2C"/>
            </w:tcBorders>
            <w:gridSpan w:val="2"/>
          </w:tcPr>
          <w:p>
            <w:pPr>
              <w:spacing w:after="0"/>
              <w:rPr>
                <w:sz w:val="11"/>
                <w:szCs w:val="11"/>
                <w:color w:val="auto"/>
              </w:rPr>
            </w:pPr>
          </w:p>
        </w:tc>
        <w:tc>
          <w:tcPr>
            <w:tcW w:w="1440" w:type="dxa"/>
            <w:vAlign w:val="bottom"/>
            <w:tcBorders>
              <w:bottom w:val="single" w:sz="8" w:color="2C2C2C"/>
            </w:tcBorders>
            <w:gridSpan w:val="3"/>
          </w:tcPr>
          <w:p>
            <w:pPr>
              <w:spacing w:after="0"/>
              <w:rPr>
                <w:sz w:val="11"/>
                <w:szCs w:val="11"/>
                <w:color w:val="auto"/>
              </w:rPr>
            </w:pPr>
          </w:p>
        </w:tc>
        <w:tc>
          <w:tcPr>
            <w:tcW w:w="2800" w:type="dxa"/>
            <w:vAlign w:val="bottom"/>
            <w:tcBorders>
              <w:bottom w:val="single" w:sz="8" w:color="2C2C2C"/>
            </w:tcBorders>
            <w:gridSpan w:val="5"/>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1220" w:type="dxa"/>
            <w:vAlign w:val="bottom"/>
            <w:tcBorders>
              <w:bottom w:val="single" w:sz="8" w:color="2C2C2C"/>
            </w:tcBorders>
            <w:gridSpan w:val="2"/>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900" w:type="dxa"/>
            <w:vAlign w:val="bottom"/>
            <w:tcBorders>
              <w:top w:val="single" w:sz="8" w:color="2C2C2C"/>
            </w:tcBorders>
            <w:gridSpan w:val="14"/>
          </w:tcPr>
          <w:p>
            <w:pPr>
              <w:jc w:val="center"/>
              <w:ind w:left="28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3"/>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60" w:type="dxa"/>
            <w:vAlign w:val="bottom"/>
            <w:gridSpan w:val="2"/>
          </w:tcPr>
          <w:p>
            <w:pPr>
              <w:ind w:left="50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6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w w:val="99"/>
              </w:rPr>
              <w:t>Shares held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by persons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and entities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whose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18"/>
                <w:szCs w:val="18"/>
                <w:color w:val="auto"/>
              </w:rPr>
            </w:pPr>
          </w:p>
        </w:tc>
        <w:tc>
          <w:tcPr>
            <w:tcW w:w="1560" w:type="dxa"/>
            <w:vAlign w:val="bottom"/>
            <w:gridSpan w:val="2"/>
          </w:tcPr>
          <w:p>
            <w:pPr>
              <w:jc w:val="right"/>
              <w:ind w:right="98"/>
              <w:spacing w:after="0"/>
              <w:rPr>
                <w:sz w:val="20"/>
                <w:szCs w:val="20"/>
                <w:color w:val="auto"/>
              </w:rPr>
            </w:pPr>
            <w:r>
              <w:rPr>
                <w:rFonts w:ascii="Arial" w:cs="Arial" w:eastAsia="Arial" w:hAnsi="Arial"/>
                <w:sz w:val="18"/>
                <w:szCs w:val="18"/>
                <w:color w:val="0000FF"/>
              </w:rPr>
              <w:t>11/20/2015</w:t>
            </w: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ind w:left="140"/>
              <w:spacing w:after="0"/>
              <w:rPr>
                <w:sz w:val="20"/>
                <w:szCs w:val="20"/>
                <w:color w:val="auto"/>
              </w:rPr>
            </w:pPr>
            <w:r>
              <w:rPr>
                <w:rFonts w:ascii="Arial" w:cs="Arial" w:eastAsia="Arial" w:hAnsi="Arial"/>
                <w:sz w:val="14"/>
                <w:szCs w:val="14"/>
                <w:color w:val="0000FF"/>
              </w:rPr>
              <w:t>S</w:t>
            </w:r>
          </w:p>
        </w:tc>
        <w:tc>
          <w:tcPr>
            <w:tcW w:w="820" w:type="dxa"/>
            <w:vAlign w:val="bottom"/>
          </w:tcPr>
          <w:p>
            <w:pPr>
              <w:jc w:val="right"/>
              <w:ind w:right="84"/>
              <w:spacing w:after="0"/>
              <w:rPr>
                <w:sz w:val="20"/>
                <w:szCs w:val="20"/>
                <w:color w:val="auto"/>
              </w:rPr>
            </w:pPr>
            <w:r>
              <w:rPr>
                <w:rFonts w:ascii="Arial" w:cs="Arial" w:eastAsia="Arial" w:hAnsi="Arial"/>
                <w:sz w:val="18"/>
                <w:szCs w:val="18"/>
                <w:color w:val="0000FF"/>
              </w:rPr>
              <w:t>23,000</w:t>
            </w:r>
          </w:p>
        </w:tc>
        <w:tc>
          <w:tcPr>
            <w:tcW w:w="540" w:type="dxa"/>
            <w:vAlign w:val="bottom"/>
          </w:tcPr>
          <w:p>
            <w:pPr>
              <w:ind w:left="200"/>
              <w:spacing w:after="0"/>
              <w:rPr>
                <w:sz w:val="20"/>
                <w:szCs w:val="20"/>
                <w:color w:val="auto"/>
              </w:rPr>
            </w:pPr>
            <w:r>
              <w:rPr>
                <w:rFonts w:ascii="Arial" w:cs="Arial" w:eastAsia="Arial" w:hAnsi="Arial"/>
                <w:sz w:val="18"/>
                <w:szCs w:val="18"/>
                <w:color w:val="0000FF"/>
              </w:rPr>
              <w:t>D</w:t>
            </w:r>
          </w:p>
        </w:tc>
        <w:tc>
          <w:tcPr>
            <w:tcW w:w="680" w:type="dxa"/>
            <w:vAlign w:val="bottom"/>
            <w:gridSpan w:val="2"/>
          </w:tcPr>
          <w:p>
            <w:pPr>
              <w:ind w:left="40"/>
              <w:spacing w:after="0" w:line="217" w:lineRule="exact"/>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20.02</w:t>
            </w:r>
            <w:r>
              <w:rPr>
                <w:rFonts w:ascii="Arial" w:cs="Arial" w:eastAsia="Arial" w:hAnsi="Arial"/>
                <w:sz w:val="22"/>
                <w:szCs w:val="22"/>
                <w:color w:val="008000"/>
                <w:w w:val="84"/>
                <w:vertAlign w:val="superscript"/>
              </w:rPr>
              <w:t>(1)</w:t>
            </w:r>
          </w:p>
        </w:tc>
        <w:tc>
          <w:tcPr>
            <w:tcW w:w="1280" w:type="dxa"/>
            <w:vAlign w:val="bottom"/>
            <w:gridSpan w:val="3"/>
          </w:tcPr>
          <w:p>
            <w:pPr>
              <w:jc w:val="center"/>
              <w:spacing w:after="0"/>
              <w:rPr>
                <w:sz w:val="20"/>
                <w:szCs w:val="20"/>
                <w:color w:val="auto"/>
              </w:rPr>
            </w:pPr>
            <w:r>
              <w:rPr>
                <w:rFonts w:ascii="Arial" w:cs="Arial" w:eastAsia="Arial" w:hAnsi="Arial"/>
                <w:sz w:val="18"/>
                <w:szCs w:val="18"/>
                <w:color w:val="0000FF"/>
                <w:w w:val="86"/>
              </w:rPr>
              <w:t>880,156</w:t>
            </w:r>
          </w:p>
        </w:tc>
        <w:tc>
          <w:tcPr>
            <w:tcW w:w="340" w:type="dxa"/>
            <w:vAlign w:val="bottom"/>
          </w:tcPr>
          <w:p>
            <w:pPr>
              <w:spacing w:after="0"/>
              <w:rPr>
                <w:sz w:val="18"/>
                <w:szCs w:val="18"/>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0000FF"/>
              </w:rPr>
              <w:t>I</w:t>
            </w: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shares 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subject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reporting 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ind w:left="80"/>
              <w:spacing w:after="0"/>
              <w:rPr>
                <w:sz w:val="20"/>
                <w:szCs w:val="20"/>
                <w:color w:val="auto"/>
              </w:rPr>
            </w:pPr>
            <w:r>
              <w:rPr>
                <w:rFonts w:ascii="Arial" w:cs="Arial" w:eastAsia="Arial" w:hAnsi="Arial"/>
                <w:sz w:val="18"/>
                <w:szCs w:val="18"/>
                <w:color w:val="0000FF"/>
                <w:w w:val="79"/>
              </w:rPr>
              <w:t>the</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w w:val="92"/>
              </w:rPr>
              <w:t>undersigned.</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w w:val="99"/>
              </w:rPr>
              <w:t>Shares held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by persons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and entities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whose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18"/>
                <w:szCs w:val="18"/>
                <w:color w:val="auto"/>
              </w:rPr>
            </w:pPr>
          </w:p>
        </w:tc>
        <w:tc>
          <w:tcPr>
            <w:tcW w:w="1560" w:type="dxa"/>
            <w:vAlign w:val="bottom"/>
            <w:gridSpan w:val="2"/>
          </w:tcPr>
          <w:p>
            <w:pPr>
              <w:jc w:val="right"/>
              <w:ind w:right="98"/>
              <w:spacing w:after="0"/>
              <w:rPr>
                <w:sz w:val="20"/>
                <w:szCs w:val="20"/>
                <w:color w:val="auto"/>
              </w:rPr>
            </w:pPr>
            <w:r>
              <w:rPr>
                <w:rFonts w:ascii="Arial" w:cs="Arial" w:eastAsia="Arial" w:hAnsi="Arial"/>
                <w:sz w:val="18"/>
                <w:szCs w:val="18"/>
                <w:color w:val="0000FF"/>
              </w:rPr>
              <w:t>11/20/2015</w:t>
            </w: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ind w:left="140"/>
              <w:spacing w:after="0"/>
              <w:rPr>
                <w:sz w:val="20"/>
                <w:szCs w:val="20"/>
                <w:color w:val="auto"/>
              </w:rPr>
            </w:pPr>
            <w:r>
              <w:rPr>
                <w:rFonts w:ascii="Arial" w:cs="Arial" w:eastAsia="Arial" w:hAnsi="Arial"/>
                <w:sz w:val="14"/>
                <w:szCs w:val="14"/>
                <w:color w:val="0000FF"/>
              </w:rPr>
              <w:t>S</w:t>
            </w:r>
          </w:p>
        </w:tc>
        <w:tc>
          <w:tcPr>
            <w:tcW w:w="820" w:type="dxa"/>
            <w:vAlign w:val="bottom"/>
          </w:tcPr>
          <w:p>
            <w:pPr>
              <w:jc w:val="right"/>
              <w:ind w:right="84"/>
              <w:spacing w:after="0"/>
              <w:rPr>
                <w:sz w:val="20"/>
                <w:szCs w:val="20"/>
                <w:color w:val="auto"/>
              </w:rPr>
            </w:pPr>
            <w:r>
              <w:rPr>
                <w:rFonts w:ascii="Arial" w:cs="Arial" w:eastAsia="Arial" w:hAnsi="Arial"/>
                <w:sz w:val="18"/>
                <w:szCs w:val="18"/>
                <w:color w:val="0000FF"/>
              </w:rPr>
              <w:t>81,272</w:t>
            </w:r>
          </w:p>
        </w:tc>
        <w:tc>
          <w:tcPr>
            <w:tcW w:w="540" w:type="dxa"/>
            <w:vAlign w:val="bottom"/>
          </w:tcPr>
          <w:p>
            <w:pPr>
              <w:ind w:left="200"/>
              <w:spacing w:after="0"/>
              <w:rPr>
                <w:sz w:val="20"/>
                <w:szCs w:val="20"/>
                <w:color w:val="auto"/>
              </w:rPr>
            </w:pPr>
            <w:r>
              <w:rPr>
                <w:rFonts w:ascii="Arial" w:cs="Arial" w:eastAsia="Arial" w:hAnsi="Arial"/>
                <w:sz w:val="18"/>
                <w:szCs w:val="18"/>
                <w:color w:val="0000FF"/>
              </w:rPr>
              <w:t>D</w:t>
            </w:r>
          </w:p>
        </w:tc>
        <w:tc>
          <w:tcPr>
            <w:tcW w:w="680" w:type="dxa"/>
            <w:vAlign w:val="bottom"/>
            <w:gridSpan w:val="2"/>
          </w:tcPr>
          <w:p>
            <w:pPr>
              <w:ind w:left="40"/>
              <w:spacing w:after="0" w:line="217" w:lineRule="exact"/>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20.17</w:t>
            </w:r>
            <w:r>
              <w:rPr>
                <w:rFonts w:ascii="Arial" w:cs="Arial" w:eastAsia="Arial" w:hAnsi="Arial"/>
                <w:sz w:val="22"/>
                <w:szCs w:val="22"/>
                <w:color w:val="008000"/>
                <w:w w:val="84"/>
                <w:vertAlign w:val="superscript"/>
              </w:rPr>
              <w:t>(2)</w:t>
            </w:r>
          </w:p>
        </w:tc>
        <w:tc>
          <w:tcPr>
            <w:tcW w:w="1280" w:type="dxa"/>
            <w:vAlign w:val="bottom"/>
            <w:gridSpan w:val="3"/>
          </w:tcPr>
          <w:p>
            <w:pPr>
              <w:jc w:val="center"/>
              <w:spacing w:after="0"/>
              <w:rPr>
                <w:sz w:val="20"/>
                <w:szCs w:val="20"/>
                <w:color w:val="auto"/>
              </w:rPr>
            </w:pPr>
            <w:r>
              <w:rPr>
                <w:rFonts w:ascii="Arial" w:cs="Arial" w:eastAsia="Arial" w:hAnsi="Arial"/>
                <w:sz w:val="18"/>
                <w:szCs w:val="18"/>
                <w:color w:val="0000FF"/>
                <w:w w:val="86"/>
              </w:rPr>
              <w:t>798,884</w:t>
            </w:r>
          </w:p>
        </w:tc>
        <w:tc>
          <w:tcPr>
            <w:tcW w:w="340" w:type="dxa"/>
            <w:vAlign w:val="bottom"/>
          </w:tcPr>
          <w:p>
            <w:pPr>
              <w:spacing w:after="0"/>
              <w:rPr>
                <w:sz w:val="18"/>
                <w:szCs w:val="18"/>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0000FF"/>
              </w:rPr>
              <w:t>I</w:t>
            </w: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shares 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subject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reporting 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ind w:left="80"/>
              <w:spacing w:after="0"/>
              <w:rPr>
                <w:sz w:val="20"/>
                <w:szCs w:val="20"/>
                <w:color w:val="auto"/>
              </w:rPr>
            </w:pPr>
            <w:r>
              <w:rPr>
                <w:rFonts w:ascii="Arial" w:cs="Arial" w:eastAsia="Arial" w:hAnsi="Arial"/>
                <w:sz w:val="18"/>
                <w:szCs w:val="18"/>
                <w:color w:val="0000FF"/>
                <w:w w:val="79"/>
              </w:rPr>
              <w:t>the</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w w:val="92"/>
              </w:rPr>
              <w:t>undersigned.</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w w:val="99"/>
              </w:rPr>
              <w:t>Shares held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by persons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and entities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whose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18"/>
                <w:szCs w:val="18"/>
                <w:color w:val="auto"/>
              </w:rPr>
            </w:pPr>
          </w:p>
        </w:tc>
        <w:tc>
          <w:tcPr>
            <w:tcW w:w="1560" w:type="dxa"/>
            <w:vAlign w:val="bottom"/>
            <w:gridSpan w:val="2"/>
          </w:tcPr>
          <w:p>
            <w:pPr>
              <w:jc w:val="right"/>
              <w:ind w:right="98"/>
              <w:spacing w:after="0"/>
              <w:rPr>
                <w:sz w:val="20"/>
                <w:szCs w:val="20"/>
                <w:color w:val="auto"/>
              </w:rPr>
            </w:pPr>
            <w:r>
              <w:rPr>
                <w:rFonts w:ascii="Arial" w:cs="Arial" w:eastAsia="Arial" w:hAnsi="Arial"/>
                <w:sz w:val="18"/>
                <w:szCs w:val="18"/>
                <w:color w:val="0000FF"/>
              </w:rPr>
              <w:t>11/23/2015</w:t>
            </w: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ind w:left="140"/>
              <w:spacing w:after="0"/>
              <w:rPr>
                <w:sz w:val="20"/>
                <w:szCs w:val="20"/>
                <w:color w:val="auto"/>
              </w:rPr>
            </w:pPr>
            <w:r>
              <w:rPr>
                <w:rFonts w:ascii="Arial" w:cs="Arial" w:eastAsia="Arial" w:hAnsi="Arial"/>
                <w:sz w:val="14"/>
                <w:szCs w:val="14"/>
                <w:color w:val="0000FF"/>
              </w:rPr>
              <w:t>S</w:t>
            </w:r>
          </w:p>
        </w:tc>
        <w:tc>
          <w:tcPr>
            <w:tcW w:w="820" w:type="dxa"/>
            <w:vAlign w:val="bottom"/>
          </w:tcPr>
          <w:p>
            <w:pPr>
              <w:jc w:val="right"/>
              <w:ind w:right="84"/>
              <w:spacing w:after="0"/>
              <w:rPr>
                <w:sz w:val="20"/>
                <w:szCs w:val="20"/>
                <w:color w:val="auto"/>
              </w:rPr>
            </w:pPr>
            <w:r>
              <w:rPr>
                <w:rFonts w:ascii="Arial" w:cs="Arial" w:eastAsia="Arial" w:hAnsi="Arial"/>
                <w:sz w:val="18"/>
                <w:szCs w:val="18"/>
                <w:color w:val="0000FF"/>
              </w:rPr>
              <w:t>23,700</w:t>
            </w:r>
          </w:p>
        </w:tc>
        <w:tc>
          <w:tcPr>
            <w:tcW w:w="540" w:type="dxa"/>
            <w:vAlign w:val="bottom"/>
          </w:tcPr>
          <w:p>
            <w:pPr>
              <w:ind w:left="200"/>
              <w:spacing w:after="0"/>
              <w:rPr>
                <w:sz w:val="20"/>
                <w:szCs w:val="20"/>
                <w:color w:val="auto"/>
              </w:rPr>
            </w:pPr>
            <w:r>
              <w:rPr>
                <w:rFonts w:ascii="Arial" w:cs="Arial" w:eastAsia="Arial" w:hAnsi="Arial"/>
                <w:sz w:val="18"/>
                <w:szCs w:val="18"/>
                <w:color w:val="0000FF"/>
              </w:rPr>
              <w:t>D</w:t>
            </w:r>
          </w:p>
        </w:tc>
        <w:tc>
          <w:tcPr>
            <w:tcW w:w="680" w:type="dxa"/>
            <w:vAlign w:val="bottom"/>
            <w:gridSpan w:val="2"/>
          </w:tcPr>
          <w:p>
            <w:pPr>
              <w:ind w:left="40"/>
              <w:spacing w:after="0" w:line="217" w:lineRule="exact"/>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20.05</w:t>
            </w:r>
            <w:r>
              <w:rPr>
                <w:rFonts w:ascii="Arial" w:cs="Arial" w:eastAsia="Arial" w:hAnsi="Arial"/>
                <w:sz w:val="22"/>
                <w:szCs w:val="22"/>
                <w:color w:val="008000"/>
                <w:w w:val="84"/>
                <w:vertAlign w:val="superscript"/>
              </w:rPr>
              <w:t>(3)</w:t>
            </w:r>
          </w:p>
        </w:tc>
        <w:tc>
          <w:tcPr>
            <w:tcW w:w="1280" w:type="dxa"/>
            <w:vAlign w:val="bottom"/>
            <w:gridSpan w:val="3"/>
          </w:tcPr>
          <w:p>
            <w:pPr>
              <w:jc w:val="center"/>
              <w:spacing w:after="0"/>
              <w:rPr>
                <w:sz w:val="20"/>
                <w:szCs w:val="20"/>
                <w:color w:val="auto"/>
              </w:rPr>
            </w:pPr>
            <w:r>
              <w:rPr>
                <w:rFonts w:ascii="Arial" w:cs="Arial" w:eastAsia="Arial" w:hAnsi="Arial"/>
                <w:sz w:val="18"/>
                <w:szCs w:val="18"/>
                <w:color w:val="0000FF"/>
                <w:w w:val="86"/>
              </w:rPr>
              <w:t>775,184</w:t>
            </w:r>
          </w:p>
        </w:tc>
        <w:tc>
          <w:tcPr>
            <w:tcW w:w="340" w:type="dxa"/>
            <w:vAlign w:val="bottom"/>
          </w:tcPr>
          <w:p>
            <w:pPr>
              <w:spacing w:after="0"/>
              <w:rPr>
                <w:sz w:val="18"/>
                <w:szCs w:val="18"/>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0000FF"/>
              </w:rPr>
              <w:t>I</w:t>
            </w: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shares 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subject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reporting 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ind w:left="80"/>
              <w:spacing w:after="0"/>
              <w:rPr>
                <w:sz w:val="20"/>
                <w:szCs w:val="20"/>
                <w:color w:val="auto"/>
              </w:rPr>
            </w:pPr>
            <w:r>
              <w:rPr>
                <w:rFonts w:ascii="Arial" w:cs="Arial" w:eastAsia="Arial" w:hAnsi="Arial"/>
                <w:sz w:val="18"/>
                <w:szCs w:val="18"/>
                <w:color w:val="0000FF"/>
                <w:w w:val="79"/>
              </w:rPr>
              <w:t>the</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w w:val="92"/>
              </w:rPr>
              <w:t>undersigned.</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w w:val="99"/>
              </w:rPr>
              <w:t>Shares held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by persons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and entities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whose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18"/>
                <w:szCs w:val="18"/>
                <w:color w:val="auto"/>
              </w:rPr>
            </w:pPr>
          </w:p>
        </w:tc>
        <w:tc>
          <w:tcPr>
            <w:tcW w:w="1560" w:type="dxa"/>
            <w:vAlign w:val="bottom"/>
            <w:gridSpan w:val="2"/>
          </w:tcPr>
          <w:p>
            <w:pPr>
              <w:jc w:val="right"/>
              <w:ind w:right="98"/>
              <w:spacing w:after="0"/>
              <w:rPr>
                <w:sz w:val="20"/>
                <w:szCs w:val="20"/>
                <w:color w:val="auto"/>
              </w:rPr>
            </w:pPr>
            <w:r>
              <w:rPr>
                <w:rFonts w:ascii="Arial" w:cs="Arial" w:eastAsia="Arial" w:hAnsi="Arial"/>
                <w:sz w:val="18"/>
                <w:szCs w:val="18"/>
                <w:color w:val="0000FF"/>
              </w:rPr>
              <w:t>11/23/2015</w:t>
            </w: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ind w:left="140"/>
              <w:spacing w:after="0"/>
              <w:rPr>
                <w:sz w:val="20"/>
                <w:szCs w:val="20"/>
                <w:color w:val="auto"/>
              </w:rPr>
            </w:pPr>
            <w:r>
              <w:rPr>
                <w:rFonts w:ascii="Arial" w:cs="Arial" w:eastAsia="Arial" w:hAnsi="Arial"/>
                <w:sz w:val="14"/>
                <w:szCs w:val="14"/>
                <w:color w:val="0000FF"/>
              </w:rPr>
              <w:t>S</w:t>
            </w:r>
          </w:p>
        </w:tc>
        <w:tc>
          <w:tcPr>
            <w:tcW w:w="820" w:type="dxa"/>
            <w:vAlign w:val="bottom"/>
          </w:tcPr>
          <w:p>
            <w:pPr>
              <w:jc w:val="right"/>
              <w:ind w:right="84"/>
              <w:spacing w:after="0"/>
              <w:rPr>
                <w:sz w:val="20"/>
                <w:szCs w:val="20"/>
                <w:color w:val="auto"/>
              </w:rPr>
            </w:pPr>
            <w:r>
              <w:rPr>
                <w:rFonts w:ascii="Arial" w:cs="Arial" w:eastAsia="Arial" w:hAnsi="Arial"/>
                <w:sz w:val="18"/>
                <w:szCs w:val="18"/>
                <w:color w:val="0000FF"/>
              </w:rPr>
              <w:t>61,600</w:t>
            </w:r>
          </w:p>
        </w:tc>
        <w:tc>
          <w:tcPr>
            <w:tcW w:w="540" w:type="dxa"/>
            <w:vAlign w:val="bottom"/>
          </w:tcPr>
          <w:p>
            <w:pPr>
              <w:ind w:left="200"/>
              <w:spacing w:after="0"/>
              <w:rPr>
                <w:sz w:val="20"/>
                <w:szCs w:val="20"/>
                <w:color w:val="auto"/>
              </w:rPr>
            </w:pPr>
            <w:r>
              <w:rPr>
                <w:rFonts w:ascii="Arial" w:cs="Arial" w:eastAsia="Arial" w:hAnsi="Arial"/>
                <w:sz w:val="18"/>
                <w:szCs w:val="18"/>
                <w:color w:val="0000FF"/>
              </w:rPr>
              <w:t>D</w:t>
            </w:r>
          </w:p>
        </w:tc>
        <w:tc>
          <w:tcPr>
            <w:tcW w:w="680" w:type="dxa"/>
            <w:vAlign w:val="bottom"/>
            <w:gridSpan w:val="2"/>
          </w:tcPr>
          <w:p>
            <w:pPr>
              <w:ind w:left="40"/>
              <w:spacing w:after="0" w:line="217" w:lineRule="exact"/>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20.22</w:t>
            </w:r>
            <w:r>
              <w:rPr>
                <w:rFonts w:ascii="Arial" w:cs="Arial" w:eastAsia="Arial" w:hAnsi="Arial"/>
                <w:sz w:val="22"/>
                <w:szCs w:val="22"/>
                <w:color w:val="008000"/>
                <w:w w:val="84"/>
                <w:vertAlign w:val="superscript"/>
              </w:rPr>
              <w:t>(4)</w:t>
            </w:r>
          </w:p>
        </w:tc>
        <w:tc>
          <w:tcPr>
            <w:tcW w:w="1280" w:type="dxa"/>
            <w:vAlign w:val="bottom"/>
            <w:gridSpan w:val="3"/>
          </w:tcPr>
          <w:p>
            <w:pPr>
              <w:jc w:val="center"/>
              <w:spacing w:after="0"/>
              <w:rPr>
                <w:sz w:val="20"/>
                <w:szCs w:val="20"/>
                <w:color w:val="auto"/>
              </w:rPr>
            </w:pPr>
            <w:r>
              <w:rPr>
                <w:rFonts w:ascii="Arial" w:cs="Arial" w:eastAsia="Arial" w:hAnsi="Arial"/>
                <w:sz w:val="18"/>
                <w:szCs w:val="18"/>
                <w:color w:val="0000FF"/>
                <w:w w:val="86"/>
              </w:rPr>
              <w:t>713,584</w:t>
            </w:r>
          </w:p>
        </w:tc>
        <w:tc>
          <w:tcPr>
            <w:tcW w:w="340" w:type="dxa"/>
            <w:vAlign w:val="bottom"/>
          </w:tcPr>
          <w:p>
            <w:pPr>
              <w:spacing w:after="0"/>
              <w:rPr>
                <w:sz w:val="18"/>
                <w:szCs w:val="18"/>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0000FF"/>
              </w:rPr>
              <w:t>I</w:t>
            </w: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shares 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subject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reporting 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ind w:left="80"/>
              <w:spacing w:after="0"/>
              <w:rPr>
                <w:sz w:val="20"/>
                <w:szCs w:val="20"/>
                <w:color w:val="auto"/>
              </w:rPr>
            </w:pPr>
            <w:r>
              <w:rPr>
                <w:rFonts w:ascii="Arial" w:cs="Arial" w:eastAsia="Arial" w:hAnsi="Arial"/>
                <w:sz w:val="18"/>
                <w:szCs w:val="18"/>
                <w:color w:val="0000FF"/>
                <w:w w:val="79"/>
              </w:rPr>
              <w:t>the</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w w:val="92"/>
              </w:rPr>
              <w:t>undersigned.</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340" w:type="dxa"/>
            <w:vAlign w:val="bottom"/>
            <w:tcBorders>
              <w:bottom w:val="single" w:sz="8" w:color="2C2C2C"/>
            </w:tcBorders>
            <w:gridSpan w:val="2"/>
          </w:tcPr>
          <w:p>
            <w:pPr>
              <w:spacing w:after="0"/>
              <w:rPr>
                <w:sz w:val="8"/>
                <w:szCs w:val="8"/>
                <w:color w:val="auto"/>
              </w:rPr>
            </w:pPr>
          </w:p>
        </w:tc>
        <w:tc>
          <w:tcPr>
            <w:tcW w:w="1440" w:type="dxa"/>
            <w:vAlign w:val="bottom"/>
            <w:tcBorders>
              <w:bottom w:val="single" w:sz="8" w:color="2C2C2C"/>
            </w:tcBorders>
            <w:gridSpan w:val="3"/>
          </w:tcPr>
          <w:p>
            <w:pPr>
              <w:spacing w:after="0"/>
              <w:rPr>
                <w:sz w:val="8"/>
                <w:szCs w:val="8"/>
                <w:color w:val="auto"/>
              </w:rPr>
            </w:pPr>
          </w:p>
        </w:tc>
        <w:tc>
          <w:tcPr>
            <w:tcW w:w="2800" w:type="dxa"/>
            <w:vAlign w:val="bottom"/>
            <w:tcBorders>
              <w:bottom w:val="single" w:sz="8" w:color="2C2C2C"/>
            </w:tcBorders>
            <w:gridSpan w:val="5"/>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jc w:val="center"/>
              <w:ind w:left="86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6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540" w:type="dxa"/>
            <w:vAlign w:val="bottom"/>
            <w:gridSpan w:val="10"/>
          </w:tcPr>
          <w:p>
            <w:pPr>
              <w:jc w:val="center"/>
              <w:ind w:left="507"/>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40" w:type="dxa"/>
            <w:vAlign w:val="bottom"/>
          </w:tcPr>
          <w:p>
            <w:pPr>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8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jc w:val="right"/>
              <w:ind w:right="118"/>
              <w:spacing w:after="0" w:line="135" w:lineRule="exact"/>
              <w:rPr>
                <w:sz w:val="20"/>
                <w:szCs w:val="20"/>
                <w:color w:val="auto"/>
              </w:rPr>
            </w:pPr>
            <w:r>
              <w:rPr>
                <w:rFonts w:ascii="Arial" w:cs="Arial" w:eastAsia="Arial" w:hAnsi="Arial"/>
                <w:sz w:val="12"/>
                <w:szCs w:val="12"/>
                <w:b w:val="1"/>
                <w:bCs w:val="1"/>
                <w:color w:val="auto"/>
                <w:w w:val="93"/>
              </w:rPr>
              <w:t>8)</w:t>
            </w:r>
          </w:p>
        </w:tc>
        <w:tc>
          <w:tcPr>
            <w:tcW w:w="48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2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2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2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Reported</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300" w:type="dxa"/>
            <w:vAlign w:val="bottom"/>
            <w:tcBorders>
              <w:bottom w:val="single" w:sz="8" w:color="808080"/>
            </w:tcBorders>
          </w:tcPr>
          <w:p>
            <w:pPr>
              <w:spacing w:after="0"/>
              <w:rPr>
                <w:sz w:val="3"/>
                <w:szCs w:val="3"/>
                <w:color w:val="auto"/>
              </w:rPr>
            </w:pPr>
          </w:p>
        </w:tc>
        <w:tc>
          <w:tcPr>
            <w:tcW w:w="48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5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6" w:right="23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72020" cy="24009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272020" cy="2400935"/>
                    </a:xfrm>
                    <a:prstGeom prst="rect">
                      <a:avLst/>
                    </a:prstGeom>
                    <a:noFill/>
                  </pic:spPr>
                </pic:pic>
              </a:graphicData>
            </a:graphic>
          </wp:anchor>
        </w:drawing>
        <w:t>Table II - Derivative Securities Acquired, Disposed of, or Beneficially</w:t>
      </w:r>
      <w:r>
        <w:rPr>
          <w:rFonts w:ascii="Arial" w:cs="Arial" w:eastAsia="Arial" w:hAnsi="Arial"/>
          <w:sz w:val="24"/>
          <w:szCs w:val="24"/>
          <w:b w:val="1"/>
          <w:bCs w:val="1"/>
          <w:color w:val="auto"/>
          <w:vertAlign w:val="superscript"/>
        </w:rPr>
        <w:t>Amount</w:t>
      </w:r>
      <w:r>
        <w:rPr>
          <w:rFonts w:ascii="Arial" w:cs="Arial" w:eastAsia="Arial" w:hAnsi="Arial"/>
          <w:sz w:val="18"/>
          <w:szCs w:val="18"/>
          <w:b w:val="1"/>
          <w:bCs w:val="1"/>
          <w:color w:val="auto"/>
        </w:rPr>
        <w:t xml:space="preserve"> Owned</w:t>
      </w:r>
    </w:p>
    <w:p>
      <w:pPr>
        <w:ind w:left="7580"/>
        <w:spacing w:after="0" w:line="189" w:lineRule="auto"/>
        <w:rPr>
          <w:sz w:val="20"/>
          <w:szCs w:val="20"/>
          <w:color w:val="auto"/>
        </w:rPr>
      </w:pPr>
      <w:r>
        <w:rPr>
          <w:rFonts w:ascii="Arial" w:cs="Arial" w:eastAsia="Arial" w:hAnsi="Arial"/>
          <w:sz w:val="8"/>
          <w:szCs w:val="8"/>
          <w:b w:val="1"/>
          <w:bCs w:val="1"/>
          <w:color w:val="auto"/>
        </w:rPr>
        <w:t>or</w:t>
      </w:r>
    </w:p>
    <w:p>
      <w:pPr>
        <w:jc w:val="center"/>
        <w:spacing w:after="0" w:line="229" w:lineRule="auto"/>
        <w:rPr>
          <w:sz w:val="20"/>
          <w:szCs w:val="20"/>
          <w:color w:val="auto"/>
        </w:rPr>
      </w:pPr>
      <w:r>
        <w:rPr>
          <w:rFonts w:ascii="Arial" w:cs="Arial" w:eastAsia="Arial" w:hAnsi="Arial"/>
          <w:sz w:val="18"/>
          <w:szCs w:val="18"/>
          <w:b w:val="1"/>
          <w:bCs w:val="1"/>
          <w:color w:val="auto"/>
        </w:rPr>
        <w:t>(e.g., puts, calls, warrants, options, convertible securities)</w:t>
      </w:r>
      <w:r>
        <w:rPr>
          <w:rFonts w:ascii="Arial" w:cs="Arial" w:eastAsia="Arial" w:hAnsi="Arial"/>
          <w:sz w:val="12"/>
          <w:szCs w:val="12"/>
          <w:b w:val="1"/>
          <w:bCs w:val="1"/>
          <w:color w:val="auto"/>
        </w:rPr>
        <w:t>Number</w:t>
      </w:r>
    </w:p>
    <w:p>
      <w:pPr>
        <w:ind w:left="5560"/>
        <w:spacing w:after="0" w:line="235" w:lineRule="auto"/>
        <w:tabs>
          <w:tab w:leader="none" w:pos="6360" w:val="left"/>
          <w:tab w:leader="none" w:pos="7560" w:val="left"/>
        </w:tabs>
        <w:rPr>
          <w:sz w:val="20"/>
          <w:szCs w:val="20"/>
          <w:color w:val="auto"/>
        </w:rPr>
      </w:pPr>
      <w:r>
        <w:rPr>
          <w:rFonts w:ascii="Arial" w:cs="Arial" w:eastAsia="Arial" w:hAnsi="Arial"/>
          <w:sz w:val="12"/>
          <w:szCs w:val="12"/>
          <w:b w:val="1"/>
          <w:bCs w:val="1"/>
          <w:color w:val="auto"/>
        </w:rPr>
        <w:t>Date</w:t>
      </w:r>
      <w:r>
        <w:rPr>
          <w:sz w:val="20"/>
          <w:szCs w:val="20"/>
          <w:color w:val="auto"/>
        </w:rPr>
        <w:tab/>
      </w:r>
      <w:r>
        <w:rPr>
          <w:rFonts w:ascii="Arial" w:cs="Arial" w:eastAsia="Arial" w:hAnsi="Arial"/>
          <w:sz w:val="12"/>
          <w:szCs w:val="12"/>
          <w:b w:val="1"/>
          <w:bCs w:val="1"/>
          <w:color w:val="auto"/>
        </w:rPr>
        <w:t>Expiration</w:t>
      </w:r>
      <w:r>
        <w:rPr>
          <w:sz w:val="20"/>
          <w:szCs w:val="20"/>
          <w:color w:val="auto"/>
        </w:rPr>
        <w:tab/>
      </w:r>
      <w:r>
        <w:rPr>
          <w:rFonts w:ascii="Arial" w:cs="Arial" w:eastAsia="Arial" w:hAnsi="Arial"/>
          <w:sz w:val="12"/>
          <w:szCs w:val="12"/>
          <w:b w:val="1"/>
          <w:bCs w:val="1"/>
          <w:color w:val="auto"/>
        </w:rPr>
        <w:t>of</w:t>
      </w:r>
    </w:p>
    <w:tbl>
      <w:tblPr>
        <w:tblLayout w:type="fixed"/>
        <w:tblInd w:w="0" w:type="dxa"/>
        <w:tblCellMar>
          <w:top w:w="0" w:type="dxa"/>
          <w:left w:w="0" w:type="dxa"/>
          <w:bottom w:w="0" w:type="dxa"/>
          <w:right w:w="0" w:type="dxa"/>
        </w:tblCellMar>
      </w:tblPr>
      <w:tr>
        <w:trPr>
          <w:trHeight w:val="121"/>
        </w:trPr>
        <w:tc>
          <w:tcPr>
            <w:tcW w:w="82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20"/>
              <w:spacing w:after="0" w:line="121" w:lineRule="exact"/>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4Code.  V</w:t>
            </w:r>
          </w:p>
        </w:tc>
        <w:tc>
          <w:tcPr>
            <w:tcW w:w="780" w:type="dxa"/>
            <w:vAlign w:val="bottom"/>
          </w:tcPr>
          <w:p>
            <w:pPr>
              <w:ind w:left="80"/>
              <w:spacing w:after="0" w:line="121" w:lineRule="exact"/>
              <w:rPr>
                <w:sz w:val="20"/>
                <w:szCs w:val="20"/>
                <w:color w:val="auto"/>
              </w:rPr>
            </w:pPr>
            <w:r>
              <w:rPr>
                <w:rFonts w:ascii="Arial" w:cs="Arial" w:eastAsia="Arial" w:hAnsi="Arial"/>
                <w:sz w:val="12"/>
                <w:szCs w:val="12"/>
                <w:b w:val="1"/>
                <w:bCs w:val="1"/>
                <w:color w:val="auto"/>
                <w:w w:val="76"/>
              </w:rPr>
              <w:t>5(A).Number(D)</w:t>
            </w:r>
          </w:p>
        </w:tc>
        <w:tc>
          <w:tcPr>
            <w:tcW w:w="1540" w:type="dxa"/>
            <w:vAlign w:val="bottom"/>
          </w:tcPr>
          <w:p>
            <w:pPr>
              <w:ind w:left="80"/>
              <w:spacing w:after="0" w:line="121" w:lineRule="exact"/>
              <w:rPr>
                <w:sz w:val="20"/>
                <w:szCs w:val="20"/>
                <w:color w:val="auto"/>
              </w:rPr>
            </w:pPr>
            <w:r>
              <w:rPr>
                <w:rFonts w:ascii="Arial" w:cs="Arial" w:eastAsia="Arial" w:hAnsi="Arial"/>
                <w:sz w:val="11"/>
                <w:szCs w:val="11"/>
                <w:b w:val="1"/>
                <w:bCs w:val="1"/>
                <w:color w:val="auto"/>
                <w:w w:val="71"/>
              </w:rPr>
              <w:t>6Exercisable.DateExercisableDate and</w:t>
            </w:r>
          </w:p>
        </w:tc>
        <w:tc>
          <w:tcPr>
            <w:tcW w:w="1120" w:type="dxa"/>
            <w:vAlign w:val="bottom"/>
          </w:tcPr>
          <w:p>
            <w:pPr>
              <w:ind w:left="100"/>
              <w:spacing w:after="0" w:line="121" w:lineRule="exact"/>
              <w:rPr>
                <w:sz w:val="20"/>
                <w:szCs w:val="20"/>
                <w:color w:val="auto"/>
              </w:rPr>
            </w:pPr>
            <w:r>
              <w:rPr>
                <w:rFonts w:ascii="Arial" w:cs="Arial" w:eastAsia="Arial" w:hAnsi="Arial"/>
                <w:sz w:val="12"/>
                <w:szCs w:val="12"/>
                <w:b w:val="1"/>
                <w:bCs w:val="1"/>
                <w:color w:val="auto"/>
                <w:w w:val="80"/>
              </w:rPr>
              <w:t>7Title.Title andShares</w:t>
            </w:r>
          </w:p>
        </w:tc>
        <w:tc>
          <w:tcPr>
            <w:tcW w:w="7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9. Number of</w:t>
            </w:r>
          </w:p>
        </w:tc>
        <w:tc>
          <w:tcPr>
            <w:tcW w:w="820" w:type="dxa"/>
            <w:vAlign w:val="bottom"/>
          </w:tcPr>
          <w:p>
            <w:pPr>
              <w:ind w:left="120"/>
              <w:spacing w:after="0" w:line="121" w:lineRule="exact"/>
              <w:rPr>
                <w:sz w:val="20"/>
                <w:szCs w:val="20"/>
                <w:color w:val="auto"/>
              </w:rPr>
            </w:pPr>
            <w:r>
              <w:rPr>
                <w:rFonts w:ascii="Arial" w:cs="Arial" w:eastAsia="Arial" w:hAnsi="Arial"/>
                <w:sz w:val="12"/>
                <w:szCs w:val="12"/>
                <w:b w:val="1"/>
                <w:bCs w:val="1"/>
                <w:color w:val="auto"/>
              </w:rPr>
              <w:t>10.</w:t>
            </w:r>
          </w:p>
        </w:tc>
        <w:tc>
          <w:tcPr>
            <w:tcW w:w="80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4"/>
        </w:trPr>
        <w:tc>
          <w:tcPr>
            <w:tcW w:w="82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20"/>
              <w:spacing w:after="0" w:line="12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of</w:t>
            </w:r>
          </w:p>
        </w:tc>
        <w:tc>
          <w:tcPr>
            <w:tcW w:w="154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tcPr>
          <w:p>
            <w:pPr>
              <w:ind w:left="100"/>
              <w:spacing w:after="0" w:line="124" w:lineRule="exact"/>
              <w:rPr>
                <w:sz w:val="20"/>
                <w:szCs w:val="20"/>
                <w:color w:val="auto"/>
              </w:rPr>
            </w:pPr>
            <w:r>
              <w:rPr>
                <w:rFonts w:ascii="Arial" w:cs="Arial" w:eastAsia="Arial" w:hAnsi="Arial"/>
                <w:sz w:val="12"/>
                <w:szCs w:val="12"/>
                <w:b w:val="1"/>
                <w:bCs w:val="1"/>
                <w:color w:val="auto"/>
              </w:rPr>
              <w:t>Amount of</w:t>
            </w:r>
          </w:p>
        </w:tc>
        <w:tc>
          <w:tcPr>
            <w:tcW w:w="74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120"/>
              <w:spacing w:after="0" w:line="124" w:lineRule="exact"/>
              <w:rPr>
                <w:sz w:val="20"/>
                <w:szCs w:val="20"/>
                <w:color w:val="auto"/>
              </w:rPr>
            </w:pPr>
            <w:r>
              <w:rPr>
                <w:rFonts w:ascii="Arial" w:cs="Arial" w:eastAsia="Arial" w:hAnsi="Arial"/>
                <w:sz w:val="12"/>
                <w:szCs w:val="12"/>
                <w:b w:val="1"/>
                <w:bCs w:val="1"/>
                <w:color w:val="auto"/>
              </w:rPr>
              <w:t>Ownership</w:t>
            </w:r>
          </w:p>
        </w:tc>
        <w:tc>
          <w:tcPr>
            <w:tcW w:w="80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46"/>
        </w:trPr>
        <w:tc>
          <w:tcPr>
            <w:tcW w:w="820" w:type="dxa"/>
            <w:vAlign w:val="bottom"/>
          </w:tcPr>
          <w:p>
            <w:pPr>
              <w:ind w:left="40"/>
              <w:spacing w:after="0"/>
              <w:rPr>
                <w:sz w:val="20"/>
                <w:szCs w:val="20"/>
                <w:color w:val="auto"/>
              </w:rPr>
            </w:pPr>
            <w:r>
              <w:rPr>
                <w:rFonts w:ascii="Arial" w:cs="Arial" w:eastAsia="Arial" w:hAnsi="Arial"/>
                <w:sz w:val="11"/>
                <w:szCs w:val="11"/>
                <w:b w:val="1"/>
                <w:bCs w:val="1"/>
                <w:color w:val="auto"/>
                <w:w w:val="74"/>
              </w:rPr>
              <w:t>Explanation</w:t>
            </w:r>
            <w:r>
              <w:rPr>
                <w:rFonts w:ascii="Arial" w:cs="Arial" w:eastAsia="Arial" w:hAnsi="Arial"/>
                <w:sz w:val="10"/>
                <w:szCs w:val="10"/>
                <w:b w:val="1"/>
                <w:bCs w:val="1"/>
                <w:color w:val="auto"/>
                <w:w w:val="74"/>
              </w:rPr>
              <w:t>Security</w:t>
            </w:r>
          </w:p>
        </w:tc>
        <w:tc>
          <w:tcPr>
            <w:tcW w:w="1900" w:type="dxa"/>
            <w:vAlign w:val="bottom"/>
            <w:gridSpan w:val="2"/>
          </w:tcPr>
          <w:p>
            <w:pPr>
              <w:ind w:left="20"/>
              <w:spacing w:after="0" w:line="146" w:lineRule="exact"/>
              <w:rPr>
                <w:sz w:val="20"/>
                <w:szCs w:val="20"/>
                <w:color w:val="auto"/>
              </w:rPr>
            </w:pPr>
            <w:r>
              <w:rPr>
                <w:rFonts w:ascii="Arial" w:cs="Arial" w:eastAsia="Arial" w:hAnsi="Arial"/>
                <w:sz w:val="14"/>
                <w:szCs w:val="14"/>
                <w:b w:val="1"/>
                <w:bCs w:val="1"/>
                <w:color w:val="auto"/>
                <w:w w:val="74"/>
              </w:rPr>
              <w:t>of</w:t>
            </w:r>
            <w:r>
              <w:rPr>
                <w:rFonts w:ascii="Arial" w:cs="Arial" w:eastAsia="Arial" w:hAnsi="Arial"/>
                <w:sz w:val="12"/>
                <w:szCs w:val="12"/>
                <w:b w:val="1"/>
                <w:bCs w:val="1"/>
                <w:color w:val="auto"/>
                <w:w w:val="74"/>
              </w:rPr>
              <w:t>r Exercise</w:t>
            </w:r>
            <w:r>
              <w:rPr>
                <w:rFonts w:ascii="Arial" w:cs="Arial" w:eastAsia="Arial" w:hAnsi="Arial"/>
                <w:sz w:val="14"/>
                <w:szCs w:val="14"/>
                <w:b w:val="1"/>
                <w:bCs w:val="1"/>
                <w:color w:val="auto"/>
                <w:w w:val="74"/>
              </w:rPr>
              <w:t>Responses:</w:t>
            </w:r>
            <w:r>
              <w:rPr>
                <w:rFonts w:ascii="Arial" w:cs="Arial" w:eastAsia="Arial" w:hAnsi="Arial"/>
                <w:sz w:val="12"/>
                <w:szCs w:val="12"/>
                <w:b w:val="1"/>
                <w:bCs w:val="1"/>
                <w:color w:val="auto"/>
                <w:w w:val="74"/>
              </w:rPr>
              <w:t>(Month/Day/Year)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Derivative</w:t>
            </w:r>
          </w:p>
        </w:tc>
        <w:tc>
          <w:tcPr>
            <w:tcW w:w="1540" w:type="dxa"/>
            <w:vAlign w:val="bottom"/>
          </w:tcPr>
          <w:p>
            <w:pPr>
              <w:ind w:left="80"/>
              <w:spacing w:after="0"/>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Securities</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Form:</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4"/>
        </w:trPr>
        <w:tc>
          <w:tcPr>
            <w:tcW w:w="82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20"/>
              <w:spacing w:after="0" w:line="12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0"/>
                <w:szCs w:val="10"/>
                <w:color w:val="auto"/>
              </w:rPr>
            </w:pPr>
          </w:p>
        </w:tc>
        <w:tc>
          <w:tcPr>
            <w:tcW w:w="114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Securities</w:t>
            </w:r>
          </w:p>
        </w:tc>
        <w:tc>
          <w:tcPr>
            <w:tcW w:w="1540" w:type="dxa"/>
            <w:vAlign w:val="bottom"/>
          </w:tcPr>
          <w:p>
            <w:pPr>
              <w:spacing w:after="0"/>
              <w:rPr>
                <w:sz w:val="10"/>
                <w:szCs w:val="10"/>
                <w:color w:val="auto"/>
              </w:rPr>
            </w:pPr>
          </w:p>
        </w:tc>
        <w:tc>
          <w:tcPr>
            <w:tcW w:w="1120" w:type="dxa"/>
            <w:vAlign w:val="bottom"/>
          </w:tcPr>
          <w:p>
            <w:pPr>
              <w:ind w:left="100"/>
              <w:spacing w:after="0" w:line="124" w:lineRule="exact"/>
              <w:rPr>
                <w:sz w:val="20"/>
                <w:szCs w:val="20"/>
                <w:color w:val="auto"/>
              </w:rPr>
            </w:pPr>
            <w:r>
              <w:rPr>
                <w:rFonts w:ascii="Arial" w:cs="Arial" w:eastAsia="Arial" w:hAnsi="Arial"/>
                <w:sz w:val="12"/>
                <w:szCs w:val="12"/>
                <w:b w:val="1"/>
                <w:bCs w:val="1"/>
                <w:color w:val="auto"/>
              </w:rPr>
              <w:t>Underlying</w:t>
            </w:r>
          </w:p>
        </w:tc>
        <w:tc>
          <w:tcPr>
            <w:tcW w:w="74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Beneficially</w:t>
            </w:r>
          </w:p>
        </w:tc>
        <w:tc>
          <w:tcPr>
            <w:tcW w:w="820" w:type="dxa"/>
            <w:vAlign w:val="bottom"/>
          </w:tcPr>
          <w:p>
            <w:pPr>
              <w:ind w:left="120"/>
              <w:spacing w:after="0" w:line="124" w:lineRule="exact"/>
              <w:rPr>
                <w:sz w:val="20"/>
                <w:szCs w:val="20"/>
                <w:color w:val="auto"/>
              </w:rPr>
            </w:pPr>
            <w:r>
              <w:rPr>
                <w:rFonts w:ascii="Arial" w:cs="Arial" w:eastAsia="Arial" w:hAnsi="Arial"/>
                <w:sz w:val="12"/>
                <w:szCs w:val="12"/>
                <w:b w:val="1"/>
                <w:bCs w:val="1"/>
                <w:color w:val="auto"/>
              </w:rPr>
              <w:t>Direct (D)</w:t>
            </w:r>
          </w:p>
        </w:tc>
        <w:tc>
          <w:tcPr>
            <w:tcW w:w="80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68"/>
        </w:trPr>
        <w:tc>
          <w:tcPr>
            <w:tcW w:w="11420" w:type="dxa"/>
            <w:vAlign w:val="bottom"/>
            <w:gridSpan w:val="12"/>
          </w:tcPr>
          <w:p>
            <w:pPr>
              <w:ind w:left="40"/>
              <w:spacing w:after="0" w:line="68" w:lineRule="exact"/>
              <w:rPr>
                <w:sz w:val="20"/>
                <w:szCs w:val="20"/>
                <w:color w:val="auto"/>
              </w:rPr>
            </w:pPr>
            <w:r>
              <w:rPr>
                <w:rFonts w:ascii="Arial" w:cs="Arial" w:eastAsia="Arial" w:hAnsi="Arial"/>
                <w:sz w:val="7"/>
                <w:szCs w:val="7"/>
                <w:color w:val="008000"/>
              </w:rPr>
              <w:t>1. The price reported for this transaction is the weighted average price of multiple trades at prices ranging from $19.85 to $20.11. FMR LLC hereby undertakes to provide upon request by the Commission staff,</w:t>
            </w:r>
          </w:p>
        </w:tc>
        <w:tc>
          <w:tcPr>
            <w:tcW w:w="0" w:type="dxa"/>
            <w:vAlign w:val="bottom"/>
          </w:tcPr>
          <w:p>
            <w:pPr>
              <w:spacing w:after="0"/>
              <w:rPr>
                <w:sz w:val="1"/>
                <w:szCs w:val="1"/>
                <w:color w:val="auto"/>
              </w:rPr>
            </w:pPr>
          </w:p>
        </w:tc>
      </w:tr>
      <w:tr>
        <w:trPr>
          <w:trHeight w:val="68"/>
        </w:trPr>
        <w:tc>
          <w:tcPr>
            <w:tcW w:w="820" w:type="dxa"/>
            <w:vAlign w:val="bottom"/>
          </w:tcPr>
          <w:p>
            <w:pPr>
              <w:spacing w:after="0"/>
              <w:rPr>
                <w:sz w:val="5"/>
                <w:szCs w:val="5"/>
                <w:color w:val="auto"/>
              </w:rPr>
            </w:pPr>
          </w:p>
        </w:tc>
        <w:tc>
          <w:tcPr>
            <w:tcW w:w="760" w:type="dxa"/>
            <w:vAlign w:val="bottom"/>
          </w:tcPr>
          <w:p>
            <w:pPr>
              <w:ind w:left="20"/>
              <w:spacing w:after="0" w:line="68" w:lineRule="exact"/>
              <w:rPr>
                <w:sz w:val="20"/>
                <w:szCs w:val="20"/>
                <w:color w:val="auto"/>
              </w:rPr>
            </w:pPr>
            <w:r>
              <w:rPr>
                <w:rFonts w:ascii="Arial" w:cs="Arial" w:eastAsia="Arial" w:hAnsi="Arial"/>
                <w:sz w:val="7"/>
                <w:szCs w:val="7"/>
                <w:b w:val="1"/>
                <w:bCs w:val="1"/>
                <w:color w:val="auto"/>
              </w:rPr>
              <w:t>Derivative</w:t>
            </w: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ind w:left="80"/>
              <w:spacing w:after="0" w:line="68" w:lineRule="exact"/>
              <w:rPr>
                <w:sz w:val="20"/>
                <w:szCs w:val="20"/>
                <w:color w:val="auto"/>
              </w:rPr>
            </w:pPr>
            <w:r>
              <w:rPr>
                <w:rFonts w:ascii="Arial" w:cs="Arial" w:eastAsia="Arial" w:hAnsi="Arial"/>
                <w:sz w:val="7"/>
                <w:szCs w:val="7"/>
                <w:b w:val="1"/>
                <w:bCs w:val="1"/>
                <w:color w:val="auto"/>
              </w:rPr>
              <w:t>Acquired</w:t>
            </w:r>
          </w:p>
        </w:tc>
        <w:tc>
          <w:tcPr>
            <w:tcW w:w="1540" w:type="dxa"/>
            <w:vAlign w:val="bottom"/>
          </w:tcPr>
          <w:p>
            <w:pPr>
              <w:spacing w:after="0"/>
              <w:rPr>
                <w:sz w:val="5"/>
                <w:szCs w:val="5"/>
                <w:color w:val="auto"/>
              </w:rPr>
            </w:pPr>
          </w:p>
        </w:tc>
        <w:tc>
          <w:tcPr>
            <w:tcW w:w="1120" w:type="dxa"/>
            <w:vAlign w:val="bottom"/>
          </w:tcPr>
          <w:p>
            <w:pPr>
              <w:ind w:left="100"/>
              <w:spacing w:after="0" w:line="68" w:lineRule="exact"/>
              <w:rPr>
                <w:sz w:val="20"/>
                <w:szCs w:val="20"/>
                <w:color w:val="auto"/>
              </w:rPr>
            </w:pPr>
            <w:r>
              <w:rPr>
                <w:rFonts w:ascii="Arial" w:cs="Arial" w:eastAsia="Arial" w:hAnsi="Arial"/>
                <w:sz w:val="7"/>
                <w:szCs w:val="7"/>
                <w:b w:val="1"/>
                <w:bCs w:val="1"/>
                <w:color w:val="auto"/>
              </w:rPr>
              <w:t>Derivative</w:t>
            </w:r>
          </w:p>
        </w:tc>
        <w:tc>
          <w:tcPr>
            <w:tcW w:w="740" w:type="dxa"/>
            <w:vAlign w:val="bottom"/>
          </w:tcPr>
          <w:p>
            <w:pPr>
              <w:spacing w:after="0"/>
              <w:rPr>
                <w:sz w:val="5"/>
                <w:szCs w:val="5"/>
                <w:color w:val="auto"/>
              </w:rPr>
            </w:pPr>
          </w:p>
        </w:tc>
        <w:tc>
          <w:tcPr>
            <w:tcW w:w="920" w:type="dxa"/>
            <w:vAlign w:val="bottom"/>
          </w:tcPr>
          <w:p>
            <w:pPr>
              <w:ind w:left="60"/>
              <w:spacing w:after="0" w:line="68" w:lineRule="exact"/>
              <w:rPr>
                <w:sz w:val="20"/>
                <w:szCs w:val="20"/>
                <w:color w:val="auto"/>
              </w:rPr>
            </w:pPr>
            <w:r>
              <w:rPr>
                <w:rFonts w:ascii="Arial" w:cs="Arial" w:eastAsia="Arial" w:hAnsi="Arial"/>
                <w:sz w:val="7"/>
                <w:szCs w:val="7"/>
                <w:b w:val="1"/>
                <w:bCs w:val="1"/>
                <w:color w:val="auto"/>
              </w:rPr>
              <w:t>Owned</w:t>
            </w:r>
          </w:p>
        </w:tc>
        <w:tc>
          <w:tcPr>
            <w:tcW w:w="820" w:type="dxa"/>
            <w:vAlign w:val="bottom"/>
          </w:tcPr>
          <w:p>
            <w:pPr>
              <w:ind w:left="120"/>
              <w:spacing w:after="0" w:line="68" w:lineRule="exact"/>
              <w:rPr>
                <w:sz w:val="20"/>
                <w:szCs w:val="20"/>
                <w:color w:val="auto"/>
              </w:rPr>
            </w:pPr>
            <w:r>
              <w:rPr>
                <w:rFonts w:ascii="Arial" w:cs="Arial" w:eastAsia="Arial" w:hAnsi="Arial"/>
                <w:sz w:val="7"/>
                <w:szCs w:val="7"/>
                <w:b w:val="1"/>
                <w:bCs w:val="1"/>
                <w:color w:val="auto"/>
              </w:rPr>
              <w:t>or Indirect</w:t>
            </w:r>
          </w:p>
        </w:tc>
        <w:tc>
          <w:tcPr>
            <w:tcW w:w="800" w:type="dxa"/>
            <w:vAlign w:val="bottom"/>
          </w:tcPr>
          <w:p>
            <w:pPr>
              <w:ind w:left="80"/>
              <w:spacing w:after="0" w:line="68" w:lineRule="exact"/>
              <w:rPr>
                <w:sz w:val="20"/>
                <w:szCs w:val="20"/>
                <w:color w:val="auto"/>
              </w:rPr>
            </w:pPr>
            <w:r>
              <w:rPr>
                <w:rFonts w:ascii="Arial" w:cs="Arial" w:eastAsia="Arial" w:hAnsi="Arial"/>
                <w:sz w:val="7"/>
                <w:szCs w:val="7"/>
                <w:b w:val="1"/>
                <w:bCs w:val="1"/>
                <w:color w:val="auto"/>
              </w:rPr>
              <w:t>(Instr. 4)</w:t>
            </w:r>
          </w:p>
        </w:tc>
        <w:tc>
          <w:tcPr>
            <w:tcW w:w="0" w:type="dxa"/>
            <w:vAlign w:val="bottom"/>
          </w:tcPr>
          <w:p>
            <w:pPr>
              <w:spacing w:after="0"/>
              <w:rPr>
                <w:sz w:val="1"/>
                <w:szCs w:val="1"/>
                <w:color w:val="auto"/>
              </w:rPr>
            </w:pPr>
          </w:p>
        </w:tc>
      </w:tr>
      <w:tr>
        <w:trPr>
          <w:trHeight w:val="81"/>
        </w:trPr>
        <w:tc>
          <w:tcPr>
            <w:tcW w:w="8140" w:type="dxa"/>
            <w:vAlign w:val="bottom"/>
            <w:gridSpan w:val="8"/>
          </w:tcPr>
          <w:p>
            <w:pPr>
              <w:ind w:left="40"/>
              <w:spacing w:after="0" w:line="81" w:lineRule="exact"/>
              <w:rPr>
                <w:sz w:val="20"/>
                <w:szCs w:val="20"/>
                <w:color w:val="auto"/>
              </w:rPr>
            </w:pPr>
            <w:r>
              <w:rPr>
                <w:rFonts w:ascii="Arial" w:cs="Arial" w:eastAsia="Arial" w:hAnsi="Arial"/>
                <w:sz w:val="9"/>
                <w:szCs w:val="9"/>
                <w:color w:val="008000"/>
              </w:rPr>
              <w:t>the issuer, or a security holder of the issuer full information regarding the number of shares and prices at which the transaction was effected.</w:t>
            </w:r>
          </w:p>
        </w:tc>
        <w:tc>
          <w:tcPr>
            <w:tcW w:w="740" w:type="dxa"/>
            <w:vAlign w:val="bottom"/>
          </w:tcPr>
          <w:p>
            <w:pPr>
              <w:spacing w:after="0"/>
              <w:rPr>
                <w:sz w:val="7"/>
                <w:szCs w:val="7"/>
                <w:color w:val="auto"/>
              </w:rPr>
            </w:pPr>
          </w:p>
        </w:tc>
        <w:tc>
          <w:tcPr>
            <w:tcW w:w="9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Following</w:t>
            </w:r>
          </w:p>
        </w:tc>
        <w:tc>
          <w:tcPr>
            <w:tcW w:w="8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(I) (Instr. 4)</w:t>
            </w: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820" w:type="dxa"/>
            <w:vAlign w:val="bottom"/>
          </w:tcPr>
          <w:p>
            <w:pPr>
              <w:spacing w:after="0"/>
              <w:rPr>
                <w:sz w:val="6"/>
                <w:szCs w:val="6"/>
                <w:color w:val="auto"/>
              </w:rPr>
            </w:pPr>
          </w:p>
        </w:tc>
        <w:tc>
          <w:tcPr>
            <w:tcW w:w="760" w:type="dxa"/>
            <w:vAlign w:val="bottom"/>
          </w:tcPr>
          <w:p>
            <w:pPr>
              <w:ind w:left="20"/>
              <w:spacing w:after="0" w:line="79" w:lineRule="exact"/>
              <w:rPr>
                <w:sz w:val="20"/>
                <w:szCs w:val="20"/>
                <w:color w:val="auto"/>
              </w:rPr>
            </w:pPr>
            <w:r>
              <w:rPr>
                <w:rFonts w:ascii="Arial" w:cs="Arial" w:eastAsia="Arial" w:hAnsi="Arial"/>
                <w:sz w:val="9"/>
                <w:szCs w:val="9"/>
                <w:b w:val="1"/>
                <w:bCs w:val="1"/>
                <w:color w:val="auto"/>
              </w:rPr>
              <w:t>Security</w:t>
            </w: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780" w:type="dxa"/>
            <w:vAlign w:val="bottom"/>
          </w:tcPr>
          <w:p>
            <w:pPr>
              <w:ind w:left="80"/>
              <w:spacing w:after="0" w:line="79" w:lineRule="exact"/>
              <w:rPr>
                <w:sz w:val="20"/>
                <w:szCs w:val="20"/>
                <w:color w:val="auto"/>
              </w:rPr>
            </w:pPr>
            <w:r>
              <w:rPr>
                <w:rFonts w:ascii="Arial" w:cs="Arial" w:eastAsia="Arial" w:hAnsi="Arial"/>
                <w:sz w:val="9"/>
                <w:szCs w:val="9"/>
                <w:b w:val="1"/>
                <w:bCs w:val="1"/>
                <w:color w:val="auto"/>
              </w:rPr>
              <w:t>(A) or</w:t>
            </w:r>
          </w:p>
        </w:tc>
        <w:tc>
          <w:tcPr>
            <w:tcW w:w="1540" w:type="dxa"/>
            <w:vAlign w:val="bottom"/>
          </w:tcPr>
          <w:p>
            <w:pPr>
              <w:spacing w:after="0"/>
              <w:rPr>
                <w:sz w:val="6"/>
                <w:szCs w:val="6"/>
                <w:color w:val="auto"/>
              </w:rPr>
            </w:pPr>
          </w:p>
        </w:tc>
        <w:tc>
          <w:tcPr>
            <w:tcW w:w="1120" w:type="dxa"/>
            <w:vAlign w:val="bottom"/>
          </w:tcPr>
          <w:p>
            <w:pPr>
              <w:ind w:left="100"/>
              <w:spacing w:after="0" w:line="79" w:lineRule="exact"/>
              <w:rPr>
                <w:sz w:val="20"/>
                <w:szCs w:val="20"/>
                <w:color w:val="auto"/>
              </w:rPr>
            </w:pPr>
            <w:r>
              <w:rPr>
                <w:rFonts w:ascii="Arial" w:cs="Arial" w:eastAsia="Arial" w:hAnsi="Arial"/>
                <w:sz w:val="9"/>
                <w:szCs w:val="9"/>
                <w:b w:val="1"/>
                <w:bCs w:val="1"/>
                <w:color w:val="auto"/>
              </w:rPr>
              <w:t>Security (Instr. 3</w:t>
            </w:r>
          </w:p>
        </w:tc>
        <w:tc>
          <w:tcPr>
            <w:tcW w:w="74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1"/>
          <w:szCs w:val="11"/>
          <w:color w:val="008000"/>
        </w:rPr>
        <w:t>2. The price reported for this transaction is the weighted average price of multiple trades</w:t>
      </w:r>
      <w:r>
        <w:rPr>
          <w:rFonts w:ascii="Arial" w:cs="Arial" w:eastAsia="Arial" w:hAnsi="Arial"/>
          <w:sz w:val="10"/>
          <w:szCs w:val="10"/>
          <w:b w:val="1"/>
          <w:bCs w:val="1"/>
          <w:color w:val="000000"/>
        </w:rPr>
        <w:t>Dis</w:t>
      </w:r>
      <w:r>
        <w:rPr>
          <w:rFonts w:ascii="Arial" w:cs="Arial" w:eastAsia="Arial" w:hAnsi="Arial"/>
          <w:sz w:val="11"/>
          <w:szCs w:val="11"/>
          <w:color w:val="008000"/>
        </w:rPr>
        <w:t>atprices</w:t>
      </w:r>
      <w:r>
        <w:rPr>
          <w:rFonts w:ascii="Arial" w:cs="Arial" w:eastAsia="Arial" w:hAnsi="Arial"/>
          <w:sz w:val="10"/>
          <w:szCs w:val="10"/>
          <w:b w:val="1"/>
          <w:bCs w:val="1"/>
          <w:color w:val="000000"/>
        </w:rPr>
        <w:t>osd</w:t>
      </w:r>
      <w:r>
        <w:rPr>
          <w:rFonts w:ascii="Arial" w:cs="Arial" w:eastAsia="Arial" w:hAnsi="Arial"/>
          <w:sz w:val="11"/>
          <w:szCs w:val="11"/>
          <w:color w:val="008000"/>
        </w:rPr>
        <w:t xml:space="preserve"> ranging from $19.93 to $20.58. FMR</w:t>
      </w:r>
      <w:r>
        <w:rPr>
          <w:rFonts w:ascii="Arial" w:cs="Arial" w:eastAsia="Arial" w:hAnsi="Arial"/>
          <w:sz w:val="10"/>
          <w:szCs w:val="10"/>
          <w:b w:val="1"/>
          <w:bCs w:val="1"/>
          <w:color w:val="000000"/>
        </w:rPr>
        <w:t>and 4)</w:t>
      </w:r>
      <w:r>
        <w:rPr>
          <w:rFonts w:ascii="Arial" w:cs="Arial" w:eastAsia="Arial" w:hAnsi="Arial"/>
          <w:sz w:val="11"/>
          <w:szCs w:val="11"/>
          <w:color w:val="008000"/>
        </w:rPr>
        <w:t>LLC hereby undertakes to provide</w:t>
      </w:r>
      <w:r>
        <w:rPr>
          <w:rFonts w:ascii="Arial" w:cs="Arial" w:eastAsia="Arial" w:hAnsi="Arial"/>
          <w:sz w:val="10"/>
          <w:szCs w:val="10"/>
          <w:b w:val="1"/>
          <w:bCs w:val="1"/>
          <w:color w:val="000000"/>
        </w:rPr>
        <w:t>Reported</w:t>
      </w:r>
      <w:r>
        <w:rPr>
          <w:rFonts w:ascii="Arial" w:cs="Arial" w:eastAsia="Arial" w:hAnsi="Arial"/>
          <w:sz w:val="11"/>
          <w:szCs w:val="11"/>
          <w:color w:val="008000"/>
        </w:rPr>
        <w:t>upon request by the Commission staff,</w:t>
      </w:r>
    </w:p>
    <w:tbl>
      <w:tblPr>
        <w:tblLayout w:type="fixed"/>
        <w:tblInd w:w="40" w:type="dxa"/>
        <w:tblCellMar>
          <w:top w:w="0" w:type="dxa"/>
          <w:left w:w="0" w:type="dxa"/>
          <w:bottom w:w="0" w:type="dxa"/>
          <w:right w:w="0" w:type="dxa"/>
        </w:tblCellMar>
      </w:tblPr>
      <w:tr>
        <w:trPr>
          <w:trHeight w:val="119"/>
        </w:trPr>
        <w:tc>
          <w:tcPr>
            <w:tcW w:w="8240" w:type="dxa"/>
            <w:vAlign w:val="bottom"/>
          </w:tcPr>
          <w:p>
            <w:pPr>
              <w:ind w:left="4740"/>
              <w:spacing w:after="0" w:line="119" w:lineRule="exact"/>
              <w:rPr>
                <w:sz w:val="20"/>
                <w:szCs w:val="20"/>
                <w:color w:val="auto"/>
              </w:rPr>
            </w:pPr>
            <w:r>
              <w:rPr>
                <w:rFonts w:ascii="Arial" w:cs="Arial" w:eastAsia="Arial" w:hAnsi="Arial"/>
                <w:sz w:val="12"/>
                <w:szCs w:val="12"/>
                <w:b w:val="1"/>
                <w:bCs w:val="1"/>
                <w:color w:val="auto"/>
              </w:rPr>
              <w:t>of (D)</w:t>
            </w:r>
          </w:p>
        </w:tc>
        <w:tc>
          <w:tcPr>
            <w:tcW w:w="1500" w:type="dxa"/>
            <w:vAlign w:val="bottom"/>
          </w:tcPr>
          <w:p>
            <w:pPr>
              <w:ind w:left="660"/>
              <w:spacing w:after="0" w:line="119" w:lineRule="exact"/>
              <w:rPr>
                <w:sz w:val="20"/>
                <w:szCs w:val="20"/>
                <w:color w:val="auto"/>
              </w:rPr>
            </w:pPr>
            <w:r>
              <w:rPr>
                <w:rFonts w:ascii="Arial" w:cs="Arial" w:eastAsia="Arial" w:hAnsi="Arial"/>
                <w:sz w:val="12"/>
                <w:szCs w:val="12"/>
                <w:b w:val="1"/>
                <w:bCs w:val="1"/>
                <w:color w:val="auto"/>
                <w:w w:val="99"/>
              </w:rPr>
              <w:t>Transaction(s)</w:t>
            </w:r>
          </w:p>
        </w:tc>
        <w:tc>
          <w:tcPr>
            <w:tcW w:w="0" w:type="dxa"/>
            <w:vAlign w:val="bottom"/>
          </w:tcPr>
          <w:p>
            <w:pPr>
              <w:spacing w:after="0"/>
              <w:rPr>
                <w:sz w:val="1"/>
                <w:szCs w:val="1"/>
                <w:color w:val="auto"/>
              </w:rPr>
            </w:pPr>
          </w:p>
        </w:tc>
      </w:tr>
      <w:tr>
        <w:trPr>
          <w:trHeight w:val="27"/>
        </w:trPr>
        <w:tc>
          <w:tcPr>
            <w:tcW w:w="8240" w:type="dxa"/>
            <w:vAlign w:val="bottom"/>
          </w:tcPr>
          <w:p>
            <w:pPr>
              <w:spacing w:after="0" w:line="27" w:lineRule="exact"/>
              <w:rPr>
                <w:sz w:val="20"/>
                <w:szCs w:val="20"/>
                <w:color w:val="auto"/>
              </w:rPr>
            </w:pPr>
            <w:r>
              <w:rPr>
                <w:rFonts w:ascii="Arial" w:cs="Arial" w:eastAsia="Arial" w:hAnsi="Arial"/>
                <w:sz w:val="3"/>
                <w:szCs w:val="3"/>
                <w:color w:val="008000"/>
              </w:rPr>
              <w:t>the issuer, or a security holder of the issuer full information regarding the number of shares and prices at which the transaction was effected.</w:t>
            </w:r>
          </w:p>
        </w:tc>
        <w:tc>
          <w:tcPr>
            <w:tcW w:w="1500" w:type="dxa"/>
            <w:vAlign w:val="bottom"/>
            <w:vMerge w:val="restart"/>
          </w:tcPr>
          <w:p>
            <w:pPr>
              <w:ind w:left="660"/>
              <w:spacing w:after="0" w:line="11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line="20" w:lineRule="exact"/>
              <w:rPr>
                <w:sz w:val="1"/>
                <w:szCs w:val="1"/>
                <w:color w:val="auto"/>
              </w:rPr>
            </w:pPr>
          </w:p>
        </w:tc>
      </w:tr>
      <w:tr>
        <w:trPr>
          <w:trHeight w:val="82"/>
        </w:trPr>
        <w:tc>
          <w:tcPr>
            <w:tcW w:w="8240" w:type="dxa"/>
            <w:vAlign w:val="bottom"/>
          </w:tcPr>
          <w:p>
            <w:pPr>
              <w:ind w:left="4740"/>
              <w:spacing w:after="0" w:line="82" w:lineRule="exact"/>
              <w:rPr>
                <w:sz w:val="20"/>
                <w:szCs w:val="20"/>
                <w:color w:val="auto"/>
              </w:rPr>
            </w:pPr>
            <w:r>
              <w:rPr>
                <w:rFonts w:ascii="Arial" w:cs="Arial" w:eastAsia="Arial" w:hAnsi="Arial"/>
                <w:sz w:val="9"/>
                <w:szCs w:val="9"/>
                <w:b w:val="1"/>
                <w:bCs w:val="1"/>
                <w:color w:val="auto"/>
              </w:rPr>
              <w:t>(Instr. 3, 4</w:t>
            </w:r>
          </w:p>
        </w:tc>
        <w:tc>
          <w:tcPr>
            <w:tcW w:w="1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ind w:left="4780" w:right="60" w:hanging="4739"/>
        <w:spacing w:after="0"/>
        <w:rPr>
          <w:sz w:val="20"/>
          <w:szCs w:val="20"/>
          <w:color w:val="auto"/>
        </w:rPr>
      </w:pPr>
      <w:r>
        <w:rPr>
          <w:rFonts w:ascii="Arial" w:cs="Arial" w:eastAsia="Arial" w:hAnsi="Arial"/>
          <w:sz w:val="11"/>
          <w:szCs w:val="11"/>
          <w:color w:val="008000"/>
        </w:rPr>
        <w:t xml:space="preserve">3. The price reported for this transaction is the weighted average price of multiple trades at prices ranging from $19.73 to $20.49. FMR LLC hereby undertakes to provide upon request by the Commission staff, </w:t>
      </w:r>
      <w:r>
        <w:rPr>
          <w:rFonts w:ascii="Arial" w:cs="Arial" w:eastAsia="Arial" w:hAnsi="Arial"/>
          <w:sz w:val="10"/>
          <w:szCs w:val="10"/>
          <w:b w:val="1"/>
          <w:bCs w:val="1"/>
          <w:color w:val="000000"/>
        </w:rPr>
        <w:t>and 5)</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the issuer, or a security holder of the issuer full information regarding the number of shares and prices at which the transaction was effected.</w:t>
      </w:r>
    </w:p>
    <w:p>
      <w:pPr>
        <w:spacing w:after="0" w:line="30" w:lineRule="exact"/>
        <w:rPr>
          <w:sz w:val="20"/>
          <w:szCs w:val="20"/>
          <w:color w:val="auto"/>
        </w:rPr>
      </w:pPr>
    </w:p>
    <w:p>
      <w:pPr>
        <w:ind w:left="40" w:right="60" w:firstLine="9"/>
        <w:spacing w:after="0" w:line="19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for this transaction is the weighted average price of multiple trades at prices ranging from $19.98 to $20.49. FMR LLC hereby undertakes to provide upon request by the Commission staff, the issuer, or a security holder of the issuer full information regarding the number of shares and prices at which the transaction was effected</w:t>
      </w:r>
      <w:r>
        <w:rPr>
          <w:rFonts w:ascii="Arial" w:cs="Arial" w:eastAsia="Arial" w:hAnsi="Arial"/>
          <w:sz w:val="24"/>
          <w:szCs w:val="24"/>
          <w:b w:val="1"/>
          <w:bCs w:val="1"/>
          <w:color w:val="000000"/>
          <w:vertAlign w:val="subscript"/>
        </w:rPr>
        <w:t>Amount</w:t>
      </w:r>
      <w:r>
        <w:rPr>
          <w:rFonts w:ascii="Arial" w:cs="Arial" w:eastAsia="Arial" w:hAnsi="Arial"/>
          <w:sz w:val="14"/>
          <w:szCs w:val="14"/>
          <w:color w:val="008000"/>
        </w:rPr>
        <w:t>.</w:t>
      </w:r>
    </w:p>
    <w:tbl>
      <w:tblPr>
        <w:tblLayout w:type="fixed"/>
        <w:tblInd w:w="40" w:type="dxa"/>
        <w:tblCellMar>
          <w:top w:w="0" w:type="dxa"/>
          <w:left w:w="0" w:type="dxa"/>
          <w:bottom w:w="0" w:type="dxa"/>
          <w:right w:w="0" w:type="dxa"/>
        </w:tblCellMar>
      </w:tblPr>
      <w:tr>
        <w:trPr>
          <w:trHeight w:val="122"/>
        </w:trPr>
        <w:tc>
          <w:tcPr>
            <w:tcW w:w="4180" w:type="dxa"/>
            <w:vAlign w:val="bottom"/>
            <w:vMerge w:val="restart"/>
          </w:tcPr>
          <w:p>
            <w:pPr>
              <w:spacing w:after="0"/>
              <w:rPr>
                <w:sz w:val="20"/>
                <w:szCs w:val="20"/>
                <w:color w:val="auto"/>
              </w:rPr>
            </w:pPr>
            <w:r>
              <w:rPr>
                <w:rFonts w:ascii="Arial" w:cs="Arial" w:eastAsia="Arial" w:hAnsi="Arial"/>
                <w:sz w:val="18"/>
                <w:szCs w:val="18"/>
                <w:b w:val="1"/>
                <w:bCs w:val="1"/>
                <w:color w:val="auto"/>
              </w:rPr>
              <w:t>Remarks:</w:t>
            </w:r>
          </w:p>
        </w:tc>
        <w:tc>
          <w:tcPr>
            <w:tcW w:w="3820" w:type="dxa"/>
            <w:vAlign w:val="bottom"/>
          </w:tcPr>
          <w:p>
            <w:pPr>
              <w:ind w:left="3360"/>
              <w:spacing w:after="0" w:line="122" w:lineRule="exact"/>
              <w:rPr>
                <w:sz w:val="20"/>
                <w:szCs w:val="20"/>
                <w:color w:val="auto"/>
              </w:rPr>
            </w:pPr>
            <w:r>
              <w:rPr>
                <w:rFonts w:ascii="Arial" w:cs="Arial" w:eastAsia="Arial" w:hAnsi="Arial"/>
                <w:sz w:val="12"/>
                <w:szCs w:val="12"/>
                <w:b w:val="1"/>
                <w:bCs w:val="1"/>
                <w:color w:val="auto"/>
              </w:rPr>
              <w:t>or</w:t>
            </w:r>
          </w:p>
        </w:tc>
        <w:tc>
          <w:tcPr>
            <w:tcW w:w="0" w:type="dxa"/>
            <w:vAlign w:val="bottom"/>
          </w:tcPr>
          <w:p>
            <w:pPr>
              <w:spacing w:after="0"/>
              <w:rPr>
                <w:sz w:val="1"/>
                <w:szCs w:val="1"/>
                <w:color w:val="auto"/>
              </w:rPr>
            </w:pPr>
          </w:p>
        </w:tc>
      </w:tr>
      <w:tr>
        <w:trPr>
          <w:trHeight w:val="112"/>
        </w:trPr>
        <w:tc>
          <w:tcPr>
            <w:tcW w:w="4180" w:type="dxa"/>
            <w:vAlign w:val="bottom"/>
            <w:vMerge w:val="continue"/>
          </w:tcPr>
          <w:p>
            <w:pPr>
              <w:spacing w:after="0"/>
              <w:rPr>
                <w:sz w:val="9"/>
                <w:szCs w:val="9"/>
                <w:color w:val="auto"/>
              </w:rPr>
            </w:pPr>
          </w:p>
        </w:tc>
        <w:tc>
          <w:tcPr>
            <w:tcW w:w="3820" w:type="dxa"/>
            <w:vAlign w:val="bottom"/>
            <w:vMerge w:val="restart"/>
          </w:tcPr>
          <w:p>
            <w:pPr>
              <w:ind w:left="3360"/>
              <w:spacing w:after="0"/>
              <w:rPr>
                <w:sz w:val="20"/>
                <w:szCs w:val="20"/>
                <w:color w:val="auto"/>
              </w:rPr>
            </w:pPr>
            <w:r>
              <w:rPr>
                <w:rFonts w:ascii="Arial" w:cs="Arial" w:eastAsia="Arial" w:hAnsi="Arial"/>
                <w:sz w:val="12"/>
                <w:szCs w:val="12"/>
                <w:b w:val="1"/>
                <w:bCs w:val="1"/>
                <w:color w:val="auto"/>
                <w:w w:val="96"/>
              </w:rPr>
              <w:t>Number</w:t>
            </w:r>
          </w:p>
        </w:tc>
        <w:tc>
          <w:tcPr>
            <w:tcW w:w="0" w:type="dxa"/>
            <w:vAlign w:val="bottom"/>
          </w:tcPr>
          <w:p>
            <w:pPr>
              <w:spacing w:after="0"/>
              <w:rPr>
                <w:sz w:val="1"/>
                <w:szCs w:val="1"/>
                <w:color w:val="auto"/>
              </w:rPr>
            </w:pPr>
          </w:p>
        </w:tc>
      </w:tr>
      <w:tr>
        <w:trPr>
          <w:trHeight w:val="37"/>
        </w:trPr>
        <w:tc>
          <w:tcPr>
            <w:tcW w:w="4180" w:type="dxa"/>
            <w:vAlign w:val="bottom"/>
          </w:tcPr>
          <w:p>
            <w:pPr>
              <w:spacing w:after="0"/>
              <w:rPr>
                <w:sz w:val="3"/>
                <w:szCs w:val="3"/>
                <w:color w:val="auto"/>
              </w:rPr>
            </w:pPr>
          </w:p>
        </w:tc>
        <w:tc>
          <w:tcPr>
            <w:tcW w:w="3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bl>
    <w:p>
      <w:pPr>
        <w:ind w:left="40"/>
        <w:spacing w:after="0"/>
        <w:rPr>
          <w:sz w:val="20"/>
          <w:szCs w:val="20"/>
          <w:color w:val="auto"/>
        </w:rPr>
      </w:pPr>
      <w:r>
        <w:rPr>
          <w:rFonts w:ascii="Arial" w:cs="Arial" w:eastAsia="Arial" w:hAnsi="Arial"/>
          <w:sz w:val="11"/>
          <w:szCs w:val="11"/>
          <w:color w:val="008000"/>
        </w:rPr>
        <w:t>Remark 1: Edward C. Johnson 3d is a Director and the Chairman of FMR LLC and Abigail P. Johnson</w:t>
      </w:r>
      <w:r>
        <w:rPr>
          <w:rFonts w:ascii="Arial" w:cs="Arial" w:eastAsia="Arial" w:hAnsi="Arial"/>
          <w:sz w:val="10"/>
          <w:szCs w:val="10"/>
          <w:b w:val="1"/>
          <w:bCs w:val="1"/>
          <w:color w:val="000000"/>
        </w:rPr>
        <w:t>Date</w:t>
      </w:r>
      <w:r>
        <w:rPr>
          <w:rFonts w:ascii="Arial" w:cs="Arial" w:eastAsia="Arial" w:hAnsi="Arial"/>
          <w:sz w:val="11"/>
          <w:szCs w:val="11"/>
          <w:color w:val="008000"/>
        </w:rPr>
        <w:t>isa Director, the</w:t>
      </w:r>
      <w:r>
        <w:rPr>
          <w:rFonts w:ascii="Arial" w:cs="Arial" w:eastAsia="Arial" w:hAnsi="Arial"/>
          <w:sz w:val="10"/>
          <w:szCs w:val="10"/>
          <w:b w:val="1"/>
          <w:bCs w:val="1"/>
          <w:color w:val="000000"/>
        </w:rPr>
        <w:t>Expiration</w:t>
      </w:r>
      <w:r>
        <w:rPr>
          <w:rFonts w:ascii="Arial" w:cs="Arial" w:eastAsia="Arial" w:hAnsi="Arial"/>
          <w:sz w:val="11"/>
          <w:szCs w:val="11"/>
          <w:color w:val="008000"/>
        </w:rPr>
        <w:t>ViceChairman, the</w:t>
      </w:r>
      <w:r>
        <w:rPr>
          <w:rFonts w:ascii="Arial" w:cs="Arial" w:eastAsia="Arial" w:hAnsi="Arial"/>
          <w:sz w:val="10"/>
          <w:szCs w:val="10"/>
          <w:b w:val="1"/>
          <w:bCs w:val="1"/>
          <w:color w:val="000000"/>
        </w:rPr>
        <w:t>of</w:t>
      </w:r>
      <w:r>
        <w:rPr>
          <w:rFonts w:ascii="Arial" w:cs="Arial" w:eastAsia="Arial" w:hAnsi="Arial"/>
          <w:sz w:val="11"/>
          <w:szCs w:val="11"/>
          <w:color w:val="008000"/>
        </w:rPr>
        <w:t>Chief Executive Officer and the President of FMR LLC. Members of</w:t>
      </w:r>
    </w:p>
    <w:p>
      <w:pPr>
        <w:spacing w:after="0" w:line="9" w:lineRule="exact"/>
        <w:rPr>
          <w:sz w:val="20"/>
          <w:szCs w:val="20"/>
          <w:color w:val="auto"/>
        </w:rPr>
      </w:pPr>
    </w:p>
    <w:p>
      <w:pPr>
        <w:ind w:left="40" w:right="180"/>
        <w:spacing w:after="0" w:line="218" w:lineRule="auto"/>
        <w:rPr>
          <w:sz w:val="20"/>
          <w:szCs w:val="20"/>
          <w:color w:val="auto"/>
        </w:rPr>
      </w:pPr>
      <w:r>
        <w:rPr>
          <w:rFonts w:ascii="Arial" w:cs="Arial" w:eastAsia="Arial" w:hAnsi="Arial"/>
          <w:sz w:val="13"/>
          <w:szCs w:val="13"/>
          <w:color w:val="008000"/>
        </w:rPr>
        <w:t>the family of Edward C. Johnson 3d, including Abigail P. Johnson, are the</w:t>
      </w:r>
      <w:r>
        <w:rPr>
          <w:rFonts w:ascii="Arial" w:cs="Arial" w:eastAsia="Arial" w:hAnsi="Arial"/>
          <w:sz w:val="23"/>
          <w:szCs w:val="23"/>
          <w:b w:val="1"/>
          <w:bCs w:val="1"/>
          <w:color w:val="000000"/>
          <w:vertAlign w:val="superscript"/>
        </w:rPr>
        <w:t>Code</w:t>
      </w:r>
      <w:r>
        <w:rPr>
          <w:rFonts w:ascii="Arial" w:cs="Arial" w:eastAsia="Arial" w:hAnsi="Arial"/>
          <w:sz w:val="13"/>
          <w:szCs w:val="13"/>
          <w:color w:val="008000"/>
        </w:rPr>
        <w:t>predominant</w:t>
      </w:r>
      <w:r>
        <w:rPr>
          <w:rFonts w:ascii="Arial" w:cs="Arial" w:eastAsia="Arial" w:hAnsi="Arial"/>
          <w:sz w:val="23"/>
          <w:szCs w:val="23"/>
          <w:b w:val="1"/>
          <w:bCs w:val="1"/>
          <w:color w:val="000000"/>
          <w:vertAlign w:val="superscript"/>
        </w:rPr>
        <w:t>V (A)</w:t>
      </w:r>
      <w:r>
        <w:rPr>
          <w:rFonts w:ascii="Arial" w:cs="Arial" w:eastAsia="Arial" w:hAnsi="Arial"/>
          <w:sz w:val="13"/>
          <w:szCs w:val="13"/>
          <w:color w:val="008000"/>
        </w:rPr>
        <w:t>owners,</w:t>
      </w:r>
      <w:r>
        <w:rPr>
          <w:rFonts w:ascii="Arial" w:cs="Arial" w:eastAsia="Arial" w:hAnsi="Arial"/>
          <w:sz w:val="23"/>
          <w:szCs w:val="23"/>
          <w:b w:val="1"/>
          <w:bCs w:val="1"/>
          <w:color w:val="000000"/>
          <w:vertAlign w:val="superscript"/>
        </w:rPr>
        <w:t>(D)</w:t>
      </w:r>
      <w:r>
        <w:rPr>
          <w:rFonts w:ascii="Arial" w:cs="Arial" w:eastAsia="Arial" w:hAnsi="Arial"/>
          <w:sz w:val="13"/>
          <w:szCs w:val="13"/>
          <w:color w:val="008000"/>
        </w:rPr>
        <w:t>directly</w:t>
      </w:r>
      <w:r>
        <w:rPr>
          <w:rFonts w:ascii="Arial" w:cs="Arial" w:eastAsia="Arial" w:hAnsi="Arial"/>
          <w:sz w:val="23"/>
          <w:szCs w:val="23"/>
          <w:b w:val="1"/>
          <w:bCs w:val="1"/>
          <w:color w:val="000000"/>
          <w:vertAlign w:val="superscript"/>
        </w:rPr>
        <w:t>Exe</w:t>
      </w:r>
      <w:r>
        <w:rPr>
          <w:rFonts w:ascii="Arial" w:cs="Arial" w:eastAsia="Arial" w:hAnsi="Arial"/>
          <w:sz w:val="13"/>
          <w:szCs w:val="13"/>
          <w:color w:val="008000"/>
        </w:rPr>
        <w:t>or</w:t>
      </w:r>
      <w:r>
        <w:rPr>
          <w:rFonts w:ascii="Arial" w:cs="Arial" w:eastAsia="Arial" w:hAnsi="Arial"/>
          <w:sz w:val="23"/>
          <w:szCs w:val="23"/>
          <w:b w:val="1"/>
          <w:bCs w:val="1"/>
          <w:color w:val="000000"/>
          <w:vertAlign w:val="superscript"/>
        </w:rPr>
        <w:t>cisable</w:t>
      </w:r>
      <w:r>
        <w:rPr>
          <w:rFonts w:ascii="Arial" w:cs="Arial" w:eastAsia="Arial" w:hAnsi="Arial"/>
          <w:sz w:val="13"/>
          <w:szCs w:val="13"/>
          <w:color w:val="008000"/>
        </w:rPr>
        <w:t>through trusts,</w:t>
      </w:r>
      <w:r>
        <w:rPr>
          <w:rFonts w:ascii="Arial" w:cs="Arial" w:eastAsia="Arial" w:hAnsi="Arial"/>
          <w:sz w:val="23"/>
          <w:szCs w:val="23"/>
          <w:b w:val="1"/>
          <w:bCs w:val="1"/>
          <w:color w:val="000000"/>
          <w:vertAlign w:val="superscript"/>
        </w:rPr>
        <w:t>Date</w:t>
      </w:r>
      <w:r>
        <w:rPr>
          <w:rFonts w:ascii="Arial" w:cs="Arial" w:eastAsia="Arial" w:hAnsi="Arial"/>
          <w:sz w:val="13"/>
          <w:szCs w:val="13"/>
          <w:color w:val="008000"/>
        </w:rPr>
        <w:t xml:space="preserve"> of Series</w:t>
      </w:r>
      <w:r>
        <w:rPr>
          <w:rFonts w:ascii="Arial" w:cs="Arial" w:eastAsia="Arial" w:hAnsi="Arial"/>
          <w:sz w:val="23"/>
          <w:szCs w:val="23"/>
          <w:b w:val="1"/>
          <w:bCs w:val="1"/>
          <w:color w:val="000000"/>
          <w:vertAlign w:val="superscript"/>
        </w:rPr>
        <w:t>Title</w:t>
      </w:r>
      <w:r>
        <w:rPr>
          <w:rFonts w:ascii="Arial" w:cs="Arial" w:eastAsia="Arial" w:hAnsi="Arial"/>
          <w:sz w:val="13"/>
          <w:szCs w:val="13"/>
          <w:color w:val="008000"/>
        </w:rPr>
        <w:t>Bvoting</w:t>
      </w:r>
      <w:r>
        <w:rPr>
          <w:rFonts w:ascii="Arial" w:cs="Arial" w:eastAsia="Arial" w:hAnsi="Arial"/>
          <w:sz w:val="23"/>
          <w:szCs w:val="23"/>
          <w:b w:val="1"/>
          <w:bCs w:val="1"/>
          <w:color w:val="000000"/>
          <w:vertAlign w:val="superscript"/>
        </w:rPr>
        <w:t>Shares</w:t>
      </w:r>
      <w:r>
        <w:rPr>
          <w:rFonts w:ascii="Arial" w:cs="Arial" w:eastAsia="Arial" w:hAnsi="Arial"/>
          <w:sz w:val="13"/>
          <w:szCs w:val="13"/>
          <w:color w:val="008000"/>
        </w:rPr>
        <w:t>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Edward C. Johnson 3d and Abigail P. Johnson is c/o FMR LLC, 245 Summer Street, Boston, MA 02110. Remark 2: The filing of this statement shall not be deemed to be an admission that, for purposes of Section 16 of the Securities Exchange Act of 1934 or otherwise, the undersigned are the beneficial owners of any securities reported herein.</w:t>
      </w:r>
    </w:p>
    <w:p>
      <w:pPr>
        <w:spacing w:after="0" w:line="60"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Marc R. Bryant, Duly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9753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7536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authorized under Powers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2287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 by and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3112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FMR LLC and its direct and</w:t>
      </w:r>
      <w:r>
        <w:rPr>
          <w:sz w:val="20"/>
          <w:szCs w:val="20"/>
          <w:color w:val="auto"/>
        </w:rPr>
        <w:tab/>
      </w:r>
      <w:r>
        <w:rPr>
          <w:rFonts w:ascii="Arial" w:cs="Arial" w:eastAsia="Arial" w:hAnsi="Arial"/>
          <w:sz w:val="15"/>
          <w:szCs w:val="15"/>
          <w:color w:val="0000FF"/>
        </w:rPr>
        <w:t>11/23/2015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32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95326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indirect subsidiaries, Edward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29730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29730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C. Johnson 3d and Abigail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2915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29159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651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365125"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2" Type="http://schemas.openxmlformats.org/officeDocument/2006/relationships/hyperlink" Target="http://www.sec.gov/cgi-bin/browse-edgar?action=getcompany&amp;CIK=0000315066"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2019-12-09T02:35:00Z</dcterms:created>
  <dcterms:modified xsi:type="dcterms:W3CDTF">2019-12-09T02:35:00Z</dcterms:modified>
</cp:coreProperties>
</file>