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120"/>
        <w:ind w:left="0" w:right="0" w:hanging="0"/>
        <w:jc w:val="left"/>
        <w:rPr/>
      </w:pPr>
      <w:hyperlink w:anchor="Toc">
        <w:bookmarkStart w:id="0" w:name="bpmc-20230630x10q.htm"/>
        <w:bookmarkStart w:id="1" w:name="ksbpmc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88" w:after="0"/>
        <w:ind w:left="0" w:right="0" w:hanging="0"/>
        <w:jc w:val="center"/>
        <w:rPr>
          <w:rFonts w:ascii="Times New Roman;Times;serif" w:hAnsi="Times New Roman;Times;serif"/>
          <w:b/>
          <w:sz w:val="32"/>
        </w:rPr>
      </w:pPr>
      <w:bookmarkStart w:id="2" w:name="_c0ff4c35_77d2_476c_87cc_b6af3ca7bb26"/>
      <w:bookmarkEnd w:id="2"/>
      <w:r>
        <w:rPr>
          <w:rFonts w:ascii="Times New Roman;Times;serif" w:hAnsi="Times New Roman;Times;serif"/>
          <w:b/>
          <w:sz w:val="32"/>
        </w:rPr>
        <w:t>UNITED STATES</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0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64"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lineRule="auto" w:line="285" w:before="0" w:after="0"/>
        <w:ind w:left="0" w:right="0" w:hanging="0"/>
        <w:jc w:val="center"/>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bidi w:val="0"/>
        <w:spacing w:lineRule="auto" w:line="285" w:before="200" w:after="2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001-37359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TextBody"/>
        <w:bidi w:val="0"/>
        <w:spacing w:lineRule="auto" w:line="285" w:before="200" w:after="0"/>
        <w:ind w:left="0" w:right="0" w:hanging="0"/>
        <w:jc w:val="center"/>
        <w:rPr>
          <w:rFonts w:ascii="Times New Roman;Times;serif" w:hAnsi="Times New Roman;Times;serif"/>
          <w:b/>
          <w:sz w:val="44"/>
        </w:rPr>
      </w:pPr>
      <w:r>
        <w:rPr>
          <w:rFonts w:ascii="Times New Roman;Times;serif" w:hAnsi="Times New Roman;Times;serif"/>
          <w:b/>
          <w:sz w:val="44"/>
        </w:rPr>
        <w:t>BLUEPRINT MEDICINES CORPORATION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wgZNDhr1fkG32qW9Whcc3A_4_2"/>
      <w:bookmarkStart w:id="4" w:name="Tc_K9-8cp9A0EyfDS6XZJc5yA_4_0"/>
      <w:bookmarkStart w:id="5" w:name="Tc_ZlN70FVBUkWG9FY5ghGUKg_3_0"/>
      <w:bookmarkStart w:id="6" w:name="Tc_SaHYc7fWXEy0lVxomQ8mvA_1_2"/>
      <w:bookmarkStart w:id="7" w:name="Tc_oKs-CNtp6Um3ffJ6vlXDgA_1_0"/>
      <w:bookmarkStart w:id="8" w:name="_b450458e_301a_40d8_8429_7c8cfd151076"/>
      <w:bookmarkStart w:id="9" w:name="Tc_wgZNDhr1fkG32qW9Whcc3A_4_2"/>
      <w:bookmarkStart w:id="10" w:name="Tc_K9-8cp9A0EyfDS6XZJc5yA_4_0"/>
      <w:bookmarkStart w:id="11" w:name="Tc_ZlN70FVBUkWG9FY5ghGUKg_3_0"/>
      <w:bookmarkStart w:id="12" w:name="Tc_SaHYc7fWXEy0lVxomQ8mvA_1_2"/>
      <w:bookmarkStart w:id="13" w:name="Tc_oKs-CNtp6Um3ffJ6vlXDgA_1_0"/>
      <w:bookmarkStart w:id="14" w:name="_b450458e_301a_40d8_8429_7c8cfd151076"/>
      <w:bookmarkEnd w:id="9"/>
      <w:bookmarkEnd w:id="10"/>
      <w:bookmarkEnd w:id="11"/>
      <w:bookmarkEnd w:id="12"/>
      <w:bookmarkEnd w:id="13"/>
      <w:bookmarkEnd w:id="14"/>
    </w:p>
    <w:tbl>
      <w:tblPr>
        <w:tblW w:w="3673" w:type="dxa"/>
        <w:jc w:val="left"/>
        <w:tblInd w:w="0" w:type="dxa"/>
        <w:tblLayout w:type="fixed"/>
        <w:tblCellMar>
          <w:top w:w="0" w:type="dxa"/>
          <w:left w:w="0" w:type="dxa"/>
          <w:bottom w:w="0" w:type="dxa"/>
          <w:right w:w="0" w:type="dxa"/>
        </w:tblCellMar>
      </w:tblPr>
      <w:tblGrid>
        <w:gridCol w:w="2371"/>
        <w:gridCol w:w="146"/>
        <w:gridCol w:w="1156"/>
      </w:tblGrid>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26-3632015</w:t>
            </w:r>
          </w:p>
        </w:tc>
      </w:tr>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No.)</w:t>
            </w:r>
          </w:p>
        </w:tc>
      </w:tr>
      <w:tr>
        <w:trPr/>
        <w:tc>
          <w:tcPr>
            <w:tcW w:w="2371" w:type="dxa"/>
            <w:tcBorders/>
            <w:vAlign w:val="center"/>
          </w:tcPr>
          <w:p>
            <w:pPr>
              <w:pStyle w:val="TableContents"/>
              <w:pBdr/>
              <w:bidi w:val="0"/>
              <w:spacing w:lineRule="auto" w:line="285" w:before="0" w:after="0"/>
              <w:ind w:left="0" w:right="0" w:hanging="0"/>
              <w:jc w:val="left"/>
              <w:rPr/>
            </w:pPr>
            <w:r>
              <w:rPr/>
              <w:t> </w:t>
            </w:r>
          </w:p>
        </w:tc>
        <w:tc>
          <w:tcPr>
            <w:tcW w:w="1302" w:type="dxa"/>
            <w:gridSpan w:val="2"/>
            <w:tcBorders/>
            <w:vAlign w:val="center"/>
          </w:tcPr>
          <w:p>
            <w:pPr>
              <w:pStyle w:val="TableContents"/>
              <w:bidi w:val="0"/>
              <w:spacing w:lineRule="auto" w:line="285" w:before="0" w:after="0"/>
              <w:ind w:left="0" w:right="0" w:hanging="0"/>
              <w:jc w:val="left"/>
              <w:rPr/>
            </w:pPr>
            <w:r>
              <w:rPr/>
              <w:t> </w:t>
            </w:r>
          </w:p>
        </w:tc>
      </w:tr>
      <w:tr>
        <w:trPr/>
        <w:tc>
          <w:tcPr>
            <w:tcW w:w="2371" w:type="dxa"/>
            <w:tcBorders/>
            <w:vAlign w:val="center"/>
          </w:tcPr>
          <w:p>
            <w:pPr>
              <w:pStyle w:val="TableContents"/>
              <w:pBdr/>
              <w:bidi w:val="0"/>
              <w:spacing w:lineRule="auto" w:line="285" w:before="0" w:after="0"/>
              <w:ind w:left="0" w:right="0" w:hanging="144"/>
              <w:jc w:val="center"/>
              <w:rPr>
                <w:rFonts w:ascii="Times New Roman;Times;serif" w:hAnsi="Times New Roman;Times;serif"/>
                <w:b/>
                <w:sz w:val="20"/>
              </w:rPr>
            </w:pPr>
            <w:r>
              <w:rPr>
                <w:rFonts w:ascii="Times New Roman;Times;serif" w:hAnsi="Times New Roman;Times;serif"/>
                <w:b/>
                <w:sz w:val="20"/>
              </w:rPr>
              <w:t>45 Sidney Street</w:t>
            </w:r>
          </w:p>
          <w:p>
            <w:pPr>
              <w:pStyle w:val="TableContents"/>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Cambridge, Massachusetts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02139</w:t>
            </w:r>
          </w:p>
        </w:tc>
      </w:tr>
      <w:tr>
        <w:trPr/>
        <w:tc>
          <w:tcPr>
            <w:tcW w:w="2371" w:type="dxa"/>
            <w:tcBorders/>
            <w:vAlign w:val="center"/>
          </w:tcPr>
          <w:p>
            <w:pPr>
              <w:pStyle w:val="TableContents"/>
              <w:pBdr/>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(617) 374-7580</w:t>
      </w:r>
    </w:p>
    <w:p>
      <w:pPr>
        <w:pStyle w:val="TextBody"/>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4232" w:type="dxa"/>
        <w:jc w:val="left"/>
        <w:tblInd w:w="0" w:type="dxa"/>
        <w:tblLayout w:type="fixed"/>
        <w:tblCellMar>
          <w:top w:w="0" w:type="dxa"/>
          <w:left w:w="0" w:type="dxa"/>
          <w:bottom w:w="0" w:type="dxa"/>
          <w:right w:w="0" w:type="dxa"/>
        </w:tblCellMar>
      </w:tblPr>
      <w:tblGrid>
        <w:gridCol w:w="1891"/>
        <w:gridCol w:w="234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p>
            <w:pPr>
              <w:pStyle w:val="TableContents"/>
              <w:pBdr/>
              <w:bidi w:val="0"/>
              <w:spacing w:lineRule="auto" w:line="304" w:before="40" w:after="0"/>
              <w:ind w:left="0" w:right="0" w:hanging="0"/>
              <w:jc w:val="center"/>
              <w:rPr>
                <w:rFonts w:ascii="Times New Roman;Times;serif" w:hAnsi="Times New Roman;Times;serif"/>
                <w:sz w:val="16"/>
              </w:rPr>
            </w:pPr>
            <w:r>
              <w:rPr>
                <w:rFonts w:ascii="Times New Roman;Times;serif" w:hAnsi="Times New Roman;Times;serif"/>
                <w:sz w:val="16"/>
              </w:rPr>
              <w:t>Non-accelerated filer ☐ </w:t>
            </w:r>
          </w:p>
        </w:tc>
        <w:tc>
          <w:tcPr>
            <w:tcW w:w="234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16"/>
              </w:rPr>
            </w:pPr>
            <w:r>
              <w:rPr>
                <w:rFonts w:ascii="Times New Roman;Times;serif" w:hAnsi="Times New Roman;Times;serif"/>
                <w:sz w:val="16"/>
              </w:rPr>
              <w:t>Accelerated filer ☐</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85" w:before="120" w:after="0"/>
        <w:ind w:left="0" w:right="0" w:firstLine="461"/>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120" w:after="0"/>
        <w:ind w:left="0" w:right="0" w:firstLine="461"/>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uto" w:line="285" w:before="0" w:after="0"/>
        <w:ind w:left="0" w:right="0" w:firstLine="461"/>
        <w:jc w:val="left"/>
        <w:rPr/>
      </w:pPr>
      <w:r>
        <w:rPr/>
        <w:t>​</w:t>
      </w:r>
    </w:p>
    <w:p>
      <w:pPr>
        <w:pStyle w:val="TextBody"/>
        <w:bidi w:val="0"/>
        <w:spacing w:lineRule="auto" w:line="343" w:before="1" w:after="0"/>
        <w:ind w:left="160" w:right="480" w:firstLine="24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SxLvZTZ_NEuVqSBsg0amWg_1_2"/>
      <w:bookmarkStart w:id="16" w:name="Tc_r6Fo-cmdt0-t9Xv4D1k5Yw_1_1"/>
      <w:bookmarkStart w:id="17" w:name="Tc_6vn_TDgn80mSbrjyQmO6SQ_1_0"/>
      <w:bookmarkStart w:id="18" w:name="_4a234928_e86c_468a_a214_5df0f6a6da07"/>
      <w:bookmarkStart w:id="19" w:name="Tc_SxLvZTZ_NEuVqSBsg0amWg_1_2"/>
      <w:bookmarkStart w:id="20" w:name="Tc_r6Fo-cmdt0-t9Xv4D1k5Yw_1_1"/>
      <w:bookmarkStart w:id="21" w:name="Tc_6vn_TDgn80mSbrjyQmO6SQ_1_0"/>
      <w:bookmarkStart w:id="22" w:name="_4a234928_e86c_468a_a214_5df0f6a6da07"/>
      <w:bookmarkEnd w:id="19"/>
      <w:bookmarkEnd w:id="20"/>
      <w:bookmarkEnd w:id="21"/>
      <w:bookmarkEnd w:id="22"/>
    </w:p>
    <w:tbl>
      <w:tblPr>
        <w:tblW w:w="7743" w:type="dxa"/>
        <w:jc w:val="left"/>
        <w:tblInd w:w="0" w:type="dxa"/>
        <w:tblLayout w:type="fixed"/>
        <w:tblCellMar>
          <w:top w:w="0" w:type="dxa"/>
          <w:left w:w="0" w:type="dxa"/>
          <w:bottom w:w="0" w:type="dxa"/>
          <w:right w:w="0" w:type="dxa"/>
        </w:tblCellMar>
      </w:tblPr>
      <w:tblGrid>
        <w:gridCol w:w="3121"/>
        <w:gridCol w:w="1396"/>
        <w:gridCol w:w="322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BPMC</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48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120" w:after="0"/>
        <w:ind w:left="0" w:right="0" w:firstLine="461"/>
        <w:jc w:val="left"/>
        <w:rPr>
          <w:rFonts w:ascii="Times New Roman;Times;serif" w:hAnsi="Times New Roman;Times;serif"/>
          <w:sz w:val="16"/>
        </w:rPr>
      </w:pPr>
      <w:r>
        <w:rPr>
          <w:rFonts w:ascii="Times New Roman;Times;serif" w:hAnsi="Times New Roman;Times;serif"/>
          <w:sz w:val="16"/>
        </w:rPr>
        <w:t>Number of shares of the registrant’s common stock, $0.001 par value, outstanding on July 28, 2023: 60,664,749</w:t>
      </w:r>
    </w:p>
    <w:p>
      <w:pPr>
        <w:pStyle w:val="TextBody"/>
        <w:bidi w:val="0"/>
        <w:spacing w:lineRule="auto" w:line="285" w:before="0" w:after="0"/>
        <w:ind w:left="0" w:right="0" w:firstLine="461"/>
        <w:jc w:val="left"/>
        <w:rPr/>
      </w:pPr>
      <w:r>
        <w:rPr/>
        <w:t>​</w:t>
      </w:r>
    </w:p>
    <w:p>
      <w:pPr>
        <w:pStyle w:val="TextBody"/>
        <w:bidi w:val="0"/>
        <w:spacing w:lineRule="auto" w:line="285" w:before="0" w:after="0"/>
        <w:ind w:left="0" w:right="0" w:firstLine="461"/>
        <w:jc w:val="left"/>
        <w:rPr/>
      </w:pPr>
      <w:r>
        <w:rPr/>
        <w:t>​</w:t>
      </w:r>
    </w:p>
    <w:p>
      <w:pPr>
        <w:pStyle w:val="TextBody"/>
        <w:bidi w:val="0"/>
        <w:spacing w:lineRule="auto" w:line="285" w:before="48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sz w:val="20"/>
        </w:rPr>
      </w:pPr>
      <w:bookmarkStart w:id="23" w:name="Toc"/>
      <w:bookmarkStart w:id="24" w:name="_5a602b6e_0565_4d8c_b869_e6853db26682"/>
      <w:bookmarkEnd w:id="23"/>
      <w:bookmarkEnd w:id="24"/>
      <w:r>
        <w:rPr>
          <w:rFonts w:ascii="Times New Roman;Times;serif" w:hAnsi="Times New Roman;Times;serif"/>
          <w:b/>
          <w:sz w:val="20"/>
        </w:rPr>
        <w:t>TABLE OF</w:t>
      </w:r>
      <w:r>
        <w:rPr>
          <w:rFonts w:ascii="Times New Roman;Times;serif" w:hAnsi="Times New Roman;Times;serif"/>
          <w:sz w:val="20"/>
        </w:rPr>
        <w:t xml:space="preserve"> </w:t>
      </w:r>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124"/>
        <w:gridCol w:w="9570"/>
        <w:gridCol w:w="511"/>
      </w:tblGrid>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FINANCIAL_85354">
              <w:r>
                <w:rPr>
                  <w:rStyle w:val="InternetLink"/>
                  <w:rFonts w:ascii="Times New Roman;Times;serif" w:hAnsi="Times New Roman;Times;serif"/>
                  <w:b/>
                  <w:i w:val="false"/>
                  <w:caps/>
                  <w:sz w:val="20"/>
                </w:rPr>
                <w:t>Part I – FINANCIAL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Item1FinancialStatements_207744">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BalanceSheets_816509">
              <w:r>
                <w:rPr>
                  <w:rStyle w:val="InternetLink"/>
                  <w:rFonts w:ascii="Times New Roman;Times;serif" w:hAnsi="Times New Roman;Times;serif"/>
                  <w:b w:val="false"/>
                  <w:i w:val="false"/>
                  <w:caps w:val="false"/>
                  <w:smallCaps w:val="false"/>
                  <w:sz w:val="20"/>
                </w:rPr>
                <w:t>Condensed Consolidated Balance Sheets as of June 30, 2023 and December 31,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atementsofOperations_108008">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2023 and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ockholdersEquity_235408">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2023 and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CashFlows_481395">
              <w:r>
                <w:rPr>
                  <w:rStyle w:val="InternetLink"/>
                  <w:rFonts w:ascii="Times New Roman;Times;serif" w:hAnsi="Times New Roman;Times;serif"/>
                  <w:b w:val="false"/>
                  <w:i w:val="false"/>
                  <w:caps w:val="false"/>
                  <w:smallCaps w:val="false"/>
                  <w:sz w:val="20"/>
                </w:rPr>
                <w:t>Condensed Consolidated Statements of Cash Flows for the six months ended June 30, 2023 and 2022</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Notes_47889">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694" w:type="dxa"/>
            <w:gridSpan w:val="2"/>
            <w:tcBorders/>
            <w:vAlign w:val="center"/>
          </w:tcPr>
          <w:p>
            <w:pPr>
              <w:pStyle w:val="TableContents"/>
              <w:bidi w:val="0"/>
              <w:spacing w:lineRule="auto" w:line="285" w:before="0" w:after="40"/>
              <w:ind w:left="0" w:right="0" w:hanging="0"/>
              <w:jc w:val="left"/>
              <w:rPr/>
            </w:pPr>
            <w:hyperlink w:anchor="MANAGEMENTSDISCUSSION_129894">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gridSpan w:val="2"/>
            <w:tcBorders/>
            <w:vAlign w:val="center"/>
          </w:tcPr>
          <w:p>
            <w:pPr>
              <w:pStyle w:val="TableContents"/>
              <w:bidi w:val="0"/>
              <w:spacing w:lineRule="auto" w:line="285" w:before="0" w:after="40"/>
              <w:ind w:left="0" w:right="0" w:hanging="0"/>
              <w:jc w:val="left"/>
              <w:rPr/>
            </w:pPr>
            <w:hyperlink w:anchor="Quantitative_67557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694" w:type="dxa"/>
            <w:gridSpan w:val="2"/>
            <w:tcBorders/>
            <w:vAlign w:val="center"/>
          </w:tcPr>
          <w:p>
            <w:pPr>
              <w:pStyle w:val="TableContents"/>
              <w:bidi w:val="0"/>
              <w:spacing w:lineRule="auto" w:line="285" w:before="0" w:after="40"/>
              <w:ind w:left="0" w:right="0" w:hanging="0"/>
              <w:jc w:val="left"/>
              <w:rPr/>
            </w:pPr>
            <w:hyperlink w:anchor="ControlsandProcedures_819554">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I_568397">
              <w:r>
                <w:rPr>
                  <w:rStyle w:val="InternetLink"/>
                  <w:rFonts w:ascii="Times New Roman;Times;serif" w:hAnsi="Times New Roman;Times;serif"/>
                  <w:b/>
                  <w:i w:val="false"/>
                  <w:caps/>
                  <w:sz w:val="20"/>
                </w:rPr>
                <w:t>Part II – OTHER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LegalProceedings_161281">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5OtherInformation_346096">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6Exhibits_734890">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694" w:type="dxa"/>
            <w:gridSpan w:val="2"/>
            <w:tcBorders/>
            <w:vAlign w:val="center"/>
          </w:tcPr>
          <w:p>
            <w:pPr>
              <w:pStyle w:val="TableContents"/>
              <w:bidi w:val="0"/>
              <w:spacing w:lineRule="auto" w:line="285" w:before="0" w:after="0"/>
              <w:ind w:left="0" w:right="0" w:hanging="0"/>
              <w:jc w:val="left"/>
              <w:rPr/>
            </w:pPr>
            <w:hyperlink w:anchor="SIGNATURES_862342">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bookmarkStart w:id="25" w:name="_2f15c184_f4fe_492b_8388_ee2fa0b63c8e"/>
      <w:bookmarkEnd w:id="25"/>
      <w:r>
        <w:rPr/>
        <w:t>​</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i/>
          <w:sz w:val="20"/>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Times;serif" w:hAnsi="Times New Roman;Times;serif"/>
          <w:i/>
          <w:sz w:val="15"/>
        </w:rPr>
        <w:t>®</w:t>
      </w:r>
      <w:r>
        <w:rPr>
          <w:rFonts w:ascii="Times New Roman;Times;serif" w:hAnsi="Times New Roman;Times;serif"/>
          <w:i/>
          <w:sz w:val="20"/>
        </w:rPr>
        <w:t>, AYVAKYT</w:t>
      </w:r>
      <w:r>
        <w:rPr>
          <w:rFonts w:ascii="Times New Roman;Times;serif" w:hAnsi="Times New Roman;Times;serif"/>
          <w:i/>
          <w:sz w:val="15"/>
        </w:rPr>
        <w:t>®</w:t>
      </w:r>
      <w:r>
        <w:rPr>
          <w:rFonts w:ascii="Times New Roman;Times;serif" w:hAnsi="Times New Roman;Times;serif"/>
          <w:i/>
          <w:sz w:val="20"/>
        </w:rPr>
        <w:t>, GAVRETO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and associated logos are trademarks of Blueprint Medicines Corporation. Other brands, names and trademarks contained in this Quarterly Report on Form 10-Q are the property of their respective owners.</w:t>
      </w:r>
    </w:p>
    <w:p>
      <w:pPr>
        <w:pStyle w:val="TextBody"/>
        <w:bidi w:val="0"/>
        <w:spacing w:lineRule="auto" w:line="307" w:before="0" w:after="160"/>
        <w:ind w:left="0" w:right="0" w:hanging="0"/>
        <w:jc w:val="center"/>
        <w:rPr>
          <w:rFonts w:ascii="Times New Roman;Times;serif" w:hAnsi="Times New Roman;Times;serif"/>
          <w:b/>
          <w:caps/>
          <w:sz w:val="20"/>
        </w:rPr>
      </w:pPr>
      <w:r>
        <w:rPr>
          <w:rFonts w:ascii="Times New Roman;Times;serif" w:hAnsi="Times New Roman;Times;serif"/>
          <w:b/>
          <w:caps/>
          <w:sz w:val="20"/>
        </w:rPr>
        <w:t>Forward-Looking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include, but are not limited to, statements about: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timing or likelihood of regulatory actions, filings and approvals for our current and future drug candidates, including our ability to obtain marketing approval for avapritinib in additional geographies, as well as for indolent systemic mastocytosis (SM) in geographies outside the U.S., and pralsetinib for an additional indication;</w:t>
            </w:r>
            <w:r>
              <w:rPr>
                <w:caps w:val="false"/>
                <w:smallCaps w:val="false"/>
                <w:shd w:fill="FFFFFF" w:val="clear"/>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and plans in continuing to build out our commercial infrastructure and successfully launching, marketing and selling AYVAKIT</w:t>
            </w:r>
            <w:r>
              <w:rPr>
                <w:rFonts w:ascii="Times New Roman;Times;serif" w:hAnsi="Times New Roman;Times;serif"/>
                <w:b w:val="false"/>
                <w:i/>
                <w:sz w:val="15"/>
              </w:rPr>
              <w:t>®</w:t>
            </w:r>
            <w:r>
              <w:rPr>
                <w:caps w:val="false"/>
                <w:smallCaps w:val="false"/>
              </w:rPr>
              <w:t xml:space="preserve"> </w:t>
            </w:r>
            <w:r>
              <w:rPr>
                <w:rFonts w:ascii="Times New Roman;Times;serif" w:hAnsi="Times New Roman;Times;serif"/>
                <w:b w:val="false"/>
                <w:i w:val="false"/>
                <w:caps w:val="false"/>
                <w:smallCaps w:val="false"/>
                <w:sz w:val="20"/>
              </w:rPr>
              <w:t>(avapritinib) (marketed in Europe under the brand name AYVAKYT</w:t>
            </w:r>
            <w:r>
              <w:rPr>
                <w:rFonts w:ascii="Times New Roman;Times;serif" w:hAnsi="Times New Roman;Times;serif"/>
                <w:b w:val="false"/>
                <w:i/>
                <w:sz w:val="15"/>
              </w:rPr>
              <w:t>®</w:t>
            </w:r>
            <w:r>
              <w:rPr>
                <w:rFonts w:ascii="Times New Roman;Times;serif" w:hAnsi="Times New Roman;Times;serif"/>
                <w:b w:val="false"/>
                <w:i w:val="false"/>
                <w:caps w:val="false"/>
                <w:smallCaps w:val="false"/>
                <w:sz w:val="20"/>
              </w:rPr>
              <w: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of AYVAKIT/AYVAKYT and any current and future drug candidates in treating patients with indolent SM and advanced 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impact of the termination of our collaboration with F. Hoffmann-La Roche Ltd and Genentech, Inc. to develop and commercialize pralsetinib globally (excluding Greater China), our expectations concerning the transition process with F. Hoffmann-La Roche Ltd and Genentech, Inc. and continued patient access to GAVRETO, and our plans to re-partner GAVRETO for future development and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initiation, timing, progress and results of our preclinical studies and clinical trials, including our ongoing clinical trials and any planned clinical trials for our current and future drug candidates and</w:t>
            </w:r>
            <w:r>
              <w:rPr>
                <w:caps w:val="false"/>
                <w:smallCaps w:val="false"/>
              </w:rPr>
              <w:t xml:space="preserve"> </w:t>
            </w:r>
            <w:r>
              <w:rPr>
                <w:rFonts w:ascii="Times New Roman;Times;serif" w:hAnsi="Times New Roman;Times;serif"/>
                <w:b w:val="false"/>
                <w:i w:val="false"/>
                <w:caps w:val="false"/>
                <w:smallCaps w:val="false"/>
                <w:sz w:val="20"/>
              </w:rPr>
              <w:t>research and development programs;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drug candidates into, and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develop manufacturing processes for any of our current and future drugs or drug candidates and to secure manufacturing, packaging and labeling arrangements for development activities and commercial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drugs, drug candidates, platform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length of protection we are able to establish and maintain for intellectual property rights covering our current and future drugs, drug candidates and technology;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collaboration with CStone Pharmaceuticals to develop and commercialize avapritinib, pralsetinib and fisogatinib in Greater China, our collaboration with Zai Lab to develop and commercialize BLU-525 and BLU-945, and any respective back-up forms and certain other forms thereof, as inhibitors of epidermal growth factor receptor (EGFR) in Greater China, and our collaboration with Oncopia Therapeutics, Inc., d/b/a Proteovant Therapeutics, Inc. (Proteovant), to research and advance novel targeted protein degrader therapies, as well as our ability to maintain these collaborations and establish additional strategic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exclusive license agreement with Clementia Pharmaceuticals, Inc., a wholly-owned subsidiary of Ipsen S.A. (Clementia), to develop and commercialize BLU-782 for fibrodysplasia ossificans progressiva;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potential benefits of our strategic financing transactions with </w:t>
            </w:r>
            <w:r>
              <w:rPr>
                <w:rFonts w:ascii="Times New Roman;Times;serif" w:hAnsi="Times New Roman;Times;serif"/>
                <w:b w:val="false"/>
                <w:i w:val="false"/>
                <w:caps w:val="false"/>
                <w:smallCaps w:val="false"/>
                <w:sz w:val="20"/>
                <w:shd w:fill="FFFFFF" w:val="clear"/>
              </w:rPr>
              <w:t>Garnich Adjacent Investments S.a.r.l. (</w:t>
            </w:r>
            <w:r>
              <w:rPr>
                <w:rFonts w:ascii="Times New Roman;Times;serif" w:hAnsi="Times New Roman;Times;serif"/>
                <w:b w:val="false"/>
                <w:i w:val="false"/>
                <w:caps w:val="false"/>
                <w:smallCaps w:val="false"/>
                <w:sz w:val="20"/>
              </w:rPr>
              <w:t xml:space="preserve">Sixth Street Partners) and </w:t>
            </w:r>
            <w:r>
              <w:rPr>
                <w:rFonts w:ascii="Times New Roman;Times;serif" w:hAnsi="Times New Roman;Times;serif"/>
                <w:b w:val="false"/>
                <w:i w:val="false"/>
                <w:caps w:val="false"/>
                <w:smallCaps w:val="false"/>
                <w:sz w:val="20"/>
                <w:shd w:fill="FFFFFF" w:val="clear"/>
              </w:rPr>
              <w:t>Royalty Pharma Investments 2019 ICAV</w:t>
            </w:r>
            <w:r>
              <w:rPr>
                <w:caps w:val="false"/>
                <w:smallCaps w:val="false"/>
              </w:rPr>
              <w:t xml:space="preserve"> </w:t>
            </w:r>
            <w:r>
              <w:rPr>
                <w:rFonts w:ascii="Times New Roman;Times;serif" w:hAnsi="Times New Roman;Times;serif"/>
                <w:b w:val="false"/>
                <w:i w:val="false"/>
                <w:caps w:val="false"/>
                <w:smallCaps w:val="false"/>
                <w:sz w:val="20"/>
              </w:rPr>
              <w:t>(Royalty Pharma);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benefits of the collaboration compounds retained by us following the mutual termination of our cancer immunotherapy collaboration with F. Hoffmann-La Roche Ltd and Hoffman-La Roche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benefits of our license agreement with IDRx, Inc. (IDRx) to develop our development candidate-stage KIT exon 13 inhibitor, IDRX-73, for the treatment of drug-resistant mutations of non-PDGFR-driven gastrointestinal stromal tumor (GIST); </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companion diagnostic tests for our current or future drugs or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performance, estimates of our revenues, expenses and capital requirements and our needs for future financing, including our ability to achieve a self-sustainable financial profile; </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relating to our competitors and our industry;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or potential benefits of designations granted by the U.S. Food and Drug Administration (FDA), such as orphan drug, fast track and breakthrough therapy designation or priority review;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a resurgence of the COVID-19 pandemic may have on our business, operations, strategy, goals and anticipated milestones. </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w:t>
      </w:r>
      <w:r>
        <w:rPr>
          <w:rFonts w:ascii="Times New Roman;Times;serif" w:hAnsi="Times New Roman;Times;serif"/>
          <w:caps/>
          <w:sz w:val="20"/>
        </w:rPr>
        <w:t>A</w:t>
      </w:r>
      <w:r>
        <w:rPr>
          <w:rFonts w:ascii="Times New Roman;Times;serif" w:hAnsi="Times New Roman;Times;serif"/>
          <w:sz w:val="20"/>
        </w:rPr>
        <w:t>,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similar data prepared by market research firms and other third parties, industry, medical and general publications, government data and similar sources.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purposes of this Quarterly Report on Form 10-Q, including the footnotes to our condensed consolidated financial statements, (i) with respect to our collaboration for pralsetinib, Roche means F. Hoffmann-La Roche Ltd and Genentech, Inc., and (ii) with respect to our terminated cancer immunotherapy collaboration, Roche means F. Hoffmann-La Roche Ltd and Hoffmann-La Roche Inc.</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sz w:val="20"/>
        </w:rPr>
      </w:pPr>
      <w:bookmarkStart w:id="26" w:name="PARTIFINANCIAL_85354"/>
      <w:bookmarkStart w:id="27" w:name="_dcefec34_b3ac_4f45_96ad_7d43aa150df3"/>
      <w:bookmarkEnd w:id="26"/>
      <w:bookmarkEnd w:id="27"/>
      <w:r>
        <w:rPr>
          <w:rFonts w:ascii="Times New Roman;Times;serif" w:hAnsi="Times New Roman;Times;serif"/>
          <w:b/>
          <w:sz w:val="20"/>
        </w:rPr>
        <w:t>PART I – FINANCIAL</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lineRule="auto" w:line="307" w:before="0" w:after="240"/>
        <w:ind w:left="0" w:right="0" w:hanging="0"/>
        <w:jc w:val="left"/>
        <w:rPr>
          <w:rFonts w:ascii="Times New Roman;Times;serif" w:hAnsi="Times New Roman;Times;serif"/>
          <w:b/>
          <w:sz w:val="20"/>
        </w:rPr>
      </w:pPr>
      <w:bookmarkStart w:id="28" w:name="Item1FinancialStatements_207744"/>
      <w:bookmarkStart w:id="29" w:name="_817d335d_c34f_4e3d_bca8_8234a660a14a"/>
      <w:bookmarkEnd w:id="28"/>
      <w:bookmarkEnd w:id="29"/>
      <w:r>
        <w:rPr>
          <w:rFonts w:ascii="Times New Roman;Times;serif" w:hAnsi="Times New Roman;Times;serif"/>
          <w:b/>
          <w:sz w:val="20"/>
        </w:rPr>
        <w:t>Item 1. Financial Statements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30" w:name="BalanceSheets_816509"/>
      <w:bookmarkEnd w:id="3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1" w:name="Tc_YQQrn80U30esaRYYIfetHw_42_5"/>
      <w:bookmarkStart w:id="32" w:name="Tc_LmZFbAB4vU-OEG3hhHNJ0w_42_2"/>
      <w:bookmarkStart w:id="33" w:name="Tc_a5GyKhwPK0ypuxFlIri5Ig_42_0"/>
      <w:bookmarkStart w:id="34" w:name="Tc_c1SqChO5w0q2ZhJK4jLhAg_41_0"/>
      <w:bookmarkStart w:id="35" w:name="Tc_7IhUPSIBlE6km6glwMbEwA_40_0"/>
      <w:bookmarkStart w:id="36" w:name="Tc_WdwJVcPJ80ecEZVUKd6Bbg_39_0"/>
      <w:bookmarkStart w:id="37" w:name="Tc_ksEYEJdqIEO-0tAbZfH2zw_38_0"/>
      <w:bookmarkStart w:id="38" w:name="Tc_a-RnT-km10CgiSXuZ29V4Q_37_0"/>
      <w:bookmarkStart w:id="39" w:name="Tc_pDymMfItKUWNfu0i1kSUXQ_36_0"/>
      <w:bookmarkStart w:id="40" w:name="Tc_iOmemjU-Ak-wZJUJwDFBrQ_35_0"/>
      <w:bookmarkStart w:id="41" w:name="Tc_yJg0thCug0ePvGrznmEjDw_34_0"/>
      <w:bookmarkStart w:id="42" w:name="Tc_uFkJGNZzTEqLdm3m9XiDjw_33_0"/>
      <w:bookmarkStart w:id="43" w:name="Tc_YyjAdyFVB0m6h2Crz7UMEQ_32_0"/>
      <w:bookmarkStart w:id="44" w:name="Tc_0BOlGgHJEUKJQ85ybuqYIQ_31_0"/>
      <w:bookmarkStart w:id="45" w:name="Tc_25F09ds2GkWT5eqPG_rX0Q_30_0"/>
      <w:bookmarkStart w:id="46" w:name="Tc_gHNicuO_AUKzER_c8BqCmg_29_0"/>
      <w:bookmarkStart w:id="47" w:name="Tc_pJ3QDm9B2UinQ6fNbn16MQ_28_0"/>
      <w:bookmarkStart w:id="48" w:name="Tc_gty07mkSfUmRyb1BuEjqCg_27_0"/>
      <w:bookmarkStart w:id="49" w:name="Tc_kJzt5cdpYUqLGNGxb26uyQ_26_0"/>
      <w:bookmarkStart w:id="50" w:name="Tc_OIZVCmSyKUOT1w2uId2RKQ_25_0"/>
      <w:bookmarkStart w:id="51" w:name="Tc_K_LweXYjPkiVon5Av0qV6g_24_0"/>
      <w:bookmarkStart w:id="52" w:name="Tc_ayADRqGuMkmStuEe_pvFag_23_0"/>
      <w:bookmarkStart w:id="53" w:name="Tc_Q7ccoxzx3k-aN2MayqlEsg_22_0"/>
      <w:bookmarkStart w:id="54" w:name="Tc_RAZTYFSGaUusIbUz3ZbgzA_21_0"/>
      <w:bookmarkStart w:id="55" w:name="Tc_IxXuzb2bT0iLv1Gwt2kqHw_20_0"/>
      <w:bookmarkStart w:id="56" w:name="Tc_LXW80Za4LU-MB2b011ddkg_19_0"/>
      <w:bookmarkStart w:id="57" w:name="Tc_guI-E9h9iUmeNtg8_BDrHQ_18_5"/>
      <w:bookmarkStart w:id="58" w:name="Tc_D5CMfPj-iEGvu4evKqXQWw_18_2"/>
      <w:bookmarkStart w:id="59" w:name="Tc_3WohRjp19EKIGLCHQqU_Hg_18_0"/>
      <w:bookmarkStart w:id="60" w:name="Tc_N2vo5MmYf0yMQ9RrclEfUQ_17_0"/>
      <w:bookmarkStart w:id="61" w:name="Tc_RISFvKnqz06xLw3euR_8Fw_16_0"/>
      <w:bookmarkStart w:id="62" w:name="Tc_Rm3J7PJPGEO9thHOzjHO7g_15_0"/>
      <w:bookmarkStart w:id="63" w:name="Tc_7M6_1sqYa0yIG-2vyyno8w_14_0"/>
      <w:bookmarkStart w:id="64" w:name="Tc_uIihomUam0aBwOmBeiY1aQ_13_0"/>
      <w:bookmarkStart w:id="65" w:name="Tc_0NGPeRRm9kycYF43A5_kEA_12_0"/>
      <w:bookmarkStart w:id="66" w:name="Tc_xEP9TLOnJES9XjfyjLWB6A_11_0"/>
      <w:bookmarkStart w:id="67" w:name="Tc_Iul9sso1E0WtY0bcjgCODw_10_0"/>
      <w:bookmarkStart w:id="68" w:name="Tc_G2D6KbxapE2lqVkSwbPm2w_9_0"/>
      <w:bookmarkStart w:id="69" w:name="Tc_nInMTOR0SkO--DvelWcmLQ_8_0"/>
      <w:bookmarkStart w:id="70" w:name="Tc_YOKJ1HNkgkasu0o2HjCpjQ_7_0"/>
      <w:bookmarkStart w:id="71" w:name="Tc_kgPd0Gp-S0WWafU9KXdinA_6_0"/>
      <w:bookmarkStart w:id="72" w:name="Tc_1jMTMSU1yUqomPzgzuiD2g_5_5"/>
      <w:bookmarkStart w:id="73" w:name="Tc_IMC_uuAka0qDb-9oKp24Fg_5_2"/>
      <w:bookmarkStart w:id="74" w:name="Tc_EunBpE6g_0mI1MrcU1I07g_5_0"/>
      <w:bookmarkStart w:id="75" w:name="Tc_bZrkiWmp4kSp0eaf3qbCxA_4_0"/>
      <w:bookmarkStart w:id="76" w:name="Tc_SD-dK6wQoUaYeEIRjHz5Cw_3_0"/>
      <w:bookmarkStart w:id="77" w:name="Tc_9rTAVAX9QE6CzMJlofNrEA_2_5"/>
      <w:bookmarkStart w:id="78" w:name="Tc_OEHDckTNN0Sc77jHXJ90pg_1_5"/>
      <w:bookmarkStart w:id="79" w:name="Tc_ZTBGZwaTREC42U_3V7ljhA_1_2"/>
      <w:bookmarkStart w:id="80" w:name="_b564bf6b_ab4e_4ecb_a89e_8bc4a55d0a10"/>
      <w:bookmarkStart w:id="81" w:name="Tc_YQQrn80U30esaRYYIfetHw_42_5"/>
      <w:bookmarkStart w:id="82" w:name="Tc_LmZFbAB4vU-OEG3hhHNJ0w_42_2"/>
      <w:bookmarkStart w:id="83" w:name="Tc_a5GyKhwPK0ypuxFlIri5Ig_42_0"/>
      <w:bookmarkStart w:id="84" w:name="Tc_c1SqChO5w0q2ZhJK4jLhAg_41_0"/>
      <w:bookmarkStart w:id="85" w:name="Tc_7IhUPSIBlE6km6glwMbEwA_40_0"/>
      <w:bookmarkStart w:id="86" w:name="Tc_WdwJVcPJ80ecEZVUKd6Bbg_39_0"/>
      <w:bookmarkStart w:id="87" w:name="Tc_ksEYEJdqIEO-0tAbZfH2zw_38_0"/>
      <w:bookmarkStart w:id="88" w:name="Tc_a-RnT-km10CgiSXuZ29V4Q_37_0"/>
      <w:bookmarkStart w:id="89" w:name="Tc_pDymMfItKUWNfu0i1kSUXQ_36_0"/>
      <w:bookmarkStart w:id="90" w:name="Tc_iOmemjU-Ak-wZJUJwDFBrQ_35_0"/>
      <w:bookmarkStart w:id="91" w:name="Tc_yJg0thCug0ePvGrznmEjDw_34_0"/>
      <w:bookmarkStart w:id="92" w:name="Tc_uFkJGNZzTEqLdm3m9XiDjw_33_0"/>
      <w:bookmarkStart w:id="93" w:name="Tc_YyjAdyFVB0m6h2Crz7UMEQ_32_0"/>
      <w:bookmarkStart w:id="94" w:name="Tc_0BOlGgHJEUKJQ85ybuqYIQ_31_0"/>
      <w:bookmarkStart w:id="95" w:name="Tc_25F09ds2GkWT5eqPG_rX0Q_30_0"/>
      <w:bookmarkStart w:id="96" w:name="Tc_gHNicuO_AUKzER_c8BqCmg_29_0"/>
      <w:bookmarkStart w:id="97" w:name="Tc_pJ3QDm9B2UinQ6fNbn16MQ_28_0"/>
      <w:bookmarkStart w:id="98" w:name="Tc_gty07mkSfUmRyb1BuEjqCg_27_0"/>
      <w:bookmarkStart w:id="99" w:name="Tc_kJzt5cdpYUqLGNGxb26uyQ_26_0"/>
      <w:bookmarkStart w:id="100" w:name="Tc_OIZVCmSyKUOT1w2uId2RKQ_25_0"/>
      <w:bookmarkStart w:id="101" w:name="Tc_K_LweXYjPkiVon5Av0qV6g_24_0"/>
      <w:bookmarkStart w:id="102" w:name="Tc_ayADRqGuMkmStuEe_pvFag_23_0"/>
      <w:bookmarkStart w:id="103" w:name="Tc_Q7ccoxzx3k-aN2MayqlEsg_22_0"/>
      <w:bookmarkStart w:id="104" w:name="Tc_RAZTYFSGaUusIbUz3ZbgzA_21_0"/>
      <w:bookmarkStart w:id="105" w:name="Tc_IxXuzb2bT0iLv1Gwt2kqHw_20_0"/>
      <w:bookmarkStart w:id="106" w:name="Tc_LXW80Za4LU-MB2b011ddkg_19_0"/>
      <w:bookmarkStart w:id="107" w:name="Tc_guI-E9h9iUmeNtg8_BDrHQ_18_5"/>
      <w:bookmarkStart w:id="108" w:name="Tc_D5CMfPj-iEGvu4evKqXQWw_18_2"/>
      <w:bookmarkStart w:id="109" w:name="Tc_3WohRjp19EKIGLCHQqU_Hg_18_0"/>
      <w:bookmarkStart w:id="110" w:name="Tc_N2vo5MmYf0yMQ9RrclEfUQ_17_0"/>
      <w:bookmarkStart w:id="111" w:name="Tc_RISFvKnqz06xLw3euR_8Fw_16_0"/>
      <w:bookmarkStart w:id="112" w:name="Tc_Rm3J7PJPGEO9thHOzjHO7g_15_0"/>
      <w:bookmarkStart w:id="113" w:name="Tc_7M6_1sqYa0yIG-2vyyno8w_14_0"/>
      <w:bookmarkStart w:id="114" w:name="Tc_uIihomUam0aBwOmBeiY1aQ_13_0"/>
      <w:bookmarkStart w:id="115" w:name="Tc_0NGPeRRm9kycYF43A5_kEA_12_0"/>
      <w:bookmarkStart w:id="116" w:name="Tc_xEP9TLOnJES9XjfyjLWB6A_11_0"/>
      <w:bookmarkStart w:id="117" w:name="Tc_Iul9sso1E0WtY0bcjgCODw_10_0"/>
      <w:bookmarkStart w:id="118" w:name="Tc_G2D6KbxapE2lqVkSwbPm2w_9_0"/>
      <w:bookmarkStart w:id="119" w:name="Tc_nInMTOR0SkO--DvelWcmLQ_8_0"/>
      <w:bookmarkStart w:id="120" w:name="Tc_YOKJ1HNkgkasu0o2HjCpjQ_7_0"/>
      <w:bookmarkStart w:id="121" w:name="Tc_kgPd0Gp-S0WWafU9KXdinA_6_0"/>
      <w:bookmarkStart w:id="122" w:name="Tc_1jMTMSU1yUqomPzgzuiD2g_5_5"/>
      <w:bookmarkStart w:id="123" w:name="Tc_IMC_uuAka0qDb-9oKp24Fg_5_2"/>
      <w:bookmarkStart w:id="124" w:name="Tc_EunBpE6g_0mI1MrcU1I07g_5_0"/>
      <w:bookmarkStart w:id="125" w:name="Tc_bZrkiWmp4kSp0eaf3qbCxA_4_0"/>
      <w:bookmarkStart w:id="126" w:name="Tc_SD-dK6wQoUaYeEIRjHz5Cw_3_0"/>
      <w:bookmarkStart w:id="127" w:name="Tc_9rTAVAX9QE6CzMJlofNrEA_2_5"/>
      <w:bookmarkStart w:id="128" w:name="Tc_OEHDckTNN0Sc77jHXJ90pg_1_5"/>
      <w:bookmarkStart w:id="129" w:name="Tc_ZTBGZwaTREC42U_3V7ljhA_1_2"/>
      <w:bookmarkStart w:id="130" w:name="_b564bf6b_ab4e_4ecb_a89e_8bc4a55d0a1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Layout w:type="fixed"/>
        <w:tblCellMar>
          <w:top w:w="0" w:type="dxa"/>
          <w:left w:w="0" w:type="dxa"/>
          <w:bottom w:w="0" w:type="dxa"/>
          <w:right w:w="0" w:type="dxa"/>
        </w:tblCellMar>
      </w:tblPr>
      <w:tblGrid>
        <w:gridCol w:w="7282"/>
        <w:gridCol w:w="326"/>
        <w:gridCol w:w="196"/>
        <w:gridCol w:w="916"/>
        <w:gridCol w:w="326"/>
        <w:gridCol w:w="196"/>
        <w:gridCol w:w="963"/>
      </w:tblGrid>
      <w:tr>
        <w:trPr/>
        <w:tc>
          <w:tcPr>
            <w:tcW w:w="7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24070" cy="175260"/>
                      <wp:effectExtent l="0" t="0" r="0" b="0"/>
                      <wp:wrapNone/>
                      <wp:docPr id="1" name="Frame1"/>
                      <a:graphic xmlns:a="http://schemas.openxmlformats.org/drawingml/2006/main">
                        <a:graphicData uri="http://schemas.microsoft.com/office/word/2010/wordprocessingShape">
                          <wps:wsp>
                            <wps:cNvSpPr txBox="1"/>
                            <wps:spPr>
                              <a:xfrm>
                                <a:off x="0" y="0"/>
                                <a:ext cx="4624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1660" cy="175260"/>
                      <wp:effectExtent l="0" t="0" r="0" b="0"/>
                      <wp:wrapNone/>
                      <wp:docPr id="4" name="Frame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1505" cy="175260"/>
                      <wp:effectExtent l="0" t="0" r="0" b="0"/>
                      <wp:wrapNone/>
                      <wp:docPr id="7" name="Frame7"/>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28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1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5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5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3" w:type="dxa"/>
            <w:tcBorders/>
            <w:shd w:fill="CCEEFF" w:val="clear"/>
            <w:vAlign w:val="center"/>
          </w:tcPr>
          <w:p>
            <w:pPr>
              <w:pStyle w:val="TableContents"/>
              <w:bidi w:val="0"/>
              <w:spacing w:lineRule="auto" w:line="285" w:before="0" w:after="0"/>
              <w:ind w:left="0" w:right="0" w:hanging="0"/>
              <w:jc w:val="left"/>
              <w:rPr/>
            </w:pPr>
            <w:r>
              <w:rPr/>
              <w:t>​</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3" w:type="dxa"/>
            <w:tcBorders/>
            <w:vAlign w:val="center"/>
          </w:tcPr>
          <w:p>
            <w:pPr>
              <w:pStyle w:val="TableContents"/>
              <w:bidi w:val="0"/>
              <w:spacing w:lineRule="auto" w:line="285" w:before="0" w:after="0"/>
              <w:ind w:left="0" w:right="0" w:hanging="0"/>
              <w:jc w:val="left"/>
              <w:rPr/>
            </w:pPr>
            <w:r>
              <w:rPr/>
              <w:t>​</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75,527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119,709</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647,107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825,283</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35,147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23,525</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Unbilled 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3,120</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13,413</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17,016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29,697</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33,418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35,024</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811,335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1,046,651</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113,932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133,480</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36,957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33,344</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 net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77,529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81,854</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6,352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5,195</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Equity investment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27,789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27,789</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32,551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21,589</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1,106,445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1,349,902</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3" w:type="dxa"/>
            <w:tcBorders/>
            <w:shd w:fill="CCEEFF" w:val="clear"/>
            <w:vAlign w:val="center"/>
          </w:tcPr>
          <w:p>
            <w:pPr>
              <w:pStyle w:val="TableContents"/>
              <w:bidi w:val="0"/>
              <w:spacing w:lineRule="auto" w:line="285" w:before="0" w:after="0"/>
              <w:ind w:left="0" w:right="0" w:hanging="0"/>
              <w:jc w:val="left"/>
              <w:rPr/>
            </w:pPr>
            <w:r>
              <w:rPr/>
              <w:t>​</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3" w:type="dxa"/>
            <w:tcBorders/>
            <w:vAlign w:val="center"/>
          </w:tcPr>
          <w:p>
            <w:pPr>
              <w:pStyle w:val="TableContents"/>
              <w:bidi w:val="0"/>
              <w:spacing w:lineRule="auto" w:line="285" w:before="0" w:after="0"/>
              <w:ind w:left="0" w:right="0" w:hanging="0"/>
              <w:jc w:val="left"/>
              <w:rPr/>
            </w:pPr>
            <w:r>
              <w:rPr/>
              <w:t>​</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6,979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2,729</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101,162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131,123</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10,579</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deferred revenue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3,328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4,667</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liabilities related to the sale of future royalties and revenues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28,410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17,285</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term loan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17,857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16,851</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169,028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183,234</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87,049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92,789</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revenue,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13,624</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Liabilities related to the sale of future royalties and revenues,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408,931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413,045</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Term loan,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122,146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122,232</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3,161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10,301</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795,315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835,225</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3" w:type="dxa"/>
            <w:tcBorders/>
            <w:vAlign w:val="center"/>
          </w:tcPr>
          <w:p>
            <w:pPr>
              <w:pStyle w:val="TableContents"/>
              <w:bidi w:val="0"/>
              <w:spacing w:lineRule="auto" w:line="285" w:before="0" w:after="0"/>
              <w:ind w:left="0" w:right="0" w:hanging="0"/>
              <w:jc w:val="left"/>
              <w:rPr/>
            </w:pPr>
            <w:r>
              <w:rPr/>
              <w:t>​</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3" w:type="dxa"/>
            <w:tcBorders/>
            <w:shd w:fill="CCEEFF" w:val="clear"/>
            <w:vAlign w:val="center"/>
          </w:tcPr>
          <w:p>
            <w:pPr>
              <w:pStyle w:val="TableContents"/>
              <w:bidi w:val="0"/>
              <w:spacing w:lineRule="auto" w:line="285" w:before="0" w:after="0"/>
              <w:ind w:left="0" w:right="0" w:hanging="0"/>
              <w:jc w:val="left"/>
              <w:rPr/>
            </w:pPr>
            <w:r>
              <w:rPr/>
              <w:t>​</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Preferred stock, $0.001 par value; 5,000,000 shares authorized; no shares issued and outstanding</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3"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$0.001 par value; 120,000,000 shares authorized; 60,638,275 and 59,958,919 shares issued and outstanding at June 30, 2023 and December 31, 2022, respectively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2,410,601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2,358,018</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(4,221)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(10,443)</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(2,095,311)</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(1,832,958)</w:t>
            </w:r>
          </w:p>
        </w:tc>
      </w:tr>
      <w:tr>
        <w:trPr/>
        <w:tc>
          <w:tcPr>
            <w:tcW w:w="7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311,130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514,677</w:t>
            </w:r>
          </w:p>
        </w:tc>
      </w:tr>
      <w:tr>
        <w:trPr/>
        <w:tc>
          <w:tcPr>
            <w:tcW w:w="728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1,106,445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1,349,902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31" w:name="_b92bdf3e_b893_4d97_ac89_c7108ca17373"/>
      <w:bookmarkEnd w:id="131"/>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132" w:name="StatementsofOperations_108008"/>
      <w:bookmarkEnd w:id="132"/>
      <w:r>
        <w:rPr>
          <w:rFonts w:ascii="Times New Roman;Times;serif" w:hAnsi="Times New Roman;Times;serif"/>
          <w:b/>
          <w:sz w:val="20"/>
        </w:rPr>
        <w:t>Condensed Consolidated Statements of Operations and Comprehensive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3" w:name="Tc__yjXtuCihkSAvD2iTP6t8A_26_0"/>
      <w:bookmarkStart w:id="134" w:name="Tc_rfzIthQpqEeOWTyuAQjZow_25_11"/>
      <w:bookmarkStart w:id="135" w:name="Tc_btlCNCoWEkSzKjWvfxS33A_25_8"/>
      <w:bookmarkStart w:id="136" w:name="Tc_J9ys59BGiUya6_CY1Zptqg_25_5"/>
      <w:bookmarkStart w:id="137" w:name="Tc_oLhwZQEtRkagsInsgqedtw_25_2"/>
      <w:bookmarkStart w:id="138" w:name="Tc_dCTV-JQZE0CSay8dLLQExA_25_0"/>
      <w:bookmarkStart w:id="139" w:name="Tc_75AwWacizUqmRbf6V3Aq1g_24_11"/>
      <w:bookmarkStart w:id="140" w:name="Tc_pibw5vx490-4mqJJP1KjxQ_24_8"/>
      <w:bookmarkStart w:id="141" w:name="Tc_Xt8AwZ4bXEu0NBve5fVTLA_24_5"/>
      <w:bookmarkStart w:id="142" w:name="Tc_qYIddUznc0exo-uiEZ8LOg_24_2"/>
      <w:bookmarkStart w:id="143" w:name="Tc_gVYj9FlPX06GgDrGLSxMng_24_0"/>
      <w:bookmarkStart w:id="144" w:name="Tc_7967ZQGYS06DtATjc8DPkQ_23_0"/>
      <w:bookmarkStart w:id="145" w:name="Tc_YgSrlRk0hkWtwRZfNKZiYA_22_0"/>
      <w:bookmarkStart w:id="146" w:name="Tc_djVFqX3cN02KvLNhcvhu7A_21_0"/>
      <w:bookmarkStart w:id="147" w:name="Tc_l2sD-w8BJkGg1frYrKdHbg_20_11"/>
      <w:bookmarkStart w:id="148" w:name="Tc_-u1isTLj5UGcnLvtUpvPdQ_20_8"/>
      <w:bookmarkStart w:id="149" w:name="Tc_KABH5ap75EiLSNlVbTW-Yw_20_5"/>
      <w:bookmarkStart w:id="150" w:name="Tc_Q1N5Xw3brEyIGWK6eb5AoA_20_2"/>
      <w:bookmarkStart w:id="151" w:name="Tc_im3aa6LxgkezbqtaUMLoAA_20_0"/>
      <w:bookmarkStart w:id="152" w:name="Tc_9HS6Flm3N0e_ZjmB3LC0sw_19_0"/>
      <w:bookmarkStart w:id="153" w:name="Tc_2QUWGMM5rEqZxazsxXx-Rg_18_0"/>
      <w:bookmarkStart w:id="154" w:name="Tc_i-kRLM6LzEKPiCWbB-cuSg_17_0"/>
      <w:bookmarkStart w:id="155" w:name="Tc_Jx6emQEHO0mrgMOi9P1K2g_16_0"/>
      <w:bookmarkStart w:id="156" w:name="Tc_zTlb-EgOIkmdkXpfThXPxg_15_0"/>
      <w:bookmarkStart w:id="157" w:name="Tc_rVHudiggDkWaaTAGMmqe0w_14_0"/>
      <w:bookmarkStart w:id="158" w:name="Tc_2eAQwtb-vkm1N-3A4nxEWg_13_0"/>
      <w:bookmarkStart w:id="159" w:name="Tc_UOOC9j0kwUGY_kqmJ2ATIw_12_0"/>
      <w:bookmarkStart w:id="160" w:name="Tc_FxcgkSll80Wf8-Y-KtVudw_11_0"/>
      <w:bookmarkStart w:id="161" w:name="Tc_vh69F4KVZE6nfBggo62fog_10_0"/>
      <w:bookmarkStart w:id="162" w:name="Tc_FMsTMSY4xkCD4b3tEUNZ0g_9_0"/>
      <w:bookmarkStart w:id="163" w:name="Tc_lY_fwWE5bE2EHywswbnw7g_8_0"/>
      <w:bookmarkStart w:id="164" w:name="Tc_R8VVaOjklkGFMvCYurdHNA_7_0"/>
      <w:bookmarkStart w:id="165" w:name="Tc_-ASR4gRmQEmap_DTNvncMQ_6_0"/>
      <w:bookmarkStart w:id="166" w:name="Tc_4JNh-Y4ZE0OpLUZOj575sg_5_11"/>
      <w:bookmarkStart w:id="167" w:name="Tc_pivgQwGPq0evko1UavhEDw_5_8"/>
      <w:bookmarkStart w:id="168" w:name="Tc_bYz6XviyikKQQMZyl-xgGw_5_5"/>
      <w:bookmarkStart w:id="169" w:name="Tc_2DwkeJNrWkqFAqQmta-ehg_5_2"/>
      <w:bookmarkStart w:id="170" w:name="Tc_F1YzFkZSekWBRajkeXVLXA_5_0"/>
      <w:bookmarkStart w:id="171" w:name="Tc_AaivZUobp0m5PgyRXtFG4A_4_0"/>
      <w:bookmarkStart w:id="172" w:name="Tc_89a3DbXPoUyzMwPrhKoHZw_3_11"/>
      <w:bookmarkStart w:id="173" w:name="Tc_6D_ECDmfMkmBL7MmHIICsw_3_8"/>
      <w:bookmarkStart w:id="174" w:name="Tc_wsgYRlH5a0yd_1RpxSXYag_3_5"/>
      <w:bookmarkStart w:id="175" w:name="Tc_wEQ0xzq25U2OdhkSjFeWmg_3_2"/>
      <w:bookmarkStart w:id="176" w:name="Tc_ytWVzilLBEK6s0FiI8IsNw_2_8"/>
      <w:bookmarkStart w:id="177" w:name="Tc_lDrQOTtpYU2y6kh74masfQ_2_2"/>
      <w:bookmarkStart w:id="178" w:name="Tc_mkiNCaS9lUyjxx15dEI9Vg_1_8"/>
      <w:bookmarkStart w:id="179" w:name="Tc_CY4MwNSZz0G9aGIDNkd_xA_1_2"/>
      <w:bookmarkStart w:id="180" w:name="_942684c9_c40d_42ec_90fd_3c118e64d4ef"/>
      <w:bookmarkStart w:id="181" w:name="_9615c72f_20c3_47df_81c3_27db7539fc2f"/>
      <w:bookmarkStart w:id="182" w:name="Tc__yjXtuCihkSAvD2iTP6t8A_26_0"/>
      <w:bookmarkStart w:id="183" w:name="Tc_rfzIthQpqEeOWTyuAQjZow_25_11"/>
      <w:bookmarkStart w:id="184" w:name="Tc_btlCNCoWEkSzKjWvfxS33A_25_8"/>
      <w:bookmarkStart w:id="185" w:name="Tc_J9ys59BGiUya6_CY1Zptqg_25_5"/>
      <w:bookmarkStart w:id="186" w:name="Tc_oLhwZQEtRkagsInsgqedtw_25_2"/>
      <w:bookmarkStart w:id="187" w:name="Tc_dCTV-JQZE0CSay8dLLQExA_25_0"/>
      <w:bookmarkStart w:id="188" w:name="Tc_75AwWacizUqmRbf6V3Aq1g_24_11"/>
      <w:bookmarkStart w:id="189" w:name="Tc_pibw5vx490-4mqJJP1KjxQ_24_8"/>
      <w:bookmarkStart w:id="190" w:name="Tc_Xt8AwZ4bXEu0NBve5fVTLA_24_5"/>
      <w:bookmarkStart w:id="191" w:name="Tc_qYIddUznc0exo-uiEZ8LOg_24_2"/>
      <w:bookmarkStart w:id="192" w:name="Tc_gVYj9FlPX06GgDrGLSxMng_24_0"/>
      <w:bookmarkStart w:id="193" w:name="Tc_7967ZQGYS06DtATjc8DPkQ_23_0"/>
      <w:bookmarkStart w:id="194" w:name="Tc_YgSrlRk0hkWtwRZfNKZiYA_22_0"/>
      <w:bookmarkStart w:id="195" w:name="Tc_djVFqX3cN02KvLNhcvhu7A_21_0"/>
      <w:bookmarkStart w:id="196" w:name="Tc_l2sD-w8BJkGg1frYrKdHbg_20_11"/>
      <w:bookmarkStart w:id="197" w:name="Tc_-u1isTLj5UGcnLvtUpvPdQ_20_8"/>
      <w:bookmarkStart w:id="198" w:name="Tc_KABH5ap75EiLSNlVbTW-Yw_20_5"/>
      <w:bookmarkStart w:id="199" w:name="Tc_Q1N5Xw3brEyIGWK6eb5AoA_20_2"/>
      <w:bookmarkStart w:id="200" w:name="Tc_im3aa6LxgkezbqtaUMLoAA_20_0"/>
      <w:bookmarkStart w:id="201" w:name="Tc_9HS6Flm3N0e_ZjmB3LC0sw_19_0"/>
      <w:bookmarkStart w:id="202" w:name="Tc_2QUWGMM5rEqZxazsxXx-Rg_18_0"/>
      <w:bookmarkStart w:id="203" w:name="Tc_i-kRLM6LzEKPiCWbB-cuSg_17_0"/>
      <w:bookmarkStart w:id="204" w:name="Tc_Jx6emQEHO0mrgMOi9P1K2g_16_0"/>
      <w:bookmarkStart w:id="205" w:name="Tc_zTlb-EgOIkmdkXpfThXPxg_15_0"/>
      <w:bookmarkStart w:id="206" w:name="Tc_rVHudiggDkWaaTAGMmqe0w_14_0"/>
      <w:bookmarkStart w:id="207" w:name="Tc_2eAQwtb-vkm1N-3A4nxEWg_13_0"/>
      <w:bookmarkStart w:id="208" w:name="Tc_UOOC9j0kwUGY_kqmJ2ATIw_12_0"/>
      <w:bookmarkStart w:id="209" w:name="Tc_FxcgkSll80Wf8-Y-KtVudw_11_0"/>
      <w:bookmarkStart w:id="210" w:name="Tc_vh69F4KVZE6nfBggo62fog_10_0"/>
      <w:bookmarkStart w:id="211" w:name="Tc_FMsTMSY4xkCD4b3tEUNZ0g_9_0"/>
      <w:bookmarkStart w:id="212" w:name="Tc_lY_fwWE5bE2EHywswbnw7g_8_0"/>
      <w:bookmarkStart w:id="213" w:name="Tc_R8VVaOjklkGFMvCYurdHNA_7_0"/>
      <w:bookmarkStart w:id="214" w:name="Tc_-ASR4gRmQEmap_DTNvncMQ_6_0"/>
      <w:bookmarkStart w:id="215" w:name="Tc_4JNh-Y4ZE0OpLUZOj575sg_5_11"/>
      <w:bookmarkStart w:id="216" w:name="Tc_pivgQwGPq0evko1UavhEDw_5_8"/>
      <w:bookmarkStart w:id="217" w:name="Tc_bYz6XviyikKQQMZyl-xgGw_5_5"/>
      <w:bookmarkStart w:id="218" w:name="Tc_2DwkeJNrWkqFAqQmta-ehg_5_2"/>
      <w:bookmarkStart w:id="219" w:name="Tc_F1YzFkZSekWBRajkeXVLXA_5_0"/>
      <w:bookmarkStart w:id="220" w:name="Tc_AaivZUobp0m5PgyRXtFG4A_4_0"/>
      <w:bookmarkStart w:id="221" w:name="Tc_89a3DbXPoUyzMwPrhKoHZw_3_11"/>
      <w:bookmarkStart w:id="222" w:name="Tc_6D_ECDmfMkmBL7MmHIICsw_3_8"/>
      <w:bookmarkStart w:id="223" w:name="Tc_wsgYRlH5a0yd_1RpxSXYag_3_5"/>
      <w:bookmarkStart w:id="224" w:name="Tc_wEQ0xzq25U2OdhkSjFeWmg_3_2"/>
      <w:bookmarkStart w:id="225" w:name="Tc_ytWVzilLBEK6s0FiI8IsNw_2_8"/>
      <w:bookmarkStart w:id="226" w:name="Tc_lDrQOTtpYU2y6kh74masfQ_2_2"/>
      <w:bookmarkStart w:id="227" w:name="Tc_mkiNCaS9lUyjxx15dEI9Vg_1_8"/>
      <w:bookmarkStart w:id="228" w:name="Tc_CY4MwNSZz0G9aGIDNkd_xA_1_2"/>
      <w:bookmarkStart w:id="229" w:name="_942684c9_c40d_42ec_90fd_3c118e64d4ef"/>
      <w:bookmarkStart w:id="230" w:name="_9615c72f_20c3_47df_81c3_27db7539fc2f"/>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tbl>
      <w:tblPr>
        <w:tblW w:w="10205" w:type="dxa"/>
        <w:jc w:val="left"/>
        <w:tblInd w:w="0" w:type="dxa"/>
        <w:tblLayout w:type="fixed"/>
        <w:tblCellMar>
          <w:top w:w="0" w:type="dxa"/>
          <w:left w:w="0" w:type="dxa"/>
          <w:bottom w:w="0" w:type="dxa"/>
          <w:right w:w="0" w:type="dxa"/>
        </w:tblCellMar>
      </w:tblPr>
      <w:tblGrid>
        <w:gridCol w:w="4734"/>
        <w:gridCol w:w="109"/>
        <w:gridCol w:w="211"/>
        <w:gridCol w:w="873"/>
        <w:gridCol w:w="326"/>
        <w:gridCol w:w="211"/>
        <w:gridCol w:w="873"/>
        <w:gridCol w:w="326"/>
        <w:gridCol w:w="211"/>
        <w:gridCol w:w="873"/>
        <w:gridCol w:w="326"/>
        <w:gridCol w:w="211"/>
        <w:gridCol w:w="921"/>
      </w:tblGrid>
      <w:tr>
        <w:trPr/>
        <w:tc>
          <w:tcPr>
            <w:tcW w:w="4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06090" cy="175260"/>
                      <wp:effectExtent l="0" t="0" r="0" b="0"/>
                      <wp:wrapNone/>
                      <wp:docPr id="8" name="Frame8"/>
                      <a:graphic xmlns:a="http://schemas.openxmlformats.org/drawingml/2006/main">
                        <a:graphicData uri="http://schemas.microsoft.com/office/word/2010/wordprocessingShape">
                          <wps:wsp>
                            <wps:cNvSpPr txBox="1"/>
                            <wps:spPr>
                              <a:xfrm>
                                <a:off x="0" y="0"/>
                                <a:ext cx="30060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4355" cy="175260"/>
                      <wp:effectExtent l="0" t="0" r="0" b="0"/>
                      <wp:wrapNone/>
                      <wp:docPr id="11" name="Frame1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54355" cy="175260"/>
                      <wp:effectExtent l="0" t="0" r="0" b="0"/>
                      <wp:wrapNone/>
                      <wp:docPr id="14" name="Frame14"/>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54355" cy="175260"/>
                      <wp:effectExtent l="0" t="0" r="0" b="0"/>
                      <wp:wrapNone/>
                      <wp:docPr id="17" name="Frame17"/>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4835" cy="175260"/>
                      <wp:effectExtent l="0" t="0" r="0" b="0"/>
                      <wp:wrapNone/>
                      <wp:docPr id="20" name="Frame2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3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4"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542"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73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54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73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0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    </w:t>
            </w:r>
          </w:p>
        </w:tc>
        <w:tc>
          <w:tcPr>
            <w:tcW w:w="10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921" w:type="dxa"/>
            <w:tcBorders/>
            <w:shd w:fill="CCEEFF" w:val="clear"/>
            <w:vAlign w:val="center"/>
          </w:tcPr>
          <w:p>
            <w:pPr>
              <w:pStyle w:val="TableContents"/>
              <w:bidi w:val="0"/>
              <w:spacing w:lineRule="auto" w:line="285" w:before="0" w:after="0"/>
              <w:ind w:left="0" w:right="0" w:hanging="0"/>
              <w:jc w:val="center"/>
              <w:rPr/>
            </w:pPr>
            <w:r>
              <w:rPr/>
              <w:t>​</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28,454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78,945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52,295</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17,694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46,983</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57,570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36,547</w:t>
            </w:r>
          </w:p>
        </w:tc>
        <w:tc>
          <w:tcPr>
            <w:tcW w:w="326"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120,857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99,278</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left"/>
              <w:rPr/>
            </w:pPr>
            <w:r>
              <w:rPr/>
              <w:t>​</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9,964</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5,410</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110,063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128,466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222,135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231,599</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71,931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115,747</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185,551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194,185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373,045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362,720</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left"/>
              <w:rPr/>
            </w:pPr>
            <w:r>
              <w:rPr/>
              <w:t>​</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(9,815)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869</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(9,456)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1,046</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(132,603)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(156,579)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(261,644)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(262,396)</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3,313</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(132,793)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(159,709)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(265,709)</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21" w:type="dxa"/>
            <w:tcBorders/>
            <w:vAlign w:val="center"/>
          </w:tcPr>
          <w:p>
            <w:pPr>
              <w:pStyle w:val="TableContents"/>
              <w:bidi w:val="0"/>
              <w:spacing w:lineRule="auto" w:line="285" w:before="0" w:after="0"/>
              <w:ind w:left="0" w:right="0" w:hanging="0"/>
              <w:jc w:val="right"/>
              <w:rPr/>
            </w:pPr>
            <w:r>
              <w:rPr/>
              <w:t>​</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investments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6,181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(10,328)</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Currency translation adjustments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(132,412)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(161,847)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(256,132)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(275,824)</w:t>
            </w:r>
          </w:p>
        </w:tc>
      </w:tr>
      <w:tr>
        <w:trPr/>
        <w:tc>
          <w:tcPr>
            <w:tcW w:w="47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47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loss per share - basic and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60,516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59,617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60,322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72" w:hanging="0"/>
              <w:jc w:val="right"/>
              <w:rPr>
                <w:rFonts w:ascii="Times New Roman;Times;serif" w:hAnsi="Times New Roman;Times;serif"/>
                <w:sz w:val="20"/>
              </w:rPr>
            </w:pPr>
            <w:r>
              <w:rPr>
                <w:rFonts w:ascii="Times New Roman;Times;serif" w:hAnsi="Times New Roman;Times;serif"/>
                <w:sz w:val="20"/>
              </w:rPr>
              <w:t>59,465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231" w:name="_89d834ad_a01b_4c86_b28f_c7cbaa48c315"/>
      <w:bookmarkEnd w:id="231"/>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232" w:name="StockholdersEquity_235408"/>
      <w:bookmarkEnd w:id="232"/>
      <w:r>
        <w:rPr>
          <w:rFonts w:ascii="Times New Roman;Times;serif" w:hAnsi="Times New Roman;Times;serif"/>
          <w:b/>
          <w:sz w:val="20"/>
        </w:rPr>
        <w:t>Condensed Consolidated Statements of Stockholders’ Equity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i/>
          <w:sz w:val="20"/>
        </w:rPr>
        <w:t>(Unaudited)</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33" w:name="Tc_OhWJ8m1AHkGRw2s-0ceiNg_30_16"/>
      <w:bookmarkStart w:id="234" w:name="Tc_7AzfpYINIUSj4Ij5GLFMNw_30_13"/>
      <w:bookmarkStart w:id="235" w:name="Tc_mCiHrTHNykGfXB-bgEbC-g_30_10"/>
      <w:bookmarkStart w:id="236" w:name="Tc_cke-mxDLfk2dAfhQdN3f5Q_30_7"/>
      <w:bookmarkStart w:id="237" w:name="Tc_yfQCxxkwNESTp_yqf1B0Nw_30_4"/>
      <w:bookmarkStart w:id="238" w:name="Tc_A3SJD4SIEUqL57uGxJQLZQ_30_0"/>
      <w:bookmarkStart w:id="239" w:name="Tc_mT_c1-05VkuBlTRCyaqdHQ_29_11"/>
      <w:bookmarkStart w:id="240" w:name="Tc_ZCHgsdDoiUqLEm6XBjAffw_29_8"/>
      <w:bookmarkStart w:id="241" w:name="Tc_DnHdh96bIUKK7FHsEfJWAQ_29_5"/>
      <w:bookmarkStart w:id="242" w:name="Tc_psAckED6sUi-5P6qialNiQ_29_2"/>
      <w:bookmarkStart w:id="243" w:name="Tc_-xjUMzsEVUeui7fN0YR6yQ_29_0"/>
      <w:bookmarkStart w:id="244" w:name="Tc_LdgHSxQuCE66fWWJ4sEjNw_28_14"/>
      <w:bookmarkStart w:id="245" w:name="Tc_Enii1D2Wb0qC7utgIt1_hg_28_8"/>
      <w:bookmarkStart w:id="246" w:name="Tc_iDaPGmY_QUW_rms-ntY_vQ_28_5"/>
      <w:bookmarkStart w:id="247" w:name="Tc_dPbBYGsjX0aWymCdHrc-ZQ_28_2"/>
      <w:bookmarkStart w:id="248" w:name="Tc_eAvMSfbjR0mSjqpSkrEC8A_28_0"/>
      <w:bookmarkStart w:id="249" w:name="Tc__pi6KoMov0m4uNNnQ2_C7w_27_14"/>
      <w:bookmarkStart w:id="250" w:name="Tc_yxvmJ-fTgk2rzvipJuiLnQ_27_11"/>
      <w:bookmarkStart w:id="251" w:name="Tc_ELuMFa6p5EqjBIap5ky2-w_27_5"/>
      <w:bookmarkStart w:id="252" w:name="Tc_PPHsU3Peak2tpl7YoVHdZw_27_2"/>
      <w:bookmarkStart w:id="253" w:name="Tc_SkvUpFzUG0iqHpIfdRBWZg_27_0"/>
      <w:bookmarkStart w:id="254" w:name="Tc_YaArWP1pIkKxc_0J-5HllQ_26_14"/>
      <w:bookmarkStart w:id="255" w:name="Tc_lJzBvltcHU-sjxR9u8Z0Vg_26_13"/>
      <w:bookmarkStart w:id="256" w:name="Tc_57r28-Q2AUG_tO_a3y2Pnw_26_11"/>
      <w:bookmarkStart w:id="257" w:name="Tc_M1cUetPnEE-vSDVLbW7WvQ_26_10"/>
      <w:bookmarkStart w:id="258" w:name="Tc_p3m87ha9tEGTMBWMEibjag_26_7"/>
      <w:bookmarkStart w:id="259" w:name="Tc_7yT_cJrdSkGfGZ5TdFgnMA_26_5"/>
      <w:bookmarkStart w:id="260" w:name="Tc_L1LZ3tqy70yeoJ_5WuIr5A_26_4"/>
      <w:bookmarkStart w:id="261" w:name="Tc_6CXvySVu10SRYSrd-OxAXA_26_0"/>
      <w:bookmarkStart w:id="262" w:name="Tc_CFvH7tyMtUCbJ3_g7TDbCQ_24_16"/>
      <w:bookmarkStart w:id="263" w:name="Tc_XYbKXl3o3kqOTn9hZPyp-Q_24_13"/>
      <w:bookmarkStart w:id="264" w:name="Tc_ivS14EtMyEi9kFs1Ok6nFg_24_10"/>
      <w:bookmarkStart w:id="265" w:name="Tc_hz4jZKz5x023e6Fdoc0jFw_24_7"/>
      <w:bookmarkStart w:id="266" w:name="Tc_QwOp2LMfxkC_2zA7U3eZ5g_24_4"/>
      <w:bookmarkStart w:id="267" w:name="Tc_iL-kDsfFfE2IxjilnbZDpQ_24_0"/>
      <w:bookmarkStart w:id="268" w:name="Tc_AAQQuvdPekqQ1OxaO_okmg_23_11"/>
      <w:bookmarkStart w:id="269" w:name="Tc_8iUXRim8AU6EEzBtqYcO4g_23_8"/>
      <w:bookmarkStart w:id="270" w:name="Tc_UaxF1DhMR06kAdqbGBfAeg_23_5"/>
      <w:bookmarkStart w:id="271" w:name="Tc_jdirUePK5Ua6i8Ili1XAvg_23_2"/>
      <w:bookmarkStart w:id="272" w:name="Tc_dCGbgZPijUusONgAzYs_tg_23_0"/>
      <w:bookmarkStart w:id="273" w:name="Tc_8Tso1VoUQU-Nu99wpUkH1Q_22_14"/>
      <w:bookmarkStart w:id="274" w:name="Tc_sY-hUdu0Ak6d0a8ieRgKIg_22_8"/>
      <w:bookmarkStart w:id="275" w:name="Tc_KaBiYm_AJUuukebSPSbTtA_22_5"/>
      <w:bookmarkStart w:id="276" w:name="Tc_MvDrMN3qu06MGUoxtobMuw_22_2"/>
      <w:bookmarkStart w:id="277" w:name="Tc_IObw5uRoOU-JPR1sKWNBEA_22_0"/>
      <w:bookmarkStart w:id="278" w:name="Tc_wkR439yTz0u2LbMAkHpzbQ_21_14"/>
      <w:bookmarkStart w:id="279" w:name="Tc_hULXhepk8UOLlhmU3tQJEw_21_11"/>
      <w:bookmarkStart w:id="280" w:name="Tc_6MHqD5sUW023SVkeNOP25Q_21_5"/>
      <w:bookmarkStart w:id="281" w:name="Tc_JUVjK3yiiEy0e58ILLHjjw_21_2"/>
      <w:bookmarkStart w:id="282" w:name="Tc_Osq5hlH840WrdRNSMiG7TQ_21_0"/>
      <w:bookmarkStart w:id="283" w:name="Tc_raKuQY2QU0ajMM_a6l2Z8w_20_14"/>
      <w:bookmarkStart w:id="284" w:name="Tc_J9yvxEwZEkSqU-K00fKMIA_20_11"/>
      <w:bookmarkStart w:id="285" w:name="Tc_YDaDcPnNkkCPzP2DffvUBg_20_0"/>
      <w:bookmarkStart w:id="286" w:name="Tc_Z4NPfJciKkSgCQxe1aA1hQ_19_16"/>
      <w:bookmarkStart w:id="287" w:name="Tc_woCc7B7i7UqVeVGHqjd_sg_19_13"/>
      <w:bookmarkStart w:id="288" w:name="Tc_pjTX7brtBUmUCl1KilR_WA_19_10"/>
      <w:bookmarkStart w:id="289" w:name="Tc_TLhdd4O7O0GmurbhtRyyIg_19_7"/>
      <w:bookmarkStart w:id="290" w:name="Tc_MSIPL55plUqCIdqC6k0VHA_19_4"/>
      <w:bookmarkStart w:id="291" w:name="Tc_lK5urn5heUqIOEAPcQ1clw_19_0"/>
      <w:bookmarkStart w:id="292" w:name="Tc_w6QomD7JZ0S6mBa5vUcJaw_17_16"/>
      <w:bookmarkStart w:id="293" w:name="Tc_6JXTDLSM3kmqL74U2QJ04Q_17_13"/>
      <w:bookmarkStart w:id="294" w:name="Tc__RDMnM2kukKdRtYvf37Ikw_17_10"/>
      <w:bookmarkStart w:id="295" w:name="Tc_iobHDpA_hEaOmiuCuNXYWw_17_7"/>
      <w:bookmarkStart w:id="296" w:name="Tc_gIf5NXaUCkOD6Ijt92gRRQ_17_4"/>
      <w:bookmarkStart w:id="297" w:name="Tc_AEO-vS-JDkiZYP8vME6Rpw_17_0"/>
      <w:bookmarkStart w:id="298" w:name="Tc_ZRP6OwkuoUG0FX2c661m2Q_16_11"/>
      <w:bookmarkStart w:id="299" w:name="Tc_TvuTBrRrfU-jjlpoNsiIIA_16_8"/>
      <w:bookmarkStart w:id="300" w:name="Tc_iaYBFlM_X0edTr9hhgVXzw_16_5"/>
      <w:bookmarkStart w:id="301" w:name="Tc_C6DtaWLjDEG9MTxNkvx-9w_16_2"/>
      <w:bookmarkStart w:id="302" w:name="Tc_56Hef52EjkGYxPKnE_TBag_16_0"/>
      <w:bookmarkStart w:id="303" w:name="Tc_2R6nl6wm3kKwZdjgcyuyaA_15_14"/>
      <w:bookmarkStart w:id="304" w:name="Tc_kWf2bCydDU2a9vB3unVJBg_15_8"/>
      <w:bookmarkStart w:id="305" w:name="Tc_T0tugaxiCUitXbK6kGO9Lg_15_5"/>
      <w:bookmarkStart w:id="306" w:name="Tc_K0f3kXGxiUevnJ1AXU48Fw_15_2"/>
      <w:bookmarkStart w:id="307" w:name="Tc_an2a1f-8gEubEpR-yMpwyA_15_0"/>
      <w:bookmarkStart w:id="308" w:name="Tc_x90XEskNw0uqYchbHCpgyA_14_14"/>
      <w:bookmarkStart w:id="309" w:name="Tc_fjwj1zEoDUGxvs8IJZyt0A_14_11"/>
      <w:bookmarkStart w:id="310" w:name="Tc_qzb_j7UphUaT_w1Pd76FOQ_14_5"/>
      <w:bookmarkStart w:id="311" w:name="Tc_3TynuItpv0qpai3WxQPbDA_14_2"/>
      <w:bookmarkStart w:id="312" w:name="Tc_X1VN88uKF0KdHCM1bQoWig_14_0"/>
      <w:bookmarkStart w:id="313" w:name="Tc_4-mVw0eMEE6YVncnTfbjTQ_13_16"/>
      <w:bookmarkStart w:id="314" w:name="Tc_Hq_d1WQiVECsNmdoCdzkmQ_13_14"/>
      <w:bookmarkStart w:id="315" w:name="Tc_cMKRARSt70WgV3HxAmvTMg_13_13"/>
      <w:bookmarkStart w:id="316" w:name="Tc_922BBcFhKEuOG5DgarsC0g_13_11"/>
      <w:bookmarkStart w:id="317" w:name="Tc_B85caFKGOUqkkzPGL_6BJg_13_10"/>
      <w:bookmarkStart w:id="318" w:name="Tc_hSVRAXCAikCOHi2s5XWh2g_13_7"/>
      <w:bookmarkStart w:id="319" w:name="Tc_IpQI0aZL5kO6KVehMc4sGQ_13_4"/>
      <w:bookmarkStart w:id="320" w:name="Tc_mPMMgQ9MgU68pMwB7ql_NQ_13_0"/>
      <w:bookmarkStart w:id="321" w:name="Tc_aYk352ydr0KfCtgsWeugAg_11_16"/>
      <w:bookmarkStart w:id="322" w:name="Tc_ChO_wHxvu0-gMsazij7Ipg_11_13"/>
      <w:bookmarkStart w:id="323" w:name="Tc_Jy4cA6hjfEai3XyzSnNdaw_11_10"/>
      <w:bookmarkStart w:id="324" w:name="Tc_u-j83p--MEqAhrux20_dLg_11_7"/>
      <w:bookmarkStart w:id="325" w:name="Tc_0PMoCSyTCUuXUYLF0a-qbw_11_4"/>
      <w:bookmarkStart w:id="326" w:name="Tc_YTuF58dgykC1tmJoTQ8vkA_11_0"/>
      <w:bookmarkStart w:id="327" w:name="Tc_0a5dzfUmxUWAw0_rws1fNA_10_11"/>
      <w:bookmarkStart w:id="328" w:name="Tc_D1ZRYGp79UKtlk-tB8O84g_10_8"/>
      <w:bookmarkStart w:id="329" w:name="Tc_Kta1xMDWPUKFy5lSD_j8eg_10_5"/>
      <w:bookmarkStart w:id="330" w:name="Tc_k9x0tvHL_EONDzRqxGTwMA_10_2"/>
      <w:bookmarkStart w:id="331" w:name="Tc_TUa26vkU_k2wO4b5qoZcMQ_10_0"/>
      <w:bookmarkStart w:id="332" w:name="Tc_YdsDrUqDhkewzpvytv-ztw_9_14"/>
      <w:bookmarkStart w:id="333" w:name="Tc_vcjNs23j0keWcdJZ1g0sIQ_9_8"/>
      <w:bookmarkStart w:id="334" w:name="Tc_zDD-5uKOEkW2yIt1RSKA8g_9_5"/>
      <w:bookmarkStart w:id="335" w:name="Tc_tHcTBqsO4U-Vt3sHIqC5Nw_9_2"/>
      <w:bookmarkStart w:id="336" w:name="Tc_6XhIWfzvz0apJfv12VDvWw_9_0"/>
      <w:bookmarkStart w:id="337" w:name="Tc_4B0u5H6H70eSxLSZd5WVbQ_8_14"/>
      <w:bookmarkStart w:id="338" w:name="Tc_I-Ndsmxu2E-3VfUeGyvVQw_8_11"/>
      <w:bookmarkStart w:id="339" w:name="Tc_B2CyCngChk22_Om04I5y8w_8_5"/>
      <w:bookmarkStart w:id="340" w:name="Tc_dYUpXSyPJEKI_hjNZ3lgaQ_8_2"/>
      <w:bookmarkStart w:id="341" w:name="Tc_qPn4T4yC802Ng1R6o15M1g_8_0"/>
      <w:bookmarkStart w:id="342" w:name="Tc_jarjCSv-yk-TqAlXUezj4A_7_17"/>
      <w:bookmarkStart w:id="343" w:name="Tc_RXQc_yF2SUmEL0lf3s1Xug_7_14"/>
      <w:bookmarkStart w:id="344" w:name="Tc_lbD99Rcl2Eyol7LM0zRe-Q_7_11"/>
      <w:bookmarkStart w:id="345" w:name="Tc_RGyCJl81MkqZ8WKjKfhPqA_7_8"/>
      <w:bookmarkStart w:id="346" w:name="Tc_wlo9IaRS-UKY1QHYssMkzA_7_5"/>
      <w:bookmarkStart w:id="347" w:name="Tc_2Bcb0yxtak2mDD2UwHQl0g_7_0"/>
      <w:bookmarkStart w:id="348" w:name="Tc_mBmRxO3kbE6Qmo9sPMhexg_6_16"/>
      <w:bookmarkStart w:id="349" w:name="Tc_gVDfowpRykawtFq2HNaj3Q_6_13"/>
      <w:bookmarkStart w:id="350" w:name="Tc_3erkqDzTE0CgmumRSaPoZg_6_10"/>
      <w:bookmarkStart w:id="351" w:name="Tc_JUbpPtCBTEqQqRfKYT2vUA_6_7"/>
      <w:bookmarkStart w:id="352" w:name="Tc_fXMxLH3tTEKCrcJkSLBLZA_6_4"/>
      <w:bookmarkStart w:id="353" w:name="Tc_3wy-oAsZLkqRCU1PxpphVQ_6_0"/>
      <w:bookmarkStart w:id="354" w:name="Tc_UuJw-GQL_EGHpNDbBlcoMA_4_16"/>
      <w:bookmarkStart w:id="355" w:name="Tc_mrbFxK9kfkKXu3J4kZE4YQ_4_13"/>
      <w:bookmarkStart w:id="356" w:name="Tc_uzz5eBJjs0OgCcdIUE5NEQ_4_10"/>
      <w:bookmarkStart w:id="357" w:name="Tc_po2DAkgFKkinCFRXLTiEYQ_4_7"/>
      <w:bookmarkStart w:id="358" w:name="Tc_oI3Gk3WvZ0ShPls3gqbnoA_4_4"/>
      <w:bookmarkStart w:id="359" w:name="Tc_JCOL3TFZOEWmXNAkD3AcTg_4_2"/>
      <w:bookmarkStart w:id="360" w:name="Tc_wNetFzKAP02cUhOE20t_Zg_3_16"/>
      <w:bookmarkStart w:id="361" w:name="Tc_FyVjwGl1k06POb6FhOtyrg_3_13"/>
      <w:bookmarkStart w:id="362" w:name="Tc_8Aiw9s1ENU6oOWdMJKyqPg_3_9"/>
      <w:bookmarkStart w:id="363" w:name="Tc_KJsOaSvAjkuKepN-Edxwwg_3_7"/>
      <w:bookmarkStart w:id="364" w:name="Tc_PhH6u0cey02RXJ_QxHjkAQ_3_2"/>
      <w:bookmarkStart w:id="365" w:name="Tc_BUyo4J92ykS84B3n4FYNrg_2_10"/>
      <w:bookmarkStart w:id="366" w:name="Tc_vp1VYVqT2U2Kd3Rq7F4HsA_2_7"/>
      <w:bookmarkStart w:id="367" w:name="Tc_w2QTHf7yxEa15sISKjONeA_1_10"/>
      <w:bookmarkStart w:id="368" w:name="_798c5f16_306d_4a9a_830e_ca30b7c61596"/>
      <w:bookmarkStart w:id="369" w:name="Tc_OhWJ8m1AHkGRw2s-0ceiNg_30_16"/>
      <w:bookmarkStart w:id="370" w:name="Tc_7AzfpYINIUSj4Ij5GLFMNw_30_13"/>
      <w:bookmarkStart w:id="371" w:name="Tc_mCiHrTHNykGfXB-bgEbC-g_30_10"/>
      <w:bookmarkStart w:id="372" w:name="Tc_cke-mxDLfk2dAfhQdN3f5Q_30_7"/>
      <w:bookmarkStart w:id="373" w:name="Tc_yfQCxxkwNESTp_yqf1B0Nw_30_4"/>
      <w:bookmarkStart w:id="374" w:name="Tc_A3SJD4SIEUqL57uGxJQLZQ_30_0"/>
      <w:bookmarkStart w:id="375" w:name="Tc_mT_c1-05VkuBlTRCyaqdHQ_29_11"/>
      <w:bookmarkStart w:id="376" w:name="Tc_ZCHgsdDoiUqLEm6XBjAffw_29_8"/>
      <w:bookmarkStart w:id="377" w:name="Tc_DnHdh96bIUKK7FHsEfJWAQ_29_5"/>
      <w:bookmarkStart w:id="378" w:name="Tc_psAckED6sUi-5P6qialNiQ_29_2"/>
      <w:bookmarkStart w:id="379" w:name="Tc_-xjUMzsEVUeui7fN0YR6yQ_29_0"/>
      <w:bookmarkStart w:id="380" w:name="Tc_LdgHSxQuCE66fWWJ4sEjNw_28_14"/>
      <w:bookmarkStart w:id="381" w:name="Tc_Enii1D2Wb0qC7utgIt1_hg_28_8"/>
      <w:bookmarkStart w:id="382" w:name="Tc_iDaPGmY_QUW_rms-ntY_vQ_28_5"/>
      <w:bookmarkStart w:id="383" w:name="Tc_dPbBYGsjX0aWymCdHrc-ZQ_28_2"/>
      <w:bookmarkStart w:id="384" w:name="Tc_eAvMSfbjR0mSjqpSkrEC8A_28_0"/>
      <w:bookmarkStart w:id="385" w:name="Tc__pi6KoMov0m4uNNnQ2_C7w_27_14"/>
      <w:bookmarkStart w:id="386" w:name="Tc_yxvmJ-fTgk2rzvipJuiLnQ_27_11"/>
      <w:bookmarkStart w:id="387" w:name="Tc_ELuMFa6p5EqjBIap5ky2-w_27_5"/>
      <w:bookmarkStart w:id="388" w:name="Tc_PPHsU3Peak2tpl7YoVHdZw_27_2"/>
      <w:bookmarkStart w:id="389" w:name="Tc_SkvUpFzUG0iqHpIfdRBWZg_27_0"/>
      <w:bookmarkStart w:id="390" w:name="Tc_YaArWP1pIkKxc_0J-5HllQ_26_14"/>
      <w:bookmarkStart w:id="391" w:name="Tc_lJzBvltcHU-sjxR9u8Z0Vg_26_13"/>
      <w:bookmarkStart w:id="392" w:name="Tc_57r28-Q2AUG_tO_a3y2Pnw_26_11"/>
      <w:bookmarkStart w:id="393" w:name="Tc_M1cUetPnEE-vSDVLbW7WvQ_26_10"/>
      <w:bookmarkStart w:id="394" w:name="Tc_p3m87ha9tEGTMBWMEibjag_26_7"/>
      <w:bookmarkStart w:id="395" w:name="Tc_7yT_cJrdSkGfGZ5TdFgnMA_26_5"/>
      <w:bookmarkStart w:id="396" w:name="Tc_L1LZ3tqy70yeoJ_5WuIr5A_26_4"/>
      <w:bookmarkStart w:id="397" w:name="Tc_6CXvySVu10SRYSrd-OxAXA_26_0"/>
      <w:bookmarkStart w:id="398" w:name="Tc_CFvH7tyMtUCbJ3_g7TDbCQ_24_16"/>
      <w:bookmarkStart w:id="399" w:name="Tc_XYbKXl3o3kqOTn9hZPyp-Q_24_13"/>
      <w:bookmarkStart w:id="400" w:name="Tc_ivS14EtMyEi9kFs1Ok6nFg_24_10"/>
      <w:bookmarkStart w:id="401" w:name="Tc_hz4jZKz5x023e6Fdoc0jFw_24_7"/>
      <w:bookmarkStart w:id="402" w:name="Tc_QwOp2LMfxkC_2zA7U3eZ5g_24_4"/>
      <w:bookmarkStart w:id="403" w:name="Tc_iL-kDsfFfE2IxjilnbZDpQ_24_0"/>
      <w:bookmarkStart w:id="404" w:name="Tc_AAQQuvdPekqQ1OxaO_okmg_23_11"/>
      <w:bookmarkStart w:id="405" w:name="Tc_8iUXRim8AU6EEzBtqYcO4g_23_8"/>
      <w:bookmarkStart w:id="406" w:name="Tc_UaxF1DhMR06kAdqbGBfAeg_23_5"/>
      <w:bookmarkStart w:id="407" w:name="Tc_jdirUePK5Ua6i8Ili1XAvg_23_2"/>
      <w:bookmarkStart w:id="408" w:name="Tc_dCGbgZPijUusONgAzYs_tg_23_0"/>
      <w:bookmarkStart w:id="409" w:name="Tc_8Tso1VoUQU-Nu99wpUkH1Q_22_14"/>
      <w:bookmarkStart w:id="410" w:name="Tc_sY-hUdu0Ak6d0a8ieRgKIg_22_8"/>
      <w:bookmarkStart w:id="411" w:name="Tc_KaBiYm_AJUuukebSPSbTtA_22_5"/>
      <w:bookmarkStart w:id="412" w:name="Tc_MvDrMN3qu06MGUoxtobMuw_22_2"/>
      <w:bookmarkStart w:id="413" w:name="Tc_IObw5uRoOU-JPR1sKWNBEA_22_0"/>
      <w:bookmarkStart w:id="414" w:name="Tc_wkR439yTz0u2LbMAkHpzbQ_21_14"/>
      <w:bookmarkStart w:id="415" w:name="Tc_hULXhepk8UOLlhmU3tQJEw_21_11"/>
      <w:bookmarkStart w:id="416" w:name="Tc_6MHqD5sUW023SVkeNOP25Q_21_5"/>
      <w:bookmarkStart w:id="417" w:name="Tc_JUVjK3yiiEy0e58ILLHjjw_21_2"/>
      <w:bookmarkStart w:id="418" w:name="Tc_Osq5hlH840WrdRNSMiG7TQ_21_0"/>
      <w:bookmarkStart w:id="419" w:name="Tc_raKuQY2QU0ajMM_a6l2Z8w_20_14"/>
      <w:bookmarkStart w:id="420" w:name="Tc_J9yvxEwZEkSqU-K00fKMIA_20_11"/>
      <w:bookmarkStart w:id="421" w:name="Tc_YDaDcPnNkkCPzP2DffvUBg_20_0"/>
      <w:bookmarkStart w:id="422" w:name="Tc_Z4NPfJciKkSgCQxe1aA1hQ_19_16"/>
      <w:bookmarkStart w:id="423" w:name="Tc_woCc7B7i7UqVeVGHqjd_sg_19_13"/>
      <w:bookmarkStart w:id="424" w:name="Tc_pjTX7brtBUmUCl1KilR_WA_19_10"/>
      <w:bookmarkStart w:id="425" w:name="Tc_TLhdd4O7O0GmurbhtRyyIg_19_7"/>
      <w:bookmarkStart w:id="426" w:name="Tc_MSIPL55plUqCIdqC6k0VHA_19_4"/>
      <w:bookmarkStart w:id="427" w:name="Tc_lK5urn5heUqIOEAPcQ1clw_19_0"/>
      <w:bookmarkStart w:id="428" w:name="Tc_w6QomD7JZ0S6mBa5vUcJaw_17_16"/>
      <w:bookmarkStart w:id="429" w:name="Tc_6JXTDLSM3kmqL74U2QJ04Q_17_13"/>
      <w:bookmarkStart w:id="430" w:name="Tc__RDMnM2kukKdRtYvf37Ikw_17_10"/>
      <w:bookmarkStart w:id="431" w:name="Tc_iobHDpA_hEaOmiuCuNXYWw_17_7"/>
      <w:bookmarkStart w:id="432" w:name="Tc_gIf5NXaUCkOD6Ijt92gRRQ_17_4"/>
      <w:bookmarkStart w:id="433" w:name="Tc_AEO-vS-JDkiZYP8vME6Rpw_17_0"/>
      <w:bookmarkStart w:id="434" w:name="Tc_ZRP6OwkuoUG0FX2c661m2Q_16_11"/>
      <w:bookmarkStart w:id="435" w:name="Tc_TvuTBrRrfU-jjlpoNsiIIA_16_8"/>
      <w:bookmarkStart w:id="436" w:name="Tc_iaYBFlM_X0edTr9hhgVXzw_16_5"/>
      <w:bookmarkStart w:id="437" w:name="Tc_C6DtaWLjDEG9MTxNkvx-9w_16_2"/>
      <w:bookmarkStart w:id="438" w:name="Tc_56Hef52EjkGYxPKnE_TBag_16_0"/>
      <w:bookmarkStart w:id="439" w:name="Tc_2R6nl6wm3kKwZdjgcyuyaA_15_14"/>
      <w:bookmarkStart w:id="440" w:name="Tc_kWf2bCydDU2a9vB3unVJBg_15_8"/>
      <w:bookmarkStart w:id="441" w:name="Tc_T0tugaxiCUitXbK6kGO9Lg_15_5"/>
      <w:bookmarkStart w:id="442" w:name="Tc_K0f3kXGxiUevnJ1AXU48Fw_15_2"/>
      <w:bookmarkStart w:id="443" w:name="Tc_an2a1f-8gEubEpR-yMpwyA_15_0"/>
      <w:bookmarkStart w:id="444" w:name="Tc_x90XEskNw0uqYchbHCpgyA_14_14"/>
      <w:bookmarkStart w:id="445" w:name="Tc_fjwj1zEoDUGxvs8IJZyt0A_14_11"/>
      <w:bookmarkStart w:id="446" w:name="Tc_qzb_j7UphUaT_w1Pd76FOQ_14_5"/>
      <w:bookmarkStart w:id="447" w:name="Tc_3TynuItpv0qpai3WxQPbDA_14_2"/>
      <w:bookmarkStart w:id="448" w:name="Tc_X1VN88uKF0KdHCM1bQoWig_14_0"/>
      <w:bookmarkStart w:id="449" w:name="Tc_4-mVw0eMEE6YVncnTfbjTQ_13_16"/>
      <w:bookmarkStart w:id="450" w:name="Tc_Hq_d1WQiVECsNmdoCdzkmQ_13_14"/>
      <w:bookmarkStart w:id="451" w:name="Tc_cMKRARSt70WgV3HxAmvTMg_13_13"/>
      <w:bookmarkStart w:id="452" w:name="Tc_922BBcFhKEuOG5DgarsC0g_13_11"/>
      <w:bookmarkStart w:id="453" w:name="Tc_B85caFKGOUqkkzPGL_6BJg_13_10"/>
      <w:bookmarkStart w:id="454" w:name="Tc_hSVRAXCAikCOHi2s5XWh2g_13_7"/>
      <w:bookmarkStart w:id="455" w:name="Tc_IpQI0aZL5kO6KVehMc4sGQ_13_4"/>
      <w:bookmarkStart w:id="456" w:name="Tc_mPMMgQ9MgU68pMwB7ql_NQ_13_0"/>
      <w:bookmarkStart w:id="457" w:name="Tc_aYk352ydr0KfCtgsWeugAg_11_16"/>
      <w:bookmarkStart w:id="458" w:name="Tc_ChO_wHxvu0-gMsazij7Ipg_11_13"/>
      <w:bookmarkStart w:id="459" w:name="Tc_Jy4cA6hjfEai3XyzSnNdaw_11_10"/>
      <w:bookmarkStart w:id="460" w:name="Tc_u-j83p--MEqAhrux20_dLg_11_7"/>
      <w:bookmarkStart w:id="461" w:name="Tc_0PMoCSyTCUuXUYLF0a-qbw_11_4"/>
      <w:bookmarkStart w:id="462" w:name="Tc_YTuF58dgykC1tmJoTQ8vkA_11_0"/>
      <w:bookmarkStart w:id="463" w:name="Tc_0a5dzfUmxUWAw0_rws1fNA_10_11"/>
      <w:bookmarkStart w:id="464" w:name="Tc_D1ZRYGp79UKtlk-tB8O84g_10_8"/>
      <w:bookmarkStart w:id="465" w:name="Tc_Kta1xMDWPUKFy5lSD_j8eg_10_5"/>
      <w:bookmarkStart w:id="466" w:name="Tc_k9x0tvHL_EONDzRqxGTwMA_10_2"/>
      <w:bookmarkStart w:id="467" w:name="Tc_TUa26vkU_k2wO4b5qoZcMQ_10_0"/>
      <w:bookmarkStart w:id="468" w:name="Tc_YdsDrUqDhkewzpvytv-ztw_9_14"/>
      <w:bookmarkStart w:id="469" w:name="Tc_vcjNs23j0keWcdJZ1g0sIQ_9_8"/>
      <w:bookmarkStart w:id="470" w:name="Tc_zDD-5uKOEkW2yIt1RSKA8g_9_5"/>
      <w:bookmarkStart w:id="471" w:name="Tc_tHcTBqsO4U-Vt3sHIqC5Nw_9_2"/>
      <w:bookmarkStart w:id="472" w:name="Tc_6XhIWfzvz0apJfv12VDvWw_9_0"/>
      <w:bookmarkStart w:id="473" w:name="Tc_4B0u5H6H70eSxLSZd5WVbQ_8_14"/>
      <w:bookmarkStart w:id="474" w:name="Tc_I-Ndsmxu2E-3VfUeGyvVQw_8_11"/>
      <w:bookmarkStart w:id="475" w:name="Tc_B2CyCngChk22_Om04I5y8w_8_5"/>
      <w:bookmarkStart w:id="476" w:name="Tc_dYUpXSyPJEKI_hjNZ3lgaQ_8_2"/>
      <w:bookmarkStart w:id="477" w:name="Tc_qPn4T4yC802Ng1R6o15M1g_8_0"/>
      <w:bookmarkStart w:id="478" w:name="Tc_jarjCSv-yk-TqAlXUezj4A_7_17"/>
      <w:bookmarkStart w:id="479" w:name="Tc_RXQc_yF2SUmEL0lf3s1Xug_7_14"/>
      <w:bookmarkStart w:id="480" w:name="Tc_lbD99Rcl2Eyol7LM0zRe-Q_7_11"/>
      <w:bookmarkStart w:id="481" w:name="Tc_RGyCJl81MkqZ8WKjKfhPqA_7_8"/>
      <w:bookmarkStart w:id="482" w:name="Tc_wlo9IaRS-UKY1QHYssMkzA_7_5"/>
      <w:bookmarkStart w:id="483" w:name="Tc_2Bcb0yxtak2mDD2UwHQl0g_7_0"/>
      <w:bookmarkStart w:id="484" w:name="Tc_mBmRxO3kbE6Qmo9sPMhexg_6_16"/>
      <w:bookmarkStart w:id="485" w:name="Tc_gVDfowpRykawtFq2HNaj3Q_6_13"/>
      <w:bookmarkStart w:id="486" w:name="Tc_3erkqDzTE0CgmumRSaPoZg_6_10"/>
      <w:bookmarkStart w:id="487" w:name="Tc_JUbpPtCBTEqQqRfKYT2vUA_6_7"/>
      <w:bookmarkStart w:id="488" w:name="Tc_fXMxLH3tTEKCrcJkSLBLZA_6_4"/>
      <w:bookmarkStart w:id="489" w:name="Tc_3wy-oAsZLkqRCU1PxpphVQ_6_0"/>
      <w:bookmarkStart w:id="490" w:name="Tc_UuJw-GQL_EGHpNDbBlcoMA_4_16"/>
      <w:bookmarkStart w:id="491" w:name="Tc_mrbFxK9kfkKXu3J4kZE4YQ_4_13"/>
      <w:bookmarkStart w:id="492" w:name="Tc_uzz5eBJjs0OgCcdIUE5NEQ_4_10"/>
      <w:bookmarkStart w:id="493" w:name="Tc_po2DAkgFKkinCFRXLTiEYQ_4_7"/>
      <w:bookmarkStart w:id="494" w:name="Tc_oI3Gk3WvZ0ShPls3gqbnoA_4_4"/>
      <w:bookmarkStart w:id="495" w:name="Tc_JCOL3TFZOEWmXNAkD3AcTg_4_2"/>
      <w:bookmarkStart w:id="496" w:name="Tc_wNetFzKAP02cUhOE20t_Zg_3_16"/>
      <w:bookmarkStart w:id="497" w:name="Tc_FyVjwGl1k06POb6FhOtyrg_3_13"/>
      <w:bookmarkStart w:id="498" w:name="Tc_8Aiw9s1ENU6oOWdMJKyqPg_3_9"/>
      <w:bookmarkStart w:id="499" w:name="Tc_KJsOaSvAjkuKepN-Edxwwg_3_7"/>
      <w:bookmarkStart w:id="500" w:name="Tc_PhH6u0cey02RXJ_QxHjkAQ_3_2"/>
      <w:bookmarkStart w:id="501" w:name="Tc_BUyo4J92ykS84B3n4FYNrg_2_10"/>
      <w:bookmarkStart w:id="502" w:name="Tc_vp1VYVqT2U2Kd3Rq7F4HsA_2_7"/>
      <w:bookmarkStart w:id="503" w:name="Tc_w2QTHf7yxEa15sISKjONeA_1_10"/>
      <w:bookmarkStart w:id="504" w:name="_798c5f16_306d_4a9a_830e_ca30b7c61596"/>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tbl>
      <w:tblPr>
        <w:tblW w:w="10205" w:type="dxa"/>
        <w:jc w:val="left"/>
        <w:tblInd w:w="0" w:type="dxa"/>
        <w:tblLayout w:type="fixed"/>
        <w:tblCellMar>
          <w:top w:w="0" w:type="dxa"/>
          <w:left w:w="0" w:type="dxa"/>
          <w:bottom w:w="0" w:type="dxa"/>
          <w:right w:w="0" w:type="dxa"/>
        </w:tblCellMar>
      </w:tblPr>
      <w:tblGrid>
        <w:gridCol w:w="3434"/>
        <w:gridCol w:w="326"/>
        <w:gridCol w:w="766"/>
        <w:gridCol w:w="326"/>
        <w:gridCol w:w="206"/>
        <w:gridCol w:w="365"/>
        <w:gridCol w:w="326"/>
        <w:gridCol w:w="196"/>
        <w:gridCol w:w="691"/>
        <w:gridCol w:w="326"/>
        <w:gridCol w:w="227"/>
        <w:gridCol w:w="644"/>
        <w:gridCol w:w="146"/>
        <w:gridCol w:w="196"/>
        <w:gridCol w:w="771"/>
        <w:gridCol w:w="146"/>
        <w:gridCol w:w="216"/>
        <w:gridCol w:w="703"/>
        <w:gridCol w:w="194"/>
      </w:tblGrid>
      <w:tr>
        <w:trPr/>
        <w:tc>
          <w:tcPr>
            <w:tcW w:w="3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80590" cy="175260"/>
                      <wp:effectExtent l="0" t="0" r="0" b="0"/>
                      <wp:wrapNone/>
                      <wp:docPr id="21" name="Frame21"/>
                      <a:graphic xmlns:a="http://schemas.openxmlformats.org/drawingml/2006/main">
                        <a:graphicData uri="http://schemas.microsoft.com/office/word/2010/wordprocessingShape">
                          <wps:wsp>
                            <wps:cNvSpPr txBox="1"/>
                            <wps:spPr>
                              <a:xfrm>
                                <a:off x="0" y="0"/>
                                <a:ext cx="2180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86410" cy="175260"/>
                      <wp:effectExtent l="0" t="0" r="0" b="0"/>
                      <wp:wrapNone/>
                      <wp:docPr id="23" name="Frame2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1775" cy="175260"/>
                      <wp:effectExtent l="0" t="0" r="0" b="0"/>
                      <wp:wrapNone/>
                      <wp:docPr id="26" name="Frame26"/>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29" name="Frame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4145" cy="175260"/>
                      <wp:effectExtent l="0" t="0" r="0" b="0"/>
                      <wp:wrapNone/>
                      <wp:docPr id="31" name="Frame3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8940" cy="175260"/>
                      <wp:effectExtent l="0" t="0" r="0" b="0"/>
                      <wp:wrapNone/>
                      <wp:docPr id="32" name="Frame3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2710" cy="175260"/>
                      <wp:effectExtent l="0" t="0" r="0" b="0"/>
                      <wp:wrapNone/>
                      <wp:docPr id="33" name="Frame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9585" cy="175260"/>
                      <wp:effectExtent l="0" t="0" r="0" b="0"/>
                      <wp:wrapNone/>
                      <wp:docPr id="35" name="Frame35"/>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2710" cy="175260"/>
                      <wp:effectExtent l="0" t="0" r="0" b="0"/>
                      <wp:wrapNone/>
                      <wp:docPr id="36" name="Frame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7160" cy="175260"/>
                      <wp:effectExtent l="0" t="0" r="0" b="0"/>
                      <wp:wrapNone/>
                      <wp:docPr id="37" name="Frame3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46405" cy="175260"/>
                      <wp:effectExtent l="0" t="0" r="0" b="0"/>
                      <wp:wrapNone/>
                      <wp:docPr id="38" name="Frame3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3190" cy="175260"/>
                      <wp:effectExtent l="0" t="0" r="0" b="0"/>
                      <wp:wrapNone/>
                      <wp:docPr id="39" name="Frame3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216" w:type="dxa"/>
            <w:tcBorders/>
            <w:vAlign w:val="center"/>
          </w:tcPr>
          <w:p>
            <w:pPr>
              <w:pStyle w:val="TableContents"/>
              <w:bidi w:val="0"/>
              <w:spacing w:lineRule="auto" w:line="285" w:before="0" w:after="0"/>
              <w:ind w:left="0" w:right="0" w:hanging="0"/>
              <w:jc w:val="center"/>
              <w:rPr/>
            </w:pPr>
            <w:r>
              <w:rPr/>
              <w:t>​</w:t>
            </w:r>
          </w:p>
        </w:tc>
        <w:tc>
          <w:tcPr>
            <w:tcW w:w="703"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Other </w:t>
            </w:r>
          </w:p>
        </w:tc>
        <w:tc>
          <w:tcPr>
            <w:tcW w:w="1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66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343"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96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lineRule="auto" w:line="285"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46" w:type="dxa"/>
            <w:tcBorders/>
            <w:vAlign w:val="center"/>
          </w:tcPr>
          <w:p>
            <w:pPr>
              <w:pStyle w:val="TableContents"/>
              <w:bidi w:val="0"/>
              <w:spacing w:lineRule="auto" w:line="285" w:before="0" w:after="0"/>
              <w:ind w:left="0" w:right="0" w:hanging="0"/>
              <w:jc w:val="center"/>
              <w:rPr/>
            </w:pPr>
            <w:r>
              <w:rPr/>
              <w:t>​</w:t>
            </w:r>
          </w:p>
        </w:tc>
        <w:tc>
          <w:tcPr>
            <w:tcW w:w="9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46" w:type="dxa"/>
            <w:tcBorders/>
            <w:vAlign w:val="center"/>
          </w:tcPr>
          <w:p>
            <w:pPr>
              <w:pStyle w:val="TableContents"/>
              <w:bidi w:val="0"/>
              <w:spacing w:lineRule="auto" w:line="285" w:before="0" w:after="0"/>
              <w:ind w:left="0" w:right="0" w:hanging="0"/>
              <w:jc w:val="center"/>
              <w:rPr/>
            </w:pPr>
            <w:r>
              <w:rPr/>
              <w:t>​</w:t>
            </w:r>
          </w:p>
        </w:tc>
        <w:tc>
          <w:tcPr>
            <w:tcW w:w="91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center"/>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59,958,919</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2,358,018</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2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(10,443)</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(1,832,958)</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2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514,677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457,416</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 </w:t>
            </w:r>
          </w:p>
        </w:tc>
        <w:tc>
          <w:tcPr>
            <w:tcW w:w="703" w:type="dxa"/>
            <w:tcBorders/>
            <w:vAlign w:val="center"/>
          </w:tcPr>
          <w:p>
            <w:pPr>
              <w:pStyle w:val="TableContents"/>
              <w:bidi w:val="0"/>
              <w:spacing w:lineRule="auto" w:line="285" w:before="0" w:after="0"/>
              <w:ind w:left="0" w:right="0" w:hanging="0"/>
              <w:jc w:val="righ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 </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2023</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60,416,335</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2,381,358</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(4,602)</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(1,962,518)</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414,298</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 and stock purchase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221,940</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5,298</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5,299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23,945</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23,945</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(132,793)</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(132,793)</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June 30, 2023</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60,638,275</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2,410,601</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(4,221)</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(2,095,311)</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311,130</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2021</w:t>
            </w:r>
          </w:p>
        </w:tc>
        <w:tc>
          <w:tcPr>
            <w:tcW w:w="32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59,141,086</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2,250,250</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(4,133)</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(1,275,441)</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970,735</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414,888</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 </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23,609</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 </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23,609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shd w:fill="CCEEFF" w:val="clear"/>
            <w:vAlign w:val="center"/>
          </w:tcPr>
          <w:p>
            <w:pPr>
              <w:pStyle w:val="TableContents"/>
              <w:bidi w:val="0"/>
              <w:spacing w:lineRule="auto" w:line="285" w:before="0" w:after="0"/>
              <w:ind w:left="0" w:right="0" w:hanging="0"/>
              <w:jc w:val="righ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shd w:fill="CCEEFF" w:val="clear"/>
            <w:vAlign w:val="center"/>
          </w:tcPr>
          <w:p>
            <w:pPr>
              <w:pStyle w:val="TableContents"/>
              <w:bidi w:val="0"/>
              <w:spacing w:lineRule="auto" w:line="285" w:before="0" w:after="0"/>
              <w:ind w:left="0" w:right="0" w:hanging="0"/>
              <w:jc w:val="righ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(7,977)</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shd w:fill="CCEEFF" w:val="clear"/>
            <w:vAlign w:val="center"/>
          </w:tcPr>
          <w:p>
            <w:pPr>
              <w:pStyle w:val="TableContents"/>
              <w:bidi w:val="0"/>
              <w:spacing w:lineRule="auto" w:line="285" w:before="0" w:after="0"/>
              <w:ind w:left="0" w:right="0" w:hanging="0"/>
              <w:jc w:val="righ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(7,977)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(105,999)</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(105,999)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59,555,974</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2,275,156</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(12,110)</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(1,381,440)</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881,666</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27" w:type="dxa"/>
            <w:tcBorders/>
            <w:vAlign w:val="center"/>
          </w:tcPr>
          <w:p>
            <w:pPr>
              <w:pStyle w:val="TableContents"/>
              <w:bidi w:val="0"/>
              <w:spacing w:lineRule="auto" w:line="285" w:before="0" w:after="0"/>
              <w:ind w:left="0" w:right="0" w:hanging="0"/>
              <w:jc w:val="righ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6" w:type="dxa"/>
            <w:tcBorders/>
            <w:vAlign w:val="center"/>
          </w:tcPr>
          <w:p>
            <w:pPr>
              <w:pStyle w:val="TableContents"/>
              <w:bidi w:val="0"/>
              <w:spacing w:lineRule="auto" w:line="285" w:before="0" w:after="0"/>
              <w:ind w:left="0" w:right="0" w:hanging="0"/>
              <w:jc w:val="right"/>
              <w:rPr/>
            </w:pPr>
            <w:r>
              <w:rPr/>
              <w:t>​</w:t>
            </w:r>
          </w:p>
        </w:tc>
        <w:tc>
          <w:tcPr>
            <w:tcW w:w="703" w:type="dxa"/>
            <w:tcBorders/>
            <w:vAlign w:val="center"/>
          </w:tcPr>
          <w:p>
            <w:pPr>
              <w:pStyle w:val="TableContents"/>
              <w:bidi w:val="0"/>
              <w:spacing w:lineRule="auto" w:line="285" w:before="0" w:after="0"/>
              <w:ind w:left="0" w:right="0" w:hanging="0"/>
              <w:jc w:val="righ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 and stock purchase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132,321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2,407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2,407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25,524</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644"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25,524</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pPr>
            <w:r>
              <w:rPr/>
              <w:t>​</w:t>
            </w:r>
          </w:p>
        </w:tc>
        <w:tc>
          <w:tcPr>
            <w:tcW w:w="64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(2,138)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(2,138)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43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(159,709)</w:t>
            </w:r>
          </w:p>
        </w:tc>
        <w:tc>
          <w:tcPr>
            <w:tcW w:w="146"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(159,709)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4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June 30,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59,688,295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2,303,087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(14,248)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(1,541,149)</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747,750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505" w:name="_c3009207_890e_477c_8d29_c6b1cf6b68d7"/>
      <w:bookmarkEnd w:id="505"/>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506" w:name="CashFlows_481395"/>
      <w:bookmarkEnd w:id="506"/>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507" w:name="Tc_NQ6vNyNPa0e24tcDlf9BsQ_41_5"/>
      <w:bookmarkStart w:id="508" w:name="Tc_oXXMWcvJ_0ufUDmh5fTGOA_41_2"/>
      <w:bookmarkStart w:id="509" w:name="Tc_Rl9gW-ta0EySOUVF4ZXSMw_41_0"/>
      <w:bookmarkStart w:id="510" w:name="Tc_5CBV7OEKL02BclEi4o4SZQ_40_5"/>
      <w:bookmarkStart w:id="511" w:name="Tc_OquUBsCM0kOZONz42qV3hw_40_2"/>
      <w:bookmarkStart w:id="512" w:name="Tc_q9ojWiaahUanBu4Nnk-Ejw_40_0"/>
      <w:bookmarkStart w:id="513" w:name="Tc_D3B88PBLrEew3eg0iq3D0g_39_5"/>
      <w:bookmarkStart w:id="514" w:name="Tc_v00iMux_8k28ZpTLd6-I8w_39_3"/>
      <w:bookmarkStart w:id="515" w:name="Tc_V5hJIpQP7EOrhxtuX9sW0g_39_2"/>
      <w:bookmarkStart w:id="516" w:name="Tc_oS8n_yqkV0y7TKc8zV8dDw_39_0"/>
      <w:bookmarkStart w:id="517" w:name="Tc_IQTPJKZPL0Co7QRvYTY0eg_38_6"/>
      <w:bookmarkStart w:id="518" w:name="Tc_qKJxy9MN-0SZBrc8J6jyRw_38_5"/>
      <w:bookmarkStart w:id="519" w:name="Tc_mULOEreBUUuBWQPknkvBMg_38_2"/>
      <w:bookmarkStart w:id="520" w:name="Tc_YfBY4fJPqEqAet9Re3n8Qg_38_0"/>
      <w:bookmarkStart w:id="521" w:name="Tc_sjFXWmQdT0i7gaVpsh8Erw_37_0"/>
      <w:bookmarkStart w:id="522" w:name="Tc_zUSBdQs8Xk-hbVmaez7czw_36_5"/>
      <w:bookmarkStart w:id="523" w:name="Tc_zdmIMOaaZk2ntXNsM0BKWw_36_2"/>
      <w:bookmarkStart w:id="524" w:name="Tc_HfuUy3rP-UaZRzMeSeMOKg_36_0"/>
      <w:bookmarkStart w:id="525" w:name="Tc__i9TFKDKNkyT-vF6FxWpYA_35_0"/>
      <w:bookmarkStart w:id="526" w:name="Tc_f3VAf4DruE-xbuNrrdEwpA_34_0"/>
      <w:bookmarkStart w:id="527" w:name="Tc_lcvpnDyiJkq6BEAz_FAeMA_33_0"/>
      <w:bookmarkStart w:id="528" w:name="Tc_U4YkLr8heE25pyF9CJbbsA_32_0"/>
      <w:bookmarkStart w:id="529" w:name="Tc_YC6poDw8ckqd2STMOW7Hig_31_0"/>
      <w:bookmarkStart w:id="530" w:name="Tc_UllIp_XRqU-AWOEbVllXlQ_30_3"/>
      <w:bookmarkStart w:id="531" w:name="Tc_CmY_v-I6qkStvSZjwG172A_30_0"/>
      <w:bookmarkStart w:id="532" w:name="Tc_1J5mLV13J0uObYEu43lYLA_29_0"/>
      <w:bookmarkStart w:id="533" w:name="Tc_SVEeF3I76EKMneSmuax3Wg_28_0"/>
      <w:bookmarkStart w:id="534" w:name="Tc_YZ3DKkZL6UyjGE9uuXMUcA_27_0"/>
      <w:bookmarkStart w:id="535" w:name="Tc_DhACknUgZUSmyg64siD6mQ_26_0"/>
      <w:bookmarkStart w:id="536" w:name="Tc_TaVBcOs-UESFMKtln7UPDQ_25_0"/>
      <w:bookmarkStart w:id="537" w:name="Tc_kXlJgv-VAke9eANU4BFwPQ_24_0"/>
      <w:bookmarkStart w:id="538" w:name="Tc_EhgTzLSfNkGht13oUweMOA_23_0"/>
      <w:bookmarkStart w:id="539" w:name="Tc_JkZockZ_h0mwirHa7eS6fQ_22_0"/>
      <w:bookmarkStart w:id="540" w:name="Tc_AnSGaXsfeUCTK-SV66jybg_21_0"/>
      <w:bookmarkStart w:id="541" w:name="Tc_WjmjS_bIDUuUo2Y6BpLqlA_20_0"/>
      <w:bookmarkStart w:id="542" w:name="Tc_4fIxr5KKoUOMKA2qWOMogQ_19_0"/>
      <w:bookmarkStart w:id="543" w:name="Tc_9sPR7u8LHU6QHXoCVvGNCg_18_0"/>
      <w:bookmarkStart w:id="544" w:name="Tc_NSKVSgP1EUOPD5h1ZeWFJw_17_0"/>
      <w:bookmarkStart w:id="545" w:name="Tc_RSiSDXXYSUajh6wWJj4Bnw_16_0"/>
      <w:bookmarkStart w:id="546" w:name="Tc_TIr6UzDAYUqmTgblLAVXvw_15_0"/>
      <w:bookmarkStart w:id="547" w:name="Tc_dA72jEVZOUSk2i63uOd_qQ_14_0"/>
      <w:bookmarkStart w:id="548" w:name="Tc_wo43UaLFLEm2dgWwiONyLQ_13_0"/>
      <w:bookmarkStart w:id="549" w:name="Tc_Fz8mOXkylUSKv9evidbvBQ_12_0"/>
      <w:bookmarkStart w:id="550" w:name="Tc_mr3jSgVXwUWcjMK7ANPpiw_11_0"/>
      <w:bookmarkStart w:id="551" w:name="Tc_WSPuzFu_O0u9mcM_HZxLrQ_10_6"/>
      <w:bookmarkStart w:id="552" w:name="Tc_CkR4y2jVL0eOWIqyQUuKpQ_10_0"/>
      <w:bookmarkStart w:id="553" w:name="Tc_BoSfOQhYnE6iJANZShiGfQ_9_0"/>
      <w:bookmarkStart w:id="554" w:name="Tc_BB6gA824KECHjKWhRzLjLQ_8_0"/>
      <w:bookmarkStart w:id="555" w:name="Tc_T8_UipnqFU6LIeba8h5BKA_7_0"/>
      <w:bookmarkStart w:id="556" w:name="Tc_W3fQJgZng0mjbXm1tRZ9WA_6_0"/>
      <w:bookmarkStart w:id="557" w:name="Tc_jGIwH1TesUiyELNIn-k-QA_5_5"/>
      <w:bookmarkStart w:id="558" w:name="Tc_p72iCYX83U6kSYsfNVhhLA_5_2"/>
      <w:bookmarkStart w:id="559" w:name="Tc__MuYurJRB0SHIiciVB2x2A_5_0"/>
      <w:bookmarkStart w:id="560" w:name="Tc_C3l7rx9P2EGcE0Kfi_HGMQ_4_0"/>
      <w:bookmarkStart w:id="561" w:name="Tc_si45-gTHYEml64byd_ozEg_3_5"/>
      <w:bookmarkStart w:id="562" w:name="Tc_k4D83ye-4UaHHL9PZm4j-w_3_2"/>
      <w:bookmarkStart w:id="563" w:name="Tc_An0DKYYuGUaPUKibkRXwbw_2_2"/>
      <w:bookmarkStart w:id="564" w:name="Tc_bASUWb8mfkm4JK5hHIfXLg_1_2"/>
      <w:bookmarkStart w:id="565" w:name="_13f6b145_5d3f_4a24_8e79_391bd95aeb35"/>
      <w:bookmarkStart w:id="566" w:name="Tc_NQ6vNyNPa0e24tcDlf9BsQ_41_5"/>
      <w:bookmarkStart w:id="567" w:name="Tc_oXXMWcvJ_0ufUDmh5fTGOA_41_2"/>
      <w:bookmarkStart w:id="568" w:name="Tc_Rl9gW-ta0EySOUVF4ZXSMw_41_0"/>
      <w:bookmarkStart w:id="569" w:name="Tc_5CBV7OEKL02BclEi4o4SZQ_40_5"/>
      <w:bookmarkStart w:id="570" w:name="Tc_OquUBsCM0kOZONz42qV3hw_40_2"/>
      <w:bookmarkStart w:id="571" w:name="Tc_q9ojWiaahUanBu4Nnk-Ejw_40_0"/>
      <w:bookmarkStart w:id="572" w:name="Tc_D3B88PBLrEew3eg0iq3D0g_39_5"/>
      <w:bookmarkStart w:id="573" w:name="Tc_v00iMux_8k28ZpTLd6-I8w_39_3"/>
      <w:bookmarkStart w:id="574" w:name="Tc_V5hJIpQP7EOrhxtuX9sW0g_39_2"/>
      <w:bookmarkStart w:id="575" w:name="Tc_oS8n_yqkV0y7TKc8zV8dDw_39_0"/>
      <w:bookmarkStart w:id="576" w:name="Tc_IQTPJKZPL0Co7QRvYTY0eg_38_6"/>
      <w:bookmarkStart w:id="577" w:name="Tc_qKJxy9MN-0SZBrc8J6jyRw_38_5"/>
      <w:bookmarkStart w:id="578" w:name="Tc_mULOEreBUUuBWQPknkvBMg_38_2"/>
      <w:bookmarkStart w:id="579" w:name="Tc_YfBY4fJPqEqAet9Re3n8Qg_38_0"/>
      <w:bookmarkStart w:id="580" w:name="Tc_sjFXWmQdT0i7gaVpsh8Erw_37_0"/>
      <w:bookmarkStart w:id="581" w:name="Tc_zUSBdQs8Xk-hbVmaez7czw_36_5"/>
      <w:bookmarkStart w:id="582" w:name="Tc_zdmIMOaaZk2ntXNsM0BKWw_36_2"/>
      <w:bookmarkStart w:id="583" w:name="Tc_HfuUy3rP-UaZRzMeSeMOKg_36_0"/>
      <w:bookmarkStart w:id="584" w:name="Tc__i9TFKDKNkyT-vF6FxWpYA_35_0"/>
      <w:bookmarkStart w:id="585" w:name="Tc_f3VAf4DruE-xbuNrrdEwpA_34_0"/>
      <w:bookmarkStart w:id="586" w:name="Tc_lcvpnDyiJkq6BEAz_FAeMA_33_0"/>
      <w:bookmarkStart w:id="587" w:name="Tc_U4YkLr8heE25pyF9CJbbsA_32_0"/>
      <w:bookmarkStart w:id="588" w:name="Tc_YC6poDw8ckqd2STMOW7Hig_31_0"/>
      <w:bookmarkStart w:id="589" w:name="Tc_UllIp_XRqU-AWOEbVllXlQ_30_3"/>
      <w:bookmarkStart w:id="590" w:name="Tc_CmY_v-I6qkStvSZjwG172A_30_0"/>
      <w:bookmarkStart w:id="591" w:name="Tc_1J5mLV13J0uObYEu43lYLA_29_0"/>
      <w:bookmarkStart w:id="592" w:name="Tc_SVEeF3I76EKMneSmuax3Wg_28_0"/>
      <w:bookmarkStart w:id="593" w:name="Tc_YZ3DKkZL6UyjGE9uuXMUcA_27_0"/>
      <w:bookmarkStart w:id="594" w:name="Tc_DhACknUgZUSmyg64siD6mQ_26_0"/>
      <w:bookmarkStart w:id="595" w:name="Tc_TaVBcOs-UESFMKtln7UPDQ_25_0"/>
      <w:bookmarkStart w:id="596" w:name="Tc_kXlJgv-VAke9eANU4BFwPQ_24_0"/>
      <w:bookmarkStart w:id="597" w:name="Tc_EhgTzLSfNkGht13oUweMOA_23_0"/>
      <w:bookmarkStart w:id="598" w:name="Tc_JkZockZ_h0mwirHa7eS6fQ_22_0"/>
      <w:bookmarkStart w:id="599" w:name="Tc_AnSGaXsfeUCTK-SV66jybg_21_0"/>
      <w:bookmarkStart w:id="600" w:name="Tc_WjmjS_bIDUuUo2Y6BpLqlA_20_0"/>
      <w:bookmarkStart w:id="601" w:name="Tc_4fIxr5KKoUOMKA2qWOMogQ_19_0"/>
      <w:bookmarkStart w:id="602" w:name="Tc_9sPR7u8LHU6QHXoCVvGNCg_18_0"/>
      <w:bookmarkStart w:id="603" w:name="Tc_NSKVSgP1EUOPD5h1ZeWFJw_17_0"/>
      <w:bookmarkStart w:id="604" w:name="Tc_RSiSDXXYSUajh6wWJj4Bnw_16_0"/>
      <w:bookmarkStart w:id="605" w:name="Tc_TIr6UzDAYUqmTgblLAVXvw_15_0"/>
      <w:bookmarkStart w:id="606" w:name="Tc_dA72jEVZOUSk2i63uOd_qQ_14_0"/>
      <w:bookmarkStart w:id="607" w:name="Tc_wo43UaLFLEm2dgWwiONyLQ_13_0"/>
      <w:bookmarkStart w:id="608" w:name="Tc_Fz8mOXkylUSKv9evidbvBQ_12_0"/>
      <w:bookmarkStart w:id="609" w:name="Tc_mr3jSgVXwUWcjMK7ANPpiw_11_0"/>
      <w:bookmarkStart w:id="610" w:name="Tc_WSPuzFu_O0u9mcM_HZxLrQ_10_6"/>
      <w:bookmarkStart w:id="611" w:name="Tc_CkR4y2jVL0eOWIqyQUuKpQ_10_0"/>
      <w:bookmarkStart w:id="612" w:name="Tc_BoSfOQhYnE6iJANZShiGfQ_9_0"/>
      <w:bookmarkStart w:id="613" w:name="Tc_BB6gA824KECHjKWhRzLjLQ_8_0"/>
      <w:bookmarkStart w:id="614" w:name="Tc_T8_UipnqFU6LIeba8h5BKA_7_0"/>
      <w:bookmarkStart w:id="615" w:name="Tc_W3fQJgZng0mjbXm1tRZ9WA_6_0"/>
      <w:bookmarkStart w:id="616" w:name="Tc_jGIwH1TesUiyELNIn-k-QA_5_5"/>
      <w:bookmarkStart w:id="617" w:name="Tc_p72iCYX83U6kSYsfNVhhLA_5_2"/>
      <w:bookmarkStart w:id="618" w:name="Tc__MuYurJRB0SHIiciVB2x2A_5_0"/>
      <w:bookmarkStart w:id="619" w:name="Tc_C3l7rx9P2EGcE0Kfi_HGMQ_4_0"/>
      <w:bookmarkStart w:id="620" w:name="Tc_si45-gTHYEml64byd_ozEg_3_5"/>
      <w:bookmarkStart w:id="621" w:name="Tc_k4D83ye-4UaHHL9PZm4j-w_3_2"/>
      <w:bookmarkStart w:id="622" w:name="Tc_An0DKYYuGUaPUKibkRXwbw_2_2"/>
      <w:bookmarkStart w:id="623" w:name="Tc_bASUWb8mfkm4JK5hHIfXLg_1_2"/>
      <w:bookmarkStart w:id="624" w:name="_13f6b145_5d3f_4a24_8e79_391bd95aeb3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tbl>
      <w:tblPr>
        <w:tblW w:w="9252" w:type="dxa"/>
        <w:jc w:val="left"/>
        <w:tblInd w:w="0" w:type="dxa"/>
        <w:tblLayout w:type="fixed"/>
        <w:tblCellMar>
          <w:top w:w="0" w:type="dxa"/>
          <w:left w:w="0" w:type="dxa"/>
          <w:bottom w:w="0" w:type="dxa"/>
          <w:right w:w="0" w:type="dxa"/>
        </w:tblCellMar>
      </w:tblPr>
      <w:tblGrid>
        <w:gridCol w:w="6331"/>
        <w:gridCol w:w="326"/>
        <w:gridCol w:w="211"/>
        <w:gridCol w:w="901"/>
        <w:gridCol w:w="326"/>
        <w:gridCol w:w="211"/>
        <w:gridCol w:w="946"/>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020185" cy="175260"/>
                      <wp:effectExtent l="0" t="0" r="0" b="0"/>
                      <wp:wrapNone/>
                      <wp:docPr id="40" name="Frame40"/>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2135" cy="175260"/>
                      <wp:effectExtent l="0" t="0" r="0" b="0"/>
                      <wp:wrapNone/>
                      <wp:docPr id="43" name="Frame4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00710" cy="175260"/>
                      <wp:effectExtent l="0" t="0" r="0" b="0"/>
                      <wp:wrapNone/>
                      <wp:docPr id="46" name="Frame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lef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(265,709)</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7,262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4,457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4,107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48,746</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8,297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Changes in assets and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(13,105)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10,291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9,591</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(14,694)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(16,314)</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(13,188)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4,218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6,589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(25,694)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(7,238)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6,157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(9,963)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(14,438)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(5,160)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(3,790)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(253,436)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(250,982)</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(3,709)</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(407,770)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(39,937)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investments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617,765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79,623</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204,857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35,977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proceeds from the sale of future royalties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175,000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option exercises and employee stock purchase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5,298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3,762</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178,762</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(43,281)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(36,243)</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124,904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215,119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178,570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15,167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issuance costs incurred but unpaid at period end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5,022</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unpaid at period end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taxes,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771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firstLine="720"/>
        <w:jc w:val="left"/>
        <w:rPr/>
      </w:pPr>
      <w:bookmarkStart w:id="625" w:name="_bac8505d_8508_4221_bf38_95fd2b12a8e2"/>
      <w:bookmarkEnd w:id="625"/>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pStyle w:val="Normal"/>
        <w:bidi w:val="0"/>
        <w:spacing w:before="0" w:after="0"/>
        <w:jc w:val="left"/>
        <w:rPr>
          <w:sz w:val="4"/>
          <w:szCs w:val="4"/>
        </w:rPr>
      </w:pPr>
      <w:r>
        <w:rPr>
          <w:sz w:val="4"/>
          <w:szCs w:val="4"/>
        </w:rPr>
      </w:r>
      <w:bookmarkStart w:id="626" w:name="Tc_oHAfoRfXakCGtGb8QOE4xw_5_5"/>
      <w:bookmarkStart w:id="627" w:name="Tc_s7eoaCKtcUGFdYRiT7MaYQ_5_2"/>
      <w:bookmarkStart w:id="628" w:name="Tc_JtcvAJ0E2ESHZ_zZlTbA2Q_5_0"/>
      <w:bookmarkStart w:id="629" w:name="Tc_0YELIMJWe0mPqtFNVq_tCg_4_0"/>
      <w:bookmarkStart w:id="630" w:name="Tc_87rS6k_1okymH67nCvYW0w_3_5"/>
      <w:bookmarkStart w:id="631" w:name="Tc_AHTA91m_j0-7fyycTEwXLA_3_2"/>
      <w:bookmarkStart w:id="632" w:name="Tc_mH9F7zbYSkqh0vDvhSivAw_3_0"/>
      <w:bookmarkStart w:id="633" w:name="Tc_aWcLbOU-t0uYXL3sYmNifg_2_5"/>
      <w:bookmarkStart w:id="634" w:name="Tc_GQj8hLBnakO0GU-fyuohJA_2_2"/>
      <w:bookmarkStart w:id="635" w:name="Tc_qRwJLion-EaZrbZ1R_dV8A_1_5"/>
      <w:bookmarkStart w:id="636" w:name="Tc_NKBgvk3geU2Q-Jmzw0KvkQ_1_2"/>
      <w:bookmarkStart w:id="637" w:name="_aedcef8c_1335_4e56_b502_09f0e29f8330"/>
      <w:bookmarkStart w:id="638" w:name="Tc_oHAfoRfXakCGtGb8QOE4xw_5_5"/>
      <w:bookmarkStart w:id="639" w:name="Tc_s7eoaCKtcUGFdYRiT7MaYQ_5_2"/>
      <w:bookmarkStart w:id="640" w:name="Tc_JtcvAJ0E2ESHZ_zZlTbA2Q_5_0"/>
      <w:bookmarkStart w:id="641" w:name="Tc_0YELIMJWe0mPqtFNVq_tCg_4_0"/>
      <w:bookmarkStart w:id="642" w:name="Tc_87rS6k_1okymH67nCvYW0w_3_5"/>
      <w:bookmarkStart w:id="643" w:name="Tc_AHTA91m_j0-7fyycTEwXLA_3_2"/>
      <w:bookmarkStart w:id="644" w:name="Tc_mH9F7zbYSkqh0vDvhSivAw_3_0"/>
      <w:bookmarkStart w:id="645" w:name="Tc_aWcLbOU-t0uYXL3sYmNifg_2_5"/>
      <w:bookmarkStart w:id="646" w:name="Tc_GQj8hLBnakO0GU-fyuohJA_2_2"/>
      <w:bookmarkStart w:id="647" w:name="Tc_qRwJLion-EaZrbZ1R_dV8A_1_5"/>
      <w:bookmarkStart w:id="648" w:name="Tc_NKBgvk3geU2Q-Jmzw0KvkQ_1_2"/>
      <w:bookmarkStart w:id="649" w:name="_aedcef8c_1335_4e56_b502_09f0e29f8330"/>
      <w:bookmarkEnd w:id="638"/>
      <w:bookmarkEnd w:id="639"/>
      <w:bookmarkEnd w:id="640"/>
      <w:bookmarkEnd w:id="641"/>
      <w:bookmarkEnd w:id="642"/>
      <w:bookmarkEnd w:id="643"/>
      <w:bookmarkEnd w:id="644"/>
      <w:bookmarkEnd w:id="645"/>
      <w:bookmarkEnd w:id="646"/>
      <w:bookmarkEnd w:id="647"/>
      <w:bookmarkEnd w:id="648"/>
      <w:bookmarkEnd w:id="649"/>
    </w:p>
    <w:tbl>
      <w:tblPr>
        <w:tblW w:w="9542" w:type="dxa"/>
        <w:jc w:val="left"/>
        <w:tblInd w:w="0" w:type="dxa"/>
        <w:tblLayout w:type="fixed"/>
        <w:tblCellMar>
          <w:top w:w="0" w:type="dxa"/>
          <w:left w:w="0" w:type="dxa"/>
          <w:bottom w:w="0" w:type="dxa"/>
          <w:right w:w="0" w:type="dxa"/>
        </w:tblCellMar>
      </w:tblPr>
      <w:tblGrid>
        <w:gridCol w:w="7486"/>
        <w:gridCol w:w="109"/>
        <w:gridCol w:w="196"/>
        <w:gridCol w:w="601"/>
        <w:gridCol w:w="109"/>
        <w:gridCol w:w="196"/>
        <w:gridCol w:w="691"/>
        <w:gridCol w:w="154"/>
      </w:tblGrid>
      <w:tr>
        <w:trPr/>
        <w:tc>
          <w:tcPr>
            <w:tcW w:w="7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753610" cy="175260"/>
                      <wp:effectExtent l="0" t="0" r="0" b="0"/>
                      <wp:wrapNone/>
                      <wp:docPr id="47" name="Frame47"/>
                      <a:graphic xmlns:a="http://schemas.openxmlformats.org/drawingml/2006/main">
                        <a:graphicData uri="http://schemas.microsoft.com/office/word/2010/wordprocessingShape">
                          <wps:wsp>
                            <wps:cNvSpPr txBox="1"/>
                            <wps:spPr>
                              <a:xfrm>
                                <a:off x="0" y="0"/>
                                <a:ext cx="475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81635" cy="175260"/>
                      <wp:effectExtent l="0" t="0" r="0" b="0"/>
                      <wp:wrapNone/>
                      <wp:docPr id="50" name="Frame5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38785" cy="175260"/>
                      <wp:effectExtent l="0" t="0" r="0" b="0"/>
                      <wp:wrapNone/>
                      <wp:docPr id="53" name="Frame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7790" cy="175260"/>
                      <wp:effectExtent l="0" t="0" r="0" b="0"/>
                      <wp:wrapNone/>
                      <wp:docPr id="54" name="Frame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75,527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173,399</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4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6,352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5,171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shown in condensed consolidated statements of cash flows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81,879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178,570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bookmarkStart w:id="650" w:name="_f7a65471_9854_4f3c_82d5_ca72f0d0f042"/>
      <w:bookmarkEnd w:id="650"/>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651" w:name="Notes_47889"/>
      <w:bookmarkEnd w:id="651"/>
      <w:r>
        <w:rPr>
          <w:rFonts w:ascii="Times New Roman;Times;serif" w:hAnsi="Times New Roman;Times;serif"/>
          <w:b/>
          <w:sz w:val="20"/>
        </w:rPr>
        <w:t>Notes to Condensed Consolidated Financial Statements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are intended to provide significant and durable clinical responses to patients.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two approved precision therapies and is globally advancing multiple programs for systemic mastocytosis (SM), lung cancer, breast cancer and other genomically defined cancers,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2023, the Company had cash, cash equivalents and marketable securities of $836.6 million. Based on the Company’s current operating plans, the Company anticipates that its existing cash, cash equivalents and marketable securities will </w:t>
      </w:r>
      <w:r>
        <w:rPr>
          <w:rFonts w:ascii="Times New Roman;Times;serif" w:hAnsi="Times New Roman;Times;serif"/>
          <w:color w:val="212529"/>
          <w:sz w:val="20"/>
          <w:shd w:fill="FFFFFF" w:val="clear"/>
        </w:rPr>
        <w:t xml:space="preserve">be sufficient to enable it to fund its current operations for at least the next twelve months from the issuance of the financial statements.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Recent Accounting Pronouncements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2022 and notes thereto included in the Company’s Annual Report on Form 10-K for the year ended December 31, 2022, filed with the SEC on February 16, 2023 (2022 Annual Report on Form 10-K).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June 30, 2023, the results of its operations for the three and six months ended June 30, 2023 and 2022, stockholder’s equity for the three and six months ended June 30, 2023 and 2022 and cash flows for six months ended June 30, 2023 and 2022. Such adjustments are of a normal and recurring nature. The results for the three and six months ended June 30, 2023 are not necessarily indicative of the results for the year ending December 31, 2023 or for any future period.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and income taxes. Actual results may differ from these estimates. The Russian invasion of Ukraine has not had a material impact on the Company’s business, results of operations and financial condition.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significant accounting policies used in preparation of these condensed consolidated financial statements for the three and six months ended June 30, 2023 are consistent with those discussed in Note 2 to the consolidated financial statements in the 2022 Annual Report on Form 10-K, with the exception of the below new policy.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Performance-Based Restricted Stock Unit Awards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Fair value of performance-based restricted stock unit awards (PSUs) at the grant date are estimated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 The PSUs cliff vest at the end of the service period and the compensation expense for PSUs is recognized straight-line over the applicable service period.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New Accounting Pronouncements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3. Financing Arrangements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Royalty Pharma Purchase and Sale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30, 2022, the Company entered into a purchase and sale agreement (Royalty Purchase Agreement) with Royalty Pharma. Pursuant to the Royalty Purchase Agreement, the Company received an upfront payment of $175.0 million in consideration for the Company’s rights to receive royalty payments on the net sales of GAVRETO worldwide excluding the CStone Territory (as defined below) and U.S. territory under the terms of the Roche pralsetinib collaboration agreement.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the Company sold all of the rights to receive royalties on the net sales of GAVRETO worldwide excluding the CStone Territory and U.S. territory to Royalty Pharma, the Company continues to co-develop pralsetinib with Roche globally and is therefore involved in the generation of these future royalties. Due to the Company’s significant continuing involvement, the Company continues to account for any royalties and development and commercialization milestones earned related to the underlying territory under the Roche pralsetinib collaboration agreement as collaboration revenue on its consolidated statements of operations and comprehensive loss. Net proceeds from the transaction were recorded as a liability related to sale of future royalties and revenues on the consolidated balance sheet. The Company accretes the $175.0 million, net of transaction costs of $3.8 million, to the total of these royalties as interest expense using the effective interest method over the estimated life of the arrangement. </w:t>
      </w:r>
      <w:r>
        <w:rPr>
          <w:rFonts w:ascii="Times New Roman;Times;serif" w:hAnsi="Times New Roman;Times;serif"/>
          <w:sz w:val="20"/>
          <w:shd w:fill="FFFFFF" w:val="clear"/>
        </w:rPr>
        <w:t xml:space="preserve">These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estimates contain assumptions that impact the amount recorded and the interest expense that will be recognized in future periods.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payments are made to Royalty Pharma, the balance of the liability will be effectively repaid over the life of the Royalty Purchase Agreement. In order to determine the amortization of the liability, the Company estimates the total amount of future royalty payments to be paid to Royalty Pharma over the life of the arrangement. The exact amount of repayment is likely to change each reporting period. A significant increase or decrease in GAVRETO’s net revenue of the underlying territory will impact interest expense and the liability related to this arrangement. The Company periodically assesses the expected payments to Royalty Pharma and prospectively adjusts the amortization of the liability related to this arrangement for material changes in such payments including the prospective impact around the uncertainty related to GAVRETO’s commercial outlook in the underlying territory during the life of the arrangement.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February 2023, the Company received written notice from Roche of their election to terminate for convenience the Roche pralsetinib collaboration agreement. The termination will become effective February 2024, at which time the Company will regain commercialization and development rights to GAVRETO from Roche worldwide excluding the CStone Territory. As of June 30, 2023, none of the derecognition conditions under ASC 405 </w:t>
      </w:r>
      <w:r>
        <w:rPr>
          <w:rFonts w:ascii="Times New Roman;Times;serif" w:hAnsi="Times New Roman;Times;serif"/>
          <w:i/>
          <w:sz w:val="20"/>
        </w:rPr>
        <w:t>Liabilities</w:t>
      </w:r>
      <w:r>
        <w:rPr>
          <w:rFonts w:ascii="Times New Roman;Times;serif" w:hAnsi="Times New Roman;Times;serif"/>
          <w:sz w:val="20"/>
        </w:rPr>
        <w:t xml:space="preserve"> were met, and in consideration of the significant uncertainties related to GAVRETO’s commercial outlook in the underlying territory during the life of the arrangement caused by the termination of the Roche pralsetinib collaboration agreement, during the three and six months ended June 30, 2023, the Company did not accrete any interest expenses related to the liability. As of June 30, 2023, the net carrying value of the liability related to this arrangement was $175.6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Royalty Purchase Agreement, the Company is eligible to receive certain milestone payments totaling up to $165.0 million, subject to the achievement of specified net sales milestones by Roche. However, following the termination of the Roche pralsetinib collaboration agreement, if the specified net sales milestone thresholds under the Royalty Purchase Agreement with Royalty Pharma are not otherwise met, the Company may no longer be eligible to receive any of the contingent milestone payments under the Royalty Purchase Agreement. The potential milestone payments will be added to the carrying value of the liability related to this arrangement when and if the milestones are achieved and received.</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Financing Arrangements with Sixth Street Partners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the Company closed two transactions pursuant to a purchase and sale agreement (Future Revenue Purchase Agreement) and a financing transaction for up to $660.0 million (as amended, Financing Agreement) with Sixth Street Partners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Purchase and Sale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Pursuant to the Future Revenue Purchase Agreement, the Company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continues to own the research, development, manufacturing and commercialization of AYVAKIT/ AYVAKYT and if it is approved, elenestinib, and has significant continuing involvement in the generation of the cash flows under the Future Revenue Purchase Agreement. Therefore, the Company continues to account for any revenue earned from worldwide product sales of AYVAKIT/ AYVAKYT and, if it is approved, elenestinib, on its consolidated statements of operations and comprehensive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bookmarkStart w:id="652" w:name="Tc_dlFqEvFKc0qY3pFYw3bv7g_4_2"/>
      <w:bookmarkStart w:id="653" w:name="Tc_1x0XaQ-hbEO5C7Nge1hQCw_4_0"/>
      <w:bookmarkStart w:id="654" w:name="Tc_Uh5OlvikCUy_eTrtmsPikw_3_0"/>
      <w:bookmarkStart w:id="655" w:name="Tc_uVN_Dz5QgEOZD9Pb4Qsy3A_2_0"/>
      <w:bookmarkStart w:id="656" w:name="Tc_WFvFzfd-k0ONidamFeNG5Q_1_2"/>
      <w:bookmarkStart w:id="657" w:name="Tc_FG8th4YAlECB8JqkeS2J9A_1_0"/>
      <w:bookmarkStart w:id="658" w:name="_c7919a53_8685_4bc5_a937_80544fb8dd84"/>
      <w:bookmarkStart w:id="659" w:name="Tc_Al-Bd_bca0qgWbgqwNr36A_4_2"/>
      <w:bookmarkStart w:id="660" w:name="Tc_6Xs3bwEf9UmE_1sCnwYi4g_4_0"/>
      <w:bookmarkStart w:id="661" w:name="Tc_69kZi2gL6kuvIBfdUKI36w_3_0"/>
      <w:bookmarkStart w:id="662" w:name="Tc_e9fWEAkXp0a_Chgk3w-f7Q_2_0"/>
      <w:bookmarkStart w:id="663" w:name="Tc_uefqIiD6IEO-obuLk3IWoQ_1_2"/>
      <w:bookmarkStart w:id="664" w:name="Tc_43g91Rmz-UC5oQ3f3yU93w_1_0"/>
      <w:bookmarkStart w:id="665" w:name="_e305c9a3_e5a2_4eab_b0f2_5adc83671fd3"/>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product sales of AYVAKIT/ 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June 30, 2023, the Company’s estimate of this total interest expense resulted in an effective annual interest rate of 10.8%. </w:t>
      </w:r>
      <w:r>
        <w:rPr>
          <w:rFonts w:ascii="Times New Roman;Times;serif" w:hAnsi="Times New Roman;Times;serif"/>
          <w:sz w:val="20"/>
          <w:shd w:fill="FFFFFF" w:val="clear"/>
        </w:rPr>
        <w:t xml:space="preserve">These estimates contain assumptions that impact the amount recorded and the interest expense that will be recognized in future periods.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2023, the net carrying value of the liability related to this arrangement was $261.7 million. The following table shows the activity within the liability account (in thousands):</w:t>
      </w:r>
    </w:p>
    <w:p>
      <w:pPr>
        <w:pStyle w:val="TextBody"/>
        <w:bidi w:val="0"/>
        <w:spacing w:lineRule="auto" w:line="285" w:before="0" w:after="0"/>
        <w:ind w:left="0" w:right="0" w:hanging="0"/>
        <w:jc w:val="left"/>
        <w:rPr/>
      </w:pPr>
      <w:r>
        <w:rPr/>
        <w:t>​</w:t>
      </w:r>
    </w:p>
    <w:tbl>
      <w:tblPr>
        <w:tblW w:w="4297" w:type="dxa"/>
        <w:jc w:val="left"/>
        <w:tblInd w:w="0" w:type="dxa"/>
        <w:tblLayout w:type="fixed"/>
        <w:tblCellMar>
          <w:top w:w="0" w:type="dxa"/>
          <w:left w:w="0" w:type="dxa"/>
          <w:bottom w:w="0" w:type="dxa"/>
          <w:right w:w="0" w:type="dxa"/>
        </w:tblCellMar>
      </w:tblPr>
      <w:tblGrid>
        <w:gridCol w:w="3091"/>
        <w:gridCol w:w="109"/>
        <w:gridCol w:w="211"/>
        <w:gridCol w:w="88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62785" cy="175260"/>
                      <wp:effectExtent l="0" t="0" r="0" b="0"/>
                      <wp:wrapNone/>
                      <wp:docPr id="55" name="Frame5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62610" cy="175260"/>
                      <wp:effectExtent l="0" t="0" r="0" b="0"/>
                      <wp:wrapNone/>
                      <wp:docPr id="58" name="Frame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January 1, 2023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254,328</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14,021</w: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(6,644)</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June 30, 2023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261,705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Term Loan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 Rate (SOFR) plus 6.50% or the base rate plus 5.50%, subject to a floor of 1% and 2% with respect to the SOFR and base rate, respectively.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part of the Financing Agreement with Sixth Street Partners, the Company received gross proceeds of $150.0 million in July 2022 and incurred an aggregate of $12.2 million of debt discounts and transaction costs, which have been recorded as a reduction to the carrying amount of the debt on the Company’s consolidated balance sheet and are amortized as additional interest expenses using the effective interest rate method over the period from issuance through maturity. As of June 30, 2023, the Company’s estimate of the total interest expense resulted in an effective annual interest rate of 13.6%. </w:t>
      </w:r>
      <w:r>
        <w:rPr>
          <w:rFonts w:ascii="Times New Roman;Times;serif" w:hAnsi="Times New Roman;Times;serif"/>
          <w:sz w:val="20"/>
          <w:shd w:fill="FFFFFF" w:val="clear"/>
        </w:rPr>
        <w:t>The carrying amount of the debt as of June 30, 2023 is subject to variable interest rates, which are based on current market rates, and as such, approximates fair value</w:t>
      </w:r>
      <w:r>
        <w:rPr>
          <w:rFonts w:ascii="Times New Roman;Times;serif" w:hAnsi="Times New Roman;Times;serif"/>
          <w:sz w:val="20"/>
        </w:rPr>
        <w:t xml:space="preserve">.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activity within the liability account (in thousands):</w:t>
      </w:r>
    </w:p>
    <w:p>
      <w:pPr>
        <w:pStyle w:val="TextBody"/>
        <w:bidi w:val="0"/>
        <w:spacing w:lineRule="auto" w:line="285" w:before="0" w:after="0"/>
        <w:ind w:left="0" w:right="0" w:hanging="0"/>
        <w:jc w:val="left"/>
        <w:rPr/>
      </w:pPr>
      <w:r>
        <w:rPr/>
        <w:t>​</w:t>
      </w:r>
    </w:p>
    <w:tbl>
      <w:tblPr>
        <w:tblW w:w="4297" w:type="dxa"/>
        <w:jc w:val="left"/>
        <w:tblInd w:w="0" w:type="dxa"/>
        <w:tblLayout w:type="fixed"/>
        <w:tblCellMar>
          <w:top w:w="0" w:type="dxa"/>
          <w:left w:w="0" w:type="dxa"/>
          <w:bottom w:w="0" w:type="dxa"/>
          <w:right w:w="0" w:type="dxa"/>
        </w:tblCellMar>
      </w:tblPr>
      <w:tblGrid>
        <w:gridCol w:w="3091"/>
        <w:gridCol w:w="109"/>
        <w:gridCol w:w="211"/>
        <w:gridCol w:w="88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962785" cy="175260"/>
                      <wp:effectExtent l="0" t="0" r="0" b="0"/>
                      <wp:wrapNone/>
                      <wp:docPr id="59" name="Frame5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2610" cy="175260"/>
                      <wp:effectExtent l="0" t="0" r="0" b="0"/>
                      <wp:wrapNone/>
                      <wp:docPr id="62" name="Frame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January 1, 2023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139,083</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9,443</w: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(8,523)</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June 30, 2023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140,003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obligations under the Financing Agreement are secured, subject to certain exceptions, by security interests in the substantially all of the Company’s assets and the Company’s certain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(i) $50.0 million during the period commencing from the date on which the term loans are funded to the date which is the day before the next term loans are funded and (ii) $80.0 million for each day thereafter. As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June 30, 2023, the Company was in compliance with the applicable terms and conditions of the covenants under the Financing Arrangement.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666" w:name="Tc_XrJPTxogakmXOVi7eHJuqw_6_11"/>
      <w:bookmarkStart w:id="667" w:name="Tc_oOkSpvmoPkSC59K8U18zTQ_6_8"/>
      <w:bookmarkStart w:id="668" w:name="Tc_lNDWbYl0k0ON845Z-wRExA_6_5"/>
      <w:bookmarkStart w:id="669" w:name="Tc_S4jFZTAWfkmakcf17uiPYg_6_2"/>
      <w:bookmarkStart w:id="670" w:name="Tc_w9d0-dwwCEak4ZLn-7fVTQ_6_0"/>
      <w:bookmarkStart w:id="671" w:name="Tc_YiD0Cr3CbkmFcNwVd4TXPw_5_0"/>
      <w:bookmarkStart w:id="672" w:name="Tc_IW_ewsHO2U64bpGlrz8qQA_4_11"/>
      <w:bookmarkStart w:id="673" w:name="Tc_R4NccUA25k6N7f9o_M2I2Q_4_8"/>
      <w:bookmarkStart w:id="674" w:name="Tc_qLw0GDLiikSFzhHM5AS3bg_4_5"/>
      <w:bookmarkStart w:id="675" w:name="Tc_FWuv-pZQpkWil9UOaP6huw_4_2"/>
      <w:bookmarkStart w:id="676" w:name="Tc_-6C5GYOoj0mS2ncOb8xDUg_4_0"/>
      <w:bookmarkStart w:id="677" w:name="Tc_81zkqwLJ0kOKSLfwgv3ZAQ_3_11"/>
      <w:bookmarkStart w:id="678" w:name="Tc_KvTV8PP8jEOqxL-YjvUNVw_3_8"/>
      <w:bookmarkStart w:id="679" w:name="Tc_bSQ704BzDEK30WHks6e61A_3_5"/>
      <w:bookmarkStart w:id="680" w:name="Tc_1sW2vUWvT0uMX3xmerAirA_3_2"/>
      <w:bookmarkStart w:id="681" w:name="Tc_r_wwpJC6wkOlyA-F35-E9Q_2_11"/>
      <w:bookmarkStart w:id="682" w:name="Tc_3BS6YNhtvkm4jyW11UmmLA_2_8"/>
      <w:bookmarkStart w:id="683" w:name="Tc_ldu3sYQLTEGh5EjOhEMPUQ_2_5"/>
      <w:bookmarkStart w:id="684" w:name="Tc_d1xwp-iV5EmbTr_YePJjuQ_2_2"/>
      <w:bookmarkStart w:id="685" w:name="Tc_pbzfLQVYlk2j8BH5MEkGZQ_1_8"/>
      <w:bookmarkStart w:id="686" w:name="Tc_zOB2iyU7TkOvpyQmRaKP5g_1_2"/>
      <w:bookmarkStart w:id="687" w:name="_a21e5ff6_d61a_49fc_b568_d9e86ff00cf7"/>
      <w:bookmarkStart w:id="688" w:name="Tc_I0tWjs6RwkCyXXuJH58Dfw_6_8"/>
      <w:bookmarkStart w:id="689" w:name="Tc_IgbdI_RggE2Ukv1Fo1LpsQ_6_2"/>
      <w:bookmarkStart w:id="690" w:name="Tc_6DixHNE9Hk-Zk5j-eJtOrw_6_0"/>
      <w:bookmarkStart w:id="691" w:name="Tc_Bjh0t8tvbUyZp06boySm2w_5_0"/>
      <w:bookmarkStart w:id="692" w:name="Tc_5bR29lji1EKPA6w6_kEltw_4_8"/>
      <w:bookmarkStart w:id="693" w:name="Tc_bVdgzK1QQEGwJYCYdOZD2g_4_2"/>
      <w:bookmarkStart w:id="694" w:name="Tc_LTHUQuhdo0mo9c-sRBWg-A_4_0"/>
      <w:bookmarkStart w:id="695" w:name="Tc_TuByOElK10KbLMwdjFNYmA_3_11"/>
      <w:bookmarkStart w:id="696" w:name="Tc_dOSReuHi1kOpQtovBcChrg_3_8"/>
      <w:bookmarkStart w:id="697" w:name="Tc_eFvsZ0WsI0Ogy-Aod37cwA_3_5"/>
      <w:bookmarkStart w:id="698" w:name="Tc_IA_Ra0g5C0exrwYfj_JNDw_3_2"/>
      <w:bookmarkStart w:id="699" w:name="Tc_5sQT0qsJs0arJ7fr6Of0vA_2_11"/>
      <w:bookmarkStart w:id="700" w:name="Tc_v2y-KAiAKkGo5u4EdDQMXA_2_8"/>
      <w:bookmarkStart w:id="701" w:name="Tc_34EO_ygkykCR9rTQV5lGpQ_2_5"/>
      <w:bookmarkStart w:id="702" w:name="Tc_B17k-moA-EWJP0NKtGU_Hg_2_2"/>
      <w:bookmarkStart w:id="703" w:name="Tc_2gJpebvXakOKJJKwVY4FAg_1_8"/>
      <w:bookmarkStart w:id="704" w:name="Tc_3wLD3Jlo_E6BFA_XaJKBAA_1_2"/>
      <w:bookmarkStart w:id="705" w:name="_5f8e33a9_8da6_43a5_815c_5d1f2711d578"/>
      <w:bookmarkStart w:id="706" w:name="Tc_ao63ByTjgEeF_osEg4G30Q_6_11"/>
      <w:bookmarkStart w:id="707" w:name="Tc_c9RMY9CToUGky0nodQSfWg_6_8"/>
      <w:bookmarkStart w:id="708" w:name="Tc_WZKx7Q5y90C0C-LIj6mNRw_6_5"/>
      <w:bookmarkStart w:id="709" w:name="Tc_VTg8ZlyrZ0WnLCCf8wciOQ_6_2"/>
      <w:bookmarkStart w:id="710" w:name="Tc_-l24VWeSbUuuW_hbt4EfQQ_6_0"/>
      <w:bookmarkStart w:id="711" w:name="Tc_um0VJG0TNU6tXj5e0niglg_5_0"/>
      <w:bookmarkStart w:id="712" w:name="Tc_WYYnGlawo0Svu2XJJETNGw_4_11"/>
      <w:bookmarkStart w:id="713" w:name="Tc_BB8YGcrd8kW4_AB_l6r1dg_4_6"/>
      <w:bookmarkStart w:id="714" w:name="Tc_oiEDZk4p-kqc-m3USrW6Ug_4_2"/>
      <w:bookmarkStart w:id="715" w:name="Tc_fBEVxGh5B0aK4edl6F_08g_4_0"/>
      <w:bookmarkStart w:id="716" w:name="Tc_oo1zWuK1ZE6uj0n74AyFYQ_3_0"/>
      <w:bookmarkStart w:id="717" w:name="Tc_2tTnD9MqmkivcenZDTUw1g_2_11"/>
      <w:bookmarkStart w:id="718" w:name="Tc_wJPGnXp4PEWvamO2pvXphw_2_8"/>
      <w:bookmarkStart w:id="719" w:name="Tc_CzelmiuSQkC8p1pfLpC7RQ_2_5"/>
      <w:bookmarkStart w:id="720" w:name="Tc_qVuz-BLddE2DopY0qPPD4w_2_2"/>
      <w:bookmarkStart w:id="721" w:name="Tc_dP4kkc6bI0iuCd-2-RIXQQ_2_0"/>
      <w:bookmarkStart w:id="722" w:name="Tc_4QGfie2vX0Ox8W9OP1HdhA_1_11"/>
      <w:bookmarkStart w:id="723" w:name="Tc_E11jHPtmS0ix3vM1QfKb3A_1_8"/>
      <w:bookmarkStart w:id="724" w:name="Tc_Drk_S6bsZkSjIeyClrZ7KQ_1_5"/>
      <w:bookmarkStart w:id="725" w:name="Tc_DIlOq9ZB40qvRLtHoAaTKg_1_2"/>
      <w:bookmarkStart w:id="726" w:name="_360511f8_3541_443b_ac37_c54057062330"/>
      <w:bookmarkStart w:id="727" w:name="Tc_uLXrpATY-0STlmFa8B5wfA_6_11"/>
      <w:bookmarkStart w:id="728" w:name="Tc_l1hAFo8aDkaZglFxuCEIlA_6_8"/>
      <w:bookmarkStart w:id="729" w:name="Tc_jDmm9hxxdkOgfJ7PbviL2A_6_5"/>
      <w:bookmarkStart w:id="730" w:name="Tc_fqnW3wcmDUm3c47-uL6BEA_6_2"/>
      <w:bookmarkStart w:id="731" w:name="Tc_B8S5uGl70EykFTWUJHsqsg_6_0"/>
      <w:bookmarkStart w:id="732" w:name="Tc_qPZf0HZQV0OsNNmDoVxhaQ_5_0"/>
      <w:bookmarkStart w:id="733" w:name="Tc_gofZZkAEcEeYehvSQDYy8w_4_11"/>
      <w:bookmarkStart w:id="734" w:name="Tc_FEFgPXlOG0u5Z6YIsarywQ_4_6"/>
      <w:bookmarkStart w:id="735" w:name="Tc_8i957FbZdU6XKpFBuNN9-g_4_2"/>
      <w:bookmarkStart w:id="736" w:name="Tc_Fo_ue_r59EuGNhp1Tk3aSw_4_0"/>
      <w:bookmarkStart w:id="737" w:name="Tc_Su7Zc4b8ak-lkhwIiMutFQ_3_0"/>
      <w:bookmarkStart w:id="738" w:name="Tc_d33ewUaXKE-pPaaFDGu-mQ_2_11"/>
      <w:bookmarkStart w:id="739" w:name="Tc_dCcRTCoJKk2Am52mi-nZSA_2_8"/>
      <w:bookmarkStart w:id="740" w:name="Tc_iXar4NWiGEedZ7-0eJvF-w_2_5"/>
      <w:bookmarkStart w:id="741" w:name="Tc_l_bBxGJcf0yESURXqe1Fkw_2_2"/>
      <w:bookmarkStart w:id="742" w:name="Tc_7hStsQ9c2kKr8SYPrM5aHQ_2_0"/>
      <w:bookmarkStart w:id="743" w:name="Tc_nbjuJ_dfYEyStaGzk0YA4A_1_11"/>
      <w:bookmarkStart w:id="744" w:name="Tc_ppHgQiYux0OvZ9_04K5Mdg_1_8"/>
      <w:bookmarkStart w:id="745" w:name="Tc_b4czup-jtEKaH8k8Bvo03w_1_5"/>
      <w:bookmarkStart w:id="746" w:name="Tc_W7Dwh4QL2Eeh6pMrcZccWA_1_2"/>
      <w:bookmarkStart w:id="747" w:name="_9e84090c_b136_40f7_9e75_be6bced43fef"/>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Pr>
          <w:rFonts w:ascii="Times New Roman;Times;serif" w:hAnsi="Times New Roman;Times;serif"/>
          <w:b/>
          <w:sz w:val="20"/>
        </w:rPr>
        <w:t>4. Marketable Securities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Marketable securities consisted of the following at June 30, 2023 and December 31, 2022 (in thousands):</w:t>
      </w:r>
    </w:p>
    <w:p>
      <w:pPr>
        <w:pStyle w:val="TextBody"/>
        <w:bidi w:val="0"/>
        <w:spacing w:lineRule="auto" w:line="285" w:before="0" w:after="0"/>
        <w:ind w:left="0" w:right="0" w:hanging="0"/>
        <w:jc w:val="left"/>
        <w:rPr/>
      </w:pPr>
      <w:r>
        <w:rPr/>
        <w:t>​</w:t>
      </w:r>
    </w:p>
    <w:tbl>
      <w:tblPr>
        <w:tblW w:w="7815" w:type="dxa"/>
        <w:jc w:val="left"/>
        <w:tblInd w:w="0" w:type="dxa"/>
        <w:tblLayout w:type="fixed"/>
        <w:tblCellMar>
          <w:top w:w="0" w:type="dxa"/>
          <w:left w:w="0" w:type="dxa"/>
          <w:bottom w:w="0" w:type="dxa"/>
          <w:right w:w="0" w:type="dxa"/>
        </w:tblCellMar>
      </w:tblPr>
      <w:tblGrid>
        <w:gridCol w:w="3421"/>
        <w:gridCol w:w="109"/>
        <w:gridCol w:w="211"/>
        <w:gridCol w:w="781"/>
        <w:gridCol w:w="146"/>
        <w:gridCol w:w="352"/>
        <w:gridCol w:w="578"/>
        <w:gridCol w:w="109"/>
        <w:gridCol w:w="211"/>
        <w:gridCol w:w="691"/>
        <w:gridCol w:w="109"/>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72335" cy="175260"/>
                      <wp:effectExtent l="0" t="0" r="0" b="0"/>
                      <wp:wrapNone/>
                      <wp:docPr id="63" name="Frame6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2710" cy="175260"/>
                      <wp:effectExtent l="0" t="0" r="0" b="0"/>
                      <wp:wrapNone/>
                      <wp:docPr id="67" name="Frame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3520" cy="175260"/>
                      <wp:effectExtent l="0" t="0" r="0" b="0"/>
                      <wp:wrapNone/>
                      <wp:docPr id="68" name="Frame6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67030" cy="175260"/>
                      <wp:effectExtent l="0" t="0" r="0" b="0"/>
                      <wp:wrapNone/>
                      <wp:docPr id="69" name="Frame6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72"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62610" cy="175260"/>
                      <wp:effectExtent l="0" t="0" r="0" b="0"/>
                      <wp:wrapNone/>
                      <wp:docPr id="75" name="Frame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30"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June 30, 2023</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4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57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241,322</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57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239,527</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523,485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521,512</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764,807</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(3,775)</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761,039</w:t>
            </w:r>
          </w:p>
        </w:tc>
      </w:tr>
    </w:tbl>
    <w:p>
      <w:pPr>
        <w:pStyle w:val="TextBody"/>
        <w:bidi w:val="0"/>
        <w:spacing w:lineRule="auto" w:line="285" w:before="0" w:after="0"/>
        <w:ind w:left="0" w:right="0" w:hanging="0"/>
        <w:jc w:val="left"/>
        <w:rPr/>
      </w:pPr>
      <w:r>
        <w:rPr/>
        <w:t>​</w:t>
      </w:r>
    </w:p>
    <w:tbl>
      <w:tblPr>
        <w:tblW w:w="7815" w:type="dxa"/>
        <w:jc w:val="left"/>
        <w:tblInd w:w="0" w:type="dxa"/>
        <w:tblLayout w:type="fixed"/>
        <w:tblCellMar>
          <w:top w:w="0" w:type="dxa"/>
          <w:left w:w="0" w:type="dxa"/>
          <w:bottom w:w="0" w:type="dxa"/>
          <w:right w:w="0" w:type="dxa"/>
        </w:tblCellMar>
      </w:tblPr>
      <w:tblGrid>
        <w:gridCol w:w="3421"/>
        <w:gridCol w:w="109"/>
        <w:gridCol w:w="211"/>
        <w:gridCol w:w="781"/>
        <w:gridCol w:w="146"/>
        <w:gridCol w:w="352"/>
        <w:gridCol w:w="578"/>
        <w:gridCol w:w="109"/>
        <w:gridCol w:w="211"/>
        <w:gridCol w:w="691"/>
        <w:gridCol w:w="109"/>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72335" cy="175260"/>
                      <wp:effectExtent l="0" t="0" r="0" b="0"/>
                      <wp:wrapNone/>
                      <wp:docPr id="76" name="Frame7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2710" cy="175260"/>
                      <wp:effectExtent l="0" t="0" r="0" b="0"/>
                      <wp:wrapNone/>
                      <wp:docPr id="80" name="Frame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23520" cy="175260"/>
                      <wp:effectExtent l="0" t="0" r="0" b="0"/>
                      <wp:wrapNone/>
                      <wp:docPr id="81" name="Frame8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67030" cy="175260"/>
                      <wp:effectExtent l="0" t="0" r="0" b="0"/>
                      <wp:wrapNone/>
                      <wp:docPr id="82" name="Frame8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38785" cy="175260"/>
                      <wp:effectExtent l="0" t="0" r="0" b="0"/>
                      <wp:wrapNone/>
                      <wp:docPr id="85" name="Frame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62610" cy="175260"/>
                      <wp:effectExtent l="0" t="0" r="0" b="0"/>
                      <wp:wrapNone/>
                      <wp:docPr id="88" name="Frame8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46" w:type="dxa"/>
            <w:tcBorders/>
            <w:vAlign w:val="center"/>
          </w:tcPr>
          <w:p>
            <w:pPr>
              <w:pStyle w:val="TableContents"/>
              <w:bidi w:val="0"/>
              <w:spacing w:lineRule="auto" w:line="285" w:before="0" w:after="0"/>
              <w:ind w:left="0" w:right="0" w:hanging="0"/>
              <w:jc w:val="left"/>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30"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4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lineRule="auto" w:line="285"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578"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agency securities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377,519</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57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591,193</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968,712</w:t>
            </w:r>
          </w:p>
        </w:tc>
        <w:tc>
          <w:tcPr>
            <w:tcW w:w="146" w:type="dxa"/>
            <w:tcBorders/>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(9,971)</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958,763</w:t>
            </w:r>
          </w:p>
        </w:tc>
      </w:tr>
    </w:tbl>
    <w:p>
      <w:pPr>
        <w:pStyle w:val="TextBody"/>
        <w:bidi w:val="0"/>
        <w:spacing w:lineRule="auto" w:line="285" w:before="0" w:after="0"/>
        <w:ind w:left="0" w:right="0" w:hanging="0"/>
        <w:jc w:val="left"/>
        <w:rPr/>
      </w:pPr>
      <w:r>
        <w:rPr/>
        <w:t> </w:t>
      </w:r>
    </w:p>
    <w:p>
      <w:pPr>
        <w:pStyle w:val="TextBody"/>
        <w:shd w:fill="FFFFFF" w:val="clear"/>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estimated fair value (in thousands) and number of the Company’s available-for-sale securities that are in loss position as of June 30, 2023 and December 31, 2022 by the length of time the security has been in loss position:</w:t>
      </w:r>
    </w:p>
    <w:p>
      <w:pPr>
        <w:pStyle w:val="TextBody"/>
        <w:shd w:fill="FFFFFF" w:val="clear"/>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29"/>
        <w:gridCol w:w="109"/>
        <w:gridCol w:w="211"/>
        <w:gridCol w:w="781"/>
        <w:gridCol w:w="326"/>
        <w:gridCol w:w="182"/>
        <w:gridCol w:w="697"/>
        <w:gridCol w:w="326"/>
        <w:gridCol w:w="211"/>
        <w:gridCol w:w="781"/>
        <w:gridCol w:w="326"/>
        <w:gridCol w:w="159"/>
        <w:gridCol w:w="767"/>
      </w:tblGrid>
      <w:tr>
        <w:trPr/>
        <w:tc>
          <w:tcPr>
            <w:tcW w:w="5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383915" cy="175260"/>
                      <wp:effectExtent l="0" t="0" r="0" b="0"/>
                      <wp:wrapNone/>
                      <wp:docPr id="89" name="Frame89"/>
                      <a:graphic xmlns:a="http://schemas.openxmlformats.org/drawingml/2006/main">
                        <a:graphicData uri="http://schemas.microsoft.com/office/word/2010/wordprocessingShape">
                          <wps:wsp>
                            <wps:cNvSpPr txBox="1"/>
                            <wps:spPr>
                              <a:xfrm>
                                <a:off x="0" y="0"/>
                                <a:ext cx="3383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15570" cy="175260"/>
                      <wp:effectExtent l="0" t="0" r="0" b="0"/>
                      <wp:wrapNone/>
                      <wp:docPr id="94" name="Frame94"/>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42595" cy="175260"/>
                      <wp:effectExtent l="0" t="0" r="0" b="0"/>
                      <wp:wrapNone/>
                      <wp:docPr id="95" name="Frame95"/>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00965" cy="175260"/>
                      <wp:effectExtent l="0" t="0" r="0" b="0"/>
                      <wp:wrapNone/>
                      <wp:docPr id="100" name="Frame100"/>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87045" cy="175260"/>
                      <wp:effectExtent l="0" t="0" r="0" b="0"/>
                      <wp:wrapNone/>
                      <wp:docPr id="101" name="Frame10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9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lineRule="auto" w:line="285" w:before="0" w:after="0"/>
              <w:ind w:left="0" w:right="0" w:hanging="0"/>
              <w:jc w:val="center"/>
              <w:rPr/>
            </w:pPr>
            <w:r>
              <w:rPr/>
              <w:t>    </w:t>
            </w:r>
          </w:p>
        </w:tc>
        <w:tc>
          <w:tcPr>
            <w:tcW w:w="22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3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87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9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53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87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9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3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12 months or less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625,248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371,746</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159" w:type="dxa"/>
            <w:tcBorders/>
            <w:shd w:fill="CCEEFF" w:val="clear"/>
            <w:vAlign w:val="center"/>
          </w:tcPr>
          <w:p>
            <w:pPr>
              <w:pStyle w:val="TableContents"/>
              <w:bidi w:val="0"/>
              <w:spacing w:lineRule="auto" w:line="285" w:before="0" w:after="0"/>
              <w:ind w:left="0" w:right="0" w:hanging="0"/>
              <w:jc w:val="lef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3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more than 12 months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96,291</w:t>
            </w:r>
          </w:p>
        </w:tc>
        <w:tc>
          <w:tcPr>
            <w:tcW w:w="32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550,561</w:t>
            </w:r>
          </w:p>
        </w:tc>
        <w:tc>
          <w:tcPr>
            <w:tcW w:w="326" w:type="dxa"/>
            <w:tcBorders/>
            <w:vAlign w:val="center"/>
          </w:tcPr>
          <w:p>
            <w:pPr>
              <w:pStyle w:val="TableContents"/>
              <w:bidi w:val="0"/>
              <w:spacing w:lineRule="auto" w:line="285" w:before="0" w:after="0"/>
              <w:ind w:left="0" w:right="0" w:hanging="0"/>
              <w:jc w:val="center"/>
              <w:rPr/>
            </w:pPr>
            <w:r>
              <w:rPr/>
              <w:t>    </w:t>
            </w:r>
          </w:p>
        </w:tc>
        <w:tc>
          <w:tcPr>
            <w:tcW w:w="1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3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 securities in unrealized loss position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721,539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922,307</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1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7"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122</w:t>
            </w:r>
          </w:p>
        </w:tc>
      </w:tr>
    </w:tbl>
    <w:p>
      <w:pPr>
        <w:pStyle w:val="TextBody"/>
        <w:shd w:fill="FFFFFF" w:val="clear"/>
        <w:bidi w:val="0"/>
        <w:spacing w:lineRule="auto" w:line="285" w:before="0" w:after="0"/>
        <w:ind w:left="0" w:right="0" w:hanging="0"/>
        <w:jc w:val="left"/>
        <w:rPr/>
      </w:pPr>
      <w:r>
        <w:rPr/>
        <w:t> </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intent and ability to hold its debt securities until recovery. As a result, the Company did not record any charges for credit-related impairments for its marketable debt securities for the three and six months ended June 30, 2023 and 2022.</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amortized cost basis and estimated fair value of the Company’s available-for-sale securities by contractual maturity as of June 30, 2023</w:t>
      </w:r>
      <w:r>
        <w:rPr>
          <w:rFonts w:ascii="Times New Roman;Times;serif" w:hAnsi="Times New Roman;Times;serif"/>
          <w:color w:val="212529"/>
          <w:sz w:val="20"/>
        </w:rPr>
        <w:t xml:space="preserve"> and December 31, 2022 (in thousands):</w:t>
      </w:r>
    </w:p>
    <w:p>
      <w:pPr>
        <w:pStyle w:val="TextBody"/>
        <w:bidi w:val="0"/>
        <w:spacing w:lineRule="auto" w:line="285" w:before="0" w:after="0"/>
        <w:ind w:left="0" w:right="0" w:hanging="0"/>
        <w:jc w:val="left"/>
        <w:rPr>
          <w:color w:val="212529"/>
        </w:rPr>
      </w:pPr>
      <w:r>
        <w:rPr>
          <w:color w:val="212529"/>
        </w:rPr>
        <w:t>​</w:t>
      </w:r>
    </w:p>
    <w:tbl>
      <w:tblPr>
        <w:tblW w:w="7763" w:type="dxa"/>
        <w:jc w:val="left"/>
        <w:tblInd w:w="0" w:type="dxa"/>
        <w:tblLayout w:type="fixed"/>
        <w:tblCellMar>
          <w:top w:w="0" w:type="dxa"/>
          <w:left w:w="0" w:type="dxa"/>
          <w:bottom w:w="0" w:type="dxa"/>
          <w:right w:w="0" w:type="dxa"/>
        </w:tblCellMar>
      </w:tblPr>
      <w:tblGrid>
        <w:gridCol w:w="2386"/>
        <w:gridCol w:w="326"/>
        <w:gridCol w:w="211"/>
        <w:gridCol w:w="781"/>
        <w:gridCol w:w="326"/>
        <w:gridCol w:w="211"/>
        <w:gridCol w:w="781"/>
        <w:gridCol w:w="326"/>
        <w:gridCol w:w="211"/>
        <w:gridCol w:w="781"/>
        <w:gridCol w:w="326"/>
        <w:gridCol w:w="211"/>
        <w:gridCol w:w="8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515110" cy="175260"/>
                      <wp:effectExtent l="0" t="0" r="0" b="0"/>
                      <wp:wrapNone/>
                      <wp:docPr id="102" name="Frame10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2610" cy="175260"/>
                      <wp:effectExtent l="0" t="0" r="0" b="0"/>
                      <wp:wrapNone/>
                      <wp:docPr id="114" name="Frame1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lineRule="auto" w:line="285" w:before="0" w:after="0"/>
              <w:ind w:left="0" w:right="0" w:hanging="0"/>
              <w:jc w:val="center"/>
              <w:rPr/>
            </w:pPr>
            <w:r>
              <w:rPr/>
              <w:t>    </w:t>
            </w:r>
          </w:p>
        </w:tc>
        <w:tc>
          <w:tcPr>
            <w:tcW w:w="24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649,622</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647,107</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834,440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825,283</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After one through five years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115,185</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113,932</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134,272</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133,480</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764,807</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761,039</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968,712</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958,763</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color w:val="212529"/>
          <w:sz w:val="20"/>
        </w:rPr>
      </w:pPr>
      <w:bookmarkStart w:id="748" w:name="Tc_vHNWlcg23UWxkJTDTrpmeA_4_11"/>
      <w:bookmarkStart w:id="749" w:name="Tc_AfhS7QCcY0itDrn_k1CMVg_4_8"/>
      <w:bookmarkStart w:id="750" w:name="Tc_wIMPn4uyEkKcuZsqv0a0CQ_4_5"/>
      <w:bookmarkStart w:id="751" w:name="Tc_4c1cLD6Quk-RvIx_XyRtag_4_2"/>
      <w:bookmarkStart w:id="752" w:name="Tc_x8wvGMFQRUucuen08Qvt8g_4_0"/>
      <w:bookmarkStart w:id="753" w:name="Tc_Rkf3L8drSEu0jcmrbwnt7g_3_11"/>
      <w:bookmarkStart w:id="754" w:name="Tc_kamAS-UHYkOO3ut51JJ1cQ_3_8"/>
      <w:bookmarkStart w:id="755" w:name="Tc_ojyo2InngUS4JPPKiTiWRQ_3_5"/>
      <w:bookmarkStart w:id="756" w:name="Tc_pwPv3xgEX0mzkD07CA3Eeg_3_2"/>
      <w:bookmarkStart w:id="757" w:name="Tc_o6ZzLOtgQUm0K0bkWPhIiw_2_8"/>
      <w:bookmarkStart w:id="758" w:name="Tc_M23XSKcCiUuqJxH_T0gpJQ_2_2"/>
      <w:bookmarkStart w:id="759" w:name="Tc_qlFq7DjVekSznATWmwFn_Q_1_8"/>
      <w:bookmarkStart w:id="760" w:name="Tc_ZlC5vRuhjU-DfEvbJJYzcA_1_2"/>
      <w:bookmarkStart w:id="761" w:name="_b98b8ac1_72eb_4c61_95c1_9717eff02116"/>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Pr>
          <w:rFonts w:ascii="Times New Roman;Times;serif" w:hAnsi="Times New Roman;Times;serif"/>
          <w:color w:val="212529"/>
          <w:sz w:val="20"/>
        </w:rPr>
        <w:t>The following table summarizes the proceeds from maturities of debt securities during the three and six months ended June 30, 2023 and 2022 (in thousands):</w:t>
      </w:r>
    </w:p>
    <w:p>
      <w:pPr>
        <w:pStyle w:val="TextBody"/>
        <w:bidi w:val="0"/>
        <w:spacing w:lineRule="auto" w:line="285" w:before="0" w:after="0"/>
        <w:ind w:left="0" w:right="0" w:hanging="0"/>
        <w:jc w:val="left"/>
        <w:rPr/>
      </w:pPr>
      <w:r>
        <w:rPr/>
        <w:t>​</w:t>
      </w:r>
    </w:p>
    <w:tbl>
      <w:tblPr>
        <w:tblW w:w="7951" w:type="dxa"/>
        <w:jc w:val="left"/>
        <w:tblInd w:w="0" w:type="dxa"/>
        <w:tblLayout w:type="fixed"/>
        <w:tblCellMar>
          <w:top w:w="0" w:type="dxa"/>
          <w:left w:w="0" w:type="dxa"/>
          <w:bottom w:w="0" w:type="dxa"/>
          <w:right w:w="0" w:type="dxa"/>
        </w:tblCellMar>
      </w:tblPr>
      <w:tblGrid>
        <w:gridCol w:w="3541"/>
        <w:gridCol w:w="109"/>
        <w:gridCol w:w="211"/>
        <w:gridCol w:w="781"/>
        <w:gridCol w:w="146"/>
        <w:gridCol w:w="211"/>
        <w:gridCol w:w="676"/>
        <w:gridCol w:w="146"/>
        <w:gridCol w:w="211"/>
        <w:gridCol w:w="781"/>
        <w:gridCol w:w="146"/>
        <w:gridCol w:w="211"/>
        <w:gridCol w:w="78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48535" cy="175260"/>
                      <wp:effectExtent l="0" t="0" r="0" b="0"/>
                      <wp:wrapNone/>
                      <wp:docPr id="115" name="Frame115"/>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2710" cy="175260"/>
                      <wp:effectExtent l="0" t="0" r="0" b="0"/>
                      <wp:wrapNone/>
                      <wp:docPr id="119" name="Frame1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92710" cy="175260"/>
                      <wp:effectExtent l="0" t="0" r="0" b="0"/>
                      <wp:wrapNone/>
                      <wp:docPr id="122" name="Frame1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5935" cy="175260"/>
                      <wp:effectExtent l="0" t="0" r="0" b="0"/>
                      <wp:wrapNone/>
                      <wp:docPr id="124" name="Frame1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2710" cy="175260"/>
                      <wp:effectExtent l="0" t="0" r="0" b="0"/>
                      <wp:wrapNone/>
                      <wp:docPr id="125" name="Frame1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5935" cy="175260"/>
                      <wp:effectExtent l="0" t="0" r="0" b="0"/>
                      <wp:wrapNone/>
                      <wp:docPr id="127" name="Frame1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21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 of debt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309,515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79,623</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617,765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79,623</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0"/>
        <w:ind w:left="0" w:right="0" w:firstLine="720"/>
        <w:jc w:val="left"/>
        <w:rPr>
          <w:color w:val="212529"/>
        </w:rPr>
      </w:pPr>
      <w:r>
        <w:rPr>
          <w:color w:val="212529"/>
        </w:rPr>
        <w:t>​</w:t>
      </w:r>
    </w:p>
    <w:p>
      <w:pPr>
        <w:pStyle w:val="TextBody"/>
        <w:bidi w:val="0"/>
        <w:spacing w:lineRule="auto" w:line="285"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Company did not realize any gains or losses from maturities of debt securities for the three and six months ended June 30, 2023 and 2022.</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160"/>
        <w:ind w:left="0" w:right="0" w:hanging="0"/>
        <w:jc w:val="left"/>
        <w:rPr>
          <w:rFonts w:ascii="Times New Roman;Times;serif" w:hAnsi="Times New Roman;Times;serif"/>
          <w:b/>
          <w:sz w:val="20"/>
        </w:rPr>
      </w:pPr>
      <w:bookmarkStart w:id="762" w:name="Tc_edwMclOx0UC99lIunu07iw_10_12"/>
      <w:bookmarkStart w:id="763" w:name="Tc_VywrWdWTskaZ4hvTQ4GReQ_10_11"/>
      <w:bookmarkStart w:id="764" w:name="Tc_rm0Ir9ROvECJRJyqJLk2SA_10_8"/>
      <w:bookmarkStart w:id="765" w:name="Tc_H_tAnFWRBk2plKtX1MYw5A_10_5"/>
      <w:bookmarkStart w:id="766" w:name="Tc_0D0BpcxG3UWk12i4FLZlMA_10_2"/>
      <w:bookmarkStart w:id="767" w:name="Tc_cLMEaoK-OUuSIbfZRy1wYQ_10_0"/>
      <w:bookmarkStart w:id="768" w:name="Tc_1usETyYxw0m5KAQt9-OLIA_9_12"/>
      <w:bookmarkStart w:id="769" w:name="Tc_ZBlATPEO6kqnKiXhB7IMxA_9_9"/>
      <w:bookmarkStart w:id="770" w:name="Tc_5R3SjHubSE2KQ95t7AEBqg_9_0"/>
      <w:bookmarkStart w:id="771" w:name="Tc_zUf2WEcKk0aXObRljq1D4g_8_12"/>
      <w:bookmarkStart w:id="772" w:name="Tc_7CDxjtzLMEyF_BoHg0wucQ_8_6"/>
      <w:bookmarkStart w:id="773" w:name="Tc_joWoylIeRUOOFDubrLLwxg_8_0"/>
      <w:bookmarkStart w:id="774" w:name="Tc_o4GVJIRR2Ui1E4pj-3rT6w_7_0"/>
      <w:bookmarkStart w:id="775" w:name="Tc_jI08MpJeR0SbClJG9qG6hA_6_12"/>
      <w:bookmarkStart w:id="776" w:name="Tc_heq1fhefc0K9yiBexZU-Cg_6_9"/>
      <w:bookmarkStart w:id="777" w:name="Tc_sGZwzc9Ss0SEzEdvTZK_iQ_6_0"/>
      <w:bookmarkStart w:id="778" w:name="Tc_8iIr7SU_lU-o4iF0YhI6Iw_5_12"/>
      <w:bookmarkStart w:id="779" w:name="Tc_wuSQncHjFEiAJvRxWr7dGg_5_11"/>
      <w:bookmarkStart w:id="780" w:name="Tc_mOcjqo3vcECmi04q_sEqJw_5_9"/>
      <w:bookmarkStart w:id="781" w:name="Tc_CEFRm1VRUEy3tpDiSpnbLQ_5_8"/>
      <w:bookmarkStart w:id="782" w:name="Tc_lKcFxECgsk64oz2p6yuXlA_5_5"/>
      <w:bookmarkStart w:id="783" w:name="Tc_1am1TSLdRUGiEr4FvKi6uw_5_2"/>
      <w:bookmarkStart w:id="784" w:name="Tc_KSPfgxcO8kGMT-y73SET0w_5_0"/>
      <w:bookmarkStart w:id="785" w:name="Tc_ORU-UeSrxUW5GHIlOXpJ6w_4_0"/>
      <w:bookmarkStart w:id="786" w:name="Tc_mgg1jhPX7UqSvxbz1rcfjA_3_11"/>
      <w:bookmarkStart w:id="787" w:name="Tc_EjDd5oelXk6Z1MbfDNGnVw_3_8"/>
      <w:bookmarkStart w:id="788" w:name="Tc_xRyu60FOTEqTfanoUpFZcg_3_5"/>
      <w:bookmarkStart w:id="789" w:name="Tc_U6WkZpLkFU-tsRxCEVUxgA_3_2"/>
      <w:bookmarkStart w:id="790" w:name="Tc_N15Iaopz_EKMHXc_vIcWQQ_3_0"/>
      <w:bookmarkStart w:id="791" w:name="Tc_h6VQFTs7oka7-Ft3MSxBYQ_2_11"/>
      <w:bookmarkStart w:id="792" w:name="Tc_1l7wJvtpOkC4DghldmABzQ_2_8"/>
      <w:bookmarkStart w:id="793" w:name="Tc_XtWD5DrnskiXy5oU2s9bCA_2_5"/>
      <w:bookmarkStart w:id="794" w:name="Tc_3rlmMErdHkO7Z204_N3DmA_2_2"/>
      <w:bookmarkStart w:id="795" w:name="Tc_y7o1tUm4VE-CWCn_FlPj6A_1_11"/>
      <w:bookmarkStart w:id="796" w:name="Tc_7dmEzpgpNkKbYliXqVP-pg_1_8"/>
      <w:bookmarkStart w:id="797" w:name="Tc_TpE47pfBa0qQfXxqHOMK3w_1_5"/>
      <w:bookmarkStart w:id="798" w:name="_0afdae7e_a779_4cc8_9b24_c3cb770e6a44"/>
      <w:bookmarkStart w:id="799" w:name="Tc_QaqsxxuumEm71jh7jFPEcQ_9_12"/>
      <w:bookmarkStart w:id="800" w:name="Tc_shZ_sVYOgUyc7Hnhxfpn_g_9_11"/>
      <w:bookmarkStart w:id="801" w:name="Tc_urbTxip7YEa3xUUGMNvLpw_9_8"/>
      <w:bookmarkStart w:id="802" w:name="Tc_fkYqy9U0uEWybOWSGgooTQ_9_5"/>
      <w:bookmarkStart w:id="803" w:name="Tc_dcj9a05zREC86vfYB-AIbw_9_2"/>
      <w:bookmarkStart w:id="804" w:name="Tc_AyVAw51oCEOL1kTNr9vlOg_9_0"/>
      <w:bookmarkStart w:id="805" w:name="Tc_lJ6j2AWVgEiPpaDsxz8mDA_8_12"/>
      <w:bookmarkStart w:id="806" w:name="Tc_NxLbVb41C0qnLQK7HkzXzA_8_9"/>
      <w:bookmarkStart w:id="807" w:name="Tc_4_UakvRb-UiB76ZMqdMPbQ_8_0"/>
      <w:bookmarkStart w:id="808" w:name="Tc_vcGS4UnA70OK0nKlY2lbsQ_7_12"/>
      <w:bookmarkStart w:id="809" w:name="Tc_yMcMf9upEU2TyTawc1dljg_7_6"/>
      <w:bookmarkStart w:id="810" w:name="Tc_I4ajfEe9BU2drlHSKyuArg_7_0"/>
      <w:bookmarkStart w:id="811" w:name="Tc_J6N6Leeaf06dMZJXRzu9BA_6_0"/>
      <w:bookmarkStart w:id="812" w:name="Tc_XawLLxwQSkKL_ktP05aTpg_5_12"/>
      <w:bookmarkStart w:id="813" w:name="Tc_5x07T2vIY0m_SrlW3G392w_5_11"/>
      <w:bookmarkStart w:id="814" w:name="Tc_h5PJrbSoRUWBmI2UTdiYwA_5_9"/>
      <w:bookmarkStart w:id="815" w:name="Tc_o_SOfIC7S0aCo1z2RPUplg_5_2"/>
      <w:bookmarkStart w:id="816" w:name="Tc_btqSY4bANkm1rVhdCiNE7A_5_0"/>
      <w:bookmarkStart w:id="817" w:name="Tc_ZkBIg-r9oUKXeGZ8qrovHQ_4_0"/>
      <w:bookmarkStart w:id="818" w:name="Tc_16fXkXC8C0GlOWoutFAM8g_3_11"/>
      <w:bookmarkStart w:id="819" w:name="Tc_3-SrdsVT2kan9lHShXSuaw_3_8"/>
      <w:bookmarkStart w:id="820" w:name="Tc_JMB9mrGHXUazpO-tVks4bg_3_5"/>
      <w:bookmarkStart w:id="821" w:name="Tc_-KMAjedbwkqr2BKyOZT0TA_3_2"/>
      <w:bookmarkStart w:id="822" w:name="Tc_bPpGQCl7o0akhH7yxMF8oQ_3_0"/>
      <w:bookmarkStart w:id="823" w:name="Tc_OcDRAes3lEqs5E7nRpUp_w_2_11"/>
      <w:bookmarkStart w:id="824" w:name="Tc_jcmMOSAfg0OKq8ZSqEiFeA_2_8"/>
      <w:bookmarkStart w:id="825" w:name="Tc_DfgS8tU2i0mqTPaBwfphqg_2_5"/>
      <w:bookmarkStart w:id="826" w:name="Tc_uhq74rs3-kqNIBg-oBcvWQ_2_2"/>
      <w:bookmarkStart w:id="827" w:name="Tc_KWTxGaNqek--iaLroV1jKg_1_11"/>
      <w:bookmarkStart w:id="828" w:name="Tc_s33VBeSDeECb86ZLQSviRw_1_8"/>
      <w:bookmarkStart w:id="829" w:name="Tc_cDyXLR0AtEaqWyxlUEOAUQ_1_5"/>
      <w:bookmarkStart w:id="830" w:name="_b5e410fc_a25f_4f8e_8cc7_95c591eab7c9"/>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Fonts w:ascii="Times New Roman;Times;serif" w:hAnsi="Times New Roman;Times;serif"/>
          <w:b/>
          <w:sz w:val="20"/>
        </w:rPr>
        <w:t>5. Fair Value of Financial Instruments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June 30, 2023 (in thousands):</w:t>
      </w:r>
    </w:p>
    <w:tbl>
      <w:tblPr>
        <w:tblW w:w="8842" w:type="dxa"/>
        <w:jc w:val="left"/>
        <w:tblInd w:w="0" w:type="dxa"/>
        <w:tblLayout w:type="fixed"/>
        <w:tblCellMar>
          <w:top w:w="0" w:type="dxa"/>
          <w:left w:w="0" w:type="dxa"/>
          <w:bottom w:w="0" w:type="dxa"/>
          <w:right w:w="0" w:type="dxa"/>
        </w:tblCellMar>
      </w:tblPr>
      <w:tblGrid>
        <w:gridCol w:w="3421"/>
        <w:gridCol w:w="326"/>
        <w:gridCol w:w="211"/>
        <w:gridCol w:w="781"/>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72335" cy="175260"/>
                      <wp:effectExtent l="0" t="0" r="0" b="0"/>
                      <wp:wrapNone/>
                      <wp:docPr id="128" name="Frame12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5935" cy="175260"/>
                      <wp:effectExtent l="0" t="0" r="0" b="0"/>
                      <wp:wrapNone/>
                      <wp:docPr id="134"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7" name="Frame1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30505" cy="175260"/>
                      <wp:effectExtent l="0" t="0" r="0" b="0"/>
                      <wp:wrapNone/>
                      <wp:docPr id="139" name="Frame13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4030" cy="175260"/>
                      <wp:effectExtent l="0" t="0" r="0" b="0"/>
                      <wp:wrapNone/>
                      <wp:docPr id="140" name="Frame140"/>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62,861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62,861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239,527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239,527</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521,512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521,512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823,900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584,373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239,527</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December 31, 2022 (in thousands):</w:t>
      </w:r>
    </w:p>
    <w:tbl>
      <w:tblPr>
        <w:tblW w:w="8992" w:type="dxa"/>
        <w:jc w:val="left"/>
        <w:tblInd w:w="0" w:type="dxa"/>
        <w:tblLayout w:type="fixed"/>
        <w:tblCellMar>
          <w:top w:w="0" w:type="dxa"/>
          <w:left w:w="0" w:type="dxa"/>
          <w:bottom w:w="0" w:type="dxa"/>
          <w:right w:w="0" w:type="dxa"/>
        </w:tblCellMar>
      </w:tblPr>
      <w:tblGrid>
        <w:gridCol w:w="3421"/>
        <w:gridCol w:w="326"/>
        <w:gridCol w:w="211"/>
        <w:gridCol w:w="931"/>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72335" cy="175260"/>
                      <wp:effectExtent l="0" t="0" r="0" b="0"/>
                      <wp:wrapNone/>
                      <wp:docPr id="141" name="Frame14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1185" cy="175260"/>
                      <wp:effectExtent l="0" t="0" r="0" b="0"/>
                      <wp:wrapNone/>
                      <wp:docPr id="144" name="Frame1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5935" cy="175260"/>
                      <wp:effectExtent l="0" t="0" r="0" b="0"/>
                      <wp:wrapNone/>
                      <wp:docPr id="147"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95935" cy="175260"/>
                      <wp:effectExtent l="0" t="0" r="0" b="0"/>
                      <wp:wrapNone/>
                      <wp:docPr id="150" name="Frame1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0505" cy="175260"/>
                      <wp:effectExtent l="0" t="0" r="0" b="0"/>
                      <wp:wrapNone/>
                      <wp:docPr id="152" name="Frame15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4030" cy="175260"/>
                      <wp:effectExtent l="0" t="0" r="0" b="0"/>
                      <wp:wrapNone/>
                      <wp:docPr id="153" name="Frame153"/>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4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1,058,950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686,279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6. Product Revenue Reserves and Allowances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(ASM), SM with an associated hematological neoplasm (SM-AHN) and mast cell leukemia (MCL). </w:t>
      </w:r>
      <w:r>
        <w:rPr>
          <w:rFonts w:ascii="Times New Roman;Times;serif" w:hAnsi="Times New Roman;Times;serif"/>
          <w:sz w:val="20"/>
          <w:shd w:fill="FFFFFF" w:val="clear"/>
        </w:rPr>
        <w:t>In March 2022, the European Commission expanded the marketing authorization for AYVAKYT to include the treatment of adult patients with ASM, SM-AHN, or MCL, after at least one systemic therapy. In May 2023, the FDA approved AYVAKIT for the treatment of adult patients with indolent SM.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31" w:name="Tc_HSCDu-Yih0amSyUBHAsDAQ_5_4"/>
      <w:bookmarkStart w:id="832" w:name="Tc_Z7hUad1VIE2E44TmM3wINA_5_1"/>
      <w:bookmarkStart w:id="833" w:name="Tc_jTrATaTDZE-O3O0RAx3XOw_5_0"/>
      <w:bookmarkStart w:id="834" w:name="Tc_2S4S2Ua0KEKmov2zRc12EQ_4_0"/>
      <w:bookmarkStart w:id="835" w:name="Tc_Hw1h8p_P7kOCsq9kpWl2Yg_3_4"/>
      <w:bookmarkStart w:id="836" w:name="Tc_jPMwuEB0bU2avmMeUn63Rg_3_1"/>
      <w:bookmarkStart w:id="837" w:name="Tc_jyGsE271T0Cx4UNAF4CNcg_3_0"/>
      <w:bookmarkStart w:id="838" w:name="Tc_9e58A1_KSUmJvBdMDTjUjg_2_4"/>
      <w:bookmarkStart w:id="839" w:name="Tc_5MLk5aSvdEO1CX0JKLL62A_2_1"/>
      <w:bookmarkStart w:id="840" w:name="Tc_Y5qnpXs9U02J4Rzpxl3yeQ_1_4"/>
      <w:bookmarkStart w:id="841" w:name="Tc_sW87AkgtukmIa_K4_gcbdQ_1_1"/>
      <w:bookmarkStart w:id="842" w:name="_3eb0aa7b_e73c_424a_85f3_66599e7395d7"/>
      <w:bookmarkStart w:id="843" w:name="Tc_wixwmlNIMUmEdgx517zSYw_7_4"/>
      <w:bookmarkStart w:id="844" w:name="Tc_l3C6rB7OSk-xUbTSdSdvaw_7_1"/>
      <w:bookmarkStart w:id="845" w:name="Tc_YrP_yyrFQ0uxbLvaWBDI4g_7_0"/>
      <w:bookmarkStart w:id="846" w:name="Tc_d9DYjRZD8EyGCG-blix9EQ_6_0"/>
      <w:bookmarkStart w:id="847" w:name="Tc_tnvb1iv6H0qh9pxZ28DTXw_5_0"/>
      <w:bookmarkStart w:id="848" w:name="Tc_C18MZ3GTlESft1sXIok4pg_4_0"/>
      <w:bookmarkStart w:id="849" w:name="Tc_DVRCxcM5MEO_cjLWq6_37w_3_4"/>
      <w:bookmarkStart w:id="850" w:name="Tc_96lcHV6UsUGqdc__2OLwAQ_3_1"/>
      <w:bookmarkStart w:id="851" w:name="Tc_xqeYqklU20KfqR5Y3x39SA_3_0"/>
      <w:bookmarkStart w:id="852" w:name="Tc_CL1Ate3hukONwvZbH9NgTA_2_4"/>
      <w:bookmarkStart w:id="853" w:name="Tc_Rvj3MTjvRUC-cHWx_X0U6w_2_1"/>
      <w:bookmarkStart w:id="854" w:name="Tc_tMZgYF4rBEmXzhxwXSWf8A_1_1"/>
      <w:bookmarkStart w:id="855" w:name="_d00bc77d_91c8_4927_a4fc_082d25fa463b"/>
      <w:bookmarkStart w:id="856" w:name="Tc_tIpnZ8_Fy0q4uZn41jIgjA_6_5"/>
      <w:bookmarkStart w:id="857" w:name="Tc_ZvWh6BkjzEaia1u8TjyzSg_6_3"/>
      <w:bookmarkStart w:id="858" w:name="Tc_EieEtSfth0eI2SiLLTebww_6_0"/>
      <w:bookmarkStart w:id="859" w:name="Tc_A49GivG5cEacouDAeO5mcA_5_6"/>
      <w:bookmarkStart w:id="860" w:name="Tc_LWPjeVWlQk2KTi8RfpUlaA_5_2"/>
      <w:bookmarkStart w:id="861" w:name="Tc_3DCoSWfyrkC4afCG51fLVg_5_0"/>
      <w:bookmarkStart w:id="862" w:name="Tc_vB29CLAQY0qhEUoGx1sNkA_4_6"/>
      <w:bookmarkStart w:id="863" w:name="Tc_-1zfulYClkaVp-5Z1FoIbA_4_3"/>
      <w:bookmarkStart w:id="864" w:name="Tc_JlvX0GGt0EuoK0aipoe3wA_4_0"/>
      <w:bookmarkStart w:id="865" w:name="Tc_duRI-ieNhUmwrsFJwpHaCw_3_6"/>
      <w:bookmarkStart w:id="866" w:name="Tc_89mx_u2xDkiGdvieM_lkcw_3_3"/>
      <w:bookmarkStart w:id="867" w:name="Tc_st6XhCKEKk2HPElkm6Daag_3_0"/>
      <w:bookmarkStart w:id="868" w:name="Tc_HHrAh7jahkW6N1jRr-0eBg_2_5"/>
      <w:bookmarkStart w:id="869" w:name="Tc_KsZhu4GMMEa-5AK-BYe3jQ_2_2"/>
      <w:bookmarkStart w:id="870" w:name="Tc_qMMLuouu5Uqma5tkapJzMQ_1_5"/>
      <w:bookmarkStart w:id="871" w:name="Tc_wUDItBtI1UGthF6wcoxiIw_1_2"/>
      <w:bookmarkStart w:id="872" w:name="_a1a58f02_3031_4162_b27f_e1fa279840aa"/>
      <w:bookmarkStart w:id="873" w:name="Tc_QZVB_K1z40SXyiSLtu-MhQ_5_12"/>
      <w:bookmarkStart w:id="874" w:name="Tc__cgheSwtLkeU817BbsCNkA_5_9"/>
      <w:bookmarkStart w:id="875" w:name="Tc_2RYV7u5vKUy_RMIydblIdQ_5_6"/>
      <w:bookmarkStart w:id="876" w:name="Tc_zkscpHd57UCdXI_QS7uzVg_5_3"/>
      <w:bookmarkStart w:id="877" w:name="Tc_Bg5Chnh0skq1X5dFVfgt-A_5_0"/>
      <w:bookmarkStart w:id="878" w:name="Tc_Z7b-JZgo_0GEvTAh_mYDdA_4_12"/>
      <w:bookmarkStart w:id="879" w:name="Tc_5iTa_jmdK0ue-JprKwNb-A_4_9"/>
      <w:bookmarkStart w:id="880" w:name="Tc_K23CKZuNuUuLpq4yYk0KBw_4_6"/>
      <w:bookmarkStart w:id="881" w:name="Tc_xIamQ5scXEi-D9wpLM1ywA_4_3"/>
      <w:bookmarkStart w:id="882" w:name="Tc_4ljCSyHR_U6qx1tcs7tNfw_4_0"/>
      <w:bookmarkStart w:id="883" w:name="Tc_M6_lvHtkSkqAD8iE2QpXfw_3_11"/>
      <w:bookmarkStart w:id="884" w:name="Tc_fipnghGGAEGJYuXNiOCgCQ_3_8"/>
      <w:bookmarkStart w:id="885" w:name="Tc_Biw82DiB-UOCvkW06_ZVNQ_3_5"/>
      <w:bookmarkStart w:id="886" w:name="Tc_1UcnxpO6ekqCnLnWncUeUA_3_2"/>
      <w:bookmarkStart w:id="887" w:name="Tc_AVbOxe0XbkmYJ5FpV-m1fQ_2_8"/>
      <w:bookmarkStart w:id="888" w:name="Tc_PDNmvcHnE0eaCSNxB5Rpiw_2_2"/>
      <w:bookmarkStart w:id="889" w:name="Tc_adjGg92FuUaglvWgUG7W0Q_1_8"/>
      <w:bookmarkStart w:id="890" w:name="Tc_SAvi9Ho65UuP55LeGibk-A_1_2"/>
      <w:bookmarkStart w:id="891" w:name="_231d1b25_7a39_47c2_b0c9_3df0070d3269"/>
      <w:bookmarkStart w:id="892" w:name="Tc_2eAu7LH_CE-n-eNsWcxHrA_6_11"/>
      <w:bookmarkStart w:id="893" w:name="Tc_G9Xe6yvlc0WcsnwyL821nw_6_8"/>
      <w:bookmarkStart w:id="894" w:name="Tc_-oLjvFyu4kyxLAVCJ5lWtg_6_5"/>
      <w:bookmarkStart w:id="895" w:name="Tc_noowCrcX30CxRlyTjV6NxA_6_2"/>
      <w:bookmarkStart w:id="896" w:name="Tc_67ueul_01EuXnQAiKYip4Q_6_0"/>
      <w:bookmarkStart w:id="897" w:name="Tc_M_mmgv24j06HVB2cdwLckg_5_0"/>
      <w:bookmarkStart w:id="898" w:name="Tc_gj6bVO1IQEWdWXPLZ73JEw_4_11"/>
      <w:bookmarkStart w:id="899" w:name="Tc_OUYhYQSoEk6PVsCVIUo2pA_4_8"/>
      <w:bookmarkStart w:id="900" w:name="Tc_k1AD0URf9US_xkOw_Ww-qA_4_5"/>
      <w:bookmarkStart w:id="901" w:name="Tc_VHtP99PjRUiIQ4difmNt6w_4_2"/>
      <w:bookmarkStart w:id="902" w:name="Tc_9q-bHpyO3E2rZiRHR2NwoA_4_0"/>
      <w:bookmarkStart w:id="903" w:name="Tc_MPD8sQVUgkmNgbv9Rk0IOQ_3_11"/>
      <w:bookmarkStart w:id="904" w:name="Tc_o9UwjtP190uRDWkzpvxuxw_3_8"/>
      <w:bookmarkStart w:id="905" w:name="Tc_HSHcpRrRjEOI3hWgNeIRLQ_3_5"/>
      <w:bookmarkStart w:id="906" w:name="Tc_ZNa75rQ0G0qkk2FuF8JYtA_3_2"/>
      <w:bookmarkStart w:id="907" w:name="Tc_0PMNHFx7JkaG5TL90in4-g_2_8"/>
      <w:bookmarkStart w:id="908" w:name="Tc_vs_bQDOlEUSTpMb5TzjyZg_2_2"/>
      <w:bookmarkStart w:id="909" w:name="Tc_21aorE5NzUi1qMJz3m5Q4A_1_8"/>
      <w:bookmarkStart w:id="910" w:name="Tc_CIW8HSC6KkWyT1QdzSFrBg_1_2"/>
      <w:bookmarkStart w:id="911" w:name="_483b36b5_f382_4a75_a007_12579aa3864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sz w:val="20"/>
        </w:rPr>
        <w:t xml:space="preserve">The following table summarizes revenue recognized from product sales for the three and six months ended June 30, 2023 and 2022 (in thousands): </w:t>
      </w:r>
    </w:p>
    <w:p>
      <w:pPr>
        <w:pStyle w:val="TextBody"/>
        <w:bidi w:val="0"/>
        <w:spacing w:lineRule="auto" w:line="285" w:before="0" w:after="0"/>
        <w:ind w:left="0" w:right="0" w:hanging="0"/>
        <w:jc w:val="left"/>
        <w:rPr/>
      </w:pPr>
      <w:r>
        <w:rPr/>
        <w:t>​</w:t>
      </w:r>
    </w:p>
    <w:tbl>
      <w:tblPr>
        <w:tblW w:w="6121" w:type="dxa"/>
        <w:jc w:val="left"/>
        <w:tblInd w:w="0" w:type="dxa"/>
        <w:tblLayout w:type="fixed"/>
        <w:tblCellMar>
          <w:top w:w="0" w:type="dxa"/>
          <w:left w:w="0" w:type="dxa"/>
          <w:bottom w:w="0" w:type="dxa"/>
          <w:right w:w="0" w:type="dxa"/>
        </w:tblCellMar>
      </w:tblPr>
      <w:tblGrid>
        <w:gridCol w:w="1921"/>
        <w:gridCol w:w="109"/>
        <w:gridCol w:w="211"/>
        <w:gridCol w:w="676"/>
        <w:gridCol w:w="146"/>
        <w:gridCol w:w="211"/>
        <w:gridCol w:w="676"/>
        <w:gridCol w:w="146"/>
        <w:gridCol w:w="211"/>
        <w:gridCol w:w="676"/>
        <w:gridCol w:w="146"/>
        <w:gridCol w:w="211"/>
        <w:gridCol w:w="78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19835" cy="175260"/>
                      <wp:effectExtent l="0" t="0" r="0" b="0"/>
                      <wp:wrapNone/>
                      <wp:docPr id="154" name="Frame15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710" cy="175260"/>
                      <wp:effectExtent l="0" t="0" r="0" b="0"/>
                      <wp:wrapNone/>
                      <wp:docPr id="158" name="Frame1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60" name="Frame1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2710" cy="175260"/>
                      <wp:effectExtent l="0" t="0" r="0" b="0"/>
                      <wp:wrapNone/>
                      <wp:docPr id="161" name="Frame1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29260" cy="175260"/>
                      <wp:effectExtent l="0" t="0" r="0" b="0"/>
                      <wp:wrapNone/>
                      <wp:docPr id="163" name="Frame1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2710" cy="175260"/>
                      <wp:effectExtent l="0" t="0" r="0" b="0"/>
                      <wp:wrapNone/>
                      <wp:docPr id="164" name="Frame1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20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 </w:t>
            </w:r>
          </w:p>
        </w:tc>
        <w:tc>
          <w:tcPr>
            <w:tcW w:w="20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34,307</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24,682</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69,234</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45,834</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3,772</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9,711</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6,461</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28,454</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78,945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52,295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Company primarily sells AYVAKIT/AYVAKYT through specialty distributors and specialty pharmacies. The following table summarizes the customers that represent 10% or greater of gross product revenue for the three and six months ended June 30, 2023, and 2022 (in thousands):</w:t>
      </w:r>
    </w:p>
    <w:p>
      <w:pPr>
        <w:pStyle w:val="TextBody"/>
        <w:bidi w:val="0"/>
        <w:spacing w:lineRule="auto" w:line="285" w:before="0" w:after="0"/>
        <w:ind w:left="0" w:right="0" w:hanging="0"/>
        <w:jc w:val="left"/>
        <w:rPr/>
      </w:pPr>
      <w:r>
        <w:rPr/>
        <w:t>​</w:t>
      </w:r>
    </w:p>
    <w:tbl>
      <w:tblPr>
        <w:tblW w:w="4453" w:type="dxa"/>
        <w:jc w:val="left"/>
        <w:tblInd w:w="0" w:type="dxa"/>
        <w:tblLayout w:type="fixed"/>
        <w:tblCellMar>
          <w:top w:w="0" w:type="dxa"/>
          <w:left w:w="0" w:type="dxa"/>
          <w:bottom w:w="0" w:type="dxa"/>
          <w:right w:w="0" w:type="dxa"/>
        </w:tblCellMar>
      </w:tblPr>
      <w:tblGrid>
        <w:gridCol w:w="1051"/>
        <w:gridCol w:w="109"/>
        <w:gridCol w:w="395"/>
        <w:gridCol w:w="338"/>
        <w:gridCol w:w="182"/>
        <w:gridCol w:w="395"/>
        <w:gridCol w:w="338"/>
        <w:gridCol w:w="146"/>
        <w:gridCol w:w="347"/>
        <w:gridCol w:w="298"/>
        <w:gridCol w:w="160"/>
        <w:gridCol w:w="347"/>
        <w:gridCol w:w="347"/>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7385" cy="175260"/>
                      <wp:effectExtent l="0" t="0" r="0" b="0"/>
                      <wp:wrapNone/>
                      <wp:docPr id="167" name="Frame16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50825" cy="175260"/>
                      <wp:effectExtent l="0" t="0" r="0" b="0"/>
                      <wp:wrapNone/>
                      <wp:docPr id="169" name="Frame16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4630" cy="175260"/>
                      <wp:effectExtent l="0" t="0" r="0" b="0"/>
                      <wp:wrapNone/>
                      <wp:docPr id="170" name="Frame17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15570" cy="175260"/>
                      <wp:effectExtent l="0" t="0" r="0" b="0"/>
                      <wp:wrapNone/>
                      <wp:docPr id="171" name="Frame171"/>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50825" cy="175260"/>
                      <wp:effectExtent l="0" t="0" r="0" b="0"/>
                      <wp:wrapNone/>
                      <wp:docPr id="172" name="Frame172"/>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4630" cy="175260"/>
                      <wp:effectExtent l="0" t="0" r="0" b="0"/>
                      <wp:wrapNone/>
                      <wp:docPr id="173" name="Frame17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2710" cy="175260"/>
                      <wp:effectExtent l="0" t="0" r="0" b="0"/>
                      <wp:wrapNone/>
                      <wp:docPr id="174" name="Frame1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0345" cy="175260"/>
                      <wp:effectExtent l="0" t="0" r="0" b="0"/>
                      <wp:wrapNone/>
                      <wp:docPr id="175" name="Frame175"/>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89230" cy="175260"/>
                      <wp:effectExtent l="0" t="0" r="0" b="0"/>
                      <wp:wrapNone/>
                      <wp:docPr id="176" name="Frame17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01600" cy="175260"/>
                      <wp:effectExtent l="0" t="0" r="0" b="0"/>
                      <wp:wrapNone/>
                      <wp:docPr id="177" name="Frame177"/>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0345" cy="175260"/>
                      <wp:effectExtent l="0" t="0" r="0" b="0"/>
                      <wp:wrapNone/>
                      <wp:docPr id="178" name="Frame17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20345" cy="175260"/>
                      <wp:effectExtent l="0" t="0" r="0" b="0"/>
                      <wp:wrapNone/>
                      <wp:docPr id="179" name="Frame17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64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1499"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 </w:t>
            </w:r>
          </w:p>
        </w:tc>
        <w:tc>
          <w:tcPr>
            <w:tcW w:w="149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82" w:type="dxa"/>
            <w:tcBorders/>
            <w:vAlign w:val="center"/>
          </w:tcPr>
          <w:p>
            <w:pPr>
              <w:pStyle w:val="TableContents"/>
              <w:bidi w:val="0"/>
              <w:spacing w:lineRule="auto" w:line="285" w:before="0" w:after="0"/>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0" w:type="dxa"/>
            <w:tcBorders/>
            <w:vAlign w:val="center"/>
          </w:tcPr>
          <w:p>
            <w:pPr>
              <w:pStyle w:val="TableContents"/>
              <w:bidi w:val="0"/>
              <w:spacing w:lineRule="auto" w:line="285" w:before="0" w:after="0"/>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3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3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 w:type="dxa"/>
            <w:tcBorders/>
            <w:shd w:fill="CCEEFF" w:val="clear"/>
            <w:vAlign w:val="center"/>
          </w:tcPr>
          <w:p>
            <w:pPr>
              <w:pStyle w:val="TableContents"/>
              <w:bidi w:val="0"/>
              <w:spacing w:lineRule="auto" w:line="285" w:before="0" w:after="0"/>
              <w:ind w:left="0" w:right="0" w:hanging="0"/>
              <w:jc w:val="left"/>
              <w:rPr/>
            </w:pPr>
            <w:r>
              <w:rPr/>
              <w:t>​</w:t>
            </w:r>
          </w:p>
        </w:tc>
        <w:tc>
          <w:tcPr>
            <w:tcW w:w="3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39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lineRule="auto" w:line="285" w:before="0" w:after="0"/>
              <w:ind w:left="0" w:right="0" w:hanging="0"/>
              <w:jc w:val="left"/>
              <w:rPr/>
            </w:pPr>
            <w:r>
              <w:rPr/>
              <w:t>​</w:t>
            </w:r>
          </w:p>
        </w:tc>
        <w:tc>
          <w:tcPr>
            <w:tcW w:w="39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 w:type="dxa"/>
            <w:tcBorders/>
            <w:vAlign w:val="center"/>
          </w:tcPr>
          <w:p>
            <w:pPr>
              <w:pStyle w:val="TableContents"/>
              <w:bidi w:val="0"/>
              <w:spacing w:lineRule="auto" w:line="285" w:before="0" w:after="0"/>
              <w:ind w:left="0" w:right="0" w:hanging="0"/>
              <w:jc w:val="left"/>
              <w:rPr/>
            </w:pPr>
            <w:r>
              <w:rPr/>
              <w:t>​</w:t>
            </w:r>
          </w:p>
        </w:tc>
        <w:tc>
          <w:tcPr>
            <w:tcW w:w="34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9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 w:type="dxa"/>
            <w:tcBorders/>
            <w:vAlign w:val="center"/>
          </w:tcPr>
          <w:p>
            <w:pPr>
              <w:pStyle w:val="TableContents"/>
              <w:bidi w:val="0"/>
              <w:spacing w:lineRule="auto" w:line="285" w:before="0" w:after="0"/>
              <w:ind w:left="0" w:right="0" w:hanging="0"/>
              <w:jc w:val="left"/>
              <w:rPr/>
            </w:pPr>
            <w:r>
              <w:rPr/>
              <w:t>​</w:t>
            </w:r>
          </w:p>
        </w:tc>
        <w:tc>
          <w:tcPr>
            <w:tcW w:w="34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the customers with amounts due that represent 10% or greater of the accounts receivable associated with the Company’s product sales as of June 30, 2023 and December 31, 2022 (in thousands):</w:t>
      </w:r>
    </w:p>
    <w:p>
      <w:pPr>
        <w:pStyle w:val="TextBody"/>
        <w:bidi w:val="0"/>
        <w:spacing w:lineRule="auto" w:line="285" w:before="0" w:after="0"/>
        <w:ind w:left="0" w:right="0" w:hanging="0"/>
        <w:jc w:val="left"/>
        <w:rPr/>
      </w:pPr>
      <w:r>
        <w:rPr/>
        <w:t>​</w:t>
      </w:r>
    </w:p>
    <w:tbl>
      <w:tblPr>
        <w:tblW w:w="3220" w:type="dxa"/>
        <w:jc w:val="left"/>
        <w:tblInd w:w="0" w:type="dxa"/>
        <w:tblLayout w:type="fixed"/>
        <w:tblCellMar>
          <w:top w:w="0" w:type="dxa"/>
          <w:left w:w="0" w:type="dxa"/>
          <w:bottom w:w="0" w:type="dxa"/>
          <w:right w:w="0" w:type="dxa"/>
        </w:tblCellMar>
      </w:tblPr>
      <w:tblGrid>
        <w:gridCol w:w="1051"/>
        <w:gridCol w:w="109"/>
        <w:gridCol w:w="411"/>
        <w:gridCol w:w="354"/>
        <w:gridCol w:w="109"/>
        <w:gridCol w:w="593"/>
        <w:gridCol w:w="593"/>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67385" cy="175260"/>
                      <wp:effectExtent l="0" t="0" r="0" b="0"/>
                      <wp:wrapNone/>
                      <wp:docPr id="180" name="Frame18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60985" cy="175260"/>
                      <wp:effectExtent l="0" t="0" r="0" b="0"/>
                      <wp:wrapNone/>
                      <wp:docPr id="182" name="Frame182"/>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4790" cy="175260"/>
                      <wp:effectExtent l="0" t="0" r="0" b="0"/>
                      <wp:wrapNone/>
                      <wp:docPr id="183" name="Frame18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76555" cy="175260"/>
                      <wp:effectExtent l="0" t="0" r="0" b="0"/>
                      <wp:wrapNone/>
                      <wp:docPr id="185" name="Frame185"/>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76555" cy="175260"/>
                      <wp:effectExtent l="0" t="0" r="0" b="0"/>
                      <wp:wrapNone/>
                      <wp:docPr id="186" name="Frame18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6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4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4</w:t>
            </w:r>
          </w:p>
        </w:tc>
        <w:tc>
          <w:tcPr>
            <w:tcW w:w="109" w:type="dxa"/>
            <w:tcBorders/>
            <w:vAlign w:val="center"/>
          </w:tcPr>
          <w:p>
            <w:pPr>
              <w:pStyle w:val="TableContents"/>
              <w:bidi w:val="0"/>
              <w:spacing w:lineRule="auto" w:line="285" w:before="0" w:after="0"/>
              <w:ind w:left="0" w:right="0" w:hanging="0"/>
              <w:jc w:val="left"/>
              <w:rPr/>
            </w:pPr>
            <w:r>
              <w:rPr/>
              <w:t>​</w:t>
            </w:r>
          </w:p>
        </w:tc>
        <w:tc>
          <w:tcPr>
            <w:tcW w:w="4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Calibri;Helvetica;sans-serif" w:hAnsi="Calibri;Helvetica;sans-serif"/>
                <w:sz w:val="22"/>
              </w:rPr>
            </w:pPr>
            <w:r>
              <w:rPr>
                <w:rFonts w:ascii="Calibri;Helvetica;sans-serif" w:hAnsi="Calibri;Helvetica;sans-serif"/>
                <w:sz w:val="22"/>
              </w:rPr>
              <w:t>*</w:t>
            </w:r>
          </w:p>
        </w:tc>
        <w:tc>
          <w:tcPr>
            <w:tcW w:w="593"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307" w:before="0" w:after="0"/>
        <w:ind w:left="0" w:right="0" w:hanging="0"/>
        <w:jc w:val="left"/>
        <w:rPr/>
      </w:pPr>
      <w:r>
        <w:rPr/>
        <w:t> </w:t>
      </w:r>
    </w:p>
    <w:p>
      <w:pPr>
        <w:pStyle w:val="TextBody"/>
        <w:bidi w:val="0"/>
        <w:spacing w:lineRule="auto" w:line="307" w:before="0" w:after="160"/>
        <w:ind w:left="0" w:right="0" w:hanging="0"/>
        <w:jc w:val="left"/>
        <w:rPr>
          <w:rFonts w:ascii="Times New Roman;Times;serif" w:hAnsi="Times New Roman;Times;serif"/>
          <w:sz w:val="18"/>
        </w:rPr>
      </w:pPr>
      <w:r>
        <w:rPr>
          <w:rFonts w:ascii="Times New Roman;Times;serif" w:hAnsi="Times New Roman;Times;serif"/>
          <w:sz w:val="18"/>
        </w:rPr>
        <w:t xml:space="preserve">* Indicates the customer’s share is under 10%.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activity in each of the product revenue allowance and reserve categories for the six months ended June 30, 2023 and 2022 (in thousands):</w:t>
      </w:r>
    </w:p>
    <w:p>
      <w:pPr>
        <w:pStyle w:val="TextBody"/>
        <w:bidi w:val="0"/>
        <w:spacing w:lineRule="auto" w:line="285" w:before="0" w:after="0"/>
        <w:ind w:left="0" w:right="0" w:hanging="0"/>
        <w:jc w:val="left"/>
        <w:rPr/>
      </w:pPr>
      <w:r>
        <w:rPr/>
        <w:t>​</w:t>
      </w:r>
    </w:p>
    <w:tbl>
      <w:tblPr>
        <w:tblW w:w="6000" w:type="dxa"/>
        <w:jc w:val="left"/>
        <w:tblInd w:w="0" w:type="dxa"/>
        <w:tblLayout w:type="fixed"/>
        <w:tblCellMar>
          <w:top w:w="0" w:type="dxa"/>
          <w:left w:w="0" w:type="dxa"/>
          <w:bottom w:w="0" w:type="dxa"/>
          <w:right w:w="0" w:type="dxa"/>
        </w:tblCellMar>
      </w:tblPr>
      <w:tblGrid>
        <w:gridCol w:w="3841"/>
        <w:gridCol w:w="221"/>
        <w:gridCol w:w="833"/>
        <w:gridCol w:w="114"/>
        <w:gridCol w:w="221"/>
        <w:gridCol w:w="770"/>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39035" cy="175260"/>
                      <wp:effectExtent l="0" t="0" r="0" b="0"/>
                      <wp:wrapNone/>
                      <wp:docPr id="187" name="Frame187"/>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0335" cy="175260"/>
                      <wp:effectExtent l="0" t="0" r="0" b="0"/>
                      <wp:wrapNone/>
                      <wp:docPr id="188" name="Frame18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28955" cy="175260"/>
                      <wp:effectExtent l="0" t="0" r="0" b="0"/>
                      <wp:wrapNone/>
                      <wp:docPr id="189" name="Frame189"/>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2390" cy="175260"/>
                      <wp:effectExtent l="0" t="0" r="0" b="0"/>
                      <wp:wrapNone/>
                      <wp:docPr id="190" name="Frame190"/>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0335" cy="175260"/>
                      <wp:effectExtent l="0" t="0" r="0" b="0"/>
                      <wp:wrapNone/>
                      <wp:docPr id="191" name="Frame19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88950" cy="175260"/>
                      <wp:effectExtent l="0" t="0" r="0" b="0"/>
                      <wp:wrapNone/>
                      <wp:docPr id="192" name="Frame192"/>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105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4" w:type="dxa"/>
            <w:tcBorders/>
            <w:vAlign w:val="center"/>
          </w:tcPr>
          <w:p>
            <w:pPr>
              <w:pStyle w:val="TableContents"/>
              <w:bidi w:val="0"/>
              <w:spacing w:lineRule="auto" w:line="285"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9,788</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4,345</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period</w:t>
            </w:r>
          </w:p>
        </w:tc>
        <w:tc>
          <w:tcPr>
            <w:tcW w:w="221" w:type="dxa"/>
            <w:tcBorders/>
            <w:vAlign w:val="center"/>
          </w:tcPr>
          <w:p>
            <w:pPr>
              <w:pStyle w:val="TableContents"/>
              <w:bidi w:val="0"/>
              <w:spacing w:lineRule="auto" w:line="285" w:before="0" w:after="0"/>
              <w:ind w:left="0" w:right="0" w:hanging="0"/>
              <w:jc w:val="right"/>
              <w:rPr/>
            </w:pPr>
            <w:r>
              <w:rPr/>
              <w:t> </w:t>
            </w:r>
          </w:p>
        </w:tc>
        <w:tc>
          <w:tcPr>
            <w:tcW w:w="8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16,108</w:t>
            </w:r>
          </w:p>
        </w:tc>
        <w:tc>
          <w:tcPr>
            <w:tcW w:w="114"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9,408</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related to prior periods sales</w:t>
            </w:r>
          </w:p>
        </w:tc>
        <w:tc>
          <w:tcPr>
            <w:tcW w:w="221" w:type="dxa"/>
            <w:tcBorders/>
            <w:shd w:fill="CCEEFF" w:val="clear"/>
            <w:vAlign w:val="center"/>
          </w:tcPr>
          <w:p>
            <w:pPr>
              <w:pStyle w:val="TableContents"/>
              <w:bidi w:val="0"/>
              <w:spacing w:lineRule="auto" w:line="285" w:before="0" w:after="0"/>
              <w:ind w:left="0" w:right="0" w:hanging="0"/>
              <w:jc w:val="right"/>
              <w:rPr/>
            </w:pPr>
            <w:r>
              <w:rPr/>
              <w:t> </w:t>
            </w:r>
          </w:p>
        </w:tc>
        <w:tc>
          <w:tcPr>
            <w:tcW w:w="8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(10,553)</w:t>
            </w:r>
          </w:p>
        </w:tc>
        <w:tc>
          <w:tcPr>
            <w:tcW w:w="114" w:type="dxa"/>
            <w:tcBorders/>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(6,120)</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 at June 30</w:t>
            </w:r>
          </w:p>
        </w:tc>
        <w:tc>
          <w:tcPr>
            <w:tcW w:w="2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14,812</w:t>
            </w:r>
          </w:p>
        </w:tc>
        <w:tc>
          <w:tcPr>
            <w:tcW w:w="114"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7,063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total reserves that are included in the Company’s unaudited condensed consolidated balance sheets as of June 30, 2023 and December 31, 2022, are summarized as follows (in thousands):</w:t>
      </w:r>
    </w:p>
    <w:p>
      <w:pPr>
        <w:pStyle w:val="TextBody"/>
        <w:bidi w:val="0"/>
        <w:spacing w:lineRule="auto" w:line="285" w:before="0" w:after="0"/>
        <w:ind w:left="0" w:right="0" w:hanging="0"/>
        <w:jc w:val="left"/>
        <w:rPr/>
      </w:pPr>
      <w:r>
        <w:rPr/>
        <w:t>​</w:t>
      </w:r>
    </w:p>
    <w:tbl>
      <w:tblPr>
        <w:tblW w:w="5362" w:type="dxa"/>
        <w:jc w:val="left"/>
        <w:tblInd w:w="0" w:type="dxa"/>
        <w:tblLayout w:type="fixed"/>
        <w:tblCellMar>
          <w:top w:w="0" w:type="dxa"/>
          <w:left w:w="0" w:type="dxa"/>
          <w:bottom w:w="0" w:type="dxa"/>
          <w:right w:w="0" w:type="dxa"/>
        </w:tblCellMar>
      </w:tblPr>
      <w:tblGrid>
        <w:gridCol w:w="3181"/>
        <w:gridCol w:w="211"/>
        <w:gridCol w:w="676"/>
        <w:gridCol w:w="109"/>
        <w:gridCol w:w="281"/>
        <w:gridCol w:w="90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19935" cy="175260"/>
                      <wp:effectExtent l="0" t="0" r="0" b="0"/>
                      <wp:wrapNone/>
                      <wp:docPr id="193" name="Frame193"/>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9260" cy="175260"/>
                      <wp:effectExtent l="0" t="0" r="0" b="0"/>
                      <wp:wrapNone/>
                      <wp:docPr id="195" name="Frame1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8435" cy="175260"/>
                      <wp:effectExtent l="0" t="0" r="0" b="0"/>
                      <wp:wrapNone/>
                      <wp:docPr id="197" name="Frame19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74040" cy="175260"/>
                      <wp:effectExtent l="0" t="0" r="0" b="0"/>
                      <wp:wrapNone/>
                      <wp:docPr id="198" name="Frame19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Reduction of accounts receivable, net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Component of accrued expenses</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13,555</w:t>
            </w:r>
          </w:p>
        </w:tc>
        <w:tc>
          <w:tcPr>
            <w:tcW w:w="109"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9,046</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revenue-related reserves</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9,788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12" w:name="Tc_cY8CgWhv8UOwokEXBVRnmg_5_5"/>
      <w:bookmarkStart w:id="913" w:name="Tc_KRyE0lue0kuge6oy1zmzGQ_5_2"/>
      <w:bookmarkStart w:id="914" w:name="Tc_Abc06Qs7CEGMQBzhAP4w5w_5_0"/>
      <w:bookmarkStart w:id="915" w:name="Tc_MD8xdoj2IEewBIhl_OyARA_4_0"/>
      <w:bookmarkStart w:id="916" w:name="Tc_yetkkB9iZ0qRrUlxY6PSzQ_3_5"/>
      <w:bookmarkStart w:id="917" w:name="Tc_YxIXIF1gLkGKlNAwvdTATQ_3_2"/>
      <w:bookmarkStart w:id="918" w:name="Tc_hauTKYUefE6KjQQJ8IXvDA_3_0"/>
      <w:bookmarkStart w:id="919" w:name="Tc_qHIBQ0J6uUaMIqnuG_BlNg_2_5"/>
      <w:bookmarkStart w:id="920" w:name="Tc_KjpWQWF4pkyfZx2Zob1MUg_2_2"/>
      <w:bookmarkStart w:id="921" w:name="Tc_Uc0D-0wQPEOBGPBgMuFT8w_1_5"/>
      <w:bookmarkStart w:id="922" w:name="Tc_kCrWFU1ZcEKsM8o8Oi0BeQ_1_2"/>
      <w:bookmarkStart w:id="923" w:name="_23691ca8_8b90_4e0e_b51d_ba7190972267"/>
      <w:bookmarkStart w:id="924" w:name="Tc_aat7z2hJJ0iuUnWKw1SU0A_6_5"/>
      <w:bookmarkStart w:id="925" w:name="Tc_J2qDRTq6nUKzKdfZlG3LZg_6_2"/>
      <w:bookmarkStart w:id="926" w:name="Tc_aDB_nwH9vk-p3xTGV0PRfQ_6_0"/>
      <w:bookmarkStart w:id="927" w:name="Tc_X0ntRRnBKUeMnzQBGNvETA_5_0"/>
      <w:bookmarkStart w:id="928" w:name="Tc_3KmHliB1PUea64Xwx94_5A_4_0"/>
      <w:bookmarkStart w:id="929" w:name="Tc_lJP-wQzf20uenyBYaMqoxg_3_5"/>
      <w:bookmarkStart w:id="930" w:name="Tc_fqolvoZQ9EWFbuk8HrDqpw_3_2"/>
      <w:bookmarkStart w:id="931" w:name="Tc_1TYeI-2MFUmVH7ksOR2Qeg_3_0"/>
      <w:bookmarkStart w:id="932" w:name="Tc_t8sbsVPFYEe-D4xXmlDltg_2_5"/>
      <w:bookmarkStart w:id="933" w:name="Tc_NyzTFzzJuUuvaT8UpctwMg_2_2"/>
      <w:bookmarkStart w:id="934" w:name="Tc_XnBxkyuw-UmSFWAJhX3N3Q_1_5"/>
      <w:bookmarkStart w:id="935" w:name="Tc_0aa8cLM40UqJeQb5WGEtEA_1_2"/>
      <w:bookmarkStart w:id="936" w:name="_69d59e8b_f1d5_47bc_9495_264411eb0e87"/>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sz w:val="20"/>
        </w:rPr>
        <w:t xml:space="preserve">7. Inventory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Capitalized inventory consists of the following at June 30, 2023 and December 31, 2022 (in thousands):</w:t>
      </w:r>
    </w:p>
    <w:p>
      <w:pPr>
        <w:pStyle w:val="TextBody"/>
        <w:bidi w:val="0"/>
        <w:spacing w:lineRule="auto" w:line="285" w:before="0" w:after="0"/>
        <w:ind w:left="0" w:right="0" w:hanging="0"/>
        <w:jc w:val="left"/>
        <w:rPr/>
      </w:pPr>
      <w:r>
        <w:rPr/>
        <w:t>​</w:t>
      </w:r>
    </w:p>
    <w:tbl>
      <w:tblPr>
        <w:tblW w:w="3933" w:type="dxa"/>
        <w:jc w:val="left"/>
        <w:tblInd w:w="0" w:type="dxa"/>
        <w:tblLayout w:type="fixed"/>
        <w:tblCellMar>
          <w:top w:w="0" w:type="dxa"/>
          <w:left w:w="0" w:type="dxa"/>
          <w:bottom w:w="0" w:type="dxa"/>
          <w:right w:w="0" w:type="dxa"/>
        </w:tblCellMar>
      </w:tblPr>
      <w:tblGrid>
        <w:gridCol w:w="1426"/>
        <w:gridCol w:w="109"/>
        <w:gridCol w:w="211"/>
        <w:gridCol w:w="676"/>
        <w:gridCol w:w="326"/>
        <w:gridCol w:w="252"/>
        <w:gridCol w:w="933"/>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05510" cy="175260"/>
                      <wp:effectExtent l="0" t="0" r="0" b="0"/>
                      <wp:wrapNone/>
                      <wp:docPr id="199" name="Frame19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9260" cy="175260"/>
                      <wp:effectExtent l="0" t="0" r="0" b="0"/>
                      <wp:wrapNone/>
                      <wp:docPr id="202" name="Frame2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0020" cy="175260"/>
                      <wp:effectExtent l="0" t="0" r="0" b="0"/>
                      <wp:wrapNone/>
                      <wp:docPr id="204" name="Frame20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92455" cy="175260"/>
                      <wp:effectExtent l="0" t="0" r="0" b="0"/>
                      <wp:wrapNone/>
                      <wp:docPr id="205" name="Frame20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Raw materials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4,967</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32,750</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28,427</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2,791</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36,938</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36,185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Balance sheet classification</w:t>
      </w:r>
    </w:p>
    <w:tbl>
      <w:tblPr>
        <w:tblW w:w="3588" w:type="dxa"/>
        <w:jc w:val="left"/>
        <w:tblInd w:w="0" w:type="dxa"/>
        <w:tblLayout w:type="fixed"/>
        <w:tblCellMar>
          <w:top w:w="0" w:type="dxa"/>
          <w:left w:w="0" w:type="dxa"/>
          <w:bottom w:w="0" w:type="dxa"/>
          <w:right w:w="0" w:type="dxa"/>
        </w:tblCellMar>
      </w:tblPr>
      <w:tblGrid>
        <w:gridCol w:w="1081"/>
        <w:gridCol w:w="109"/>
        <w:gridCol w:w="211"/>
        <w:gridCol w:w="676"/>
        <w:gridCol w:w="326"/>
        <w:gridCol w:w="252"/>
        <w:gridCol w:w="933"/>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86435" cy="175260"/>
                      <wp:effectExtent l="0" t="0" r="0" b="0"/>
                      <wp:wrapNone/>
                      <wp:docPr id="206" name="Frame20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9260" cy="175260"/>
                      <wp:effectExtent l="0" t="0" r="0" b="0"/>
                      <wp:wrapNone/>
                      <wp:docPr id="209"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0020" cy="175260"/>
                      <wp:effectExtent l="0" t="0" r="0" b="0"/>
                      <wp:wrapNone/>
                      <wp:docPr id="211" name="Frame21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92455" cy="175260"/>
                      <wp:effectExtent l="0" t="0" r="0" b="0"/>
                      <wp:wrapNone/>
                      <wp:docPr id="212" name="Frame21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29,697</w:t>
            </w:r>
          </w:p>
        </w:tc>
      </w:tr>
      <w:tr>
        <w:trPr/>
        <w:tc>
          <w:tcPr>
            <w:tcW w:w="10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19,922</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6,488</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36,938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36,185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Inventory amounts written down as a result of excess, obsolescence, unmarketability or other reasons are charged to cost of sales. The Company recognized a write-down of $0.5 million and $2.0 million for the three and six months ended June 30, 2023, respectively. The Company did not recognize any write-down for the three and six months ended June 30, 2022. Long-term inventory, which primarily consists of work in process and raw materials, is included in other assets in the unaudited condensed consolidated balance sheets.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8. Restricted Cash</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June 30, 2023 and December 31, 2022, $6.4 million and $5.2 million, respectively, of the Company’s cash is restricted by a financial institution primarily related to security deposits for the lease agreements for the Company’s office and laboratory spaces.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37" w:name="Tc_pcqjjJYRoUC1wuCIHQhvpw_8_5"/>
      <w:bookmarkStart w:id="938" w:name="Tc_xiZNUjhQlU-RatON2PfvYA_8_2"/>
      <w:bookmarkStart w:id="939" w:name="Tc_CWk3cDHc7UWM-KT5cxgEQQ_8_0"/>
      <w:bookmarkStart w:id="940" w:name="Tc_Fj-sCkflI0u4AteUtzr9bQ_7_0"/>
      <w:bookmarkStart w:id="941" w:name="Tc_t4KZoftNf06y68yyFZOBEw_6_0"/>
      <w:bookmarkStart w:id="942" w:name="Tc_Yt-ESJ_V90qxIsrdaWNHLg_5_0"/>
      <w:bookmarkStart w:id="943" w:name="Tc_23Ct7FZC70S89VXRYnkdQw_4_0"/>
      <w:bookmarkStart w:id="944" w:name="Tc_iNo68YvShky5GzLWxV7pRA_3_5"/>
      <w:bookmarkStart w:id="945" w:name="Tc_c4nXs82zJk2kvJPC_SU82Q_3_2"/>
      <w:bookmarkStart w:id="946" w:name="Tc_zg4jUvIddUa5pvIsmTtDQg_3_0"/>
      <w:bookmarkStart w:id="947" w:name="Tc_Kgmo4FrazEqQ7XGg-P813w_2_5"/>
      <w:bookmarkStart w:id="948" w:name="Tc_TjHmlb_R7UudvY7C7hi2ZA_2_2"/>
      <w:bookmarkStart w:id="949" w:name="Tc_D7ZvMLVXsUac7TgDTyYLnA_1_5"/>
      <w:bookmarkStart w:id="950" w:name="Tc_O4pu821wT0Wfb5tIOSp1fw_1_2"/>
      <w:bookmarkStart w:id="951" w:name="_9a254f94_f439_4e02_a769_8974d5e53ad5"/>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b/>
          <w:sz w:val="20"/>
        </w:rPr>
        <w:t>9. Accrued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lineRule="auto" w:line="285" w:before="0" w:after="0"/>
        <w:ind w:left="0" w:right="0" w:hanging="0"/>
        <w:jc w:val="left"/>
        <w:rPr/>
      </w:pPr>
      <w:r>
        <w:rPr/>
        <w:t>​</w:t>
      </w:r>
    </w:p>
    <w:tbl>
      <w:tblPr>
        <w:tblW w:w="7330" w:type="dxa"/>
        <w:jc w:val="left"/>
        <w:tblInd w:w="0" w:type="dxa"/>
        <w:tblLayout w:type="fixed"/>
        <w:tblCellMar>
          <w:top w:w="0" w:type="dxa"/>
          <w:left w:w="0" w:type="dxa"/>
          <w:bottom w:w="0" w:type="dxa"/>
          <w:right w:w="0" w:type="dxa"/>
        </w:tblCellMar>
      </w:tblPr>
      <w:tblGrid>
        <w:gridCol w:w="4501"/>
        <w:gridCol w:w="326"/>
        <w:gridCol w:w="211"/>
        <w:gridCol w:w="781"/>
        <w:gridCol w:w="326"/>
        <w:gridCol w:w="228"/>
        <w:gridCol w:w="957"/>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858135" cy="175260"/>
                      <wp:effectExtent l="0" t="0" r="0" b="0"/>
                      <wp:wrapNone/>
                      <wp:docPr id="213" name="Frame213"/>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95935" cy="175260"/>
                      <wp:effectExtent l="0" t="0" r="0" b="0"/>
                      <wp:wrapNone/>
                      <wp:docPr id="216" name="Frame2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44780" cy="175260"/>
                      <wp:effectExtent l="0" t="0" r="0" b="0"/>
                      <wp:wrapNone/>
                      <wp:docPr id="218" name="Frame21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07695" cy="175260"/>
                      <wp:effectExtent l="0" t="0" r="0" b="0"/>
                      <wp:wrapNone/>
                      <wp:docPr id="219" name="Frame21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development and commercial contract costs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40,401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66,041</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26,179</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w:t>
            </w:r>
          </w:p>
        </w:tc>
        <w:tc>
          <w:tcPr>
            <w:tcW w:w="9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30,744</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9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17,588</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Revenue-related reserves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13,555</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w:t>
            </w:r>
          </w:p>
        </w:tc>
        <w:tc>
          <w:tcPr>
            <w:tcW w:w="9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9,046</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7,511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7,704</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101,162</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131,123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10. Collaboration and License Agreements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IDRx</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August 2022, the Company entered into </w:t>
      </w:r>
      <w:r>
        <w:rPr>
          <w:rFonts w:ascii="Times New Roman;Times;serif" w:hAnsi="Times New Roman;Times;serif"/>
          <w:sz w:val="20"/>
          <w:shd w:fill="FFFFFF" w:val="clear"/>
        </w:rPr>
        <w:t>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w:t>
      </w:r>
      <w:r>
        <w:rPr>
          <w:rFonts w:ascii="Times New Roman;Times;serif" w:hAnsi="Times New Roman;Times;serif"/>
          <w:sz w:val="20"/>
        </w:rPr>
        <w:t xml:space="preserve">mong IDRx’s founders are Alexis Borisy, George Demetri, M.D., and Nicholas Lydon, Ph.D., who were each members of the Company’s board of directors at the time. Due to these relationships, the transaction with IDRx is a related party transaction.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IDRx License Agreement, the Company also entered into a stock purchase agreement with IDRx (IDRx Stock Purchase Agreement), pursuant to which the Company received 4,509,105 shares of IDRx’s Series A preferred stock and the Company has the right to receive additional shares of IDRx’s Series A preferred stock through an anti-dilution provision subject to a defined financing cap. </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 </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purposes of ASC 606, the transaction price of the IDRx License Agreement at the contract inception was determined to be $27.5 million and recorded as license revenue-related party on the consolidated statements of operations and comprehensive loss during the year ended December 31,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Company accounts for the preferred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stock investment under the measurement alternative for equity investments that do not have a readily determinable fair value, which is at cost of $27.8 million including transaction costs of $0.3 million. As of June 30, 2023, the cost of the investment in IDRx’s preferred stock was $27.8 million and was recorded as equity investment on the condensed consolidated balance sheets. As of June 30, 2023, no adjustments have been recognized related to the preferred stock investment as a result of the application of the measurement alternative.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Proteovant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2022, the Company entered into </w:t>
      </w:r>
      <w:r>
        <w:rPr>
          <w:rFonts w:ascii="Times New Roman;Times;serif" w:hAnsi="Times New Roman;Times;serif"/>
          <w:sz w:val="20"/>
          <w:shd w:fill="FFFFFF" w:val="clear"/>
        </w:rPr>
        <w:t>an exclusive</w:t>
      </w:r>
      <w:r>
        <w:rPr>
          <w:rFonts w:ascii="Times New Roman;Times;serif" w:hAnsi="Times New Roman;Times;serif"/>
          <w:sz w:val="20"/>
        </w:rPr>
        <w:t xml:space="preserve"> collaboration agreement (the Proteovant collaboration agreement) with Oncopia Therapeutics, Inc., d/b/a Proteovant Therapeutics, Inc. (Proteovant), to jointly research and advance up to two novel protein degrader therapies into development candidates, </w:t>
      </w:r>
      <w:r>
        <w:rPr>
          <w:rFonts w:ascii="Times New Roman;Times;serif" w:hAnsi="Times New Roman;Times;serif"/>
          <w:sz w:val="20"/>
          <w:shd w:fill="FFFFFF" w:val="clear"/>
        </w:rPr>
        <w:t>as well as up to two additional novel protein degrader target programs as may be mutually agreed to by the Company and Proteovant (each program is referred to as a target program)</w:t>
      </w:r>
      <w:r>
        <w:rPr>
          <w:rFonts w:ascii="Times New Roman;Times;serif" w:hAnsi="Times New Roman;Times;serif"/>
          <w:sz w:val="20"/>
        </w:rPr>
        <w:t xml:space="preserve">. </w:t>
      </w:r>
      <w:r>
        <w:rPr>
          <w:rFonts w:ascii="Times New Roman;Times;serif" w:hAnsi="Times New Roman;Times;serif"/>
          <w:sz w:val="20"/>
          <w:shd w:fill="FFFFFF" w:val="clear"/>
        </w:rPr>
        <w:t xml:space="preserve">On a target program-by-target program basis, the Company has an exclusive option to obtain a worldwide, exclusive license to develop and commercialize any licensed compound and licensed product under each target program. Proteovant has the right to opt into the global development and U.S. commercialization of certain licensed compounds and licensed products under the second target program that the Company options, and if the parties add additional target programs, Proteovant will have the same opt-in right for the fourth target program that the Company options.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paid Proteovant an upfront payment of $20.0 million in connection with the execution of the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 in to the second target program, the parties will split profits and losses of that program equally in the U.S. along with development costs and the milestone payments for the program will be reduced accordingly. Proteovant will be eligible to receive milestone payments and royalties on ex-U.S. sales. In addition, the parties may jointly extend the collaboration, with the same structure and financial terms, to two additional program targets through additional funding by the Company.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concluded that Proteovant is providing the Company with research services throughout the period until the Company can exercise its option to </w:t>
      </w:r>
      <w:r>
        <w:rPr>
          <w:rFonts w:ascii="Times New Roman;Times;serif" w:hAnsi="Times New Roman;Times;serif"/>
          <w:sz w:val="20"/>
          <w:shd w:fill="FFFFFF" w:val="clear"/>
        </w:rPr>
        <w:t>obtain a worldwide, exclusive license to develop and commercialize any licensed compound</w:t>
      </w:r>
      <w:r>
        <w:rPr>
          <w:rFonts w:ascii="Times New Roman;Times;serif" w:hAnsi="Times New Roman;Times;serif"/>
          <w:sz w:val="20"/>
        </w:rPr>
        <w:t xml:space="preserve">. Therefore, the Company recorded the $20.0 million upfront payment as an asset on the unaudited condensed consolidated financial statements and records it as research and development expense over the expected research period. The Company reevaluates the expected research period at the end of each reporting period and prospectively adjusts the amortization of the asset for changes in the expected research period. Each research and development milestone payment is accrued and expensed when probable. During the three and six months ended June 30, 2023, the Company recorded research and development expense of $4.3 million and $5.7 million, respectively, under the Proteovant collaboration agreement. During the three and six months ended June 30, 2022, the Company recorded research and development expense of $1.0 million and $1.5 million, respectively, under the Proteovant collaboration agreement.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Zai Lab</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The collaboration aims to accelerate and expand global development of the licensed products, which currently include BLU-945 and BLU-525 (which served as a back-up candidate for BLU-701). The Company retains exclusive rights to the licensed products outside the Zai Lab Territory.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clinical trials in the Zai Lab Territory, other than the specified shared services costs as defined in the Zai Lab agreement which are shared by the Company and Zai Lab.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Zai Lab agreement will continue on a licensed product-by-product and region-by-region basis until the later of (i) the 12</w:t>
      </w:r>
      <w:r>
        <w:rPr>
          <w:rFonts w:ascii="Times New Roman;Times;serif" w:hAnsi="Times New Roman;Times;serif"/>
          <w:sz w:val="15"/>
        </w:rPr>
        <w:t>th</w:t>
      </w:r>
      <w:r>
        <w:rPr>
          <w:rFonts w:ascii="Times New Roman;Times;serif" w:hAnsi="Times New Roman;Times;serif"/>
          <w:sz w:val="20"/>
        </w:rPr>
        <w:t xml:space="preserve">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after the </w:t>
      </w:r>
      <w:r>
        <w:rPr>
          <w:rFonts w:ascii="Times New Roman;Times;serif" w:hAnsi="Times New Roman;Times;serif"/>
          <w:b w:val="false"/>
          <w:i w:val="false"/>
          <w:caps w:val="false"/>
          <w:smallCaps w:val="false"/>
          <w:sz w:val="20"/>
        </w:rPr>
        <w:t>second</w:t>
      </w:r>
      <w:r>
        <w:rPr>
          <w:rFonts w:ascii="Times New Roman;Times;serif" w:hAnsi="Times New Roman;Times;serif"/>
          <w:sz w:val="20"/>
        </w:rPr>
        <w:t xml:space="preserve">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three and six months ended June 30, 2023, the Company did not record such reductions of expenses under the Zai Lab agreement, and such reductions were insignificant during the three and six months ended June 30, 2022.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Lab and are recognized as revenue. During the three months ended June 30, 2023, the Company did not record revenue under the Zai Lab agreement and revenue recorded during the six months ended June 30, 2023 was negligible. During the three and six months ended June 30, 2022, the Company recorded $0.5 million and $0.6 million, respectively, in revenue related to Zai Lab Territory specific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purposes of ASC 606, the transaction price of the Zai Lab agreement at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in 2021.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Roche – Pralsetinib Collaboration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Roche pralsetinib collaboration agreement, the Company received an upfront cash payment of $675.0 million, and through June 30, 2023, the Company received an aggregate of $105.0 million in specified regulatory and commercialization milestones. In February 2023, the Company received written notice from Roche of their election to terminate for convenience the Roche pralsetinib collaboration agreement. The termination will become effective in February 2024, at which time the Company will regain commercialization and development rights to GAVRETO from Roche worldwide excluding the CStone Territory. Until the termination of the collaboration agreement is effective, the parties continue to perform their respective obligations under the collaboration agreement, including with respect to the development and commercialization of GAVRETO. The Company will not be entitled to receive payment for milestones, if any, achieved during the period between the receipt of the notice of termination and the effective date of termination. The termination of the collaboration agreement does not have an impact on the Company’s current accounting treatment related to the Roche pralsetinib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Roche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952" w:name="Tc_13HOnCs_YUGIJ4TwdDbkAQ_6_11"/>
      <w:bookmarkStart w:id="953" w:name="Tc_bHm-d4JbGUGfelw5WWbStQ_6_8"/>
      <w:bookmarkStart w:id="954" w:name="Tc_gQwoXYoXTUadW-0P1EvBQg_6_5"/>
      <w:bookmarkStart w:id="955" w:name="Tc_caWh9Jk6w0Kx_FX8y3IF6Q_6_2"/>
      <w:bookmarkStart w:id="956" w:name="Tc_ckN8pFp-RUm4vOTKT8Rk5g_6_0"/>
      <w:bookmarkStart w:id="957" w:name="Tc_Gn7Nr1aZME2RniWT6P3UNw_5_0"/>
      <w:bookmarkStart w:id="958" w:name="Tc_bMjCk9wizE2l4HU9MKRSWA_4_11"/>
      <w:bookmarkStart w:id="959" w:name="Tc_opru79lin0K2XrsltugumA_4_8"/>
      <w:bookmarkStart w:id="960" w:name="Tc_JlAL7MOP8E6G15hSHF4Huw_4_5"/>
      <w:bookmarkStart w:id="961" w:name="Tc_8pc3e6EtkEiLr5lYAxhVRQ_4_2"/>
      <w:bookmarkStart w:id="962" w:name="Tc_hT1rlEzSLE6_5mmEphXhMA_4_0"/>
      <w:bookmarkStart w:id="963" w:name="Tc_HE4y4qJrUEmSsrFwImesNw_3_11"/>
      <w:bookmarkStart w:id="964" w:name="Tc_5hHO3RD0TU2NHrbIksJzog_3_8"/>
      <w:bookmarkStart w:id="965" w:name="Tc_o6Hk5N3KQkKPvxHfeQKcRw_3_5"/>
      <w:bookmarkStart w:id="966" w:name="Tc_sfPdKNkoTEW8T5kljDp_lw_3_2"/>
      <w:bookmarkStart w:id="967" w:name="Tc_2J2s84ckMEqM7s380YiKAg_2_8"/>
      <w:bookmarkStart w:id="968" w:name="Tc_eokqOZKtSU6Sst5jTDbpEw_2_2"/>
      <w:bookmarkStart w:id="969" w:name="Tc_t6NZ6gnoYkemSummOak2GQ_1_8"/>
      <w:bookmarkStart w:id="970" w:name="Tc_9AqKnXMBUEiAbyOCPhvqdA_1_2"/>
      <w:bookmarkStart w:id="971" w:name="_23bcc73e_3cd5_428c_b3db_7b219b91b00c"/>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rFonts w:ascii="Times New Roman;Times;serif" w:hAnsi="Times New Roman;Times;serif"/>
          <w:sz w:val="20"/>
        </w:rPr>
        <w:t xml:space="preserve">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Roche pralsetinib collaboration agreement contained four material components: (i) 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is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the revenue is recognized when the related sales occur. Costs that are incurred associated with the Roche Territory activities are reimbursable from Roche and are recognized as revenue.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June 30, 2023, the Company has achieved an aggregate of $105.0 million in specified regulatory and commercialization milestones which were added to the estimated transaction price of the Roche pralsetinib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revenue recognized under the Roche pralsetinib collaboration during the three and six months ended June 30, 2023 and 2022 (in thousands): </w:t>
      </w:r>
    </w:p>
    <w:p>
      <w:pPr>
        <w:pStyle w:val="TextBody"/>
        <w:bidi w:val="0"/>
        <w:spacing w:lineRule="auto" w:line="285" w:before="0" w:after="0"/>
        <w:ind w:left="0" w:right="0" w:hanging="0"/>
        <w:jc w:val="left"/>
        <w:rPr/>
      </w:pPr>
      <w:r>
        <w:rPr/>
        <w:t>​</w:t>
      </w:r>
    </w:p>
    <w:tbl>
      <w:tblPr>
        <w:tblW w:w="9141" w:type="dxa"/>
        <w:jc w:val="left"/>
        <w:tblInd w:w="0" w:type="dxa"/>
        <w:tblLayout w:type="fixed"/>
        <w:tblCellMar>
          <w:top w:w="0" w:type="dxa"/>
          <w:left w:w="0" w:type="dxa"/>
          <w:bottom w:w="0" w:type="dxa"/>
          <w:right w:w="0" w:type="dxa"/>
        </w:tblCellMar>
      </w:tblPr>
      <w:tblGrid>
        <w:gridCol w:w="5386"/>
        <w:gridCol w:w="146"/>
        <w:gridCol w:w="247"/>
        <w:gridCol w:w="492"/>
        <w:gridCol w:w="170"/>
        <w:gridCol w:w="247"/>
        <w:gridCol w:w="492"/>
        <w:gridCol w:w="146"/>
        <w:gridCol w:w="211"/>
        <w:gridCol w:w="571"/>
        <w:gridCol w:w="146"/>
        <w:gridCol w:w="211"/>
        <w:gridCol w:w="676"/>
      </w:tblGrid>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2710" cy="175260"/>
                      <wp:effectExtent l="0" t="0" r="0" b="0"/>
                      <wp:wrapNone/>
                      <wp:docPr id="220" name="Frame2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6845" cy="175260"/>
                      <wp:effectExtent l="0" t="0" r="0" b="0"/>
                      <wp:wrapNone/>
                      <wp:docPr id="221" name="Frame22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12420" cy="175260"/>
                      <wp:effectExtent l="0" t="0" r="0" b="0"/>
                      <wp:wrapNone/>
                      <wp:docPr id="222" name="Frame222"/>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07950" cy="175260"/>
                      <wp:effectExtent l="0" t="0" r="0" b="0"/>
                      <wp:wrapNone/>
                      <wp:docPr id="223" name="Frame223"/>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56845" cy="175260"/>
                      <wp:effectExtent l="0" t="0" r="0" b="0"/>
                      <wp:wrapNone/>
                      <wp:docPr id="224" name="Frame224"/>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12420" cy="175260"/>
                      <wp:effectExtent l="0" t="0" r="0" b="0"/>
                      <wp:wrapNone/>
                      <wp:docPr id="225" name="Frame225"/>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2710" cy="175260"/>
                      <wp:effectExtent l="0" t="0" r="0" b="0"/>
                      <wp:wrapNone/>
                      <wp:docPr id="226" name="Frame2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175260"/>
                      <wp:effectExtent l="0" t="0" r="0" b="0"/>
                      <wp:wrapNone/>
                      <wp:docPr id="228" name="Frame2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2710" cy="175260"/>
                      <wp:effectExtent l="0" t="0" r="0" b="0"/>
                      <wp:wrapNone/>
                      <wp:docPr id="229" name="Frame2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64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w:t>
            </w:r>
          </w:p>
        </w:tc>
        <w:tc>
          <w:tcPr>
            <w:tcW w:w="181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w:t>
            </w:r>
          </w:p>
        </w:tc>
        <w:tc>
          <w:tcPr>
            <w:tcW w:w="18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0" w:type="dxa"/>
            <w:tcBorders/>
            <w:vAlign w:val="center"/>
          </w:tcPr>
          <w:p>
            <w:pPr>
              <w:pStyle w:val="TableContents"/>
              <w:bidi w:val="0"/>
              <w:spacing w:lineRule="auto" w:line="285" w:before="0" w:after="0"/>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Manufacturing and research and development services related to </w:t>
              <w:br/>
              <w:t>ex-US territory-specific activities</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70" w:type="dxa"/>
            <w:tcBorders/>
            <w:shd w:fill="CCEEFF" w:val="clear"/>
            <w:vAlign w:val="center"/>
          </w:tcPr>
          <w:p>
            <w:pPr>
              <w:pStyle w:val="TableContents"/>
              <w:bidi w:val="0"/>
              <w:spacing w:lineRule="auto" w:line="285" w:before="0" w:after="0"/>
              <w:ind w:left="0" w:right="0" w:hanging="0"/>
              <w:jc w:val="left"/>
              <w:rPr/>
            </w:pPr>
            <w:r>
              <w:rPr/>
              <w:t> </w:t>
            </w:r>
          </w:p>
        </w:tc>
        <w:tc>
          <w:tcPr>
            <w:tcW w:w="2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5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146" w:type="dxa"/>
            <w:tcBorders/>
            <w:vAlign w:val="center"/>
          </w:tcPr>
          <w:p>
            <w:pPr>
              <w:pStyle w:val="TableContents"/>
              <w:bidi w:val="0"/>
              <w:spacing w:lineRule="auto" w:line="285" w:before="0" w:after="0"/>
              <w:ind w:left="0" w:right="0" w:hanging="0"/>
              <w:jc w:val="left"/>
              <w:rPr/>
            </w:pPr>
            <w:r>
              <w:rPr/>
              <w:t> </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70" w:type="dxa"/>
            <w:tcBorders/>
            <w:vAlign w:val="center"/>
          </w:tcPr>
          <w:p>
            <w:pPr>
              <w:pStyle w:val="TableContents"/>
              <w:bidi w:val="0"/>
              <w:spacing w:lineRule="auto" w:line="285" w:before="0" w:after="0"/>
              <w:ind w:left="0" w:right="0" w:hanging="0"/>
              <w:jc w:val="left"/>
              <w:rPr/>
            </w:pPr>
            <w:r>
              <w:rPr/>
              <w:t> </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803</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5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Roche pralsetinib collaboration revenue</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170" w:type="dxa"/>
            <w:tcBorders/>
            <w:shd w:fill="CCEEFF" w:val="clear"/>
            <w:vAlign w:val="center"/>
          </w:tcPr>
          <w:p>
            <w:pPr>
              <w:pStyle w:val="TableContents"/>
              <w:bidi w:val="0"/>
              <w:spacing w:lineRule="auto" w:line="285" w:before="0" w:after="0"/>
              <w:ind w:left="0" w:right="0" w:hanging="0"/>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1,159</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1,291</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972" w:name="Tc_0dTmnREJqkKSga0caSYySQ_4_5"/>
      <w:bookmarkStart w:id="973" w:name="Tc_ovR9c84Fjky6_iazAlnAPQ_4_2"/>
      <w:bookmarkStart w:id="974" w:name="Tc_z37WWdbWTUebUowe1W--hw_4_0"/>
      <w:bookmarkStart w:id="975" w:name="Tc_G8PiVS75vke_X-96McM9Jg_3_6"/>
      <w:bookmarkStart w:id="976" w:name="Tc_yyZFlknKf0Sp1v65TNT7tQ_3_5"/>
      <w:bookmarkStart w:id="977" w:name="Tc_7selSOLsNk-1euW8r0u-Uw_3_2"/>
      <w:bookmarkStart w:id="978" w:name="Tc_7bpr2QlgzU61KMF_CAuYcw_3_0"/>
      <w:bookmarkStart w:id="979" w:name="Tc_xKd5l77NR0W21ZFq-dodgg_2_5"/>
      <w:bookmarkStart w:id="980" w:name="Tc_ULnjGGylEESgXmpatzIpTg_2_2"/>
      <w:bookmarkStart w:id="981" w:name="Tc_TTMntlvZUEeELUeq9Tiw7g_1_5"/>
      <w:bookmarkStart w:id="982" w:name="Tc_-HVIAv3_h02lsvH5n7n7iA_1_2"/>
      <w:bookmarkStart w:id="983" w:name="_ae5bef59_caac_4227_9802_22a61cb455c4"/>
      <w:bookmarkStart w:id="984" w:name="Tc_ANAIzBoxnE6shPBSy7kUPA_5_11"/>
      <w:bookmarkStart w:id="985" w:name="Tc__UMQZFVFp0OR_3QmMMETjQ_5_8"/>
      <w:bookmarkStart w:id="986" w:name="Tc_9c9Qookke0qZw_hxHnnYZg_5_5"/>
      <w:bookmarkStart w:id="987" w:name="Tc_C4FltvLUFESEeoSmvFl_Hw_5_2"/>
      <w:bookmarkStart w:id="988" w:name="Tc_GAo1k4ZF-0GVYwN3RLwT6Q_5_0"/>
      <w:bookmarkStart w:id="989" w:name="Tc_AMYkWwvF00WnTcr25uhPWw_4_11"/>
      <w:bookmarkStart w:id="990" w:name="Tc_aP4I7dqVfEe6bxIPZB8ELA_4_8"/>
      <w:bookmarkStart w:id="991" w:name="Tc_8TvmBy6qv0mdng1eMkCy1Q_4_5"/>
      <w:bookmarkStart w:id="992" w:name="Tc_CeDAp3EqL0y5aUzd5BlTag_4_2"/>
      <w:bookmarkStart w:id="993" w:name="Tc_nFdzOy_Sek2bd5TWMfGK5w_4_0"/>
      <w:bookmarkStart w:id="994" w:name="Tc_V7D8sjaDYECzbOdtP0waBQ_3_11"/>
      <w:bookmarkStart w:id="995" w:name="Tc_9x2V0KNc0EiuzRVkCg2oiA_3_8"/>
      <w:bookmarkStart w:id="996" w:name="Tc_1BbHzsYPdkGH3zNwOS4QPw_3_5"/>
      <w:bookmarkStart w:id="997" w:name="Tc_AQs3vtIT00m3F3ifOf18Ig_3_2"/>
      <w:bookmarkStart w:id="998" w:name="Tc_47MAzLbDBUGrV3vheb4dHg_2_8"/>
      <w:bookmarkStart w:id="999" w:name="Tc_00ZfJXUFh0a7xRNKgIxDQg_2_2"/>
      <w:bookmarkStart w:id="1000" w:name="Tc_KYN6RxRjC0-u1TaSM6XTVA_1_8"/>
      <w:bookmarkStart w:id="1001" w:name="Tc_-ywEDvas7kSYAKMeJ1yMJQ_1_2"/>
      <w:bookmarkStart w:id="1002" w:name="_00025dc3_85e2_44ee_8e6d_8ae36a4434b9"/>
      <w:bookmarkStart w:id="1003" w:name="Tc_9imLhuvdcUO2qAUcHIO-tw_4_11"/>
      <w:bookmarkStart w:id="1004" w:name="Tc_wySE9EiWckqfKWEDjfFR0A_4_8"/>
      <w:bookmarkStart w:id="1005" w:name="Tc__OjOKxmU7kmW7vQdCvk6qg_4_5"/>
      <w:bookmarkStart w:id="1006" w:name="Tc_vBvQ6Z_xVUuUZBZv_zXaoA_4_2"/>
      <w:bookmarkStart w:id="1007" w:name="Tc_o8MXEGKb6UOguC8MHCEQPA_4_0"/>
      <w:bookmarkStart w:id="1008" w:name="Tc_K9j7X_zvAUKamUreK1G7ow_3_11"/>
      <w:bookmarkStart w:id="1009" w:name="Tc_24KIWKAKoku-0W942pPzhQ_3_8"/>
      <w:bookmarkStart w:id="1010" w:name="Tc_GXy3pIEerUSaRxxsrqJg0w_3_5"/>
      <w:bookmarkStart w:id="1011" w:name="Tc_TIxC46nNY0mQpHy6Wyt_4Q_3_2"/>
      <w:bookmarkStart w:id="1012" w:name="Tc_M6hAV5ItdEmPrEraPHKMIA_2_8"/>
      <w:bookmarkStart w:id="1013" w:name="Tc_f5xA89wdVkCMHEPrGvsE-w_2_2"/>
      <w:bookmarkStart w:id="1014" w:name="Tc_e0Nnf2v4Ek6EDDh1hyZmZg_1_8"/>
      <w:bookmarkStart w:id="1015" w:name="Tc_XT-CqpGjsEqEQ-y-prS0Vg_1_2"/>
      <w:bookmarkStart w:id="1016" w:name="_450579cf_a67a_4660_8d54_63a0c8d8e414"/>
      <w:bookmarkStart w:id="1017" w:name="_cp_change_421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r>
        <w:rPr>
          <w:rFonts w:ascii="Times New Roman;Times;serif" w:hAnsi="Times New Roman;Times;serif"/>
          <w:sz w:val="20"/>
        </w:rPr>
        <w:t xml:space="preserve">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(which indication was subsequently voluntarily withdrawn by Roche in June 2023, followed by the official FDA withdrawal on July 20, 2023), or with advanced or metastatic RET fusion-positive thyroid cancer who require systemic therapy and who are radioactive iodine-refractory (if radioactive iodine is appropriate).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July 1, 2021, the Company was the principal for product sales to customers in the U.S. and recognized revenues on sales to third parties in product revenue, net in its consolidated statements of operations and comprehensive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loss.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amount recognized from loss sharing from product sales of GAVRETO to customers in the U.S. during the three and six months ended June 30, 2023 and 2022 (in thousands): </w:t>
      </w:r>
    </w:p>
    <w:p>
      <w:pPr>
        <w:pStyle w:val="TextBody"/>
        <w:bidi w:val="0"/>
        <w:spacing w:lineRule="auto" w:line="285" w:before="0" w:after="0"/>
        <w:ind w:left="0" w:right="0" w:hanging="0"/>
        <w:jc w:val="left"/>
        <w:rPr/>
      </w:pPr>
      <w:r>
        <w:rPr/>
        <w:t>​</w:t>
      </w:r>
    </w:p>
    <w:tbl>
      <w:tblPr>
        <w:tblW w:w="8686" w:type="dxa"/>
        <w:jc w:val="left"/>
        <w:tblInd w:w="0" w:type="dxa"/>
        <w:tblLayout w:type="fixed"/>
        <w:tblCellMar>
          <w:top w:w="0" w:type="dxa"/>
          <w:left w:w="0" w:type="dxa"/>
          <w:bottom w:w="0" w:type="dxa"/>
          <w:right w:w="0" w:type="dxa"/>
        </w:tblCellMar>
      </w:tblPr>
      <w:tblGrid>
        <w:gridCol w:w="4486"/>
        <w:gridCol w:w="266"/>
        <w:gridCol w:w="211"/>
        <w:gridCol w:w="571"/>
        <w:gridCol w:w="266"/>
        <w:gridCol w:w="211"/>
        <w:gridCol w:w="571"/>
        <w:gridCol w:w="109"/>
        <w:gridCol w:w="211"/>
        <w:gridCol w:w="571"/>
        <w:gridCol w:w="326"/>
        <w:gridCol w:w="211"/>
        <w:gridCol w:w="67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848610" cy="175260"/>
                      <wp:effectExtent l="0" t="0" r="0" b="0"/>
                      <wp:wrapNone/>
                      <wp:docPr id="232" name="Frame232"/>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8910" cy="175260"/>
                      <wp:effectExtent l="0" t="0" r="0" b="0"/>
                      <wp:wrapNone/>
                      <wp:docPr id="233" name="Frame2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2585" cy="175260"/>
                      <wp:effectExtent l="0" t="0" r="0" b="0"/>
                      <wp:wrapNone/>
                      <wp:docPr id="235" name="Frame2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8910" cy="175260"/>
                      <wp:effectExtent l="0" t="0" r="0" b="0"/>
                      <wp:wrapNone/>
                      <wp:docPr id="236" name="Frame2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62585" cy="175260"/>
                      <wp:effectExtent l="0" t="0" r="0" b="0"/>
                      <wp:wrapNone/>
                      <wp:docPr id="238" name="Frame2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2585" cy="175260"/>
                      <wp:effectExtent l="0" t="0" r="0" b="0"/>
                      <wp:wrapNone/>
                      <wp:docPr id="241" name="Frame2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29260" cy="175260"/>
                      <wp:effectExtent l="0" t="0" r="0" b="0"/>
                      <wp:wrapNone/>
                      <wp:docPr id="244" name="Frame2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48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8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8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Company's share of loss in the U.S. for pralsetinib</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5,410</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amounts recognized as reductions to selling, general and administrative expenses related to the commercialization of GAVRETO in the U.S. and increases in research and development expenses related to global development activities for pralsetinib under the Roche pralsetinib collaboration during the three and six months ended June 30, 2023 and 2022 (in thousands): </w:t>
      </w:r>
    </w:p>
    <w:p>
      <w:pPr>
        <w:pStyle w:val="TextBody"/>
        <w:bidi w:val="0"/>
        <w:spacing w:lineRule="auto" w:line="285" w:before="0" w:after="0"/>
        <w:ind w:left="0" w:right="0" w:hanging="0"/>
        <w:jc w:val="left"/>
        <w:rPr/>
      </w:pPr>
      <w:r>
        <w:rPr/>
        <w:t>​</w:t>
      </w:r>
    </w:p>
    <w:tbl>
      <w:tblPr>
        <w:tblW w:w="9098" w:type="dxa"/>
        <w:jc w:val="left"/>
        <w:tblInd w:w="0" w:type="dxa"/>
        <w:tblLayout w:type="fixed"/>
        <w:tblCellMar>
          <w:top w:w="0" w:type="dxa"/>
          <w:left w:w="0" w:type="dxa"/>
          <w:bottom w:w="0" w:type="dxa"/>
          <w:right w:w="0" w:type="dxa"/>
        </w:tblCellMar>
      </w:tblPr>
      <w:tblGrid>
        <w:gridCol w:w="4936"/>
        <w:gridCol w:w="266"/>
        <w:gridCol w:w="211"/>
        <w:gridCol w:w="571"/>
        <w:gridCol w:w="266"/>
        <w:gridCol w:w="211"/>
        <w:gridCol w:w="571"/>
        <w:gridCol w:w="146"/>
        <w:gridCol w:w="211"/>
        <w:gridCol w:w="676"/>
        <w:gridCol w:w="146"/>
        <w:gridCol w:w="211"/>
        <w:gridCol w:w="67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134360" cy="175260"/>
                      <wp:effectExtent l="0" t="0" r="0" b="0"/>
                      <wp:wrapNone/>
                      <wp:docPr id="245" name="Frame245"/>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68910" cy="175260"/>
                      <wp:effectExtent l="0" t="0" r="0" b="0"/>
                      <wp:wrapNone/>
                      <wp:docPr id="246" name="Frame24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62585" cy="175260"/>
                      <wp:effectExtent l="0" t="0" r="0" b="0"/>
                      <wp:wrapNone/>
                      <wp:docPr id="248" name="Frame2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8910" cy="175260"/>
                      <wp:effectExtent l="0" t="0" r="0" b="0"/>
                      <wp:wrapNone/>
                      <wp:docPr id="249" name="Frame2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62585" cy="175260"/>
                      <wp:effectExtent l="0" t="0" r="0" b="0"/>
                      <wp:wrapNone/>
                      <wp:docPr id="251" name="Frame2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92710" cy="175260"/>
                      <wp:effectExtent l="0" t="0" r="0" b="0"/>
                      <wp:wrapNone/>
                      <wp:docPr id="252" name="Frame25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9260" cy="175260"/>
                      <wp:effectExtent l="0" t="0" r="0" b="0"/>
                      <wp:wrapNone/>
                      <wp:docPr id="254" name="Frame2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2710" cy="175260"/>
                      <wp:effectExtent l="0" t="0" r="0" b="0"/>
                      <wp:wrapNone/>
                      <wp:docPr id="255" name="Frame25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9260" cy="175260"/>
                      <wp:effectExtent l="0" t="0" r="0" b="0"/>
                      <wp:wrapNone/>
                      <wp:docPr id="257" name="Frame2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 </w:t>
            </w:r>
          </w:p>
        </w:tc>
        <w:tc>
          <w:tcPr>
            <w:tcW w:w="19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 </w:t>
            </w:r>
          </w:p>
        </w:tc>
        <w:tc>
          <w:tcPr>
            <w:tcW w:w="19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Reductions to selling, general and administrative expenses </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4,416</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9,248</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Increases in research and development expenses </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5,347</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3,714</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13,623</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3,704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contract assets and liability associated with the Roche pralsetinib collaboration as of June 30, 2023 and December 31, 2022 (in thousands):</w:t>
      </w:r>
    </w:p>
    <w:p>
      <w:pPr>
        <w:pStyle w:val="TextBody"/>
        <w:bidi w:val="0"/>
        <w:spacing w:lineRule="auto" w:line="285" w:before="0" w:after="0"/>
        <w:ind w:left="0" w:right="0" w:hanging="0"/>
        <w:jc w:val="left"/>
        <w:rPr/>
      </w:pPr>
      <w:r>
        <w:rPr/>
        <w:t>​</w:t>
      </w:r>
    </w:p>
    <w:tbl>
      <w:tblPr>
        <w:tblW w:w="4945" w:type="dxa"/>
        <w:jc w:val="left"/>
        <w:tblInd w:w="0" w:type="dxa"/>
        <w:tblLayout w:type="fixed"/>
        <w:tblCellMar>
          <w:top w:w="0" w:type="dxa"/>
          <w:left w:w="0" w:type="dxa"/>
          <w:bottom w:w="0" w:type="dxa"/>
          <w:right w:w="0" w:type="dxa"/>
        </w:tblCellMar>
      </w:tblPr>
      <w:tblGrid>
        <w:gridCol w:w="2491"/>
        <w:gridCol w:w="266"/>
        <w:gridCol w:w="211"/>
        <w:gridCol w:w="571"/>
        <w:gridCol w:w="266"/>
        <w:gridCol w:w="271"/>
        <w:gridCol w:w="869"/>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81785" cy="175260"/>
                      <wp:effectExtent l="0" t="0" r="0" b="0"/>
                      <wp:wrapNone/>
                      <wp:docPr id="258" name="Frame25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68910" cy="175260"/>
                      <wp:effectExtent l="0" t="0" r="0" b="0"/>
                      <wp:wrapNone/>
                      <wp:docPr id="259" name="Frame25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62585" cy="175260"/>
                      <wp:effectExtent l="0" t="0" r="0" b="0"/>
                      <wp:wrapNone/>
                      <wp:docPr id="261" name="Frame2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8910" cy="175260"/>
                      <wp:effectExtent l="0" t="0" r="0" b="0"/>
                      <wp:wrapNone/>
                      <wp:docPr id="262" name="Frame26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72085" cy="175260"/>
                      <wp:effectExtent l="0" t="0" r="0" b="0"/>
                      <wp:wrapNone/>
                      <wp:docPr id="263" name="Frame26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51815" cy="175260"/>
                      <wp:effectExtent l="0" t="0" r="0" b="0"/>
                      <wp:wrapNone/>
                      <wp:docPr id="264" name="Frame26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78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r>
      <w:tr>
        <w:trPr/>
        <w:tc>
          <w:tcPr>
            <w:tcW w:w="24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4,573</w:t>
            </w:r>
          </w:p>
        </w:tc>
        <w:tc>
          <w:tcPr>
            <w:tcW w:w="266" w:type="dxa"/>
            <w:tcBorders/>
            <w:vAlign w:val="center"/>
          </w:tcPr>
          <w:p>
            <w:pPr>
              <w:pStyle w:val="TableContents"/>
              <w:bidi w:val="0"/>
              <w:spacing w:lineRule="auto" w:line="285" w:before="0" w:after="0"/>
              <w:ind w:left="0" w:right="0" w:hanging="0"/>
              <w:jc w:val="left"/>
              <w:rPr/>
            </w:pPr>
            <w:r>
              <w:rPr/>
              <w:t>   </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6,519</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the Company sold its right to receive royalty payments from Roche’s sales of GAVRETO in Roche Territory to Royalty Pharma in June 2022, given the Company’s significant continuing involvement in the generation of future royalties, the Company continues to account for any royalties earned related to the Roche Territory activities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under the Roche pralsetinib collaboration agreement as collaboration revenue on its consolidated statements of operations and comprehensive loss. For additional information, see Note 3 – </w:t>
      </w:r>
      <w:r>
        <w:rPr>
          <w:rFonts w:ascii="Times New Roman;Times;serif" w:hAnsi="Times New Roman;Times;serif"/>
          <w:i/>
          <w:sz w:val="20"/>
        </w:rPr>
        <w:t>Financing Arrangements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Clementia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Clementia agreement, the Company received an upfront cash payment of $25.0 million and through June 30, 2023, the Company has received an aggregate of $50.0 million in cash milestone payments. Subject to the terms of the Clementia agreement, in addition to the upfront and milestone payments received through June 30, 2023,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transaction price at the outset of the arrangement was $46.5 million, which was allocated to the three performance obligations on a relative stand-alone selling price basis, and was recognized as </w:t>
      </w:r>
      <w:r>
        <w:rPr>
          <w:rFonts w:ascii="Times New Roman;Times;serif" w:hAnsi="Times New Roman;Times;serif"/>
          <w:b w:val="false"/>
          <w:i w:val="false"/>
          <w:caps w:val="false"/>
          <w:smallCaps w:val="false"/>
          <w:sz w:val="20"/>
        </w:rPr>
        <w:t>revenue</w:t>
      </w:r>
      <w:r>
        <w:rPr>
          <w:rFonts w:ascii="Times New Roman;Times;serif" w:hAnsi="Times New Roman;Times;serif"/>
          <w:sz w:val="20"/>
        </w:rPr>
        <w:t xml:space="preserve"> during 2019 and 2020.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June 30, 2023, and during the three months ended June 30, 2022, no revenue was recognized from the Clementia collaboration. During the six months ended June 30, 2022, cash consideration associated with an achieved development milestone of $30.0 million was added to the estimated transaction price for the Clementia agreement and recognized as revenue. The other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was no revenue deferred as a contract liability associated with the Clementia agreement as of June 30, 2023 and December 31, 2022.</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CStone Pharmaceuticals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received an upfront cash payment of $40.0 million, and through June 30, 2023, the Company has achieved an aggregate of $38.5 million in milestones under this collaboration. Subject to the terms of the CStone agreement, in addition to the upfront payments received and milestones achieved through June 30, 2023, the Company will be eligible to receive up to $307.5 million in contingent payments, including specified development, regulatory and sales-based milestones for licensed products.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significant manufacturing and research and development services related to the global development activities during the three and six months ended June 30, 2023. During the three and six months ended June 30, 2022, the Company recognized a reduction of $0.6 million and $1.2 million, respectively, in expenses related to manufacturing and research and development activities, net of expenses payable to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these assessments, the Company identified three distinct performance obligations at the outset of the CStone agreement, which consists of the following for each licensed product: (1) the exclusive license and (2) the initial know-how transfer.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June 30, 2023, cash consideration associated with the achieved regulatory milestone of $9.0 million was added to the estimated transaction price for the CStone agreement and recognized as revenue. The Company did not achieve any milestones under the CStone agreement during the three months ended June 30, 2022. During the six months ended June 30, 2022, cash consideration associated with achieved regulatory and development milestone of $4.0 million was added to the estimated transaction price for the CStone agreement and recognized as revenue.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Subsequent to the CStone agreement, the Company entered into manufacturing technology transfer agreements for avapritinib and pralsetinib related to supply of drug substance and commercialization activities conducted specifically for the CStone Territory. The manufacturing activities in these agreements were considered as distinct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018" w:name="Tc_hn-s_pezb0aKwGb7vCbrnQ_5_0"/>
      <w:bookmarkStart w:id="1019" w:name="Tc__WOH1Gfiy0uyLrAyTUL-Kw_4_0"/>
      <w:bookmarkStart w:id="1020" w:name="Tc_0JPxJ2wUyUOe_LvOfrXJXA_3_5"/>
      <w:bookmarkStart w:id="1021" w:name="Tc_29U70cIIokKdfWp_I-bRDQ_3_2"/>
      <w:bookmarkStart w:id="1022" w:name="Tc_YRoCE4Mt20Og-Fqqf8tNTA_3_0"/>
      <w:bookmarkStart w:id="1023" w:name="Tc_uZfIkAsUTUaFH5pg7q_TRw_2_5"/>
      <w:bookmarkStart w:id="1024" w:name="Tc_32s3thyF20G18siShJX-dQ_2_2"/>
      <w:bookmarkStart w:id="1025" w:name="Tc_aHEFetiQjEOUcG8COVZ-jQ_1_5"/>
      <w:bookmarkStart w:id="1026" w:name="Tc_fUXiVswqLkO1TO_RTJMn-Q_1_2"/>
      <w:bookmarkStart w:id="1027" w:name="Tc_pCCNJFqVH0CEqOqMwNLnlg_6_10"/>
      <w:bookmarkStart w:id="1028" w:name="Tc_6ny571VZYkmE77ZUoRJuFA_6_7"/>
      <w:bookmarkStart w:id="1029" w:name="Tc_X3cE6g09okudH0tZ5_yy6w_6_5"/>
      <w:bookmarkStart w:id="1030" w:name="Tc_VlgH5-vrYUaKd1Q6gQLgXQ_6_2"/>
      <w:bookmarkStart w:id="1031" w:name="Tc_1q8H3uN5RUi7725T-TK_Qw_6_0"/>
      <w:bookmarkStart w:id="1032" w:name="Tc_NxQ4N23pMkCicLp8PWuHnQ_5_0"/>
      <w:bookmarkStart w:id="1033" w:name="Tc_iPofMcwvyEGYNO2mj6hPaQ_4_10"/>
      <w:bookmarkStart w:id="1034" w:name="Tc_4PMnA-Q_Mkyxa8YPNxi3SQ_4_7"/>
      <w:bookmarkStart w:id="1035" w:name="Tc_MGaDirEoQkmrDeODlsKGSQ_4_6"/>
      <w:bookmarkStart w:id="1036" w:name="Tc_NlxhbiUSzkOzQbJvIPvD-A_4_5"/>
      <w:bookmarkStart w:id="1037" w:name="Tc_q7_vR3n6lEGh2uQ-RQIFHA_4_2"/>
      <w:bookmarkStart w:id="1038" w:name="Tc_UGS_hhT5nEGJE1KoxuWmIA_4_0"/>
      <w:bookmarkStart w:id="1039" w:name="Tc_10z5E5GF70Gm6Ygj9HmRDA_3_10"/>
      <w:bookmarkStart w:id="1040" w:name="Tc_rdkrRDvn3kmPCRHZJYEg-A_3_7"/>
      <w:bookmarkStart w:id="1041" w:name="Tc_TdRJn7F4UkO9XiRfoDiV1w_3_5"/>
      <w:bookmarkStart w:id="1042" w:name="Tc_6rVTux_ZW0avhhz5TcYCRg_3_2"/>
      <w:bookmarkStart w:id="1043" w:name="Tc_6bqhb7LFz0iQYDp3wAKi5w_2_7"/>
      <w:bookmarkStart w:id="1044" w:name="Tc_gt6MTKrgDEyd_j4Lwo7NCw_2_2"/>
      <w:bookmarkStart w:id="1045" w:name="Tc_1qRnDhdy7kiom69JzwXVEQ_1_7"/>
      <w:bookmarkStart w:id="1046" w:name="Tc_UpxuBlWi1kuNJhfVHpBRpQ_1_2"/>
      <w:bookmarkStart w:id="1047" w:name="_d88ec593_5a02_4dba_bad7_805e5d135439"/>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r>
        <w:rPr>
          <w:rFonts w:ascii="Times New Roman;Times;serif" w:hAnsi="Times New Roman;Times;serif"/>
          <w:sz w:val="20"/>
        </w:rPr>
        <w:t xml:space="preserve">performance obligations from the CStone collaboration agreement and collaboration revenue is recognized upon delivery of the drug substance and drug product to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revenue recognized under the CStone agreement during the three and six months ended June 30, 2023 and 2022 is as follows (in thousands): </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96"/>
        <w:gridCol w:w="109"/>
        <w:gridCol w:w="211"/>
        <w:gridCol w:w="676"/>
        <w:gridCol w:w="326"/>
        <w:gridCol w:w="211"/>
        <w:gridCol w:w="571"/>
        <w:gridCol w:w="211"/>
        <w:gridCol w:w="676"/>
        <w:gridCol w:w="326"/>
        <w:gridCol w:w="211"/>
        <w:gridCol w:w="781"/>
      </w:tblGrid>
      <w:tr>
        <w:trPr/>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743960" cy="175260"/>
                      <wp:effectExtent l="0" t="0" r="0" b="0"/>
                      <wp:wrapNone/>
                      <wp:docPr id="265" name="Frame265"/>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29260" cy="175260"/>
                      <wp:effectExtent l="0" t="0" r="0" b="0"/>
                      <wp:wrapNone/>
                      <wp:docPr id="268" name="Frame2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62585" cy="175260"/>
                      <wp:effectExtent l="0" t="0" r="0" b="0"/>
                      <wp:wrapNone/>
                      <wp:docPr id="271" name="Frame2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29260" cy="175260"/>
                      <wp:effectExtent l="0" t="0" r="0" b="0"/>
                      <wp:wrapNone/>
                      <wp:docPr id="273" name="Frame2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95935" cy="175260"/>
                      <wp:effectExtent l="0" t="0" r="0" b="0"/>
                      <wp:wrapNone/>
                      <wp:docPr id="276" name="Frame2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License milestone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58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Manufacturing services and royalty revenue related to CStone Territory-specific activities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4,390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6,082</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6,042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11,294</w:t>
            </w:r>
          </w:p>
        </w:tc>
      </w:tr>
      <w:tr>
        <w:trPr/>
        <w:tc>
          <w:tcPr>
            <w:tcW w:w="58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CStone collaboration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6,082</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15,042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15,294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contract assets associated with the CStone collaboration as of June 30, 2023 and December 31, 2022 (in thousands):</w:t>
      </w:r>
    </w:p>
    <w:p>
      <w:pPr>
        <w:pStyle w:val="TextBody"/>
        <w:bidi w:val="0"/>
        <w:spacing w:lineRule="auto" w:line="285" w:before="0" w:after="0"/>
        <w:ind w:left="0" w:right="0" w:hanging="0"/>
        <w:jc w:val="left"/>
        <w:rPr/>
      </w:pPr>
      <w:r>
        <w:rPr/>
        <w:t>​</w:t>
      </w:r>
    </w:p>
    <w:tbl>
      <w:tblPr>
        <w:tblW w:w="5050" w:type="dxa"/>
        <w:jc w:val="left"/>
        <w:tblInd w:w="0" w:type="dxa"/>
        <w:tblLayout w:type="fixed"/>
        <w:tblCellMar>
          <w:top w:w="0" w:type="dxa"/>
          <w:left w:w="0" w:type="dxa"/>
          <w:bottom w:w="0" w:type="dxa"/>
          <w:right w:w="0" w:type="dxa"/>
        </w:tblCellMar>
      </w:tblPr>
      <w:tblGrid>
        <w:gridCol w:w="2491"/>
        <w:gridCol w:w="266"/>
        <w:gridCol w:w="211"/>
        <w:gridCol w:w="676"/>
        <w:gridCol w:w="266"/>
        <w:gridCol w:w="271"/>
        <w:gridCol w:w="869"/>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581785" cy="175260"/>
                      <wp:effectExtent l="0" t="0" r="0" b="0"/>
                      <wp:wrapNone/>
                      <wp:docPr id="277" name="Frame277"/>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68910" cy="175260"/>
                      <wp:effectExtent l="0" t="0" r="0" b="0"/>
                      <wp:wrapNone/>
                      <wp:docPr id="278" name="Frame27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29260" cy="175260"/>
                      <wp:effectExtent l="0" t="0" r="0" b="0"/>
                      <wp:wrapNone/>
                      <wp:docPr id="280" name="Frame2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68910" cy="175260"/>
                      <wp:effectExtent l="0" t="0" r="0" b="0"/>
                      <wp:wrapNone/>
                      <wp:docPr id="281" name="Frame28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72085" cy="175260"/>
                      <wp:effectExtent l="0" t="0" r="0" b="0"/>
                      <wp:wrapNone/>
                      <wp:docPr id="282" name="Frame28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51815" cy="175260"/>
                      <wp:effectExtent l="0" t="0" r="0" b="0"/>
                      <wp:wrapNone/>
                      <wp:docPr id="283" name="Frame28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6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11,219</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4,991</w:t>
            </w:r>
          </w:p>
        </w:tc>
      </w:tr>
      <w:tr>
        <w:trPr/>
        <w:tc>
          <w:tcPr>
            <w:tcW w:w="24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266" w:type="dxa"/>
            <w:tcBorders/>
            <w:vAlign w:val="center"/>
          </w:tcPr>
          <w:p>
            <w:pPr>
              <w:pStyle w:val="TableContents"/>
              <w:bidi w:val="0"/>
              <w:spacing w:lineRule="auto" w:line="285" w:before="0" w:after="0"/>
              <w:ind w:left="0" w:right="0" w:hanging="0"/>
              <w:jc w:val="left"/>
              <w:rPr/>
            </w:pPr>
            <w:r>
              <w:rPr/>
              <w:t>   </w:t>
            </w:r>
          </w:p>
        </w:tc>
        <w:tc>
          <w:tcPr>
            <w:tcW w:w="27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1,529</w:t>
            </w:r>
          </w:p>
        </w:tc>
      </w:tr>
      <w:tr>
        <w:trPr/>
        <w:tc>
          <w:tcPr>
            <w:tcW w:w="24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liability</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3,328</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2,265</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contract liability associated with the CStone collaboration as of June 30, 2023 and December 31, 2022 resulted primarily from advance payments made by CStone in connection with commercial supply of pralsetinib for the CStone Territory.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Roche – Immunotherapy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Roche immunotherapy agreement, Roche was originally granted up to five option rights to obtain an exclusive license to exploit products derived from the collaboration programs in the field of cancer immunotherapy. Four of the five development programs were ended in prior reporting periods and on April 30, 2023, the Company and Roche entered into a mutual termination agreement to terminate the Roche immunotherapy agreement, and licenses granted by the Company to Roche related to MAP4K1 (BLU-852) terminated in their entirety. Certain licenses granted by Roche to the Company survived and became exclusive, worldwide, perpetual, royalty-free and irrevocable. The Company retained ownership of the collaboration compounds directed to MAP4K1 and all of the other previously terminated kinase targets developed under the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received an upfront cash payment of $45.0 million and an aggregate of $25.0 million in milestone payments under this collaboration. The upfront and the milestone payments were non-refundable, non-creditable and not subject to set-off.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assessed this arrangement in accordance with ASC 606 upon the adoption of the new standard on January 1, 2018, and concluded that the agreement is a contract with a customer. The Company identified one performance obligation at the outset of the Roche immunotherapy agreement, which consists of: (1) the non-exclusive license; (2) the research and development activities through Phase 1; and (3) regulatory responsibilities under Phase 1 clinical trials.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Roche immunotherapy agreement, in order to evaluate the appropriate transaction price, the Company determined that as of January 1, 2018, the upfront amount of $45.0 million constituted the entirety of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048" w:name="Tc_MeDGJIoQ8kSpFZZ-PcFUgA_4_17"/>
      <w:bookmarkStart w:id="1049" w:name="Tc_3jpqYNlLdUSMgtjWexPz9A_4_14"/>
      <w:bookmarkStart w:id="1050" w:name="Tc_fqJt1CRO8UO5a6NRgXLedQ_4_11"/>
      <w:bookmarkStart w:id="1051" w:name="Tc_EwGJClizvkaoc0BFyIpDQg_4_8"/>
      <w:bookmarkStart w:id="1052" w:name="Tc_tuwBXXs_dEaRioI5MCPh8w_4_5"/>
      <w:bookmarkStart w:id="1053" w:name="Tc_AOTytOUPb0ecrsY9R0b7CQ_4_2"/>
      <w:bookmarkStart w:id="1054" w:name="Tc_ilPWPIzhMEOb8EXpUp8KGA_4_0"/>
      <w:bookmarkStart w:id="1055" w:name="Tc_QL93hvgx6UWUHDhLl3q3Bg_3_17"/>
      <w:bookmarkStart w:id="1056" w:name="Tc_JN_NshDX2kaFrhkaxWSlpw_3_14"/>
      <w:bookmarkStart w:id="1057" w:name="Tc_zEDeF9XtVE-ro2Ptz6tX4Q_3_11"/>
      <w:bookmarkStart w:id="1058" w:name="Tc_FGpd2D8jv02D8uj5UjnRpA_3_8"/>
      <w:bookmarkStart w:id="1059" w:name="Tc_lE2Jr_FqtUW2JRoV1YMYNw_3_5"/>
      <w:bookmarkStart w:id="1060" w:name="Tc_D-EzuBYZk0GWyl9QqL-Ypw_3_2"/>
      <w:bookmarkStart w:id="1061" w:name="Tc_AtHB34RXF0Wln9El57vEpw_3_0"/>
      <w:bookmarkStart w:id="1062" w:name="Tc_C6vR_Y0HYE24LsyFmFdozA_2_17"/>
      <w:bookmarkStart w:id="1063" w:name="Tc_cdYAB9MQ90WHI3YuWgcsRA_2_14"/>
      <w:bookmarkStart w:id="1064" w:name="Tc_puEHiP_-tUyHkxsM2g1TSg_2_11"/>
      <w:bookmarkStart w:id="1065" w:name="Tc_2QTY1opRekGtE5_WymWXAg_2_8"/>
      <w:bookmarkStart w:id="1066" w:name="Tc_FmcWII2Y9EqCSwky4jv3CQ_2_5"/>
      <w:bookmarkStart w:id="1067" w:name="Tc_ff3dwQkZr0aPTfLcF2IARg_2_2"/>
      <w:bookmarkStart w:id="1068" w:name="Tc_mMxPkxv2ykaRg8AHWvWaCg_1_11"/>
      <w:bookmarkStart w:id="1069" w:name="Tc_viFEcRAnb0CoWVYQKfSTVw_1_2"/>
      <w:bookmarkStart w:id="1070" w:name="_e0f20841_f620_4f87_b3a1_f799ef7568dc"/>
      <w:bookmarkStart w:id="1071" w:name="Tc_qJmDGE3mSkiBBeNntmGy0Q_4_11"/>
      <w:bookmarkStart w:id="1072" w:name="Tc_bTkcuRVueEOBhbsQXBRHjg_4_8"/>
      <w:bookmarkStart w:id="1073" w:name="Tc_E8cuBWTvKEOoBHNZ4KJ5Xw_4_5"/>
      <w:bookmarkStart w:id="1074" w:name="Tc_xRGfcmWFfU2Uj9gZN2ti6g_4_2"/>
      <w:bookmarkStart w:id="1075" w:name="Tc_qbrToMEHKEa-HqPPu1mb9g_4_0"/>
      <w:bookmarkStart w:id="1076" w:name="Tc_VJP3wUbrYUGJu4mBQ-N6wQ_3_11"/>
      <w:bookmarkStart w:id="1077" w:name="Tc_rmKrCQ2t6ku7O8FxyTKZlg_3_8"/>
      <w:bookmarkStart w:id="1078" w:name="Tc_uGonz17vtEyz2JURBRQ5lw_3_5"/>
      <w:bookmarkStart w:id="1079" w:name="Tc_kq8ysj7CjUSxttAlg_U4bw_3_2"/>
      <w:bookmarkStart w:id="1080" w:name="Tc_tzHNTEfWKkah89xYEsjFvg_2_8"/>
      <w:bookmarkStart w:id="1081" w:name="Tc_fcWFm60DbUWttdzlhsTfOg_2_2"/>
      <w:bookmarkStart w:id="1082" w:name="Tc_u1FagsrG0E2Fk1NwW-mrhQ_1_8"/>
      <w:bookmarkStart w:id="1083" w:name="Tc_VIjHxKQKo0SJhfiEZeKjhg_1_2"/>
      <w:bookmarkStart w:id="1084" w:name="_29a2e479_78aa_4cc0_8138_ff1c5a6800eb"/>
      <w:bookmarkStart w:id="1085" w:name="Tc_3CCi4WpWxk6gVJBaIdpbkQ_4_11"/>
      <w:bookmarkStart w:id="1086" w:name="Tc_JftANV0sPEO71rW_zjfBWQ_4_8"/>
      <w:bookmarkStart w:id="1087" w:name="Tc_mRHyBMN7IkWHtk4n8AObgg_4_5"/>
      <w:bookmarkStart w:id="1088" w:name="Tc_pyil-zGv5kabWXnhnjWePg_4_2"/>
      <w:bookmarkStart w:id="1089" w:name="Tc_C-2f2rYfqkGDloIik5Tj5A_4_0"/>
      <w:bookmarkStart w:id="1090" w:name="Tc_EXrtOQwCRUebHqyCjYhOTA_3_11"/>
      <w:bookmarkStart w:id="1091" w:name="Tc_nYUefIB24Em1SME_FJ1KZg_3_8"/>
      <w:bookmarkStart w:id="1092" w:name="Tc_HButulb_WE-1sTsYXhwxvw_3_5"/>
      <w:bookmarkStart w:id="1093" w:name="Tc_ycOj2wWcb0WayG4NprEAdw_3_2"/>
      <w:bookmarkStart w:id="1094" w:name="Tc_JVQVIwqFv0-N1XFwsO3Cnw_2_8"/>
      <w:bookmarkStart w:id="1095" w:name="Tc_fPZoHDRnfUqmG7h-H73x4Q_2_2"/>
      <w:bookmarkStart w:id="1096" w:name="Tc_m_kjpDOt20eRxFEi_Vs17Q_1_8"/>
      <w:bookmarkStart w:id="1097" w:name="Tc_SeLTuf-K-0Gw6xUMGDPZfw_1_2"/>
      <w:bookmarkStart w:id="1098" w:name="_2228cdd5_ad56_4a04_99d0_d1ce0a2986a8"/>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r>
        <w:rPr>
          <w:rFonts w:ascii="Times New Roman;Times;serif" w:hAnsi="Times New Roman;Times;serif"/>
          <w:sz w:val="20"/>
        </w:rPr>
        <w:t xml:space="preserve">consideration to be included in the transaction price at the outset of the arrangement. The Company achieved an aggregate of $25.0 million in research milestones under the collaboration which were added to the estimated transaction price and allocated to the existing performance obligation as it became probable that a significant reversal of cumulative revenue would not occur for each of the research milestones achieved.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recognized revenue associated with the performance obligation as the research and development services were provided using an input method, according to the costs incurred as related to the research and development activities on each program and the costs expected to be incurred in the future to satisfy the performance obligation. The transfer of control occurred over this time period and, in management’s judgment, was the best measure of progress towards satisfying the performance obligation. The amounts received that had not yet been recognized as revenue were deferred as a contract liability on the Company’s consolidated balance sheet and recognized over the remaining research and development period until the performance obligation was satisfied.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2022, the Company and Roche endorsed a clinical development plan for IND-enabling activities for BLU-852, as a single agent and in combination with atezolizumab in advanced cancers, and due to the Company and Roche’s agreement to share certain clinical development costs, the Company reduced $15.0 million from the aggregated transaction price associated with the payment commitment to Roche, which resulted in a revenue reversal during the period. During the six months ended June 30, 2023, as a result of the collaboration agreement termination, the Company’s aggregate payment commitment associated with the clinical development costs to Roche reduced to $5.3 million, which consequently increased the aggregated transaction price under the Roche immunotherapy agreement by $9.7 million during the six months ended June 30, 2023. The Company completed the research and development services related to the performance obligation during the three months ended June 30, 2023.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Because of the reduction of the estimated lifetime cost </w:t>
      </w:r>
      <w:r>
        <w:rPr>
          <w:rFonts w:ascii="Times New Roman;Times;serif" w:hAnsi="Times New Roman;Times;serif"/>
          <w:sz w:val="20"/>
          <w:shd w:fill="FFFFFF" w:val="clear"/>
        </w:rPr>
        <w:t>to satisfy the performance obligation and the increase in the aggregated transaction price of the collaboration agreement, </w:t>
      </w:r>
      <w:r>
        <w:rPr>
          <w:rFonts w:ascii="Times New Roman;Times;serif" w:hAnsi="Times New Roman;Times;serif"/>
          <w:sz w:val="20"/>
        </w:rPr>
        <w:t xml:space="preserve">the Company recognized a cumulative revenue catch-up of $3.5 million and $25.1 million during the three and six months ended June 30, 2023, respectively.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A summary of revenue recognized (or revenue reduced) under the Roche immunotherapy agreement during the three and six months ended June 30, 2023 and 2022 is as follows (in thousands):</w:t>
      </w:r>
    </w:p>
    <w:p>
      <w:pPr>
        <w:pStyle w:val="TextBody"/>
        <w:bidi w:val="0"/>
        <w:spacing w:lineRule="auto" w:line="285" w:before="0" w:after="0"/>
        <w:ind w:left="0" w:right="0" w:hanging="0"/>
        <w:jc w:val="left"/>
        <w:rPr/>
      </w:pPr>
      <w:r>
        <w:rPr/>
        <w:t>​</w:t>
      </w:r>
    </w:p>
    <w:tbl>
      <w:tblPr>
        <w:tblW w:w="9758" w:type="dxa"/>
        <w:jc w:val="left"/>
        <w:tblInd w:w="0" w:type="dxa"/>
        <w:tblLayout w:type="fixed"/>
        <w:tblCellMar>
          <w:top w:w="0" w:type="dxa"/>
          <w:left w:w="0" w:type="dxa"/>
          <w:bottom w:w="0" w:type="dxa"/>
          <w:right w:w="0" w:type="dxa"/>
        </w:tblCellMar>
      </w:tblPr>
      <w:tblGrid>
        <w:gridCol w:w="5326"/>
        <w:gridCol w:w="266"/>
        <w:gridCol w:w="211"/>
        <w:gridCol w:w="571"/>
        <w:gridCol w:w="266"/>
        <w:gridCol w:w="211"/>
        <w:gridCol w:w="571"/>
        <w:gridCol w:w="326"/>
        <w:gridCol w:w="211"/>
        <w:gridCol w:w="676"/>
        <w:gridCol w:w="326"/>
        <w:gridCol w:w="211"/>
        <w:gridCol w:w="586"/>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382010" cy="175260"/>
                      <wp:effectExtent l="0" t="0" r="0" b="0"/>
                      <wp:wrapNone/>
                      <wp:docPr id="284" name="Frame284"/>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8910" cy="175260"/>
                      <wp:effectExtent l="0" t="0" r="0" b="0"/>
                      <wp:wrapNone/>
                      <wp:docPr id="285" name="Frame28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2585" cy="175260"/>
                      <wp:effectExtent l="0" t="0" r="0" b="0"/>
                      <wp:wrapNone/>
                      <wp:docPr id="287" name="Frame2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8910" cy="175260"/>
                      <wp:effectExtent l="0" t="0" r="0" b="0"/>
                      <wp:wrapNone/>
                      <wp:docPr id="288" name="Frame28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62585" cy="175260"/>
                      <wp:effectExtent l="0" t="0" r="0" b="0"/>
                      <wp:wrapNone/>
                      <wp:docPr id="290" name="Frame2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9260" cy="175260"/>
                      <wp:effectExtent l="0" t="0" r="0" b="0"/>
                      <wp:wrapNone/>
                      <wp:docPr id="293" name="Frame2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72110" cy="175260"/>
                      <wp:effectExtent l="0" t="0" r="0" b="0"/>
                      <wp:wrapNone/>
                      <wp:docPr id="296" name="Frame29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010" w:type="dxa"/>
            <w:gridSpan w:val="5"/>
            <w:tcBorders/>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32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830"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010"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32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1"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2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Roche collaboration research and development services revenue</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3,709</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25,705</w:t>
            </w:r>
          </w:p>
        </w:tc>
        <w:tc>
          <w:tcPr>
            <w:tcW w:w="32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(765)</w:t>
            </w:r>
          </w:p>
        </w:tc>
      </w:tr>
    </w:tbl>
    <w:p>
      <w:pPr>
        <w:pStyle w:val="TextBody"/>
        <w:bidi w:val="0"/>
        <w:spacing w:lineRule="auto" w:line="285" w:before="100" w:after="100"/>
        <w:ind w:left="0" w:right="0" w:hanging="0"/>
        <w:jc w:val="left"/>
        <w:rPr/>
      </w:pPr>
      <w:r>
        <w:rPr/>
        <w: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June 30, 2023 and 2022, the Company recognized the following revenue due to the changes in the contract liability balances (in thousands): </w:t>
      </w:r>
    </w:p>
    <w:p>
      <w:pPr>
        <w:pStyle w:val="TextBody"/>
        <w:bidi w:val="0"/>
        <w:spacing w:lineRule="auto" w:line="285" w:before="28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33"/>
        <w:gridCol w:w="266"/>
        <w:gridCol w:w="211"/>
        <w:gridCol w:w="421"/>
        <w:gridCol w:w="266"/>
        <w:gridCol w:w="211"/>
        <w:gridCol w:w="571"/>
        <w:gridCol w:w="326"/>
        <w:gridCol w:w="211"/>
        <w:gridCol w:w="676"/>
        <w:gridCol w:w="326"/>
        <w:gridCol w:w="211"/>
        <w:gridCol w:w="676"/>
      </w:tblGrid>
      <w:tr>
        <w:trPr/>
        <w:tc>
          <w:tcPr>
            <w:tcW w:w="5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703955" cy="175260"/>
                      <wp:effectExtent l="0" t="0" r="0" b="0"/>
                      <wp:wrapNone/>
                      <wp:docPr id="297" name="Frame297"/>
                      <a:graphic xmlns:a="http://schemas.openxmlformats.org/drawingml/2006/main">
                        <a:graphicData uri="http://schemas.microsoft.com/office/word/2010/wordprocessingShape">
                          <wps:wsp>
                            <wps:cNvSpPr txBox="1"/>
                            <wps:spPr>
                              <a:xfrm>
                                <a:off x="0" y="0"/>
                                <a:ext cx="3703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68910" cy="175260"/>
                      <wp:effectExtent l="0" t="0" r="0" b="0"/>
                      <wp:wrapNone/>
                      <wp:docPr id="298" name="Frame29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67335" cy="175260"/>
                      <wp:effectExtent l="0" t="0" r="0" b="0"/>
                      <wp:wrapNone/>
                      <wp:docPr id="300" name="Frame30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8910" cy="175260"/>
                      <wp:effectExtent l="0" t="0" r="0" b="0"/>
                      <wp:wrapNone/>
                      <wp:docPr id="301" name="Frame30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62585" cy="175260"/>
                      <wp:effectExtent l="0" t="0" r="0" b="0"/>
                      <wp:wrapNone/>
                      <wp:docPr id="303" name="Frame3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29260" cy="175260"/>
                      <wp:effectExtent l="0" t="0" r="0" b="0"/>
                      <wp:wrapNone/>
                      <wp:docPr id="306" name="Frame3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9" name="Frame3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33"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680" w:type="dxa"/>
            <w:gridSpan w:val="5"/>
            <w:tcBorders/>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100" w:type="dxa"/>
            <w:gridSpan w:val="5"/>
            <w:tcBorders/>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33"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680"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33"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1"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lineRule="auto" w:line="285"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1"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33"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Amounts included in the contract liability at the beginning of the period</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16,025</w:t>
            </w:r>
          </w:p>
        </w:tc>
        <w:tc>
          <w:tcPr>
            <w:tcW w:w="32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1" w:after="1"/>
              <w:ind w:left="0" w:right="60" w:hanging="0"/>
              <w:jc w:val="right"/>
              <w:rPr>
                <w:rFonts w:ascii="Times New Roman;Times;serif" w:hAnsi="Times New Roman;Times;serif"/>
                <w:sz w:val="20"/>
              </w:rPr>
            </w:pPr>
            <w:r>
              <w:rPr>
                <w:rFonts w:ascii="Times New Roman;Times;serif" w:hAnsi="Times New Roman;Times;serif"/>
                <w:sz w:val="20"/>
              </w:rPr>
              <w:t>2,405</w:t>
            </w:r>
          </w:p>
        </w:tc>
      </w:tr>
    </w:tbl>
    <w:p>
      <w:pPr>
        <w:pStyle w:val="TextBody"/>
        <w:bidi w:val="0"/>
        <w:spacing w:lineRule="auto" w:line="285" w:before="100" w:after="100"/>
        <w:ind w:left="0" w:right="0" w:hanging="0"/>
        <w:jc w:val="left"/>
        <w:rPr/>
      </w:pPr>
      <w:r>
        <w:rPr/>
        <w: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liabilities related to the Roche immunotherapy agreement as of June 30, 2023, and December 31, 2022 (in thousands):</w:t>
      </w:r>
    </w:p>
    <w:p>
      <w:pPr>
        <w:pStyle w:val="TextBody"/>
        <w:bidi w:val="0"/>
        <w:spacing w:lineRule="auto" w:line="285" w:before="100" w:after="100"/>
        <w:ind w:left="0" w:right="0" w:firstLine="720"/>
        <w:jc w:val="left"/>
        <w:rPr/>
      </w:pPr>
      <w:r>
        <w:rPr/>
        <w:t>​</w:t>
      </w:r>
    </w:p>
    <w:tbl>
      <w:tblPr>
        <w:tblW w:w="8086" w:type="dxa"/>
        <w:jc w:val="left"/>
        <w:tblInd w:w="0" w:type="dxa"/>
        <w:tblLayout w:type="fixed"/>
        <w:tblCellMar>
          <w:top w:w="0" w:type="dxa"/>
          <w:left w:w="0" w:type="dxa"/>
          <w:bottom w:w="0" w:type="dxa"/>
          <w:right w:w="0" w:type="dxa"/>
        </w:tblCellMar>
      </w:tblPr>
      <w:tblGrid>
        <w:gridCol w:w="1576"/>
        <w:gridCol w:w="266"/>
        <w:gridCol w:w="261"/>
        <w:gridCol w:w="430"/>
        <w:gridCol w:w="266"/>
        <w:gridCol w:w="358"/>
        <w:gridCol w:w="588"/>
        <w:gridCol w:w="266"/>
        <w:gridCol w:w="211"/>
        <w:gridCol w:w="346"/>
        <w:gridCol w:w="266"/>
        <w:gridCol w:w="211"/>
        <w:gridCol w:w="571"/>
        <w:gridCol w:w="266"/>
        <w:gridCol w:w="225"/>
        <w:gridCol w:w="721"/>
        <w:gridCol w:w="266"/>
        <w:gridCol w:w="211"/>
        <w:gridCol w:w="78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000760" cy="175260"/>
                      <wp:effectExtent l="0" t="0" r="0" b="0"/>
                      <wp:wrapNone/>
                      <wp:docPr id="310" name="Frame31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8910" cy="175260"/>
                      <wp:effectExtent l="0" t="0" r="0" b="0"/>
                      <wp:wrapNone/>
                      <wp:docPr id="311" name="Frame31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65735" cy="175260"/>
                      <wp:effectExtent l="0" t="0" r="0" b="0"/>
                      <wp:wrapNone/>
                      <wp:docPr id="312" name="Frame31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73050" cy="175260"/>
                      <wp:effectExtent l="0" t="0" r="0" b="0"/>
                      <wp:wrapNone/>
                      <wp:docPr id="313" name="Frame31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68910" cy="175260"/>
                      <wp:effectExtent l="0" t="0" r="0" b="0"/>
                      <wp:wrapNone/>
                      <wp:docPr id="314" name="Frame31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27330" cy="175260"/>
                      <wp:effectExtent l="0" t="0" r="0" b="0"/>
                      <wp:wrapNone/>
                      <wp:docPr id="315" name="Frame315"/>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73380" cy="175260"/>
                      <wp:effectExtent l="0" t="0" r="0" b="0"/>
                      <wp:wrapNone/>
                      <wp:docPr id="316" name="Frame316"/>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68910" cy="175260"/>
                      <wp:effectExtent l="0" t="0" r="0" b="0"/>
                      <wp:wrapNone/>
                      <wp:docPr id="317" name="Frame31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8910" cy="175260"/>
                      <wp:effectExtent l="0" t="0" r="0" b="0"/>
                      <wp:wrapNone/>
                      <wp:docPr id="320" name="Frame32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2585" cy="175260"/>
                      <wp:effectExtent l="0" t="0" r="0" b="0"/>
                      <wp:wrapNone/>
                      <wp:docPr id="322" name="Frame3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68910" cy="175260"/>
                      <wp:effectExtent l="0" t="0" r="0" b="0"/>
                      <wp:wrapNone/>
                      <wp:docPr id="323" name="Frame32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42875" cy="175260"/>
                      <wp:effectExtent l="0" t="0" r="0" b="0"/>
                      <wp:wrapNone/>
                      <wp:docPr id="324" name="Frame32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57835" cy="175260"/>
                      <wp:effectExtent l="0" t="0" r="0" b="0"/>
                      <wp:wrapNone/>
                      <wp:docPr id="325" name="Frame32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8910" cy="175260"/>
                      <wp:effectExtent l="0" t="0" r="0" b="0"/>
                      <wp:wrapNone/>
                      <wp:docPr id="326" name="Frame32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8" name="Frame3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1" w:after="1"/>
              <w:ind w:left="0" w:right="0" w:hanging="0"/>
              <w:jc w:val="left"/>
              <w:rPr/>
            </w:pPr>
            <w:r>
              <w:rPr/>
              <w:t>   </w:t>
            </w:r>
          </w:p>
        </w:tc>
        <w:tc>
          <w:tcPr>
            <w:tcW w:w="2726" w:type="dxa"/>
            <w:gridSpan w:val="8"/>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266" w:type="dxa"/>
            <w:tcBorders/>
            <w:vAlign w:val="center"/>
          </w:tcPr>
          <w:p>
            <w:pPr>
              <w:pStyle w:val="TableContents"/>
              <w:bidi w:val="0"/>
              <w:spacing w:lineRule="auto" w:line="285" w:before="1" w:after="1"/>
              <w:ind w:left="0" w:right="0" w:hanging="0"/>
              <w:jc w:val="left"/>
              <w:rPr/>
            </w:pPr>
            <w:r>
              <w:rPr/>
              <w:t> </w:t>
            </w:r>
          </w:p>
        </w:tc>
        <w:tc>
          <w:tcPr>
            <w:tcW w:w="3252" w:type="dxa"/>
            <w:gridSpan w:val="8"/>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1"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66" w:type="dxa"/>
            <w:tcBorders/>
            <w:vAlign w:val="center"/>
          </w:tcPr>
          <w:p>
            <w:pPr>
              <w:pStyle w:val="TableContents"/>
              <w:bidi w:val="0"/>
              <w:spacing w:lineRule="auto" w:line="285" w:before="1"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266" w:type="dxa"/>
            <w:tcBorders/>
            <w:vAlign w:val="center"/>
          </w:tcPr>
          <w:p>
            <w:pPr>
              <w:pStyle w:val="TableContents"/>
              <w:bidi w:val="0"/>
              <w:spacing w:lineRule="auto" w:line="285" w:before="1" w:after="1"/>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66" w:type="dxa"/>
            <w:tcBorders/>
            <w:vAlign w:val="center"/>
          </w:tcPr>
          <w:p>
            <w:pPr>
              <w:pStyle w:val="TableContents"/>
              <w:bidi w:val="0"/>
              <w:spacing w:lineRule="auto" w:line="285"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66" w:type="dxa"/>
            <w:tcBorders/>
            <w:vAlign w:val="center"/>
          </w:tcPr>
          <w:p>
            <w:pPr>
              <w:pStyle w:val="TableContents"/>
              <w:bidi w:val="0"/>
              <w:spacing w:lineRule="auto" w:line="285" w:before="1"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266" w:type="dxa"/>
            <w:tcBorders/>
            <w:vAlign w:val="center"/>
          </w:tcPr>
          <w:p>
            <w:pPr>
              <w:pStyle w:val="TableContents"/>
              <w:bidi w:val="0"/>
              <w:spacing w:lineRule="auto" w:line="285" w:before="1"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6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lineRule="auto" w:line="285" w:before="1" w:after="1"/>
              <w:ind w:left="0" w:right="0" w:hanging="0"/>
              <w:jc w:val="right"/>
              <w:rPr/>
            </w:pPr>
            <w:r>
              <w:rPr/>
              <w:t>—</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358"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lineRule="auto" w:line="285" w:before="1" w:after="1"/>
              <w:ind w:left="0" w:right="0" w:hanging="0"/>
              <w:jc w:val="right"/>
              <w:rPr/>
            </w:pPr>
            <w:r>
              <w:rPr/>
              <w:t>—</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285" w:before="1" w:after="1"/>
              <w:ind w:left="0" w:right="0" w:hanging="0"/>
              <w:jc w:val="right"/>
              <w:rPr/>
            </w:pPr>
            <w:r>
              <w:rPr/>
              <w:t>—</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2,402</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25"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13,624</w:t>
            </w:r>
          </w:p>
        </w:tc>
        <w:tc>
          <w:tcPr>
            <w:tcW w:w="266" w:type="dxa"/>
            <w:tcBorders/>
            <w:shd w:fill="CCEEFF" w:val="clear"/>
            <w:vAlign w:val="center"/>
          </w:tcPr>
          <w:p>
            <w:pPr>
              <w:pStyle w:val="TableContents"/>
              <w:bidi w:val="0"/>
              <w:spacing w:lineRule="auto" w:line="285" w:before="1" w:after="1"/>
              <w:ind w:left="0" w:right="0" w:hanging="0"/>
              <w:jc w:val="left"/>
              <w:rPr/>
            </w:pPr>
            <w:r>
              <w:rPr/>
              <w:t>   </w:t>
            </w:r>
          </w:p>
        </w:tc>
        <w:tc>
          <w:tcPr>
            <w:tcW w:w="21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16,026</w:t>
            </w:r>
          </w:p>
        </w:tc>
      </w:tr>
      <w:tr>
        <w:trPr/>
        <w:tc>
          <w:tcPr>
            <w:tcW w:w="1576"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vAlign w:val="center"/>
          </w:tcPr>
          <w:p>
            <w:pPr>
              <w:pStyle w:val="TableContents"/>
              <w:bidi w:val="0"/>
              <w:spacing w:lineRule="auto" w:line="285" w:before="1" w:after="1"/>
              <w:ind w:left="0" w:right="0" w:hanging="0"/>
              <w:jc w:val="left"/>
              <w:rPr/>
            </w:pPr>
            <w:r>
              <w:rPr/>
              <w:t>   </w:t>
            </w:r>
          </w:p>
        </w:tc>
        <w:tc>
          <w:tcPr>
            <w:tcW w:w="26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266" w:type="dxa"/>
            <w:tcBorders/>
            <w:vAlign w:val="center"/>
          </w:tcPr>
          <w:p>
            <w:pPr>
              <w:pStyle w:val="TableContents"/>
              <w:bidi w:val="0"/>
              <w:spacing w:lineRule="auto" w:line="285" w:before="1" w:after="1"/>
              <w:ind w:left="0" w:right="0" w:hanging="0"/>
              <w:jc w:val="left"/>
              <w:rPr/>
            </w:pPr>
            <w:r>
              <w:rPr/>
              <w:t>   </w:t>
            </w:r>
          </w:p>
        </w:tc>
        <w:tc>
          <w:tcPr>
            <w:tcW w:w="358"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vAlign w:val="center"/>
          </w:tcPr>
          <w:p>
            <w:pPr>
              <w:pStyle w:val="TableContents"/>
              <w:bidi w:val="0"/>
              <w:spacing w:lineRule="auto" w:line="285" w:before="1" w:after="1"/>
              <w:ind w:left="0" w:right="0" w:hanging="0"/>
              <w:jc w:val="right"/>
              <w:rPr/>
            </w:pPr>
            <w:r>
              <w:rPr/>
              <w:t>—</w:t>
            </w:r>
          </w:p>
        </w:tc>
        <w:tc>
          <w:tcPr>
            <w:tcW w:w="266" w:type="dxa"/>
            <w:tcBorders/>
            <w:vAlign w:val="center"/>
          </w:tcPr>
          <w:p>
            <w:pPr>
              <w:pStyle w:val="TableContents"/>
              <w:bidi w:val="0"/>
              <w:spacing w:lineRule="auto" w:line="285" w:before="1" w:after="1"/>
              <w:ind w:left="0" w:right="0" w:hanging="0"/>
              <w:jc w:val="left"/>
              <w:rPr/>
            </w:pPr>
            <w:r>
              <w:rPr/>
              <w:t>   </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266" w:type="dxa"/>
            <w:tcBorders/>
            <w:vAlign w:val="center"/>
          </w:tcPr>
          <w:p>
            <w:pPr>
              <w:pStyle w:val="TableContents"/>
              <w:bidi w:val="0"/>
              <w:spacing w:lineRule="auto" w:line="285" w:before="1" w:after="1"/>
              <w:ind w:left="0" w:right="0" w:hanging="0"/>
              <w:jc w:val="left"/>
              <w:rPr/>
            </w:pPr>
            <w:r>
              <w:rPr/>
              <w:t>   </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3,970</w:t>
            </w:r>
          </w:p>
        </w:tc>
        <w:tc>
          <w:tcPr>
            <w:tcW w:w="266" w:type="dxa"/>
            <w:tcBorders/>
            <w:vAlign w:val="center"/>
          </w:tcPr>
          <w:p>
            <w:pPr>
              <w:pStyle w:val="TableContents"/>
              <w:bidi w:val="0"/>
              <w:spacing w:lineRule="auto" w:line="285" w:before="1" w:after="1"/>
              <w:ind w:left="0" w:right="0" w:hanging="0"/>
              <w:jc w:val="left"/>
              <w:rPr/>
            </w:pPr>
            <w:r>
              <w:rPr/>
              <w:t>   </w:t>
            </w:r>
          </w:p>
        </w:tc>
        <w:tc>
          <w:tcPr>
            <w:tcW w:w="225"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7,238</w:t>
            </w:r>
          </w:p>
        </w:tc>
        <w:tc>
          <w:tcPr>
            <w:tcW w:w="266" w:type="dxa"/>
            <w:tcBorders/>
            <w:vAlign w:val="center"/>
          </w:tcPr>
          <w:p>
            <w:pPr>
              <w:pStyle w:val="TableContents"/>
              <w:bidi w:val="0"/>
              <w:spacing w:lineRule="auto" w:line="285" w:before="1" w:after="1"/>
              <w:ind w:left="0" w:right="0" w:hanging="0"/>
              <w:jc w:val="left"/>
              <w:rPr/>
            </w:pPr>
            <w:r>
              <w:rPr/>
              <w:t>   </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1" w:after="1"/>
              <w:ind w:left="0" w:right="60" w:hanging="0"/>
              <w:jc w:val="right"/>
              <w:rPr>
                <w:rFonts w:ascii="Times New Roman;Times;serif" w:hAnsi="Times New Roman;Times;serif"/>
                <w:sz w:val="20"/>
              </w:rPr>
            </w:pPr>
            <w:r>
              <w:rPr>
                <w:rFonts w:ascii="Times New Roman;Times;serif" w:hAnsi="Times New Roman;Times;serif"/>
                <w:sz w:val="20"/>
              </w:rPr>
              <w:t>11,208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bookmarkStart w:id="1099" w:name="Tc_GKYD-_uoJkeMGi56a8NSvg_8_4"/>
      <w:bookmarkStart w:id="1100" w:name="Tc_tM_ISBTFM0aEQp0QXE1ezg_8_0"/>
      <w:bookmarkStart w:id="1101" w:name="Tc_jlDkTHcKOkK_6bNhtGrQqg_7_4"/>
      <w:bookmarkStart w:id="1102" w:name="Tc_uTeZI3jbKkqRwqIrYN6mzg_7_0"/>
      <w:bookmarkStart w:id="1103" w:name="Tc_-MC3FIXyhEa2BubNTxNXMw_6_0"/>
      <w:bookmarkStart w:id="1104" w:name="Tc_tz5EUzKgSku90PxK0mbYnw_5_0"/>
      <w:bookmarkStart w:id="1105" w:name="Tc_03bHyFcSIEGpXULu0ZOZYQ_4_0"/>
      <w:bookmarkStart w:id="1106" w:name="Tc_HqZfilmgIk6bcKGtYJ1ezA_3_4"/>
      <w:bookmarkStart w:id="1107" w:name="Tc_E0ah9TSGzEm8--0GGnOeMw_3_0"/>
      <w:bookmarkStart w:id="1108" w:name="Tc_Pw2R8ZvYM0qgL0f_Nqi7Wg_2_5"/>
      <w:bookmarkStart w:id="1109" w:name="Tc_LVs-97_uCESz5q_GeYwPUQ_2_2"/>
      <w:bookmarkStart w:id="1110" w:name="Tc_qxVZ5geAxUay4iRGGCir_Q_1_4"/>
      <w:bookmarkStart w:id="1111" w:name="_0733e19e_562f_4b2f_afce_0eb1e22d93e9"/>
      <w:bookmarkEnd w:id="1099"/>
      <w:bookmarkEnd w:id="1100"/>
      <w:bookmarkEnd w:id="1101"/>
      <w:bookmarkEnd w:id="1102"/>
      <w:bookmarkEnd w:id="1103"/>
      <w:bookmarkEnd w:id="1104"/>
      <w:bookmarkEnd w:id="1105"/>
      <w:bookmarkEnd w:id="1106"/>
      <w:bookmarkEnd w:id="1107"/>
      <w:bookmarkEnd w:id="1108"/>
      <w:bookmarkEnd w:id="1109"/>
      <w:bookmarkEnd w:id="1110"/>
      <w:bookmarkEnd w:id="1111"/>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11. Stock-based Compensation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2015 Stock Option and Incentive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2023, the number of shares reserved for issuance under the 2015 Plan was increased by 2,398,356 shares. In addition, the total number of shares reserved for issuance is subject to adjustment in the event of a stock split, stock dividend or other change in the Company’s capitalization. As of June 30, 2023, there were 4,839,806 shares available for future grant under the 2015 Plan.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2020 Inducement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June 30, 2023, there were 1,382,793 shares available for future grant under the Inducement Plan.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stock option activity for the six months ended June 30, 2023: </w:t>
      </w:r>
    </w:p>
    <w:p>
      <w:pPr>
        <w:pStyle w:val="TextBody"/>
        <w:bidi w:val="0"/>
        <w:spacing w:lineRule="auto" w:line="285" w:before="0" w:after="0"/>
        <w:ind w:left="0" w:right="0" w:hanging="0"/>
        <w:jc w:val="left"/>
        <w:rPr/>
      </w:pPr>
      <w:r>
        <w:rPr/>
        <w:t>​</w:t>
      </w:r>
    </w:p>
    <w:tbl>
      <w:tblPr>
        <w:tblW w:w="5643" w:type="dxa"/>
        <w:jc w:val="left"/>
        <w:tblInd w:w="0" w:type="dxa"/>
        <w:tblLayout w:type="fixed"/>
        <w:tblCellMar>
          <w:top w:w="0" w:type="dxa"/>
          <w:left w:w="0" w:type="dxa"/>
          <w:bottom w:w="0" w:type="dxa"/>
          <w:right w:w="0" w:type="dxa"/>
        </w:tblCellMar>
      </w:tblPr>
      <w:tblGrid>
        <w:gridCol w:w="2941"/>
        <w:gridCol w:w="146"/>
        <w:gridCol w:w="931"/>
        <w:gridCol w:w="109"/>
        <w:gridCol w:w="332"/>
        <w:gridCol w:w="1184"/>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67535" cy="175260"/>
                      <wp:effectExtent l="0" t="0" r="0" b="0"/>
                      <wp:wrapNone/>
                      <wp:docPr id="329" name="Frame32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92710" cy="175260"/>
                      <wp:effectExtent l="0" t="0" r="0" b="0"/>
                      <wp:wrapNone/>
                      <wp:docPr id="330" name="Frame3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91185" cy="175260"/>
                      <wp:effectExtent l="0" t="0" r="0" b="0"/>
                      <wp:wrapNone/>
                      <wp:docPr id="331" name="Frame3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0820" cy="175260"/>
                      <wp:effectExtent l="0" t="0" r="0" b="0"/>
                      <wp:wrapNone/>
                      <wp:docPr id="333" name="Frame33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51840" cy="175260"/>
                      <wp:effectExtent l="0" t="0" r="0" b="0"/>
                      <wp:wrapNone/>
                      <wp:docPr id="334" name="Frame334"/>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lineRule="auto" w:line="285" w:before="0" w:after="0"/>
              <w:ind w:left="0" w:right="0" w:hanging="0"/>
              <w:jc w:val="center"/>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8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6,233,451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69.14</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1,126,487</w:t>
            </w:r>
          </w:p>
        </w:tc>
        <w:tc>
          <w:tcPr>
            <w:tcW w:w="109" w:type="dxa"/>
            <w:tcBorders/>
            <w:vAlign w:val="center"/>
          </w:tcPr>
          <w:p>
            <w:pPr>
              <w:pStyle w:val="TableContents"/>
              <w:bidi w:val="0"/>
              <w:spacing w:lineRule="auto" w:line="285" w:before="0" w:after="0"/>
              <w:ind w:left="0" w:right="0" w:hanging="0"/>
              <w:jc w:val="left"/>
              <w:rPr/>
            </w:pPr>
            <w:r>
              <w:rPr/>
              <w:t>​</w:t>
            </w:r>
          </w:p>
        </w:tc>
        <w:tc>
          <w:tcPr>
            <w:tcW w:w="332" w:type="dxa"/>
            <w:tcBorders/>
            <w:vAlign w:val="center"/>
          </w:tcPr>
          <w:p>
            <w:pPr>
              <w:pStyle w:val="TableContents"/>
              <w:bidi w:val="0"/>
              <w:spacing w:lineRule="auto" w:line="285" w:before="0" w:after="0"/>
              <w:ind w:left="0" w:right="0" w:hanging="0"/>
              <w:jc w:val="left"/>
              <w:rPr/>
            </w:pPr>
            <w:r>
              <w:rPr/>
              <w:t>​</w:t>
            </w:r>
          </w:p>
        </w:tc>
        <w:tc>
          <w:tcPr>
            <w:tcW w:w="11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44.54</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(97,004)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shd w:fill="CCEEFF" w:val="clear"/>
            <w:vAlign w:val="center"/>
          </w:tcPr>
          <w:p>
            <w:pPr>
              <w:pStyle w:val="TableContents"/>
              <w:bidi w:val="0"/>
              <w:spacing w:lineRule="auto" w:line="285" w:before="0" w:after="0"/>
              <w:ind w:left="0" w:right="0" w:hanging="0"/>
              <w:jc w:val="right"/>
              <w:rPr/>
            </w:pPr>
            <w:r>
              <w:rPr/>
              <w:t>​</w:t>
            </w:r>
          </w:p>
        </w:tc>
        <w:tc>
          <w:tcPr>
            <w:tcW w:w="11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30.48</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14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(192,527)</w:t>
            </w:r>
          </w:p>
        </w:tc>
        <w:tc>
          <w:tcPr>
            <w:tcW w:w="109" w:type="dxa"/>
            <w:tcBorders/>
            <w:vAlign w:val="center"/>
          </w:tcPr>
          <w:p>
            <w:pPr>
              <w:pStyle w:val="TableContents"/>
              <w:bidi w:val="0"/>
              <w:spacing w:lineRule="auto" w:line="285"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1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72.40</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7,070,407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65.67</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2023</w:t>
            </w:r>
          </w:p>
        </w:tc>
        <w:tc>
          <w:tcPr>
            <w:tcW w:w="14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4,594,568</w:t>
            </w:r>
          </w:p>
        </w:tc>
        <w:tc>
          <w:tcPr>
            <w:tcW w:w="109" w:type="dxa"/>
            <w:tcBorders/>
            <w:vAlign w:val="center"/>
          </w:tcPr>
          <w:p>
            <w:pPr>
              <w:pStyle w:val="TableContents"/>
              <w:bidi w:val="0"/>
              <w:spacing w:lineRule="auto" w:line="285"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68.34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2023, the total unrecognized compensation expense related to unvested stock option awards was $78.2 million, which is expected to be recognized over a weighted-average period of approximately 2.75 years.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bookmarkStart w:id="1112" w:name="Tc_cLuHvpqnQUecKSCzAJIEQw_8_4"/>
      <w:bookmarkStart w:id="1113" w:name="Tc_tX-jgLlrkUeKAYuyDmw7ng_8_0"/>
      <w:bookmarkStart w:id="1114" w:name="Tc_zAkaYVGmUkyf1rp2o3hJ3A_7_5"/>
      <w:bookmarkStart w:id="1115" w:name="Tc_WM-bEh-O5kyI9Cdqdl8jjQ_7_2"/>
      <w:bookmarkStart w:id="1116" w:name="Tc_OVyIUJLx-EK3YqV4biV4NA_7_0"/>
      <w:bookmarkStart w:id="1117" w:name="Tc_pifhKiLevUKi9l_fdHkwRg_6_5"/>
      <w:bookmarkStart w:id="1118" w:name="Tc_gNZlkMmYUk-MozxpqLxx2w_6_2"/>
      <w:bookmarkStart w:id="1119" w:name="Tc_v0grON2wq0e2y7Q0J9vDMw_6_0"/>
      <w:bookmarkStart w:id="1120" w:name="Tc_3rVOSfsoWUuXiR2yQ5QKew_5_0"/>
      <w:bookmarkStart w:id="1121" w:name="Tc_yijW3NdMBkSC15EW_cvs3w_4_4"/>
      <w:bookmarkStart w:id="1122" w:name="Tc_W-CDBHJq5UORnIHaC70rNw_4_0"/>
      <w:bookmarkStart w:id="1123" w:name="Tc_RmZ2mBdt8Ua1DIkGUdMu-A_3_4"/>
      <w:bookmarkStart w:id="1124" w:name="Tc_bs5emGD_l0uaCmxb6wemQQ_3_2"/>
      <w:bookmarkStart w:id="1125" w:name="Tc_6PArvo03N0yD5qzEpuyffg_2_4"/>
      <w:bookmarkStart w:id="1126" w:name="Tc_GT7jw3J2bEmK_ii_An9x2A_1_4"/>
      <w:bookmarkStart w:id="1127" w:name="_25e15c4e_25cf_443e_951b_912d794bdd42"/>
      <w:bookmarkStart w:id="1128" w:name="Tc_75w456mzXEewGbMWHycyMw_7_4"/>
      <w:bookmarkStart w:id="1129" w:name="Tc_4mMah0vtAUCbFM8Dd64hHA_7_0"/>
      <w:bookmarkStart w:id="1130" w:name="Tc_TLoqCUcPAE2Jwp6VRtVzbQ_6_0"/>
      <w:bookmarkStart w:id="1131" w:name="Tc_TJRXrvmWHkqtc_jRKOvNQQ_5_0"/>
      <w:bookmarkStart w:id="1132" w:name="Tc_xH9ySY74G0O24MPDQNNvSQ_4_0"/>
      <w:bookmarkStart w:id="1133" w:name="Tc_r2jNxL70skKGPPcX9IPxQA_3_4"/>
      <w:bookmarkStart w:id="1134" w:name="Tc_51uGwDYhQUGMPWrgglN2MA_3_0"/>
      <w:bookmarkStart w:id="1135" w:name="Tc_Hv0YRBXa8kajizEnxrL-zg_2_4"/>
      <w:bookmarkStart w:id="1136" w:name="Tc_P6c_RqgTRU6dzam1mfnklg_2_2"/>
      <w:bookmarkStart w:id="1137" w:name="Tc_PJOnIglKsESQjnt8XuExFg_1_4"/>
      <w:bookmarkStart w:id="1138" w:name="_6323d5ce_e14c_49c4_8c48_f733001a8abf"/>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b/>
          <w:i/>
          <w:sz w:val="20"/>
        </w:rPr>
        <w:t>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restricted stock units activity for the six months ended June 30, 2023:</w:t>
      </w:r>
    </w:p>
    <w:p>
      <w:pPr>
        <w:pStyle w:val="TextBody"/>
        <w:bidi w:val="0"/>
        <w:spacing w:lineRule="auto" w:line="285" w:before="0" w:after="0"/>
        <w:ind w:left="0" w:right="0" w:hanging="0"/>
        <w:jc w:val="left"/>
        <w:rPr/>
      </w:pPr>
      <w:r>
        <w:rPr/>
        <w:t>​</w:t>
      </w:r>
    </w:p>
    <w:tbl>
      <w:tblPr>
        <w:tblW w:w="6639" w:type="dxa"/>
        <w:jc w:val="left"/>
        <w:tblInd w:w="0" w:type="dxa"/>
        <w:tblLayout w:type="fixed"/>
        <w:tblCellMar>
          <w:top w:w="0" w:type="dxa"/>
          <w:left w:w="0" w:type="dxa"/>
          <w:bottom w:w="0" w:type="dxa"/>
          <w:right w:w="0" w:type="dxa"/>
        </w:tblCellMar>
      </w:tblPr>
      <w:tblGrid>
        <w:gridCol w:w="3241"/>
        <w:gridCol w:w="326"/>
        <w:gridCol w:w="931"/>
        <w:gridCol w:w="326"/>
        <w:gridCol w:w="431"/>
        <w:gridCol w:w="1384"/>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58035" cy="175260"/>
                      <wp:effectExtent l="0" t="0" r="0" b="0"/>
                      <wp:wrapNone/>
                      <wp:docPr id="335" name="Frame33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91185" cy="175260"/>
                      <wp:effectExtent l="0" t="0" r="0" b="0"/>
                      <wp:wrapNone/>
                      <wp:docPr id="337" name="Frame3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73685" cy="175260"/>
                      <wp:effectExtent l="0" t="0" r="0" b="0"/>
                      <wp:wrapNone/>
                      <wp:docPr id="339" name="Frame339"/>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878840" cy="175260"/>
                      <wp:effectExtent l="0" t="0" r="0" b="0"/>
                      <wp:wrapNone/>
                      <wp:docPr id="340" name="Frame340"/>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1,893,944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73.28</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851,876</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right"/>
              <w:rPr/>
            </w:pPr>
            <w:r>
              <w:rPr/>
              <w:t> </w:t>
            </w:r>
          </w:p>
        </w:tc>
        <w:tc>
          <w:tcPr>
            <w:tcW w:w="13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44.07</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(524,345)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right"/>
              <w:rPr/>
            </w:pPr>
            <w:r>
              <w:rPr/>
              <w:t> </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72.51</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(72,401)</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3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65.62</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June 30, 2023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2,149,074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62.16</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2023, the total unrecognized compensation expense related to unvested restricted stock units was $112.5 million, which is expected to be recognized over a weighted-average period of approximately 2.75 years.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first quarter of 2023, the Company began granting performance-based restricted stock units (PSUs) that will settle in stock. PSUs awarded to employees have a three-year performance period and vest on the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Participants may ultimately earn between zero and 200.0% of the target number of PSUs granted based on the degree of achievement of the performance metric based on a three-year cumulative relative total shareholder return metric. Accordingly, additional PSUs may be issued or currently issued PSUs may be cancelled upon final determination of the number of units earned.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PSU activity for the six months ended June 30, 2023:</w:t>
      </w:r>
    </w:p>
    <w:p>
      <w:pPr>
        <w:pStyle w:val="TextBody"/>
        <w:bidi w:val="0"/>
        <w:spacing w:lineRule="auto" w:line="285" w:before="0" w:after="0"/>
        <w:ind w:left="0" w:right="0" w:hanging="0"/>
        <w:jc w:val="left"/>
        <w:rPr/>
      </w:pPr>
      <w:r>
        <w:rPr/>
        <w:t>​</w:t>
      </w:r>
    </w:p>
    <w:tbl>
      <w:tblPr>
        <w:tblW w:w="6384" w:type="dxa"/>
        <w:jc w:val="left"/>
        <w:tblInd w:w="0" w:type="dxa"/>
        <w:tblLayout w:type="fixed"/>
        <w:tblCellMar>
          <w:top w:w="0" w:type="dxa"/>
          <w:left w:w="0" w:type="dxa"/>
          <w:bottom w:w="0" w:type="dxa"/>
          <w:right w:w="0" w:type="dxa"/>
        </w:tblCellMar>
      </w:tblPr>
      <w:tblGrid>
        <w:gridCol w:w="3241"/>
        <w:gridCol w:w="326"/>
        <w:gridCol w:w="676"/>
        <w:gridCol w:w="326"/>
        <w:gridCol w:w="431"/>
        <w:gridCol w:w="1384"/>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58035" cy="175260"/>
                      <wp:effectExtent l="0" t="0" r="0" b="0"/>
                      <wp:wrapNone/>
                      <wp:docPr id="341" name="Frame34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29260" cy="175260"/>
                      <wp:effectExtent l="0" t="0" r="0" b="0"/>
                      <wp:wrapNone/>
                      <wp:docPr id="343" name="Frame3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73685" cy="175260"/>
                      <wp:effectExtent l="0" t="0" r="0" b="0"/>
                      <wp:wrapNone/>
                      <wp:docPr id="345" name="Frame34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878840" cy="175260"/>
                      <wp:effectExtent l="0" t="0" r="0" b="0"/>
                      <wp:wrapNone/>
                      <wp:docPr id="346" name="Frame346"/>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67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67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lineRule="auto" w:line="285" w:before="0" w:after="0"/>
              <w:ind w:left="0" w:right="0" w:hanging="0"/>
              <w:jc w:val="right"/>
              <w:rPr/>
            </w:pPr>
            <w:r>
              <w:rPr/>
              <w:t>—</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right"/>
              <w:rPr/>
            </w:pPr>
            <w:r>
              <w:rPr/>
              <w:t> </w:t>
            </w:r>
          </w:p>
        </w:tc>
        <w:tc>
          <w:tcPr>
            <w:tcW w:w="13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59.32</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right"/>
              <w:rPr/>
            </w:pPr>
            <w:r>
              <w:rPr/>
              <w:t> </w:t>
            </w:r>
          </w:p>
        </w:tc>
        <w:tc>
          <w:tcPr>
            <w:tcW w:w="1384" w:type="dxa"/>
            <w:tcBorders/>
            <w:shd w:fill="CCEEFF" w:val="clear"/>
            <w:vAlign w:val="center"/>
          </w:tcPr>
          <w:p>
            <w:pPr>
              <w:pStyle w:val="TableContents"/>
              <w:bidi w:val="0"/>
              <w:spacing w:lineRule="auto" w:line="285" w:before="0" w:after="0"/>
              <w:ind w:left="0" w:right="0" w:hanging="0"/>
              <w:jc w:val="right"/>
              <w:rPr/>
            </w:pPr>
            <w:r>
              <w:rPr/>
              <w:t>—</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3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June 30, 2023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59.32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As of June 30, 2023, the total unrecognized compensation expense related to unvested PSUs was $2.8 million, which is expected to be recognized over a weighted-average period of approximately 2.67 years.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2015 Employee Stock Purchase Plan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2015, the Company’s board of directors and stockholders approved the 2015 Employee Stock Purchase Plan (the 2015 ESPP), which became effective upon the closing of the Company’s initial public offering in May 2015.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139" w:name="Tc_V4fLlykFb0StgpPY07rBHA_6_11"/>
      <w:bookmarkStart w:id="1140" w:name="Tc_L3d-7glqEEmrIdZCEmLKZQ_6_8"/>
      <w:bookmarkStart w:id="1141" w:name="Tc_WVDzzr_dfUuufsRCcs1pEw_6_5"/>
      <w:bookmarkStart w:id="1142" w:name="Tc_kGXpvDpcNkaiEah7SkWuXA_6_2"/>
      <w:bookmarkStart w:id="1143" w:name="Tc_oy2q_m0zNU-Gt-qsqFSfIQ_6_0"/>
      <w:bookmarkStart w:id="1144" w:name="Tc_gMwIeh7IG0GFDoCS3VcIxg_5_0"/>
      <w:bookmarkStart w:id="1145" w:name="Tc_OEnQpTtbi0-tiI1Lw_-66Q_4_11"/>
      <w:bookmarkStart w:id="1146" w:name="Tc_skjaaKXew0iicG1cw92nTQ_4_8"/>
      <w:bookmarkStart w:id="1147" w:name="Tc_7gwt0hgrJkml0vhktT3DjA_4_5"/>
      <w:bookmarkStart w:id="1148" w:name="Tc_wdCdCRhxSEWyjgzXEgZK2g_4_2"/>
      <w:bookmarkStart w:id="1149" w:name="Tc_IbvzPT5CDUmwg_Dzl5szLw_4_0"/>
      <w:bookmarkStart w:id="1150" w:name="Tc_ZIpYvobccECl6b1cZxxNBA_3_11"/>
      <w:bookmarkStart w:id="1151" w:name="Tc_IAn9wTqB8EuNgQs4ozj1DA_3_8"/>
      <w:bookmarkStart w:id="1152" w:name="Tc_BgffAgaq80evtfVAtQnsyg_3_5"/>
      <w:bookmarkStart w:id="1153" w:name="Tc_g6XboxyeQkmm35Ti3xZtbQ_3_2"/>
      <w:bookmarkStart w:id="1154" w:name="Tc_JgI3--yfSUKNNyYWCfRBaw_2_8"/>
      <w:bookmarkStart w:id="1155" w:name="Tc_jV3sU55iOEuCZ7kdRes2xw_2_2"/>
      <w:bookmarkStart w:id="1156" w:name="Tc_U1a9pJcSBkumBgTQjG-DDQ_1_8"/>
      <w:bookmarkStart w:id="1157" w:name="Tc_qkjgJ__q_UWjz8tu0eCqeg_1_2"/>
      <w:bookmarkStart w:id="1158" w:name="_05dd9d58_7813_4929_9a4c_e1467b32a99b"/>
      <w:bookmarkStart w:id="1159" w:name="Tc_uwVJ_oykvUGvYx9041MsRw_10_10"/>
      <w:bookmarkStart w:id="1160" w:name="Tc_F61TwdUJxE-Q_ew5NYA7Jg_10_7"/>
      <w:bookmarkStart w:id="1161" w:name="Tc_EF2a6EDvr0ytxsIBEBpnaQ_10_4"/>
      <w:bookmarkStart w:id="1162" w:name="Tc_NwbneJIf0kWAgDXqjEzsug_10_1"/>
      <w:bookmarkStart w:id="1163" w:name="Tc_-QIw0DeHJEWJpx3kMjwFng_10_0"/>
      <w:bookmarkStart w:id="1164" w:name="Tc_Z2-onjtQOkWRAU-Khjf_0A_9_0"/>
      <w:bookmarkStart w:id="1165" w:name="Tc_uFrw2N2E8UyHK4D0SvhfmQ_8_0"/>
      <w:bookmarkStart w:id="1166" w:name="Tc_zJIpxqdArEGyJCTahcqEgw_7_0"/>
      <w:bookmarkStart w:id="1167" w:name="Tc_v3mn9oETCkyNYCo6w3E82g_6_5"/>
      <w:bookmarkStart w:id="1168" w:name="Tc_w1-95NtzlE6FiI_3w-jUiQ_6_0"/>
      <w:bookmarkStart w:id="1169" w:name="Tc_b-WUL9CWZEGQNjmocf_GZg_5_0"/>
      <w:bookmarkStart w:id="1170" w:name="Tc_tjxz9QPgZUeNKL4pEeJawg_4_10"/>
      <w:bookmarkStart w:id="1171" w:name="Tc_or6o1bjITU-9uq-GvDDZhQ_4_7"/>
      <w:bookmarkStart w:id="1172" w:name="Tc_k5yGjZwanU2S6FVOrNelFQ_4_4"/>
      <w:bookmarkStart w:id="1173" w:name="Tc_m3rFhZcxrEOSfnYvkz3XQQ_4_1"/>
      <w:bookmarkStart w:id="1174" w:name="Tc_1IYXmeKXR027DmhJBmiMqw_4_0"/>
      <w:bookmarkStart w:id="1175" w:name="Tc_P5mULT26NEq0Xx3JzHyFCw_3_11"/>
      <w:bookmarkStart w:id="1176" w:name="Tc_CXmOrrN6ck2JVCRkf9rzAQ_3_8"/>
      <w:bookmarkStart w:id="1177" w:name="Tc_b0k5Sap3W066PGtVQY3YOg_3_5"/>
      <w:bookmarkStart w:id="1178" w:name="Tc_U_wo80sytkOHxiCjRl5GMQ_3_2"/>
      <w:bookmarkStart w:id="1179" w:name="Tc_y_cQKSKz_E6lHqwyIGKgwQ_2_8"/>
      <w:bookmarkStart w:id="1180" w:name="Tc_FdvhBDiQfUuXFo7q1B0J2w_2_2"/>
      <w:bookmarkStart w:id="1181" w:name="Tc_75TiF39VXE-WjxjA8TlQ7Q_1_7"/>
      <w:bookmarkStart w:id="1182" w:name="Tc_unDofrxwLEeKRmmTh9O-TA_1_1"/>
      <w:bookmarkStart w:id="1183" w:name="_9038be8d_690a_42aa_8b26_e75f2f67ddec"/>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ascii="Times New Roman;Times;serif" w:hAnsi="Times New Roman;Times;serif"/>
          <w:sz w:val="20"/>
        </w:rPr>
        <w:t xml:space="preserve">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2023, the number of shares reserved for issuance under the 2015 ESPP was increased by 599,589 shares. </w:t>
      </w:r>
    </w:p>
    <w:p>
      <w:pPr>
        <w:pStyle w:val="TextBody"/>
        <w:bidi w:val="0"/>
        <w:spacing w:lineRule="auto" w:line="307" w:before="0" w:after="16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recognized stock-based compensation expense of $23.8 million and $47.0 million for the three and six months ended June 30, 2023, respectively, and $25.3 million and $48.7 million for the three and six months ended June 30, 2022, respectively. Stock-based compensation expense by award type included within the unaudited condensed consolidated statements of operations and comprehensive loss was as follows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95"/>
        <w:gridCol w:w="211"/>
        <w:gridCol w:w="676"/>
        <w:gridCol w:w="109"/>
        <w:gridCol w:w="326"/>
        <w:gridCol w:w="676"/>
        <w:gridCol w:w="109"/>
        <w:gridCol w:w="211"/>
        <w:gridCol w:w="676"/>
        <w:gridCol w:w="109"/>
        <w:gridCol w:w="326"/>
        <w:gridCol w:w="781"/>
      </w:tblGrid>
      <w:tr>
        <w:trPr/>
        <w:tc>
          <w:tcPr>
            <w:tcW w:w="5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806825" cy="175260"/>
                      <wp:effectExtent l="0" t="0" r="0" b="0"/>
                      <wp:wrapNone/>
                      <wp:docPr id="347" name="Frame347"/>
                      <a:graphic xmlns:a="http://schemas.openxmlformats.org/drawingml/2006/main">
                        <a:graphicData uri="http://schemas.microsoft.com/office/word/2010/wordprocessingShape">
                          <wps:wsp>
                            <wps:cNvSpPr txBox="1"/>
                            <wps:spPr>
                              <a:xfrm>
                                <a:off x="0" y="0"/>
                                <a:ext cx="3806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9260" cy="175260"/>
                      <wp:effectExtent l="0" t="0" r="0" b="0"/>
                      <wp:wrapNone/>
                      <wp:docPr id="349" name="Frame3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29260" cy="175260"/>
                      <wp:effectExtent l="0" t="0" r="0" b="0"/>
                      <wp:wrapNone/>
                      <wp:docPr id="352" name="Frame3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29260" cy="175260"/>
                      <wp:effectExtent l="0" t="0" r="0" b="0"/>
                      <wp:wrapNone/>
                      <wp:docPr id="355" name="Frame3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5935" cy="175260"/>
                      <wp:effectExtent l="0" t="0" r="0" b="0"/>
                      <wp:wrapNone/>
                      <wp:docPr id="358" name="Frame3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995" w:type="dxa"/>
            <w:tcBorders/>
            <w:vAlign w:val="center"/>
          </w:tcPr>
          <w:p>
            <w:pPr>
              <w:pStyle w:val="TableContents"/>
              <w:bidi w:val="0"/>
              <w:spacing w:lineRule="auto" w:line="285" w:before="0" w:after="0"/>
              <w:ind w:left="0" w:right="0" w:hanging="0"/>
              <w:jc w:val="left"/>
              <w:rPr/>
            </w:pPr>
            <w:r>
              <w:rPr/>
              <w:t>​</w:t>
            </w:r>
          </w:p>
        </w:tc>
        <w:tc>
          <w:tcPr>
            <w:tcW w:w="199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left"/>
              <w:rPr/>
            </w:pPr>
            <w:r>
              <w:rPr/>
              <w:t>​</w:t>
            </w:r>
          </w:p>
        </w:tc>
        <w:tc>
          <w:tcPr>
            <w:tcW w:w="210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995"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87"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92"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995"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9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10,337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12,811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21,197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25,755</w:t>
            </w:r>
          </w:p>
        </w:tc>
      </w:tr>
      <w:tr>
        <w:trPr/>
        <w:tc>
          <w:tcPr>
            <w:tcW w:w="59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12,913</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12,396</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24,853</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22,782</w:t>
            </w:r>
          </w:p>
        </w:tc>
      </w:tr>
      <w:tr>
        <w:trPr/>
        <w:tc>
          <w:tcPr>
            <w:tcW w:w="599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r>
      <w:tr>
        <w:trPr/>
        <w:tc>
          <w:tcPr>
            <w:tcW w:w="59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599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23,945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25,524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47,285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49,133</w:t>
            </w:r>
          </w:p>
        </w:tc>
      </w:tr>
      <w:tr>
        <w:trPr/>
        <w:tc>
          <w:tcPr>
            <w:tcW w:w="599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Capitalized stock-based compensation costs</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109"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599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included in total cost and operating expenses</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23,821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25,347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47,017</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48,746</w:t>
            </w:r>
          </w:p>
        </w:tc>
      </w:tr>
    </w:tbl>
    <w:p>
      <w:pPr>
        <w:pStyle w:val="TextBody"/>
        <w:bidi w:val="0"/>
        <w:spacing w:lineRule="auto" w:line="285" w:before="0" w:after="0"/>
        <w:ind w:left="0" w:right="0" w:hanging="0"/>
        <w:jc w:val="left"/>
        <w:rPr>
          <w:shd w:fill="FFFFFF" w:val="clear"/>
        </w:rPr>
      </w:pPr>
      <w:r>
        <w:rPr>
          <w:shd w:fill="FFFFFF" w:val="clear"/>
        </w:rPr>
        <w:t>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w:t>
      </w:r>
      <w:r>
        <w:rPr>
          <w:rFonts w:ascii="Times New Roman;Times;serif" w:hAnsi="Times New Roman;Times;serif"/>
          <w:sz w:val="20"/>
          <w:shd w:fill="FFFFFF" w:val="clear"/>
        </w:rPr>
        <w:t> that is included in operating expenses,</w:t>
      </w:r>
      <w:r>
        <w:rPr>
          <w:rFonts w:ascii="Times New Roman;Times;serif" w:hAnsi="Times New Roman;Times;serif"/>
          <w:sz w:val="20"/>
        </w:rPr>
        <w:t xml:space="preserve"> by classification within the unaudited condensed consolidated statements of operations and comprehensive loss is as follows (in thousands):</w:t>
      </w:r>
    </w:p>
    <w:p>
      <w:pPr>
        <w:pStyle w:val="TextBody"/>
        <w:bidi w:val="0"/>
        <w:spacing w:lineRule="auto" w:line="285" w:before="0" w:after="0"/>
        <w:ind w:left="0" w:right="0" w:hanging="0"/>
        <w:jc w:val="left"/>
        <w:rPr/>
      </w:pPr>
      <w:r>
        <w:rPr/>
        <w:t>​</w:t>
      </w:r>
    </w:p>
    <w:tbl>
      <w:tblPr>
        <w:tblW w:w="7696" w:type="dxa"/>
        <w:jc w:val="left"/>
        <w:tblInd w:w="0" w:type="dxa"/>
        <w:tblLayout w:type="fixed"/>
        <w:tblCellMar>
          <w:top w:w="0" w:type="dxa"/>
          <w:left w:w="0" w:type="dxa"/>
          <w:bottom w:w="0" w:type="dxa"/>
          <w:right w:w="0" w:type="dxa"/>
        </w:tblCellMar>
      </w:tblPr>
      <w:tblGrid>
        <w:gridCol w:w="2956"/>
        <w:gridCol w:w="109"/>
        <w:gridCol w:w="211"/>
        <w:gridCol w:w="676"/>
        <w:gridCol w:w="326"/>
        <w:gridCol w:w="211"/>
        <w:gridCol w:w="676"/>
        <w:gridCol w:w="326"/>
        <w:gridCol w:w="211"/>
        <w:gridCol w:w="676"/>
        <w:gridCol w:w="326"/>
        <w:gridCol w:w="211"/>
        <w:gridCol w:w="78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877060" cy="175260"/>
                      <wp:effectExtent l="0" t="0" r="0" b="0"/>
                      <wp:wrapNone/>
                      <wp:docPr id="359" name="Frame35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9260" cy="175260"/>
                      <wp:effectExtent l="0" t="0" r="0" b="0"/>
                      <wp:wrapNone/>
                      <wp:docPr id="362" name="Frame3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29260" cy="175260"/>
                      <wp:effectExtent l="0" t="0" r="0" b="0"/>
                      <wp:wrapNone/>
                      <wp:docPr id="365" name="Frame3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9260" cy="175260"/>
                      <wp:effectExtent l="0" t="0" r="0" b="0"/>
                      <wp:wrapNone/>
                      <wp:docPr id="368" name="Frame3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95935" cy="175260"/>
                      <wp:effectExtent l="0" t="0" r="0" b="0"/>
                      <wp:wrapNone/>
                      <wp:docPr id="371" name="Frame3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lineRule="auto" w:line="285" w:before="0" w:after="0"/>
              <w:ind w:left="0" w:right="0" w:hanging="0"/>
              <w:jc w:val="center"/>
              <w:rPr/>
            </w:pPr>
            <w:r>
              <w:rPr/>
              <w:t>​</w:t>
            </w:r>
          </w:p>
        </w:tc>
        <w:tc>
          <w:tcPr>
            <w:tcW w:w="22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lineRule="auto" w:line="285"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10,227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20,538</w:t>
            </w:r>
          </w:p>
        </w:tc>
      </w:tr>
      <w:tr>
        <w:trPr/>
        <w:tc>
          <w:tcPr>
            <w:tcW w:w="2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13,594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14,850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26,673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28,208</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23,821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48,746</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12. Net Loss per Share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PSUs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184" w:name="Tc_7yN4U0eMjUKj4MBs1jAqQg_7_0"/>
      <w:bookmarkStart w:id="1185" w:name="Tc_rnZkNqM3BkaPgQfrAOeh9w_6_0"/>
      <w:bookmarkStart w:id="1186" w:name="Tc_0iikPX_2-E2qC_xG2pqTdw_5_4"/>
      <w:bookmarkStart w:id="1187" w:name="Tc_qRAMlYKH706PIEDgvkimyw_5_0"/>
      <w:bookmarkStart w:id="1188" w:name="Tc_56Hn0IZFa0SvsWMXiIhyIA_4_0"/>
      <w:bookmarkStart w:id="1189" w:name="Tc_x9ZqAQZ-Gk2DIT1hsAn_gQ_3_0"/>
      <w:bookmarkStart w:id="1190" w:name="Tc__wMm6uy7tkWW7R_jKuUjPg_2_4"/>
      <w:bookmarkStart w:id="1191" w:name="Tc_RJKiUz5WHECh6ow9yol2-A_2_2"/>
      <w:bookmarkStart w:id="1192" w:name="Tc_3iIBsgt_QEmp_Yj2woK9uQ_1_2"/>
      <w:bookmarkStart w:id="1193" w:name="_a23eaf80_921e_4c4e_87f6_854b87d0f3a1"/>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sz w:val="20"/>
        </w:rPr>
        <w:t>The following common stock equivalents were excluded from the calculation of diluted net loss per share for the six months ended June 30, 2023 and 2022 because including them would have had an anti-dilutive effect (in thousands):</w:t>
      </w:r>
    </w:p>
    <w:p>
      <w:pPr>
        <w:pStyle w:val="TextBody"/>
        <w:bidi w:val="0"/>
        <w:spacing w:lineRule="auto" w:line="285" w:before="0" w:after="0"/>
        <w:ind w:left="0" w:right="0" w:hanging="0"/>
        <w:jc w:val="left"/>
        <w:rPr/>
      </w:pPr>
      <w:r>
        <w:rPr/>
        <w:t>​</w:t>
      </w:r>
    </w:p>
    <w:tbl>
      <w:tblPr>
        <w:tblW w:w="5275" w:type="dxa"/>
        <w:jc w:val="left"/>
        <w:tblInd w:w="0" w:type="dxa"/>
        <w:tblLayout w:type="fixed"/>
        <w:tblCellMar>
          <w:top w:w="0" w:type="dxa"/>
          <w:left w:w="0" w:type="dxa"/>
          <w:bottom w:w="0" w:type="dxa"/>
          <w:right w:w="0" w:type="dxa"/>
        </w:tblCellMar>
      </w:tblPr>
      <w:tblGrid>
        <w:gridCol w:w="3376"/>
        <w:gridCol w:w="326"/>
        <w:gridCol w:w="571"/>
        <w:gridCol w:w="326"/>
        <w:gridCol w:w="67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43760" cy="175260"/>
                      <wp:effectExtent l="0" t="0" r="0" b="0"/>
                      <wp:wrapNone/>
                      <wp:docPr id="372" name="Frame37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62585" cy="175260"/>
                      <wp:effectExtent l="0" t="0" r="0" b="0"/>
                      <wp:wrapNone/>
                      <wp:docPr id="374" name="Frame3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29260" cy="175260"/>
                      <wp:effectExtent l="0" t="0" r="0" b="0"/>
                      <wp:wrapNone/>
                      <wp:docPr id="376" name="Frame3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6,387</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326"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1,857</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ESPP shares</w:t>
            </w:r>
          </w:p>
        </w:tc>
        <w:tc>
          <w:tcPr>
            <w:tcW w:w="326" w:type="dxa"/>
            <w:tcBorders/>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lineRule="auto" w:line="285"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9,319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8,290</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June 30, 2023, the Company has a full valuation allowance applied against its U.S. and foreign deferred tax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Effective January 1, 2022, a provision of the Tax Cuts and Jobs Act (TCJA) has taken effect creating a significant change to the treatment of research and experimental (R&amp;E)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has included the tax impact of capitalizing and amortizing these costs over the required periods for the six months ended June 30,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Therefore, the $425.0 million was included in the estimated taxable income calculation when estimating the Company’s forecasted 2022 annual effective tax rate. As of June 30, 2022, the Company expected to be in a taxable income position for the calendar year ended December 31, 2022, and recorded an income tax expense of $3.1 million and $3.3 million for the three and six months ended June 30, 2022,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August 16, 2022, President Biden signed the Inflation Reduction Act (IRA) of 2022 (H.R. 5376) into law. It includes income tax incentives designed to encourage investment in renewable and alternative energy sources, adoption of electric vehicles, and improvement in the energy efficiency of buildings and communities. To finance these incentives, the law imposes a 15% corporate alternative minimum tax (CAMT) on adjusted financial statement income of corporations with profits over $1 billion. It also introduces a new excise tax on corporate stock buybacks of public US companies. The CAMT is effective for tax years beginning after December 31, 2022 while the excise tax on corporate stock buybacks is effective for repurchases of stock after December 31, 2022. The Company does not anticipate the IRA having a significant impact on the effective tax rate or income tax payable and deferred income tax positions.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2023, the Company expects to be in a taxable loss position for the calendar year ended December 31, 2023, and has recorded an income tax expense of $0.2 million and $0.7 million for the three and six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months ended June 30, 2023. The Company recorded an income tax provision despite forecasting a taxable loss due to the impact of recording unfavorable discrete items in the period, and taxable income from the jurisdictions in which the Company is subject to tax.</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2023, the Company had gross unrecognized tax benefit, excluding interest and penalties of approximately $0.2 million. As of December 31, 2022, the Company did not have any gross unrecognized tax benefit. The company recognizes interest and penalties related to unrecognized tax benefits in the provision for income taxes. As of June 30, 2023, the Company has accrued an insignificant amount of interest and penalties related to uncertain tax positions. </w:t>
      </w:r>
    </w:p>
    <w:p>
      <w:pPr>
        <w:pStyle w:val="TextBody"/>
        <w:bidi w:val="0"/>
        <w:spacing w:lineRule="auto" w:line="285" w:before="0" w:after="240"/>
        <w:ind w:left="0" w:right="0" w:hanging="0"/>
        <w:jc w:val="left"/>
        <w:rPr>
          <w:rFonts w:ascii="Times New Roman;Times;serif" w:hAnsi="Times New Roman;Times;serif"/>
          <w:b/>
          <w:sz w:val="20"/>
        </w:rPr>
      </w:pPr>
      <w:bookmarkStart w:id="1194" w:name="Tc_kCHJxaau_EuGPOB-cwp6XA_3_0"/>
      <w:bookmarkStart w:id="1195" w:name="Tc_PdWG4cKCFUOnhPXQri-fFw_2_0"/>
      <w:bookmarkStart w:id="1196" w:name="Tc_duFGTjQC90Gk3CM2qhGldw_1_5"/>
      <w:bookmarkStart w:id="1197" w:name="_7e6dbf88_ddd8_4a57_ae63_a56a58037681"/>
      <w:bookmarkStart w:id="1198" w:name="Tc_Tp1a6CeAtkK-vVa6kiPHeg_6_5"/>
      <w:bookmarkStart w:id="1199" w:name="Tc_G4Hu0i4-X064fbTRuBiQ2g_6_4"/>
      <w:bookmarkStart w:id="1200" w:name="Tc_5sNjDHojvESf7bjhfjsIsg_6_1"/>
      <w:bookmarkStart w:id="1201" w:name="Tc_WPYqF8fGVkGPD-fxLhPktg_6_0"/>
      <w:bookmarkStart w:id="1202" w:name="Tc_DRcpqndQzkG9eSEQRVArDQ_5_0"/>
      <w:bookmarkStart w:id="1203" w:name="Tc_cAxSuxhdaEiKUkarll-qNg_4_4"/>
      <w:bookmarkStart w:id="1204" w:name="Tc_mO6aPox40UGhei6SdjZ32Q_4_1"/>
      <w:bookmarkStart w:id="1205" w:name="Tc_a-f7WXY7FEaIMRU0qvp6qw_4_0"/>
      <w:bookmarkStart w:id="1206" w:name="Tc_DBCgLITmWUuT2mvxq0w4CQ_3_4"/>
      <w:bookmarkStart w:id="1207" w:name="Tc_owTkgLDUiE-sAbo5pMezfQ_3_1"/>
      <w:bookmarkStart w:id="1208" w:name="Tc_VR4Bya_1BUyWXWu5E4NYaQ_2_1"/>
      <w:bookmarkStart w:id="1209" w:name="Tc_wy7KgxbMqkCh3giXJgBMKQ_1_1"/>
      <w:bookmarkStart w:id="1210" w:name="_31d6d202_f2b1_4003_b38a_fd64bb33044b"/>
      <w:bookmarkStart w:id="1211" w:name="Tc_hQe47mz4lkGZxLhyeLUiGQ_6_10"/>
      <w:bookmarkStart w:id="1212" w:name="Tc_Lj7XLlnVhUaAhcn8D8jJFQ_6_7"/>
      <w:bookmarkStart w:id="1213" w:name="Tc_20N8QZj3SEOogOsQVghARQ_6_4"/>
      <w:bookmarkStart w:id="1214" w:name="Tc_5pAIrEpWxke0JBC1abPWIQ_6_1"/>
      <w:bookmarkStart w:id="1215" w:name="Tc_-R6R43nX3Eawq84DvAoU4A_6_0"/>
      <w:bookmarkStart w:id="1216" w:name="Tc_iC8RqPaJCUy8yKCfV6gLhA_5_8"/>
      <w:bookmarkStart w:id="1217" w:name="Tc_AfxHHvm7FU6tHYZou37OWg_5_2"/>
      <w:bookmarkStart w:id="1218" w:name="Tc_mWv_InwBw0a3b5tCzRdAOQ_5_0"/>
      <w:bookmarkStart w:id="1219" w:name="Tc_elZB2o41KE6jvxGJNPVo1g_4_10"/>
      <w:bookmarkStart w:id="1220" w:name="Tc_ji43C4O7wUKLIPu3BU1DUg_4_7"/>
      <w:bookmarkStart w:id="1221" w:name="Tc_T-IT_1Ey-0-qNkVmOlHzBg_4_4"/>
      <w:bookmarkStart w:id="1222" w:name="Tc_xYBP2tfhx0-uiKbFNwcoMg_4_1"/>
      <w:bookmarkStart w:id="1223" w:name="Tc_D76CAA-Mp0GTYt-qXSsWAg_4_0"/>
      <w:bookmarkStart w:id="1224" w:name="Tc_EU0TPlzZiUCuVa1vJWX8RA_3_10"/>
      <w:bookmarkStart w:id="1225" w:name="Tc_kE6km4qFNk-OsIyjjY831w_3_7"/>
      <w:bookmarkStart w:id="1226" w:name="Tc_gNePeEQhF0WnfEGfzo3fNw_3_4"/>
      <w:bookmarkStart w:id="1227" w:name="Tc_OZCpCji-w0SFP9_dkrDOQQ_3_1"/>
      <w:bookmarkStart w:id="1228" w:name="Tc_k_vYQfy7HUavr90HsuYc9g_3_0"/>
      <w:bookmarkStart w:id="1229" w:name="Tc_hc23_aQQNEK7FSg3vtkIrg_2_7"/>
      <w:bookmarkStart w:id="1230" w:name="Tc_w9aWL2qZfEqAwSA-HDaj9g_2_1"/>
      <w:bookmarkStart w:id="1231" w:name="Tc_N1rx12kBc0uweC-mYNqghQ_1_7"/>
      <w:bookmarkStart w:id="1232" w:name="Tc_xiDp4wT0Pki_z5Wi2AwPzw_1_1"/>
      <w:bookmarkStart w:id="1233" w:name="_f9d77b57_c84e_433b_a5a6_7ba588ab84e6"/>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Pr>
          <w:rFonts w:ascii="Times New Roman;Times;serif" w:hAnsi="Times New Roman;Times;serif"/>
          <w:b/>
          <w:sz w:val="20"/>
        </w:rPr>
        <w:t>14. Leases</w:t>
      </w:r>
    </w:p>
    <w:p>
      <w:pPr>
        <w:pStyle w:val="TextBody"/>
        <w:bidi w:val="0"/>
        <w:spacing w:lineRule="auto" w:line="285" w:before="0" w:after="0"/>
        <w:ind w:left="0" w:right="0" w:hanging="0"/>
        <w:jc w:val="left"/>
        <w:rPr/>
      </w:pPr>
      <w:r>
        <w:rPr>
          <w:caps w:val="false"/>
          <w:smallCaps w:val="false"/>
          <w:shd w:fill="FFFFFF" w:val="clear"/>
        </w:rPr>
        <w:t> </w:t>
      </w:r>
      <w:r>
        <w:rPr>
          <w:rFonts w:ascii="Times New Roman;Times;serif" w:hAnsi="Times New Roman;Times;serif"/>
          <w:sz w:val="20"/>
          <w:shd w:fill="FFFFFF" w:val="clear"/>
        </w:rPr>
        <w:t>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June 30, 2023. The lease agreements do not contain residual value guarantees and t</w:t>
      </w:r>
      <w:r>
        <w:rPr>
          <w:rFonts w:ascii="Times New Roman;Times;serif" w:hAnsi="Times New Roman;Times;serif"/>
          <w:sz w:val="20"/>
        </w:rPr>
        <w:t>he components of lease cost for the three and six months ended June 30, 2023 and 2022 were as follows (in thousands):</w:t>
      </w:r>
    </w:p>
    <w:p>
      <w:pPr>
        <w:pStyle w:val="TextBody"/>
        <w:bidi w:val="0"/>
        <w:spacing w:lineRule="auto" w:line="285" w:before="0" w:after="0"/>
        <w:ind w:left="0" w:right="0" w:hanging="0"/>
        <w:jc w:val="left"/>
        <w:rPr/>
      </w:pPr>
      <w:r>
        <w:rPr/>
        <w:t>​</w:t>
      </w:r>
    </w:p>
    <w:tbl>
      <w:tblPr>
        <w:tblW w:w="5256" w:type="dxa"/>
        <w:jc w:val="left"/>
        <w:tblInd w:w="0" w:type="dxa"/>
        <w:tblLayout w:type="fixed"/>
        <w:tblCellMar>
          <w:top w:w="0" w:type="dxa"/>
          <w:left w:w="0" w:type="dxa"/>
          <w:bottom w:w="0" w:type="dxa"/>
          <w:right w:w="0" w:type="dxa"/>
        </w:tblCellMar>
      </w:tblPr>
      <w:tblGrid>
        <w:gridCol w:w="1531"/>
        <w:gridCol w:w="211"/>
        <w:gridCol w:w="571"/>
        <w:gridCol w:w="109"/>
        <w:gridCol w:w="211"/>
        <w:gridCol w:w="571"/>
        <w:gridCol w:w="109"/>
        <w:gridCol w:w="211"/>
        <w:gridCol w:w="676"/>
        <w:gridCol w:w="109"/>
        <w:gridCol w:w="211"/>
        <w:gridCol w:w="73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72185" cy="175260"/>
                      <wp:effectExtent l="0" t="0" r="0" b="0"/>
                      <wp:wrapNone/>
                      <wp:docPr id="377" name="Frame377"/>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2585" cy="175260"/>
                      <wp:effectExtent l="0" t="0" r="0" b="0"/>
                      <wp:wrapNone/>
                      <wp:docPr id="379" name="Frame3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62585" cy="175260"/>
                      <wp:effectExtent l="0" t="0" r="0" b="0"/>
                      <wp:wrapNone/>
                      <wp:docPr id="382" name="Frame3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29260" cy="175260"/>
                      <wp:effectExtent l="0" t="0" r="0" b="0"/>
                      <wp:wrapNone/>
                      <wp:docPr id="385" name="Frame3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67360" cy="175260"/>
                      <wp:effectExtent l="0" t="0" r="0" b="0"/>
                      <wp:wrapNone/>
                      <wp:docPr id="388" name="Frame3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lineRule="auto" w:line="285" w:before="0" w:after="0"/>
              <w:ind w:left="0" w:right="0" w:hanging="0"/>
              <w:jc w:val="left"/>
              <w:rPr/>
            </w:pPr>
            <w:r>
              <w:rPr/>
              <w:t>​</w:t>
            </w:r>
          </w:p>
        </w:tc>
        <w:tc>
          <w:tcPr>
            <w:tcW w:w="167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194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531" w:type="dxa"/>
            <w:tcBorders/>
            <w:vAlign w:val="center"/>
          </w:tcPr>
          <w:p>
            <w:pPr>
              <w:pStyle w:val="TableContents"/>
              <w:bidi w:val="0"/>
              <w:spacing w:lineRule="auto" w:line="285"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center"/>
              <w:rPr/>
            </w:pPr>
            <w:r>
              <w:rPr/>
              <w:t>​</w:t>
            </w:r>
          </w:p>
        </w:tc>
        <w:tc>
          <w:tcPr>
            <w:tcW w:w="19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cost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10,911</w:t>
            </w:r>
          </w:p>
        </w:tc>
      </w:tr>
      <w:tr>
        <w:trPr/>
        <w:tc>
          <w:tcPr>
            <w:tcW w:w="15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Sublease income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(1,381)</w:t>
            </w:r>
          </w:p>
        </w:tc>
      </w:tr>
      <w:tr>
        <w:trPr/>
        <w:tc>
          <w:tcPr>
            <w:tcW w:w="15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lease cost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9,530</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Company’s sublease agreements for the 38 Sidney Street property expired in 2022. The Company has not entered into any material short-term leases or financing leases as of June 30, 2023.</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Supplemental cash flow information related to leases for the six months ended June 30, 2023 and 2022 is as follows (in thousands):</w:t>
      </w:r>
    </w:p>
    <w:p>
      <w:pPr>
        <w:pStyle w:val="TextBody"/>
        <w:bidi w:val="0"/>
        <w:spacing w:lineRule="auto" w:line="285" w:before="0" w:after="0"/>
        <w:ind w:left="0" w:right="0" w:hanging="0"/>
        <w:jc w:val="left"/>
        <w:rPr/>
      </w:pPr>
      <w:r>
        <w:rPr/>
        <w:t>​</w:t>
      </w:r>
    </w:p>
    <w:tbl>
      <w:tblPr>
        <w:tblW w:w="7584" w:type="dxa"/>
        <w:jc w:val="left"/>
        <w:tblInd w:w="0" w:type="dxa"/>
        <w:tblLayout w:type="fixed"/>
        <w:tblCellMar>
          <w:top w:w="0" w:type="dxa"/>
          <w:left w:w="0" w:type="dxa"/>
          <w:bottom w:w="0" w:type="dxa"/>
          <w:right w:w="0" w:type="dxa"/>
        </w:tblCellMar>
      </w:tblPr>
      <w:tblGrid>
        <w:gridCol w:w="5866"/>
        <w:gridCol w:w="211"/>
        <w:gridCol w:w="571"/>
        <w:gridCol w:w="109"/>
        <w:gridCol w:w="211"/>
        <w:gridCol w:w="6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724910" cy="175260"/>
                      <wp:effectExtent l="0" t="0" r="0" b="0"/>
                      <wp:wrapNone/>
                      <wp:docPr id="389" name="Frame389"/>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62585" cy="175260"/>
                      <wp:effectExtent l="0" t="0" r="0" b="0"/>
                      <wp:wrapNone/>
                      <wp:docPr id="391" name="Frame3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91160" cy="175260"/>
                      <wp:effectExtent l="0" t="0" r="0" b="0"/>
                      <wp:wrapNone/>
                      <wp:docPr id="394" name="Frame39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71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7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8,812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7,763</w:t>
            </w:r>
          </w:p>
        </w:tc>
      </w:tr>
      <w:tr>
        <w:trPr/>
        <w:tc>
          <w:tcPr>
            <w:tcW w:w="58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liabilities arising from obtaining right-of-use assets:</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left"/>
              <w:rPr/>
            </w:pPr>
            <w:r>
              <w:rPr/>
              <w:t>​</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remaining lease term and weighted average discount rate of the operating leases are as follows:</w:t>
      </w:r>
    </w:p>
    <w:p>
      <w:pPr>
        <w:pStyle w:val="TextBody"/>
        <w:bidi w:val="0"/>
        <w:spacing w:lineRule="auto" w:line="285"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3991"/>
        <w:gridCol w:w="109"/>
        <w:gridCol w:w="109"/>
        <w:gridCol w:w="109"/>
        <w:gridCol w:w="109"/>
        <w:gridCol w:w="14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534285" cy="175260"/>
                      <wp:effectExtent l="0" t="0" r="0" b="0"/>
                      <wp:wrapNone/>
                      <wp:docPr id="395" name="Frame395"/>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943610" cy="175260"/>
                      <wp:effectExtent l="0" t="0" r="0" b="0"/>
                      <wp:wrapNone/>
                      <wp:docPr id="400" name="Frame400"/>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r>
      <w:tr>
        <w:trPr/>
        <w:tc>
          <w:tcPr>
            <w:tcW w:w="39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9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 Associated with Commercial Supply Agreements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In connection with the commercialization of AYVAKIT/AYVAKYT, the Company has negotiated manufacturing agreements with certain vendors that require the Company to meet minimum purchase obligations on an annual basis. During the six months ended June 30, 2023, there was a decrease of $7.3 million in the Company’s contractual obligations described</w:t>
      </w:r>
      <w:r>
        <w:rPr>
          <w:rFonts w:ascii="Times New Roman;Times;serif" w:hAnsi="Times New Roman;Times;serif"/>
          <w:sz w:val="20"/>
        </w:rPr>
        <w:t xml:space="preserve"> in Note 18 to the consolidated financial statements in the Company’s Annual Report on Form 10-K for the fiscal year ended December 31, 2022</w:t>
      </w:r>
      <w:r>
        <w:rPr>
          <w:rFonts w:ascii="Times New Roman;Times;serif" w:hAnsi="Times New Roman;Times;serif"/>
          <w:color w:val="212529"/>
          <w:sz w:val="20"/>
          <w:shd w:fill="FFFFFF" w:val="clear"/>
        </w:rPr>
        <w:t xml:space="preserve">. </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Legal Proceedings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Indemnification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June 30, 2023 or December 31,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bookmarkStart w:id="1234" w:name="_cfcc25fe_1e62_4926_bda6_703395e9968b"/>
      <w:bookmarkEnd w:id="1234"/>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20"/>
        </w:rPr>
      </w:pPr>
      <w:bookmarkStart w:id="1235" w:name="MANAGEMENTSDISCUSSION_129894"/>
      <w:bookmarkEnd w:id="1235"/>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2022, filed with the Securities and Exchange Commission (the SEC) on February 16,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are a global precision therapy company that invents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have brought our approved medicines, AYVAKIT®/AYVAKYT® (avapritinib) and GAVRETO® (pralsetinib), to patients in the U.S. and Europe, and we are globally advancing multiple programs for mast cell disorders, including systemic mastocytosis, or SM, EGFR-mutant lung cancer and CDK2-vulnerable breast and other cancers.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hematology, and allergy and immunology to create a cycle of innovation.</w:t>
      </w:r>
    </w:p>
    <w:p>
      <w:pPr>
        <w:pStyle w:val="TextBody"/>
        <w:bidi w:val="0"/>
        <w:spacing w:lineRule="auto" w:line="240" w:before="280" w:after="0"/>
        <w:ind w:left="0" w:right="0" w:hanging="0"/>
        <w:jc w:val="left"/>
        <w:rPr>
          <w:rFonts w:ascii="Times New Roman;Times;serif" w:hAnsi="Times New Roman;Times;serif"/>
          <w:sz w:val="20"/>
        </w:rPr>
      </w:pPr>
      <w:r>
        <w:rPr>
          <w:rFonts w:ascii="Times New Roman;Times;serif" w:hAnsi="Times New Roman;Times;serif"/>
          <w:b/>
          <w:i/>
          <w:sz w:val="20"/>
        </w:rPr>
        <w:t>Systemic Mastocytosis and other Mast Cell Disorders — AYVAKIT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 AYVAKYT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(avapritinib) and Elenestinib (BLU-263)</w:t>
      </w:r>
    </w:p>
    <w:p>
      <w:pPr>
        <w:pStyle w:val="TextBody"/>
        <w:pBdr/>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AYVAKIT®/AYVAKYT® (avapritinib)</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commercializing avapritinib for the treatment of advanced SM and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pStyle w:val="TextBody"/>
        <w:pBdr/>
        <w:shd w:fill="FFFFFF" w:val="clear"/>
        <w:bidi w:val="0"/>
        <w:spacing w:lineRule="auto" w:line="285" w:before="0" w:after="0"/>
        <w:ind w:left="0" w:right="0" w:firstLine="720"/>
        <w:jc w:val="left"/>
        <w:rPr>
          <w:rFonts w:ascii="Times New Roman;Times;serif" w:hAnsi="Times New Roman;Times;serif"/>
          <w:sz w:val="20"/>
        </w:rPr>
      </w:pPr>
      <w:bookmarkStart w:id="1236" w:name="_cp_change_8273"/>
      <w:bookmarkEnd w:id="1236"/>
      <w:r>
        <w:rPr>
          <w:rFonts w:ascii="Times New Roman;Times;serif" w:hAnsi="Times New Roman;Times;serif"/>
          <w:sz w:val="20"/>
        </w:rPr>
        <w:t>The FDA approved avapritinib under the brand name AYVAKIT for the treatment of adult patients with advanced SM, including ASM, SM-AHN, and MCL in June 2021, and for adult patients with indolent SM in May 2023. In March 2022, the European Commission approved the marketing authorization for AYVAKYT for the treatment of adult patients with ASM, SM-AHN, or MCL, after at least one systemic therapy. These approvals were supported by our ongoing Phase 1 clinical trial in advanced SM, which we refer to as our EXPLORER trial, and our ongoing Phase 2 clinical trial in advanced SM, which we refer to as our PATHFINDER trial.</w:t>
      </w:r>
    </w:p>
    <w:p>
      <w:pPr>
        <w:pStyle w:val="TextBody"/>
        <w:shd w:fill="FFFFFF" w:val="clear"/>
        <w:bidi w:val="0"/>
        <w:spacing w:lineRule="auto" w:line="285" w:before="0" w:after="0"/>
        <w:ind w:left="0" w:right="0" w:firstLine="720"/>
        <w:jc w:val="left"/>
        <w:rPr>
          <w:rFonts w:ascii="Times New Roman;Times;serif" w:hAnsi="Times New Roman;Times;serif"/>
          <w:sz w:val="20"/>
        </w:rPr>
      </w:pPr>
      <w:bookmarkStart w:id="1237" w:name="_cp_change_8282"/>
      <w:bookmarkStart w:id="1238" w:name="_cp_change_8278"/>
      <w:bookmarkStart w:id="1239" w:name="_cp_change_8274"/>
      <w:bookmarkEnd w:id="1237"/>
      <w:bookmarkEnd w:id="1238"/>
      <w:bookmarkEnd w:id="1239"/>
      <w:r>
        <w:rPr>
          <w:rFonts w:ascii="Times New Roman;Times;serif" w:hAnsi="Times New Roman;Times;serif"/>
          <w:sz w:val="20"/>
        </w:rPr>
        <w:t>At the European Hematology Association (EHA) Annual Meeting in June 2022, we presented data showing that AYVAKIT improved overall survival (OS) and other clinical outcomes in EXPLORER and PATHFINDER trial patients with advanced SM, when indirectly compared to real-world data for prior best available therapies.</w:t>
      </w:r>
    </w:p>
    <w:p>
      <w:pPr>
        <w:pStyle w:val="TextBody"/>
        <w:bidi w:val="0"/>
        <w:spacing w:lineRule="auto" w:line="285" w:before="280" w:after="0"/>
        <w:ind w:left="0" w:right="0" w:firstLine="720"/>
        <w:jc w:val="left"/>
        <w:rPr>
          <w:rFonts w:ascii="Times New Roman;Times;serif" w:hAnsi="Times New Roman;Times;serif"/>
          <w:sz w:val="20"/>
        </w:rPr>
      </w:pPr>
      <w:bookmarkStart w:id="1240" w:name="_cp_change_8284"/>
      <w:bookmarkEnd w:id="1240"/>
      <w:r>
        <w:rPr>
          <w:rFonts w:ascii="Times New Roman;Times;serif" w:hAnsi="Times New Roman;Times;serif"/>
          <w:sz w:val="20"/>
        </w:rPr>
        <w:t xml:space="preserve">At the American Society of Hematology, or ASH, Annual Meeting in December 2022, we reported EXPLORER and PATHFINDER trial data showing high, durable response rates and prolonged OS in patients with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advanced SM. Safety data were consistent with previously reported results and the FDA approved labeling of AYVAKIT and reinforced the favorable benefit-risk profile of AYVAKIT at the 200 mg once-daily recommended dose. </w:t>
      </w:r>
    </w:p>
    <w:p>
      <w:pPr>
        <w:pStyle w:val="TextBody"/>
        <w:bidi w:val="0"/>
        <w:spacing w:lineRule="auto" w:line="285" w:before="280" w:after="0"/>
        <w:ind w:left="0" w:right="0" w:firstLine="720"/>
        <w:jc w:val="left"/>
        <w:rPr>
          <w:rFonts w:ascii="Times New Roman;Times;serif" w:hAnsi="Times New Roman;Times;serif"/>
          <w:sz w:val="20"/>
        </w:rPr>
      </w:pPr>
      <w:bookmarkStart w:id="1241" w:name="_cp_change_8305"/>
      <w:bookmarkStart w:id="1242" w:name="_cp_change_8303"/>
      <w:bookmarkEnd w:id="1241"/>
      <w:bookmarkEnd w:id="1242"/>
      <w:r>
        <w:rPr>
          <w:rFonts w:ascii="Times New Roman;Times;serif" w:hAnsi="Times New Roman;Times;serif"/>
          <w:sz w:val="20"/>
        </w:rPr>
        <w:t>The FDA’s approval of AYVAKIT for the treatment of patients with indolent SM, was supported by data from our Phase 2 clinical trial in indolent SM, which we refer to as the PIONEER trial. In August 2022, we reported positive top-line data for Part 2 of the PIONEER trial of AYVAKIT plus best available care versus placebo plus best available care. The European Medicines Agency, or EMA, validated a type II variation marketing authorization application (MAA) for AYVAKYT in indolent SM with a start of procedure date of January 27, 2023. In February 2023, we presented registrational PIONEER trial data for AYVAKIT in indolent SM at the American Academy of Allergy, Asthma and Immunology, or AAAAI, Annual Meeting. In May 2023, the New England Journal of Medicine Group published detailed results from the PIONEER trial of AYVAKIT in patients with indolent SM.</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 </w:t>
      </w:r>
    </w:p>
    <w:p>
      <w:pPr>
        <w:pStyle w:val="TextBody"/>
        <w:bidi w:val="0"/>
        <w:spacing w:lineRule="auto" w:line="285" w:before="280" w:after="0"/>
        <w:ind w:left="0" w:right="0" w:hanging="0"/>
        <w:jc w:val="left"/>
        <w:rPr>
          <w:rFonts w:ascii="Times New Roman;Times;serif" w:hAnsi="Times New Roman;Times;serif"/>
          <w:i/>
          <w:sz w:val="20"/>
        </w:rPr>
      </w:pPr>
      <w:bookmarkStart w:id="1243" w:name="_cp_change_8307"/>
      <w:bookmarkStart w:id="1244" w:name="_cp_change_8306"/>
      <w:bookmarkEnd w:id="1243"/>
      <w:bookmarkEnd w:id="1244"/>
      <w:r>
        <w:rPr>
          <w:rFonts w:ascii="Times New Roman;Times;serif" w:hAnsi="Times New Roman;Times;serif"/>
          <w:i/>
          <w:sz w:val="20"/>
        </w:rPr>
        <w:t>Elenestinib (BLU-263)</w:t>
      </w:r>
    </w:p>
    <w:p>
      <w:pPr>
        <w:pStyle w:val="TextBody"/>
        <w:bidi w:val="0"/>
        <w:spacing w:lineRule="auto" w:line="285" w:before="280" w:after="0"/>
        <w:ind w:left="0" w:right="0" w:firstLine="720"/>
        <w:jc w:val="left"/>
        <w:rPr>
          <w:rFonts w:ascii="Times New Roman;Times;serif" w:hAnsi="Times New Roman;Times;serif"/>
          <w:sz w:val="20"/>
        </w:rPr>
      </w:pPr>
      <w:bookmarkStart w:id="1245" w:name="_cp_change_8323"/>
      <w:bookmarkStart w:id="1246" w:name="_cp_change_8313"/>
      <w:bookmarkStart w:id="1247" w:name="_cp_change_8308"/>
      <w:bookmarkEnd w:id="1245"/>
      <w:bookmarkEnd w:id="1246"/>
      <w:bookmarkEnd w:id="1247"/>
      <w:r>
        <w:rPr>
          <w:rFonts w:ascii="Times New Roman;Times;serif" w:hAnsi="Times New Roman;Times;serif"/>
          <w:sz w:val="20"/>
        </w:rPr>
        <w:t>We are developing elenestinib, or BLU-263,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(CNS) relative to avapritinib based on preclinical data.</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We are evaluating elenestinib in an ongoing Phase 2/3 clinical trial in indolent SM, which we refer to as our HARBOR trial. In December 2022, we announced top-line, 12-week data from the dose-finding Part 1 of the HARBOR trial. Elenestinib showed improved measures of mast cell burden and patient-reported symptoms, and safety data were consistent with the preclinical profile of elenestinib and a completed Phase 1 healthy volunteer trial. We plan to present HARBOR Part 1 trial data for elenestinib in indolent SM at a medical conference in the second half of 2023.</w:t>
      </w:r>
    </w:p>
    <w:p>
      <w:pPr>
        <w:pStyle w:val="TextBody"/>
        <w:pBdr/>
        <w:bidi w:val="0"/>
        <w:spacing w:lineRule="auto" w:line="240" w:before="280" w:after="0"/>
        <w:ind w:left="0" w:right="0" w:hanging="0"/>
        <w:jc w:val="left"/>
        <w:rPr>
          <w:rFonts w:ascii="Times New Roman;Times;serif" w:hAnsi="Times New Roman;Times;serif"/>
          <w:sz w:val="20"/>
        </w:rPr>
      </w:pPr>
      <w:r>
        <w:rPr>
          <w:rFonts w:ascii="Times New Roman;Times;serif" w:hAnsi="Times New Roman;Times;serif"/>
          <w:b/>
          <w:i/>
          <w:sz w:val="20"/>
        </w:rPr>
        <w:t>PDGFRA-Driven Gastrointestinal Stromal Tumors — AYVAKIT</w:t>
      </w:r>
      <w:r>
        <w:rPr>
          <w:rFonts w:ascii="Times New Roman;Times;serif" w:hAnsi="Times New Roman;Times;serif"/>
          <w:b/>
          <w:i/>
          <w:sz w:val="15"/>
        </w:rPr>
        <w:t>®</w:t>
      </w:r>
      <w:r>
        <w:rPr>
          <w:rFonts w:ascii="Times New Roman;Times;serif" w:hAnsi="Times New Roman;Times;serif"/>
          <w:sz w:val="20"/>
        </w:rPr>
        <w:t> </w:t>
      </w:r>
      <w:r>
        <w:rPr>
          <w:rFonts w:ascii="Times New Roman;Times;serif" w:hAnsi="Times New Roman;Times;serif"/>
          <w:b/>
          <w:i/>
          <w:sz w:val="20"/>
        </w:rPr>
        <w:t>/ AYVAKYT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(avapritinib)</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commercializing avapritinib for the treatment of patients with PDGFRA exon 18 mutant gastrointestinal stromal tumors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Through our collaboration with CStone, China’s National Medicinal Products Administration (NMPA) approved AYVAKIT for the treatment of adults with unresectable or metastatic GIST harboring a PDGFRA exon 18 mutation, including PDGFRA D842V mutations, and also received accelerated approval from the TFDA and approval in Hong Kong, both for adults with unresectable or metastatic GIST harboring PDGFRA D842V mutations.</w:t>
      </w:r>
    </w:p>
    <w:p>
      <w:pPr>
        <w:pStyle w:val="TextBody"/>
        <w:bidi w:val="0"/>
        <w:spacing w:lineRule="auto" w:line="285" w:before="28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pStyle w:val="TextBody"/>
        <w:pBdr/>
        <w:bidi w:val="0"/>
        <w:spacing w:lineRule="auto" w:line="240" w:before="280" w:after="0"/>
        <w:ind w:left="0" w:right="0" w:hanging="0"/>
        <w:jc w:val="left"/>
        <w:rPr>
          <w:rFonts w:ascii="Times New Roman;Times;serif" w:hAnsi="Times New Roman;Times;serif"/>
          <w:sz w:val="20"/>
        </w:rPr>
      </w:pPr>
      <w:r>
        <w:rPr>
          <w:rFonts w:ascii="Times New Roman;Times;serif" w:hAnsi="Times New Roman;Times;serif"/>
          <w:b/>
          <w:i/>
          <w:sz w:val="20"/>
        </w:rPr>
        <w:t>RET-altered Cancers — GAVRETO</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(pralsetinib)</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developing and commercializing pralsetinib for the treatment of RET fusion-positive non-small cell lung cancer (NSCLC), and for the treatment of RET-altered thyroid carcinoma. We are also developing pralsetinib for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treatment of other RET-altered solid tumors. We have granted exclusive licenses to F. Hoffmann-La Roche Ltd and Genentech, Inc., a member of the Roche Group (which we refer to together as Roche) and CStone Pharmaceuticals (CStone), to develop and commercialize pralsetinib in their respective territories.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In conjunction with the termination, we have initiated the process of re-partnering GAVRETO for future development and commercialization. See “—Collaborations and Licenses Summary” below.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medullary thyroid cancer (MTC) who require systemic therapy, and (iii) adult and pediatric patients 12 years of age and older with advanced or metastatic RET fusion-positive thyroid cancer who require systemic therapy and who are radioactive iodine-refractory (if radioactive iodine is appropriate). In June 2023, Roche voluntarily withdrew the indication of GAVRETO for the treatment of adult and pediatric patients 12 years of age and older with advanced or metastatic RET-mutant MTC. The decision to withdraw the indication was made in consultation with the FDA</w:t>
      </w:r>
      <w:r>
        <w:rPr>
          <w:rFonts w:ascii="Times New Roman;Times;serif" w:hAnsi="Times New Roman;Times;serif"/>
          <w:sz w:val="20"/>
        </w:rPr>
        <w:t>, in accordance with the requirements of the FDA’s Accelerated Approval Program, with the official FDA withdrawal of the indication occurring on July 20, 2023. Specifically, AcceleRET-MTC, a Phase 3 clinical trial required by the FDA to convert the accelerated approval of GAVRETO for MTC to a full approval, will no longer be pursued due to lack of feasibility. The decision to withdraw the indication is not due to any new safety or efficacy data for GAVRETO or a product safety or quality issue, and other approved indications for GAVRETO in the U.S. are unaffected. The confirmatory studies to meet the commitments required to convert the remaining indications for GAVRETO, also approved under accelerated approval, to full approval, are ongoing.</w:t>
      </w:r>
    </w:p>
    <w:p>
      <w:pPr>
        <w:pStyle w:val="TextBody"/>
        <w:pBdr/>
        <w:shd w:fill="FFFFFF" w:val="clear"/>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Through our collaboration with Roche, the European Commission granted conditional marketing authorization for GAVRETO as a monotherapy for the treatment of adults with RET fusion-positive advanced NSCLC not previously treated with a RET inhibitor. In November 2022, Roche withdrew its type II variation MAA to the EMA for pralsetinib for RET-altered thyroid cancers in the second-line. Roche stated a change in strategy as the reason for the withdrawal, and that it was unrelated to product quality, efficacy or safety.</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March 2021, through our collaboration with CStone, China’s NMPA approved GAVRETO for the treatment of patients with RET fusion-positive NSCLC patients previously treated with platinum-based chemotherapy. In March 2022, China’s NMPA approved GAVRETO for the treatment of RET-mutant MTC and RET fusion-positive thyroid cancer. GAVRETO was approved in Hong Kong in July 2022 for the treatment of RET fusion-positive NSCLC. In January 2023, the Taiwan Food and Drug Administration (TFDA) approved GAVRETO for the treatment of patients with RET fusion-positive locally advanced or metastatic NSCLC, RET-mutant MTC and RET fusion-positive thyroid cancer. In June 2023, China’s NMPA approved GAVRETO for the first-line treatment of adults with locally advanced or metastatic RET fusion-positive NSCLC.</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currently evaluating pralsetinib in an ongoing Phase 1/2 clinical trial in patients with RET-altered NSCLC and other advanced solid tumors, which we refer to as the ARROW trial. The ARROW trial was fully enrolled in December 2021 and was subsequently transferred to Roche in May 2022.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r>
        <w:rPr>
          <w:rFonts w:ascii="Arial;Helvetica;sans-serif" w:hAnsi="Arial;Helvetica;sans-serif"/>
          <w:sz w:val="20"/>
        </w:rPr>
        <w:t>.</w:t>
      </w:r>
      <w:r>
        <w:rPr>
          <w:rFonts w:ascii="Times New Roman;Times;serif" w:hAnsi="Times New Roman;Times;serif"/>
          <w:sz w:val="20"/>
        </w:rPr>
        <w:t xml:space="preserve"> </w:t>
      </w:r>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i/>
          <w:sz w:val="20"/>
        </w:rPr>
        <w:t>EGFR-Mutated NSCLC — BLU-945, BLU-525 and BLU-451</w:t>
      </w:r>
      <w:r>
        <w:rPr>
          <w:rFonts w:ascii="Times New Roman;Times;serif" w:hAnsi="Times New Roman;Times;serif"/>
          <w:sz w:val="20"/>
        </w:rPr>
        <w: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are developing a portfolio of investigational epidermal growth factor receptor (EGFR) inhibitors with the potential to address a spectrum of common and uncommon EGFR activating mutations, including exon 19 deletions, the L858R mutation, and exon 20 insertions. Patients with EGFR-driven NSCLC have high medical needs despite current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standards of care. First, osimertinib has demonstrated shorter overall survival and progression-free survival in patients whose tumors have activating L858R mutations, and there are limited treatment options for exon 20 insertion-driven NSCLC. Second, the majority of patients will ultimately progress due to tumor resistance, and preventing mutations from emerging is an important treatment goal. Third, the brain is a common site of disease progression that has proven difficult to treat. We are working to address these challenges and prolong patient benefit by advancing development of rational combinations with our investigational EGFR therapies. Ultimately, we are seeking to address the significant medical needs in EGFR-mutant NSCLC that affect approximately 60,000 patients in major markets, including the U.S., European Union (EU), the UK, and Japan.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EGFR-Positive NSCLC — BLU-945</w:t>
      </w:r>
      <w:r>
        <w:rPr>
          <w:rFonts w:ascii="Times New Roman;Times;serif" w:hAnsi="Times New Roman;Times;serif"/>
          <w:sz w:val="20"/>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BLU-945 is a selective and potent investigational inhibitor of the activating EGFR L858R mutation and on-target T790M and C797X resistance mutations. Early data from the ongoing dose escalation part of the Phase 1/2 trial of BLU-945, which we refer to as our SYMPHONY trial, were presented at the American Association for Cancer Research (AACR) Annual Meeting in April 2022. BLU-945 demonstrated dose-dependent decreases in EGFR variant allele fractions via circulating tumor DNA (ctDNA) analysis and radiographic tumor reductions. BLU-945 was generally well-tolerated, with no significant adverse events (AEs) associated with wild-type EGFR inhibition. In the second half of 2022, we initiated a BLU-945 and osimertinib combination dose-escalation cohort in the ongoing Phase 1/2 SYMPHONY trial. In October 2022, preclinical data presented at the EORTC-NCI-AACR Molecular Targets and Cancer Therapeutics Symposium showed that BLU-945 in combination with osimertinib prolonged tumor regression and survival in EGFR L858R-driven, treatment-naïve, patient-derived xenograft models. </w:t>
      </w:r>
    </w:p>
    <w:p>
      <w:pPr>
        <w:pStyle w:val="TextBody"/>
        <w:bidi w:val="0"/>
        <w:spacing w:lineRule="auto" w:line="285" w:before="0" w:after="0"/>
        <w:ind w:left="0" w:right="0" w:firstLine="720"/>
        <w:jc w:val="left"/>
        <w:rPr/>
      </w:pPr>
      <w:r>
        <w:rPr/>
        <w:t> </w:t>
      </w:r>
    </w:p>
    <w:p>
      <w:pPr>
        <w:pStyle w:val="TextBody"/>
        <w:bidi w:val="0"/>
        <w:spacing w:lineRule="auto" w:line="285" w:before="0" w:after="0"/>
        <w:ind w:left="0" w:right="0" w:hanging="0"/>
        <w:jc w:val="left"/>
        <w:rPr/>
      </w:pPr>
      <w:r>
        <w:rPr>
          <w:caps w:val="false"/>
          <w:smallCaps w:val="false"/>
        </w:rPr>
        <w:t> </w:t>
      </w:r>
      <w:r>
        <w:rPr>
          <w:rFonts w:ascii="Times New Roman;Times;serif" w:hAnsi="Times New Roman;Times;serif"/>
          <w:sz w:val="20"/>
        </w:rPr>
        <w:t>In November 2022, at our Investor Day, we reported updated monotherapy dose escalation data from the SYMPHONY trial showing BLU-945 was generally well-tolerated and led to target ctDNA responses and tumor shrinkage. In the late-line setting, significant off-target resistance was identified at baseline and end-of-treatment by ctDNA analysis, leading us to prioritize clinical development of BLU-945 in combination with osimertinib in the first line, where we do not expect multiple overlapping driver mutations. At our Investor Day, we reported early SYMPHONY trial dose escalation data showing BLU-945 in combination with osimertinib has been generally well-tolerated to-date. In June 2023, we presented updated monotherapy dose escalation data from the SYMPHONY trial at the American Society of Clinical Oncology (ASCO) Annual Meeting, and initial combination therapy data evaluating BLU-945 in combination with osimertinib in patients with late-line, osimertinib-refractory, EGFR-mutant NSCLC. BLU-945 monotherapy and in combination with osimertinib showed evidence of clinical activity and was generally well tolerated, with infrequent adverse events (AEs) associated with wildtype EGFR inhibition. Dose escalation studies are ongoing to reach the recommended Phase 2 dose (RP2D) and progress to dose expansion with BLU-945 in combination with osimertinib for first-line treatment of patients with EGFR L858R-positive NSCLC.</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EGFR-Positive NSCLC — BLU-525</w:t>
      </w:r>
      <w:r>
        <w:rPr>
          <w:rFonts w:ascii="Times New Roman;Times;serif" w:hAnsi="Times New Roman;Times;serif"/>
          <w:sz w:val="20"/>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BLU-525 is a next-generation EGFR inhibitor that, based on preclinical data, has a distinct chemical structure with improved kinome selectivity and differentiated metabolism, and equivalent EGFR mutation coverage, wild-type EGFR selectivity, and CNS penetration compared to BLU-701, which was previously in development for EGFR-positive NSCLC. Data supporting the preclinical profile of BLU-525 were reported at the EORTC-NCI-AACR Molecular Targets and Cancer Therapeutics Symposium in October 2022. In March 2023, the FDA accepted our investigational new drug application, or IND, for BLU-525. </w:t>
      </w:r>
    </w:p>
    <w:p>
      <w:pPr>
        <w:pStyle w:val="TextBody"/>
        <w:bidi w:val="0"/>
        <w:spacing w:lineRule="auto" w:line="285" w:before="0" w:after="0"/>
        <w:ind w:left="0" w:right="0" w:firstLine="72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EGFR Exon 20 Insertion-Positive NSCLC — BLU-451</w:t>
      </w:r>
      <w:r>
        <w:rPr>
          <w:rFonts w:ascii="Times New Roman;Times;serif" w:hAnsi="Times New Roman;Times;serif"/>
          <w:sz w:val="20"/>
        </w:rPr>
        <w:t>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BLU-451 is a selective and potent investigational inhibitor under development for the treatment of EGFR exon 20 insertion-positive NSCLC and atypical EGFR mutations that we acquired in December 2021, through our acquisition of Lengo Therapeutics, Inc. In April 2022, we presented the first preclinical data for BLU-451 at the AACR Annual Meeting demonstrating that BLU-451 is a wild-type EGFR-sparing, CNS penetrant molecule which potently inhibited a broad range of exon 20 insertions 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which we refer to as our CONCERTO trial. In June 2023, we presented initial dose escalation data from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CONCERTO trial of BLU-451 at the ASCO Annual Meeting, demonstrating evidence of safety and clinical benefit, including CNS activity, in patients with exon 20 insertion-positive NSCLC, and emerging dose-dependent ctDNA clearance and tumor shrinkage in patients with atypical EGFR mutations. Dose escalation is ongoing to determine a RP2D.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b/>
          <w:i/>
          <w:sz w:val="20"/>
        </w:rPr>
        <w:t>Cancers Vulnerable to CDK2 Inhibition — BLU-222</w:t>
      </w:r>
      <w:r>
        <w:rPr>
          <w:rFonts w:ascii="Times New Roman;Times;serif" w:hAnsi="Times New Roman;Times;serif"/>
          <w:sz w:val="20"/>
        </w:rPr>
        <w:t> </w:t>
      </w:r>
      <w:r>
        <w:rPr>
          <w:rFonts w:ascii="Times New Roman;Times;serif" w:hAnsi="Times New Roman;Times;serif"/>
          <w:sz w:val="20"/>
          <w:shd w:fill="FFFFFF" w:val="clear"/>
        </w:rPr>
        <w:t xml:space="preserve">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are developing an investigational inhibitor, BLU-222, targeting CDK2 for the treatment of patients with cancers vulnerable to CDK2 inhibition. CDK2 is a cell cycle regulator and an important cancer target, with relevance across multiple malignancies, including hormone-receptor-positive breast cancer and other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w:t>
      </w:r>
      <w:r>
        <w:rPr>
          <w:rFonts w:ascii="Times New Roman;Times;serif" w:hAnsi="Times New Roman;Times;serif"/>
          <w:sz w:val="20"/>
        </w:rPr>
        <w:t xml:space="preserve"> </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At the San Antonio Breast Cancer Symposium, in December 2022, we reported preclinical results showing BLU-222 in combination with ribociclib led to sustained antitumor activity, in preclinical models of CDK4/6 inhibitor-naïve and resistant HR+/HER2 breast cancer, supporting the clinical development of this combination regimen.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In the first quarter of 2022, we initiated the Phase 1/2 trial of BLU-222 in cancers vulnerable to CDK2 inhibition, which we refer to as our VELA trial. BLU-222 is being developed as monotherapy and in combination with other agents, including CDK4/6 inhibitors and estrogen receptors, antagonists, in hormone-receptor-positive, HER2-negative breast cancer (HR+/HER- BC), and as a single agent and in combination in CCNE1-amplified tumor types</w:t>
      </w:r>
      <w:r>
        <w:rPr>
          <w:rFonts w:ascii="Times New Roman;Times;serif" w:hAnsi="Times New Roman;Times;serif"/>
          <w:sz w:val="20"/>
        </w:rPr>
        <w:t>. In June 2023, we presented initial clinical data from the VELA trial at the ASCO Annual Meeting, showing that BLU-222 was generally well-tolerated with evidence of cell cycle pathway modulation and a confirmed partial response in a monotherapy-treated patient with HR+/HER2- metastatic breast cancer who previously received five lines of therapy, including the CDK4/6 inhibitors palbociclib and abemaciclib. We are continuing monotherapy dose escalation to identify a maximum tolerated dose and have initiated dose escalation of BLU-222 in combination with the CDK4/6 inhibitor, ribociclib, and the estrogen receptor antagonist, fulvestrant, in patients with HR+/HER2- metastatic breast cancer.</w:t>
      </w:r>
    </w:p>
    <w:p>
      <w:pPr>
        <w:pStyle w:val="TextBody"/>
        <w:bidi w:val="0"/>
        <w:spacing w:lineRule="auto" w:line="285" w:before="28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Advanced Cancers — BLU-852</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BLU-852 is a selective and potent investigational inhibitor of MAP4K1, a well-characterized immunokinase that is believed to play a role in T cell regulation, developed under our cancer immunotherapy collaboration with Roche. Preclinical data presented at the virtual AACR Annual Meeting in April 2021 show that MAP4K1 inhibition enhanced intratumoral immune cell activation, overcame regulatory T cell mediated T cell suppression, and reduced tumor burden both as a monotherapy and in combination with checkpoint inhibition. Following the termination of our collaboration agreement with Roche, we have deprioritized advancement of BLU-852 and are exploring opportunities to re-partner the asset for future development.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b/>
          <w:i/>
          <w:sz w:val="20"/>
        </w:rPr>
        <w:t>Mast Cell Disorders – Wild-Type KIT Inhibition</w:t>
      </w:r>
      <w:r>
        <w:rPr>
          <w:rFonts w:ascii="Times New Roman;Times;serif" w:hAnsi="Times New Roman;Times;serif"/>
          <w:sz w:val="20"/>
        </w:rPr>
        <w: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Mast cells are the primary effector cells in several allergic-inflammatory diseases, including both inducible and spontaneous chronic urticaria, and wild-type KIT plays a central role in mast cell survival, proliferation, and activation. In the first half of 2023, we nominated the development candidate BLU-808 from our discovery programs, an oral, highly potent and selective wild-type KIT inhibitor. We plan to develop BLU-808 as a potential first- and best-in-class treatment for mast cell disorders, including chronic urticaria, a debilitating inflammatory skin disorder characterized by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wheals (hives), and sleep disruption, stress and anxiety due to severe itching are major contributors to disease burden, as well as other potential related allergic-inflammatory indications.</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Discovery Platform</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continue to leverage our discovery platform to systematically and reproducibly identify kinases that are drivers of diseases in genomically defined patient populations, and craft drug candidates that potently and selectively target these kinases. In addition, we are expanding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2022, we started several degrader research programs, including three internal programs and two programs under our targeted protein degradation collaboration with Proteovant. Through the Proteovant collaboration, we plan to research and advance up to two novel protein degrader programs into development, with the option to expand to two additional programs. See “—</w:t>
      </w:r>
      <w:r>
        <w:rPr>
          <w:rFonts w:ascii="Times New Roman;Times;serif" w:hAnsi="Times New Roman;Times;serif"/>
          <w:i/>
          <w:sz w:val="20"/>
        </w:rPr>
        <w:t>Collaborations and Licenses</w:t>
      </w:r>
      <w:r>
        <w:rPr>
          <w:rFonts w:ascii="Times New Roman;Times;serif" w:hAnsi="Times New Roman;Times;serif"/>
          <w:sz w:val="20"/>
        </w:rPr>
        <w:t xml:space="preserve">” Summary below.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Development and Commercialization Rights</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currently have worldwide development and commercialization rights to avapritinib, other than the rights licensed to CStone in Mainland China, Hong Kong, Macau and Taiwan (the CStone Territory). We have entered into distribution agreements for certain European countries in which we do not have our own infrastructure, and we plan to pursue additional regulatory approvals and commercialization of avapritinib in additional countries, including through additional distribution agreements. We have granted CStone an exclusive license to develop and commercialize pralsetinib and BLU-554 in the CStone Territory. </w:t>
      </w:r>
    </w:p>
    <w:p>
      <w:pPr>
        <w:pStyle w:val="TextBody"/>
        <w:bidi w:val="0"/>
        <w:spacing w:lineRule="auto" w:line="285"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granted Roche an exclusive license to develop and commercialize pralsetinib worldwide, excluding the CStone Territory and the U.S., and a co-exclusive license in the U.S. to develop and commercialize pralsetinib.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and have initiated the process of re-partnering GAVRETO for future development and commercialization. We will not be entitled to receive payment for milestones, if any, achieved after the receipt of the notice of termination but before the effective date of termination.</w:t>
      </w:r>
    </w:p>
    <w:p>
      <w:pPr>
        <w:pStyle w:val="TextBody"/>
        <w:pBdr/>
        <w:shd w:fill="FFFFFF" w:val="clear"/>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currently have worldwide development and commercialization rights to BLU-945 and BLU-525, and any back-up forms thereof, other than the rights licensed to Zai Lab for these drug candidates in Mainland China, Hong Kong, Macau, and Taiwan (collectively, the Zai Lab Territory).</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have worldwide development and commercialization rights to all of our development and discovery programs, including elenestinib (BLU-263), BLU-451, BLU-222, BLU-852 and BLU-808.</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granted an exclusive worldwide license to Clementia to develop and commercialize BLU-782.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have granted an exclusive worldwide license to IDRx for a development candidate-stage KIT exon 13 inhibitor, IDRX-73.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Collaborations and Licenses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Roche—Immunotherapy Collaboration. </w:t>
      </w:r>
      <w:r>
        <w:rPr>
          <w:rFonts w:ascii="Times New Roman;Times;serif" w:hAnsi="Times New Roman;Times;serif"/>
          <w:sz w:val="20"/>
        </w:rPr>
        <w:t>In March 2016, we entered into a collaboration with Roche to discover, develop and commercialize small molecule therapeutics targeting kinases believed to be important in cancer immunotherapy, including the kinase target MAP4K1, as single products or possibly in combination with other therapeutics. I</w:t>
      </w:r>
      <w:r>
        <w:rPr>
          <w:rFonts w:ascii="Times New Roman;Times;serif" w:hAnsi="Times New Roman;Times;serif"/>
          <w:sz w:val="20"/>
          <w:shd w:fill="FFFFFF" w:val="clear"/>
        </w:rPr>
        <w:t xml:space="preserve">n 2022, Roche endorsed a clinical development plan for IND-enabling activities for BLU-852, as a single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agent and in combination with atezolizumab, in advanced cancers.</w:t>
      </w:r>
      <w:r>
        <w:rPr>
          <w:rFonts w:ascii="Times New Roman;Times;serif" w:hAnsi="Times New Roman;Times;serif"/>
          <w:sz w:val="20"/>
        </w:rPr>
        <w:t xml:space="preserve"> On April 30, 2023, we entered into a mutual termination agreement with Roche, which we refer to as the Termination Agreement, pursuant to which the parties mutually agreed to terminate the Roche immunotherapy agreement such that the rights and licenses granted to Roche related to MAP4K1 have terminated in their entirety and we retained the rights to any and all compounds developed under the collaboration. Further, we retain the flexibility to research, develop, manufacture, commercialize and otherwise exploit the assets developed under the collaboration. We have deprioritized advancement of the program and are exploring opportunities to re-partner the asset for future development.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Roche—Pralsetinib Collaboration. </w:t>
      </w:r>
      <w:r>
        <w:rPr>
          <w:rFonts w:ascii="Times New Roman;Times;serif" w:hAnsi="Times New Roman;Times;serif"/>
          <w:sz w:val="20"/>
        </w:rPr>
        <w:t xml:space="preserve">In July 2020, we entered into a collaboration with Roche to develop and commercialize pralsetinib for the treatment of RET-altered cancers. Under the collaboration, we and Genentech are co-commercializing GAVRETO in the U.S., and Roche was granted exclusive commercialization rights for pralsetinib outside of the U.S., excluding the CStone Territory, which consists of Mainland China, Hong Kong, Macau and Taiwan.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Until the termination of the collaboration agreement is effective, the parties will continue to perform their respective obligations under the collaboration agreement, including with respect to the development and commercialization of GAVRETO. The parties will enter into a transition plan to facilitate the reversion of the product, including reasonable allocation of costs and expenses. </w:t>
      </w:r>
      <w:r>
        <w:rPr>
          <w:rFonts w:ascii="Times New Roman;Times;serif" w:hAnsi="Times New Roman;Times;serif"/>
          <w:sz w:val="20"/>
          <w:shd w:fill="FFFFFF" w:val="clear"/>
        </w:rPr>
        <w:t xml:space="preserve">We will not be entitled to receive payment for milestones, if any, achieved after the receipt of the notice of termination but before the effective date of termination. </w:t>
      </w:r>
      <w:r>
        <w:rPr>
          <w:rFonts w:ascii="Times New Roman;Times;serif" w:hAnsi="Times New Roman;Times;serif"/>
          <w:sz w:val="20"/>
        </w:rPr>
        <w:t xml:space="preserve">Upon the termination becoming effective, our exclusivity obligations under the collaboration agreement will terminate and we have initiated the process of re-partnering GAVRETO for future development and commercialization.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i/>
          <w:sz w:val="20"/>
        </w:rPr>
        <w:t xml:space="preserve">CStone. </w:t>
      </w:r>
      <w:r>
        <w:rPr>
          <w:rFonts w:ascii="Times New Roman;Times;serif" w:hAnsi="Times New Roman;Times;serif"/>
          <w:sz w:val="20"/>
        </w:rPr>
        <w:t xml:space="preserve">In June 2018, we entered into a collaboration with CStone to develop and commercialize avapritinib, pralsetinib and fisogatinib, as well as back-up forms and certain other forms, in the CStone Territory either as a monotherapy or as part of a combination therapy.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Clementia.</w:t>
      </w:r>
      <w:r>
        <w:rPr>
          <w:rFonts w:ascii="Times New Roman;Times;serif" w:hAnsi="Times New Roman;Times;serif"/>
          <w:sz w:val="20"/>
        </w:rPr>
        <w:t xml:space="preserve"> In October 2019, we entered into a license agreement with Clementia. Under the collaboration,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initiated patient dosing in a Phase 2 clinical trial of BLU-782, now referred to as fidrisertib, in the first quarter of 2022.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Zai Lab</w:t>
      </w:r>
      <w:r>
        <w:rPr>
          <w:rFonts w:ascii="Times New Roman;Times;serif" w:hAnsi="Times New Roman;Times;serif"/>
          <w:sz w:val="20"/>
        </w:rPr>
        <w:t xml:space="preserve">. In November 2021, we entered into a collaboration with Zai Lab to develop and commercialize certain licensed products for the treatment of EGFR-driven NSCLC in Greater China, including Mainland China, Hong Kong, Macau and Taiwan. The collaboration aims to accelerate and expand global development of the licensed products, which currently includes BLU-945 and BLU-525 (which served as a back-up candidate for BLU-701).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Proteovant</w:t>
      </w:r>
      <w:r>
        <w:rPr>
          <w:rFonts w:ascii="Times New Roman;Times;serif" w:hAnsi="Times New Roman;Times;serif"/>
          <w:sz w:val="20"/>
        </w:rPr>
        <w:t>. In February 2022, we entered into an exclusive collaboration with Proteovant to jointly research and advance up to two novel targeted protein degrader therapies as well as up to two additional novel protein degrader target programs as we may mutually agree with Proteovant (each such program is referred to as a target program). On a target program-by-target program basis, we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we option, and, if we expand to additional target programs, Proteovant will have the same opt-in right for the fourth target program that we option.</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IDRx. </w:t>
      </w:r>
      <w:r>
        <w:rPr>
          <w:rFonts w:ascii="Times New Roman;Times;serif" w:hAnsi="Times New Roman;Times;serif"/>
          <w:sz w:val="20"/>
        </w:rPr>
        <w:t xml:space="preserve">In August 2022, we entered into a license agreement with IDRx, Inc., or IDRx, which we refer to as the IDRx License Agreement. Pursuant to the IDRx License Agreement, we granted IDRx an exclusive, worldwide, royalty-bearing license to exploit our internally discovered development candidate-stage KIT exon 13 inhibitor, IDRX-73.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IDRx License Agreement, we also entered into a stock purchase agreement with IDRx, which we refer to as the IDRx Stock Purchase Agreement, pursuant to which we received 4,509,105 shares of IDRx’s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248" w:name="_cp_change_8521"/>
      <w:bookmarkEnd w:id="1248"/>
      <w:r>
        <w:rPr>
          <w:rFonts w:ascii="Times New Roman;Times;serif" w:hAnsi="Times New Roman;Times;serif"/>
          <w:sz w:val="20"/>
        </w:rPr>
        <w:t>Series A preferred stock and the right to receive additional shares of IDRx’s Series A preferred stock through an anti-dilution provision subject to a defined financing cap as noncash consideration and the eligibility to receive up to $217.5 million in contingent cash payments, i</w:t>
      </w:r>
      <w:r>
        <w:rPr>
          <w:rFonts w:ascii="Times New Roman;Times;serif" w:hAnsi="Times New Roman;Times;serif"/>
          <w:sz w:val="20"/>
          <w:shd w:fill="FFFFFF" w:val="clear"/>
        </w:rPr>
        <w:t xml:space="preserve">ncluding specified development, regulatory and sales-based milestone payments and tiered royalty payments.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Mergers &amp; Acquisitions Summary</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Lengo Therapeutics</w:t>
      </w:r>
      <w:r>
        <w:rPr>
          <w:rFonts w:ascii="Times New Roman;Times;serif" w:hAnsi="Times New Roman;Times;serif"/>
          <w:sz w:val="20"/>
        </w:rPr>
        <w:t>. In December 2021, we completed our acquisition of Lengo Therapeutics, Inc., along with its lead compound LNG-451, now known as BLU-451, which is in development for the treatment of NSCLC in patients with EGFR exon 20 insertion mutations. The acquisition also included additional undisclosed preclinical precision oncology programs and research tools, including a catalog of covalent, highly brain penetrant kinase inhibitors that we plan to add to our proprietary compound library to further enable future drug discovery efforts.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Financing Arrangements Summary</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 xml:space="preserve">Royalty Purchase Agreement. </w:t>
      </w:r>
      <w:r>
        <w:rPr>
          <w:rFonts w:ascii="Times New Roman;Times;serif" w:hAnsi="Times New Roman;Times;serif"/>
          <w:sz w:val="20"/>
        </w:rPr>
        <w:t xml:space="preserve">In June 2022, we entered into a purchase and sale agreement, which we refer to as the Royalty Purchase Agreement, with Royalty Pharma. Pursuant to this Royalty Purchase Agreement, we received an upfront cash payment of $175.0 million and the right to receive up to $165.0 million in certain milestone payments, </w:t>
      </w:r>
      <w:r>
        <w:rPr>
          <w:rFonts w:ascii="Times New Roman;Times;serif" w:hAnsi="Times New Roman;Times;serif"/>
          <w:sz w:val="20"/>
          <w:shd w:fill="FFFFFF" w:val="clear"/>
        </w:rPr>
        <w:t xml:space="preserve">subject to the achievement of specified net sales milestones by Roche, in exchange for </w:t>
      </w:r>
      <w:r>
        <w:rPr>
          <w:rFonts w:ascii="Times New Roman;Times;serif" w:hAnsi="Times New Roman;Times;serif"/>
          <w:sz w:val="20"/>
        </w:rPr>
        <w:t xml:space="preserve">all of our existing rights to receive royalty payments on the net sales of GAVRETO worldwide excluding the CStone Territory and U.S. territory under the terms of the Roche pralsetinib collaboration agreement. However, in February 2023, Roche provided written notice of its election to terminate the Roche pralsetinib collaboration agreement for convenience. Following the termination of the Roche pralsetinib collaboration agreement, if the specified net sales milestone thresholds under the Royalty Purchase Agreement with Royalty Pharma are not otherwise met, we may no longer be eligible to receive any of the contingent milestone payments under the Royalty Purchase Agreement.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Synthetic Royalty Facility.</w:t>
      </w:r>
      <w:r>
        <w:rPr>
          <w:rFonts w:ascii="Times New Roman;Times;serif" w:hAnsi="Times New Roman;Times;serif"/>
          <w:sz w:val="20"/>
        </w:rPr>
        <w:t xml:space="preserve"> In June 2022, we entered into a purchase and sale agreement, which we refer to as the Future Revenue Purchase Agreement with Sixth Street Partners.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Debt Facility. </w:t>
      </w:r>
      <w:r>
        <w:rPr>
          <w:rFonts w:ascii="Times New Roman;Times;serif" w:hAnsi="Times New Roman;Times;serif"/>
          <w:sz w:val="20"/>
        </w:rPr>
        <w:t>In June 2022, we entered into a Financing Agreement for up to $660.0 million with Sixth Street Partners. The Financing Agreement, as amended,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Note on the COVID-19 Pandemic</w:t>
      </w:r>
    </w:p>
    <w:p>
      <w:pPr>
        <w:pStyle w:val="TextBody"/>
        <w:bidi w:val="0"/>
        <w:spacing w:lineRule="auto" w:line="285" w:before="280" w:after="0"/>
        <w:ind w:left="0" w:right="0" w:firstLine="734"/>
        <w:jc w:val="left"/>
        <w:rPr>
          <w:rFonts w:ascii="Times New Roman;Times;serif" w:hAnsi="Times New Roman;Times;serif"/>
          <w:sz w:val="20"/>
        </w:rPr>
      </w:pPr>
      <w:r>
        <w:rPr>
          <w:rFonts w:ascii="Times New Roman;Times;serif" w:hAnsi="Times New Roman;Times;serif"/>
          <w:sz w:val="20"/>
        </w:rPr>
        <w:t xml:space="preserve">The COVID-19 pandemic had widespread and unpredictable impacts on global societies, economies, financial markets, and business practices. Although the immediate impacts of COVID-19 have receded, we will continue to closely monitor the evolution and global impact of the COVID-19 pandemic and our focus remains on promoting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employee health and safety while continuing to advance the research and development of our drug candidates and to deliver our approved drugs to patients in need. Please refer to our Risk Factors in Part II, Item IA of this Quarterly Report on Form 10-Q for further discussion of risks related to the COVID-19 pandemic. </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and license agreements, future royalty and revenue monetization, and a term loan. Through June 30, 2023, we have received an aggregate of $3.6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and milestone payments under our collaborations with Roche, CStone and Zai Lab, our license agreement with Clementia and our former collaboration with Alexion Pharma Holding, or Alexion, and $150.0 million in gross proceeds from a term loan from Sixth Street Partners. In addition, since January 2020, we have also generated revenue through the sales of our approved drug products.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Since inception, we have incurred significant operating losses. Our net loss was $262.4 million for the six months ended June 30, 2023. Our net losses were $557.5 million and $644.1 million for the years ended December 31, 2022 and 2021, respectively. As of June 30, 2023, we had an accumulated deficit of $2,095.3 million. We expect to continue to incur significant expenses and operating losses over the next few years. We anticipate that our expenses will continue to increase in connection with our ongoing activities, particularly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expand our sales, marketing and distribution infrastructure to continue to commercialize our drug and any current or future drug candidates for which we may obtain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 for avapritinib in additional geographies, as well as for indolent SM in geographies outside the U.S., and pralsetinib for an additional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advance clinical development activities for other current or future drug candidates as monotherapies or in combination with other agents;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discover, validate and develop additional drug candidates or development candidates, including elenestinib (BLU-263), BLU-945, BLU-525, BLU-451, BLU-222 and BLU-808;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 to manufacture increasing quantities of drug substance and drug product material for use in preclinical studies, clinical trials and commercialization and to purchase quantities of other agents for use in our clinical trial as we develop our drugs and drug candidates as potential combination therapies or for use as comparator agents; </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research and development activities under our collaborations with Zai Lab and Proteovant;</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businesses, technologies, drugs or drug candidates, form strategic alliances or create joint ventures with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research, clinical, quality, manufacturing, regulatory, commercial and general and administrative personnel.</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ASM, SM-AHN and MCL. In March 2022, the European Commission expanded the marketing authorization for AYVAKYT to include the treatment of adult patients with ASM, SM-AHN, or MCL, after at least one systemic therapy. In May 2023, the FDA approved AYVAKIT for the treatment of adult patients with indolent SM.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June 30, 2023, our revenue primarily consisted of product sales of AYVAKIT/ AYVAKYT as well as collaboration and license revenue under our immunotherapy collaboration with Roche and our collaboration with CStone. Collaboration and license revenue for the three and six months ended June 30, 2023 primarily includes amounts that were recognized related to an achieved milestone payment, amounts due to us for research and development services and royalties earned under these collaboration agreements.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anticipate variability in revenue in the future as a result of the timing and amount of product sales, license fees, research and development services, manufacturing services, and achievement of milestones or other payments under our collaboration or license agreements, if any.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2023, we expect net product revenues to increase, as compared to 2022, as we continue to add new patients onto AYVAKIT/AYVAKYT, including advanced SM and indolent SM with the recent label expansion.</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three and six months ended June 30, 2023 and 2022. We estimate our cost of goods sold related to product revenue as a percentage of net product revenue will continue to be positively impacted as we sell through certain inventory that was previously expensed prior to FDA approval. We expect to sell through our pre-launch inventory in the near term. Once the low-cost inventory balances are sold through, we estimate our costs of goods sold related to product sales to remain in the mid-single digit percentage range. Cost of goods sold related to sales of drug products to our collaboration partners are at lower margins and will partially offset the positive impact of the previously expensed inventory.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On July 1, 2021, Roche took over certain responsibilities associated with product sales to customers, pricing and distribution matters related to GAVRETO in the U.S. and became the principal for recording product sales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customers in the U.S. Collaboration loss sharing consists of our share of the losses incurred from sales of GAVRETO to customers in the U.S. under our collaboration for pralsetinib with Roche. For additional information, see Note 10</w:t>
      </w:r>
      <w:r>
        <w:rPr>
          <w:rFonts w:ascii="Times New Roman;Times;serif" w:hAnsi="Times New Roman;Times;serif"/>
          <w:i/>
          <w:sz w:val="20"/>
        </w:rPr>
        <w:t>, Collaboration and License Agreements</w:t>
      </w:r>
      <w:r>
        <w:rPr>
          <w:rFonts w:ascii="Times New Roman;Times;serif" w:hAnsi="Times New Roman;Times;serif"/>
          <w:sz w:val="20"/>
        </w:rPr>
        <w:t xml:space="preserve">, to our unaudited condensed consolidated financial statements. We anticipate variability in collaboration loss sharing from period to period as a result of the timing and amount of GAVRETO sales.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and development activities, including our drug discovery efforts, and the development of our drug candidates, which include:</w:t>
      </w:r>
    </w:p>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acquire in-process research and development asset with no alternative future use;</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that conduct research and development, preclinical activities, clinical activities and manufacturing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development activities under our collaboration for pralsetinib with Roche and research and development activities under our collaboration with Proteovant;</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cost of consultants in connection with our research and development activities</w:t>
            </w:r>
            <w:r>
              <w:rPr>
                <w:rFonts w:ascii="Times New Roman;Times;serif" w:hAnsi="Times New Roman;Times;serif"/>
                <w:b w:val="false"/>
                <w:i w:val="false"/>
                <w:caps w:val="false"/>
                <w:smallCaps w:val="false"/>
                <w:sz w:val="20"/>
              </w:rPr>
              <w:t>;</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associated with regulatory quality assurance and quality control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lab supplies and acquiring, developing and manufacturing preclinical study materials, clinical trial materials and commercial supply materials;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expenses for rent and maintenance of facilities, insurance, and other operating costs in support of research and development activities.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toxicology studies;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initiation, enrollment in, and completion of clinical trials;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manufacturing capabilities or making arrangements with third-party manufacturers to ensure adequate clinical and commercial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AYVAKIT/AYVAKYT, GAVRETO and our drug candidates;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AYVAKIT/AYVAKYT, GAVRETO and our drug candidates, if and when approved, whether alone or in collaboration with others; </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AYVAKIT/AYVAKYT, GAVRETO and any future drug we may commercialize; and</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drugs following approval.</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any of our drug candidates would significantly change the costs and timing associated with the development of that drug candidate.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tables summarize our research and development expenses by program for the three and six months ended June 30, 2023 and 2022. Other development and pre-development candidate expenses, unallocated expenses and internal research and development expenses have been classified separately.</w:t>
      </w:r>
    </w:p>
    <w:tbl>
      <w:tblPr>
        <w:tblW w:w="10205" w:type="dxa"/>
        <w:jc w:val="left"/>
        <w:tblInd w:w="0" w:type="dxa"/>
        <w:tblLayout w:type="fixed"/>
        <w:tblCellMar>
          <w:top w:w="0" w:type="dxa"/>
          <w:left w:w="0" w:type="dxa"/>
          <w:bottom w:w="0" w:type="dxa"/>
          <w:right w:w="0" w:type="dxa"/>
        </w:tblCellMar>
      </w:tblPr>
      <w:tblGrid>
        <w:gridCol w:w="4713"/>
        <w:gridCol w:w="386"/>
        <w:gridCol w:w="211"/>
        <w:gridCol w:w="781"/>
        <w:gridCol w:w="386"/>
        <w:gridCol w:w="211"/>
        <w:gridCol w:w="781"/>
        <w:gridCol w:w="386"/>
        <w:gridCol w:w="224"/>
        <w:gridCol w:w="822"/>
        <w:gridCol w:w="386"/>
        <w:gridCol w:w="458"/>
        <w:gridCol w:w="460"/>
      </w:tblGrid>
      <w:tr>
        <w:trPr/>
        <w:tc>
          <w:tcPr>
            <w:tcW w:w="4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992755" cy="175260"/>
                      <wp:effectExtent l="0" t="0" r="0" b="0"/>
                      <wp:wrapNone/>
                      <wp:docPr id="401" name="Frame401"/>
                      <a:graphic xmlns:a="http://schemas.openxmlformats.org/drawingml/2006/main">
                        <a:graphicData uri="http://schemas.microsoft.com/office/word/2010/wordprocessingShape">
                          <wps:wsp>
                            <wps:cNvSpPr txBox="1"/>
                            <wps:spPr>
                              <a:xfrm>
                                <a:off x="0" y="0"/>
                                <a:ext cx="2992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45110" cy="175260"/>
                      <wp:effectExtent l="0" t="0" r="0" b="0"/>
                      <wp:wrapNone/>
                      <wp:docPr id="402" name="Frame40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5935" cy="175260"/>
                      <wp:effectExtent l="0" t="0" r="0" b="0"/>
                      <wp:wrapNone/>
                      <wp:docPr id="404" name="Frame4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45110" cy="175260"/>
                      <wp:effectExtent l="0" t="0" r="0" b="0"/>
                      <wp:wrapNone/>
                      <wp:docPr id="405" name="Frame40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95935" cy="175260"/>
                      <wp:effectExtent l="0" t="0" r="0" b="0"/>
                      <wp:wrapNone/>
                      <wp:docPr id="407" name="Frame4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45110" cy="175260"/>
                      <wp:effectExtent l="0" t="0" r="0" b="0"/>
                      <wp:wrapNone/>
                      <wp:docPr id="408" name="Frame40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42240" cy="175260"/>
                      <wp:effectExtent l="0" t="0" r="0" b="0"/>
                      <wp:wrapNone/>
                      <wp:docPr id="409" name="Frame40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21970" cy="175260"/>
                      <wp:effectExtent l="0" t="0" r="0" b="0"/>
                      <wp:wrapNone/>
                      <wp:docPr id="410" name="Frame41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45110" cy="175260"/>
                      <wp:effectExtent l="0" t="0" r="0" b="0"/>
                      <wp:wrapNone/>
                      <wp:docPr id="411" name="Frame41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90830" cy="175260"/>
                      <wp:effectExtent l="0" t="0" r="0" b="0"/>
                      <wp:wrapNone/>
                      <wp:docPr id="412" name="Frame41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92100" cy="175260"/>
                      <wp:effectExtent l="0" t="0" r="0" b="0"/>
                      <wp:wrapNone/>
                      <wp:docPr id="413" name="Frame413"/>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1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lineRule="auto" w:line="285" w:before="0" w:after="0"/>
              <w:ind w:left="0" w:right="0" w:hanging="0"/>
              <w:jc w:val="center"/>
              <w:rPr/>
            </w:pPr>
            <w:r>
              <w:rPr/>
              <w:t>​</w:t>
            </w:r>
          </w:p>
        </w:tc>
        <w:tc>
          <w:tcPr>
            <w:tcW w:w="1890" w:type="dxa"/>
            <w:gridSpan w:val="4"/>
            <w:tcBorders/>
            <w:vAlign w:val="center"/>
          </w:tcPr>
          <w:p>
            <w:pPr>
              <w:pStyle w:val="TableContents"/>
              <w:bidi w:val="0"/>
              <w:spacing w:lineRule="auto" w:line="285" w:before="0" w:after="0"/>
              <w:ind w:left="0" w:right="0" w:hanging="0"/>
              <w:jc w:val="center"/>
              <w:rPr/>
            </w:pPr>
            <w:r>
              <w:rPr/>
              <w:t>​</w:t>
            </w:r>
          </w:p>
        </w:tc>
        <w:tc>
          <w:tcPr>
            <w:tcW w:w="460" w:type="dxa"/>
            <w:tcBorders/>
            <w:vAlign w:val="center"/>
          </w:tcPr>
          <w:p>
            <w:pPr>
              <w:pStyle w:val="TableContents"/>
              <w:bidi w:val="0"/>
              <w:spacing w:lineRule="auto" w:line="285" w:before="0" w:after="0"/>
              <w:ind w:left="0" w:right="0" w:hanging="0"/>
              <w:jc w:val="center"/>
              <w:rPr/>
            </w:pPr>
            <w:r>
              <w:rPr/>
              <w:t>​</w:t>
            </w:r>
          </w:p>
        </w:tc>
      </w:tr>
      <w:tr>
        <w:trPr/>
        <w:tc>
          <w:tcPr>
            <w:tcW w:w="471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10,057</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13,961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(3,904)</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6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Pralsetinib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5,164</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8,674</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(3,510)</w:t>
            </w:r>
          </w:p>
        </w:tc>
        <w:tc>
          <w:tcPr>
            <w:tcW w:w="386" w:type="dxa"/>
            <w:tcBorders/>
            <w:vAlign w:val="center"/>
          </w:tcPr>
          <w:p>
            <w:pPr>
              <w:pStyle w:val="TableContents"/>
              <w:bidi w:val="0"/>
              <w:spacing w:lineRule="auto" w:line="285" w:before="0" w:after="1"/>
              <w:ind w:left="0" w:right="0" w:hanging="0"/>
              <w:jc w:val="left"/>
              <w:rPr/>
            </w:pPr>
            <w:r>
              <w:rPr/>
              <w:t>     </w:t>
            </w:r>
          </w:p>
        </w:tc>
        <w:tc>
          <w:tcPr>
            <w:tcW w:w="458"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460" w:type="dxa"/>
            <w:tcBorders/>
            <w:vAlign w:val="center"/>
          </w:tcPr>
          <w:p>
            <w:pPr>
              <w:pStyle w:val="TableContents"/>
              <w:bidi w:val="0"/>
              <w:spacing w:lineRule="auto" w:line="285" w:before="0" w:after="0"/>
              <w:ind w:left="0" w:right="0" w:hanging="0"/>
              <w:jc w:val="left"/>
              <w:rPr/>
            </w:pPr>
            <w:r>
              <w:rPr/>
              <w:t>​</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BLU-263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6,333</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8,925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(2,592)</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60" w:type="dxa"/>
            <w:tcBorders/>
            <w:shd w:fill="CCEEFF" w:val="clear"/>
            <w:vAlign w:val="center"/>
          </w:tcPr>
          <w:p>
            <w:pPr>
              <w:pStyle w:val="TableContents"/>
              <w:bidi w:val="0"/>
              <w:spacing w:lineRule="auto" w:line="285" w:before="0" w:after="0"/>
              <w:ind w:left="0" w:right="0" w:hanging="0"/>
              <w:jc w:val="left"/>
              <w:rPr/>
            </w:pPr>
            <w:r>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EGFR franchise (BLU-451/525/701/945)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11,651</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26,827</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(15,176)</w:t>
            </w:r>
          </w:p>
        </w:tc>
        <w:tc>
          <w:tcPr>
            <w:tcW w:w="386" w:type="dxa"/>
            <w:tcBorders/>
            <w:vAlign w:val="center"/>
          </w:tcPr>
          <w:p>
            <w:pPr>
              <w:pStyle w:val="TableContents"/>
              <w:bidi w:val="0"/>
              <w:spacing w:lineRule="auto" w:line="285" w:before="0" w:after="1"/>
              <w:ind w:left="0" w:right="0" w:hanging="0"/>
              <w:jc w:val="left"/>
              <w:rPr/>
            </w:pPr>
            <w:r>
              <w:rPr/>
              <w:t>     </w:t>
            </w:r>
          </w:p>
        </w:tc>
        <w:tc>
          <w:tcPr>
            <w:tcW w:w="458"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460" w:type="dxa"/>
            <w:tcBorders/>
            <w:vAlign w:val="center"/>
          </w:tcPr>
          <w:p>
            <w:pPr>
              <w:pStyle w:val="TableContents"/>
              <w:bidi w:val="0"/>
              <w:spacing w:lineRule="auto" w:line="285" w:before="0" w:after="0"/>
              <w:ind w:left="0" w:right="0" w:hanging="0"/>
              <w:jc w:val="left"/>
              <w:rPr/>
            </w:pPr>
            <w:r>
              <w:rPr/>
              <w:t>​</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14,640</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(2,139)</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60" w:type="dxa"/>
            <w:tcBorders/>
            <w:shd w:fill="CCEEFF" w:val="clear"/>
            <w:vAlign w:val="center"/>
          </w:tcPr>
          <w:p>
            <w:pPr>
              <w:pStyle w:val="TableContents"/>
              <w:bidi w:val="0"/>
              <w:spacing w:lineRule="auto" w:line="285" w:before="0" w:after="0"/>
              <w:ind w:left="0" w:right="0" w:hanging="0"/>
              <w:jc w:val="left"/>
              <w:rPr/>
            </w:pPr>
            <w:r>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27,380</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22,073</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5,307</w:t>
            </w:r>
          </w:p>
        </w:tc>
        <w:tc>
          <w:tcPr>
            <w:tcW w:w="386" w:type="dxa"/>
            <w:tcBorders/>
            <w:vAlign w:val="center"/>
          </w:tcPr>
          <w:p>
            <w:pPr>
              <w:pStyle w:val="TableContents"/>
              <w:bidi w:val="0"/>
              <w:spacing w:lineRule="auto" w:line="285" w:before="0" w:after="1"/>
              <w:ind w:left="0" w:right="0" w:hanging="0"/>
              <w:jc w:val="left"/>
              <w:rPr/>
            </w:pPr>
            <w:r>
              <w:rPr/>
              <w:t>     </w:t>
            </w:r>
          </w:p>
        </w:tc>
        <w:tc>
          <w:tcPr>
            <w:tcW w:w="458"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60" w:type="dxa"/>
            <w:tcBorders/>
            <w:vAlign w:val="center"/>
          </w:tcPr>
          <w:p>
            <w:pPr>
              <w:pStyle w:val="TableContents"/>
              <w:bidi w:val="0"/>
              <w:spacing w:lineRule="auto" w:line="285" w:before="0" w:after="0"/>
              <w:ind w:left="0" w:right="0" w:hanging="0"/>
              <w:jc w:val="left"/>
              <w:rPr/>
            </w:pPr>
            <w:r>
              <w:rPr/>
              <w:t>​</w:t>
            </w:r>
          </w:p>
        </w:tc>
      </w:tr>
      <w:tr>
        <w:trPr/>
        <w:tc>
          <w:tcPr>
            <w:tcW w:w="47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36,977</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33,366</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 </w:t>
            </w:r>
          </w:p>
        </w:tc>
        <w:tc>
          <w:tcPr>
            <w:tcW w:w="82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3,611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4713"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110,063</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128,466</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(18,403)</w:t>
            </w:r>
          </w:p>
        </w:tc>
        <w:tc>
          <w:tcPr>
            <w:tcW w:w="386" w:type="dxa"/>
            <w:tcBorders/>
            <w:vAlign w:val="center"/>
          </w:tcPr>
          <w:p>
            <w:pPr>
              <w:pStyle w:val="TableContents"/>
              <w:bidi w:val="0"/>
              <w:spacing w:lineRule="auto" w:line="285" w:before="0" w:after="1"/>
              <w:ind w:left="0" w:right="0" w:hanging="0"/>
              <w:jc w:val="left"/>
              <w:rPr/>
            </w:pPr>
            <w:r>
              <w:rPr/>
              <w:t>     </w:t>
            </w:r>
          </w:p>
        </w:tc>
        <w:tc>
          <w:tcPr>
            <w:tcW w:w="458"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60" w:type="dxa"/>
            <w:tcBorders>
              <w:bottom w:val="double" w:sz="6" w:space="0" w:color="000000"/>
            </w:tcBorders>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pBdr/>
        <w:bidi w:val="0"/>
        <w:spacing w:lineRule="auto" w:line="285" w:before="0" w:after="240"/>
        <w:ind w:left="720" w:right="0" w:hanging="360"/>
        <w:jc w:val="left"/>
        <w:rPr/>
      </w:pPr>
      <w:r>
        <w:rPr/>
        <w:t>​</w:t>
      </w:r>
    </w:p>
    <w:p>
      <w:pPr>
        <w:pStyle w:val="TextBody"/>
        <w:pBdr/>
        <w:bidi w:val="0"/>
        <w:spacing w:lineRule="auto" w:line="285" w:before="0" w:after="24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4982"/>
        <w:gridCol w:w="109"/>
        <w:gridCol w:w="211"/>
        <w:gridCol w:w="781"/>
        <w:gridCol w:w="386"/>
        <w:gridCol w:w="211"/>
        <w:gridCol w:w="781"/>
        <w:gridCol w:w="386"/>
        <w:gridCol w:w="225"/>
        <w:gridCol w:w="830"/>
        <w:gridCol w:w="386"/>
        <w:gridCol w:w="458"/>
        <w:gridCol w:w="459"/>
      </w:tblGrid>
      <w:tr>
        <w:trPr/>
        <w:tc>
          <w:tcPr>
            <w:tcW w:w="4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163570" cy="175260"/>
                      <wp:effectExtent l="0" t="0" r="0" b="0"/>
                      <wp:wrapNone/>
                      <wp:docPr id="414" name="Frame414"/>
                      <a:graphic xmlns:a="http://schemas.openxmlformats.org/drawingml/2006/main">
                        <a:graphicData uri="http://schemas.microsoft.com/office/word/2010/wordprocessingShape">
                          <wps:wsp>
                            <wps:cNvSpPr txBox="1"/>
                            <wps:spPr>
                              <a:xfrm>
                                <a:off x="0" y="0"/>
                                <a:ext cx="3163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9215" cy="175260"/>
                      <wp:effectExtent l="0" t="0" r="0" b="0"/>
                      <wp:wrapNone/>
                      <wp:docPr id="415" name="Frame4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95935" cy="175260"/>
                      <wp:effectExtent l="0" t="0" r="0" b="0"/>
                      <wp:wrapNone/>
                      <wp:docPr id="417" name="Frame4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45110" cy="175260"/>
                      <wp:effectExtent l="0" t="0" r="0" b="0"/>
                      <wp:wrapNone/>
                      <wp:docPr id="418" name="Frame41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95935" cy="175260"/>
                      <wp:effectExtent l="0" t="0" r="0" b="0"/>
                      <wp:wrapNone/>
                      <wp:docPr id="420" name="Frame4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45110" cy="175260"/>
                      <wp:effectExtent l="0" t="0" r="0" b="0"/>
                      <wp:wrapNone/>
                      <wp:docPr id="421" name="Frame42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42875" cy="175260"/>
                      <wp:effectExtent l="0" t="0" r="0" b="0"/>
                      <wp:wrapNone/>
                      <wp:docPr id="422" name="Frame42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27050" cy="175260"/>
                      <wp:effectExtent l="0" t="0" r="0" b="0"/>
                      <wp:wrapNone/>
                      <wp:docPr id="423" name="Frame423"/>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45110" cy="175260"/>
                      <wp:effectExtent l="0" t="0" r="0" b="0"/>
                      <wp:wrapNone/>
                      <wp:docPr id="424" name="Frame42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90830" cy="175260"/>
                      <wp:effectExtent l="0" t="0" r="0" b="0"/>
                      <wp:wrapNone/>
                      <wp:docPr id="425" name="Frame42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91465" cy="175260"/>
                      <wp:effectExtent l="0" t="0" r="0" b="0"/>
                      <wp:wrapNone/>
                      <wp:docPr id="426" name="Frame426"/>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8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86" w:type="dxa"/>
            <w:tcBorders/>
            <w:vAlign w:val="center"/>
          </w:tcPr>
          <w:p>
            <w:pPr>
              <w:pStyle w:val="TableContents"/>
              <w:bidi w:val="0"/>
              <w:spacing w:lineRule="auto" w:line="285" w:before="0" w:after="0"/>
              <w:ind w:left="0" w:right="0" w:hanging="0"/>
              <w:jc w:val="center"/>
              <w:rPr/>
            </w:pPr>
            <w:r>
              <w:rPr/>
              <w:t>​</w:t>
            </w:r>
          </w:p>
        </w:tc>
        <w:tc>
          <w:tcPr>
            <w:tcW w:w="1899" w:type="dxa"/>
            <w:gridSpan w:val="4"/>
            <w:tcBorders/>
            <w:vAlign w:val="center"/>
          </w:tcPr>
          <w:p>
            <w:pPr>
              <w:pStyle w:val="TableContents"/>
              <w:bidi w:val="0"/>
              <w:spacing w:lineRule="auto" w:line="285" w:before="0" w:after="0"/>
              <w:ind w:left="0" w:right="0" w:hanging="0"/>
              <w:jc w:val="center"/>
              <w:rPr/>
            </w:pPr>
            <w:r>
              <w:rPr/>
              <w:t>​</w:t>
            </w:r>
          </w:p>
        </w:tc>
        <w:tc>
          <w:tcPr>
            <w:tcW w:w="459" w:type="dxa"/>
            <w:tcBorders/>
            <w:vAlign w:val="center"/>
          </w:tcPr>
          <w:p>
            <w:pPr>
              <w:pStyle w:val="TableContents"/>
              <w:bidi w:val="0"/>
              <w:spacing w:lineRule="auto" w:line="285" w:before="0" w:after="0"/>
              <w:ind w:left="0" w:right="0" w:hanging="0"/>
              <w:jc w:val="center"/>
              <w:rPr/>
            </w:pPr>
            <w:r>
              <w:rPr/>
              <w:t>​</w:t>
            </w:r>
          </w:p>
        </w:tc>
      </w:tr>
      <w:tr>
        <w:trPr/>
        <w:tc>
          <w:tcPr>
            <w:tcW w:w="498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1"/>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98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21,389</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23,933</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(2,544)</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982"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Pralsetinib external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9,463</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19,631</w:t>
            </w:r>
          </w:p>
        </w:tc>
        <w:tc>
          <w:tcPr>
            <w:tcW w:w="38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w:t>
            </w:r>
          </w:p>
        </w:tc>
        <w:tc>
          <w:tcPr>
            <w:tcW w:w="830"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(10,168)</w:t>
            </w:r>
          </w:p>
        </w:tc>
        <w:tc>
          <w:tcPr>
            <w:tcW w:w="386" w:type="dxa"/>
            <w:tcBorders/>
            <w:vAlign w:val="center"/>
          </w:tcPr>
          <w:p>
            <w:pPr>
              <w:pStyle w:val="TableContents"/>
              <w:bidi w:val="0"/>
              <w:spacing w:lineRule="auto" w:line="285" w:before="0" w:after="1"/>
              <w:ind w:left="0" w:right="0" w:hanging="0"/>
              <w:jc w:val="left"/>
              <w:rPr/>
            </w:pPr>
            <w:r>
              <w:rPr/>
              <w:t>     </w:t>
            </w:r>
          </w:p>
        </w:tc>
        <w:tc>
          <w:tcPr>
            <w:tcW w:w="458"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459" w:type="dxa"/>
            <w:tcBorders/>
            <w:vAlign w:val="center"/>
          </w:tcPr>
          <w:p>
            <w:pPr>
              <w:pStyle w:val="TableContents"/>
              <w:bidi w:val="0"/>
              <w:spacing w:lineRule="auto" w:line="285" w:before="0" w:after="0"/>
              <w:ind w:left="0" w:right="0" w:hanging="0"/>
              <w:jc w:val="right"/>
              <w:rPr/>
            </w:pPr>
            <w:r>
              <w:rPr/>
              <w:t>​</w:t>
            </w:r>
          </w:p>
        </w:tc>
      </w:tr>
      <w:tr>
        <w:trPr/>
        <w:tc>
          <w:tcPr>
            <w:tcW w:w="498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BLU-263 external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13,730</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18,021</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(4,291)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59" w:type="dxa"/>
            <w:tcBorders/>
            <w:shd w:fill="CCEEFF" w:val="clear"/>
            <w:vAlign w:val="center"/>
          </w:tcPr>
          <w:p>
            <w:pPr>
              <w:pStyle w:val="TableContents"/>
              <w:bidi w:val="0"/>
              <w:spacing w:lineRule="auto" w:line="285" w:before="0" w:after="0"/>
              <w:ind w:left="0" w:right="0" w:hanging="0"/>
              <w:jc w:val="left"/>
              <w:rPr/>
            </w:pPr>
            <w:r>
              <w:rPr/>
              <w:t>​</w:t>
            </w:r>
          </w:p>
        </w:tc>
      </w:tr>
      <w:tr>
        <w:trPr/>
        <w:tc>
          <w:tcPr>
            <w:tcW w:w="4982"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EGFR franchise (BLU-451/525/701/945) external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33,145</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43,439</w:t>
            </w:r>
          </w:p>
        </w:tc>
        <w:tc>
          <w:tcPr>
            <w:tcW w:w="38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30"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(10,294)</w:t>
            </w:r>
          </w:p>
        </w:tc>
        <w:tc>
          <w:tcPr>
            <w:tcW w:w="386" w:type="dxa"/>
            <w:tcBorders/>
            <w:vAlign w:val="center"/>
          </w:tcPr>
          <w:p>
            <w:pPr>
              <w:pStyle w:val="TableContents"/>
              <w:bidi w:val="0"/>
              <w:spacing w:lineRule="auto" w:line="285" w:before="0" w:after="1"/>
              <w:ind w:left="0" w:right="0" w:hanging="0"/>
              <w:jc w:val="left"/>
              <w:rPr/>
            </w:pPr>
            <w:r>
              <w:rPr/>
              <w:t>     </w:t>
            </w:r>
          </w:p>
        </w:tc>
        <w:tc>
          <w:tcPr>
            <w:tcW w:w="458"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59" w:type="dxa"/>
            <w:tcBorders/>
            <w:vAlign w:val="center"/>
          </w:tcPr>
          <w:p>
            <w:pPr>
              <w:pStyle w:val="TableContents"/>
              <w:bidi w:val="0"/>
              <w:spacing w:lineRule="auto" w:line="285" w:before="0" w:after="0"/>
              <w:ind w:left="0" w:right="0" w:hanging="0"/>
              <w:jc w:val="left"/>
              <w:rPr/>
            </w:pPr>
            <w:r>
              <w:rPr/>
              <w:t>​</w:t>
            </w:r>
          </w:p>
        </w:tc>
      </w:tr>
      <w:tr>
        <w:trPr/>
        <w:tc>
          <w:tcPr>
            <w:tcW w:w="498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21,868</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20,719</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1,149</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59" w:type="dxa"/>
            <w:tcBorders/>
            <w:shd w:fill="CCEEFF" w:val="clear"/>
            <w:vAlign w:val="center"/>
          </w:tcPr>
          <w:p>
            <w:pPr>
              <w:pStyle w:val="TableContents"/>
              <w:bidi w:val="0"/>
              <w:spacing w:lineRule="auto" w:line="285" w:before="0" w:after="0"/>
              <w:ind w:left="0" w:right="0" w:hanging="0"/>
              <w:jc w:val="left"/>
              <w:rPr/>
            </w:pPr>
            <w:r>
              <w:rPr/>
              <w:t>​</w:t>
            </w:r>
          </w:p>
        </w:tc>
      </w:tr>
      <w:tr>
        <w:trPr/>
        <w:tc>
          <w:tcPr>
            <w:tcW w:w="4982"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47,703</w:t>
            </w:r>
          </w:p>
        </w:tc>
        <w:tc>
          <w:tcPr>
            <w:tcW w:w="38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40,411</w:t>
            </w:r>
          </w:p>
        </w:tc>
        <w:tc>
          <w:tcPr>
            <w:tcW w:w="38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right"/>
              <w:rPr/>
            </w:pPr>
            <w:r>
              <w:rPr/>
              <w:t>​</w:t>
            </w:r>
          </w:p>
        </w:tc>
        <w:tc>
          <w:tcPr>
            <w:tcW w:w="830"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7,292</w:t>
            </w:r>
          </w:p>
        </w:tc>
        <w:tc>
          <w:tcPr>
            <w:tcW w:w="386" w:type="dxa"/>
            <w:tcBorders/>
            <w:vAlign w:val="center"/>
          </w:tcPr>
          <w:p>
            <w:pPr>
              <w:pStyle w:val="TableContents"/>
              <w:bidi w:val="0"/>
              <w:spacing w:lineRule="auto" w:line="285" w:before="0" w:after="1"/>
              <w:ind w:left="0" w:right="0" w:hanging="0"/>
              <w:jc w:val="left"/>
              <w:rPr/>
            </w:pPr>
            <w:r>
              <w:rPr/>
              <w:t>     </w:t>
            </w:r>
          </w:p>
        </w:tc>
        <w:tc>
          <w:tcPr>
            <w:tcW w:w="458"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459" w:type="dxa"/>
            <w:tcBorders/>
            <w:vAlign w:val="center"/>
          </w:tcPr>
          <w:p>
            <w:pPr>
              <w:pStyle w:val="TableContents"/>
              <w:bidi w:val="0"/>
              <w:spacing w:lineRule="auto" w:line="285" w:before="0" w:after="0"/>
              <w:ind w:left="0" w:right="0" w:hanging="0"/>
              <w:jc w:val="left"/>
              <w:rPr/>
            </w:pPr>
            <w:r>
              <w:rPr/>
              <w:t>​</w:t>
            </w:r>
          </w:p>
        </w:tc>
      </w:tr>
      <w:tr>
        <w:trPr/>
        <w:tc>
          <w:tcPr>
            <w:tcW w:w="498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74,837</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65,445</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right"/>
              <w:rPr/>
            </w:pPr>
            <w:r>
              <w:rPr/>
              <w:t>​</w:t>
            </w:r>
          </w:p>
        </w:tc>
        <w:tc>
          <w:tcPr>
            <w:tcW w:w="83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9,392</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4982"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222,135</w:t>
            </w:r>
          </w:p>
        </w:tc>
        <w:tc>
          <w:tcPr>
            <w:tcW w:w="386" w:type="dxa"/>
            <w:tcBorders/>
            <w:vAlign w:val="center"/>
          </w:tcPr>
          <w:p>
            <w:pPr>
              <w:pStyle w:val="TableContents"/>
              <w:bidi w:val="0"/>
              <w:spacing w:lineRule="auto" w:line="285"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231,599</w:t>
            </w:r>
          </w:p>
        </w:tc>
        <w:tc>
          <w:tcPr>
            <w:tcW w:w="386" w:type="dxa"/>
            <w:tcBorders/>
            <w:vAlign w:val="center"/>
          </w:tcPr>
          <w:p>
            <w:pPr>
              <w:pStyle w:val="TableContents"/>
              <w:bidi w:val="0"/>
              <w:spacing w:lineRule="auto" w:line="285" w:before="0" w:after="1"/>
              <w:ind w:left="0" w:right="0" w:hanging="0"/>
              <w:jc w:val="left"/>
              <w:rPr/>
            </w:pPr>
            <w:r>
              <w:rPr/>
              <w:t>     </w:t>
            </w:r>
          </w:p>
        </w:tc>
        <w:tc>
          <w:tcPr>
            <w:tcW w:w="22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(9,464)</w:t>
            </w:r>
          </w:p>
        </w:tc>
        <w:tc>
          <w:tcPr>
            <w:tcW w:w="386" w:type="dxa"/>
            <w:tcBorders/>
            <w:vAlign w:val="center"/>
          </w:tcPr>
          <w:p>
            <w:pPr>
              <w:pStyle w:val="TableContents"/>
              <w:bidi w:val="0"/>
              <w:spacing w:lineRule="auto" w:line="285" w:before="0" w:after="0"/>
              <w:ind w:left="0" w:right="0" w:hanging="0"/>
              <w:jc w:val="left"/>
              <w:rPr/>
            </w:pPr>
            <w:r>
              <w:rPr/>
              <w:t>​</w:t>
            </w:r>
          </w:p>
        </w:tc>
        <w:tc>
          <w:tcPr>
            <w:tcW w:w="458"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59" w:type="dxa"/>
            <w:tcBorders>
              <w:bottom w:val="double" w:sz="6" w:space="0" w:color="000000"/>
            </w:tcBorders>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 xml:space="preserve">* </w:t>
            </w:r>
          </w:p>
        </w:tc>
        <w:tc>
          <w:tcPr>
            <w:tcW w:w="985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Pralsetinib external expenses include expenses reimbursable to Roche under our collaboration for pralsetinib with Roche, and other development and pre-development candidate expenses include expenses reimbursable to us under our other collaboration agreements.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our research and development expenses to increase in future periods as our drug candidate development programs progress. These expenses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Our research and development expenses may further increase with potential new collaborations and future acquisitions.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2023, we expect our research and development expenses to be relatively consistent, as compared to 2022, as we continue to enhance operational efficiency across our portfolio while executing across our top priority programs. However, we expect that certain expenses will be variable depending on the timing of manufacturing batches, clinical trial enrollment and results and regulatory review of our ongoing clinical trial programs.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2023, we expect that selling, general and administrative expenses will increase, as compared to 2022, as we continue to build out our global commercial and compliance infrastructure and field team to support the launch of indolent SM.</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consists primarily of interest expense related to our financing arrangements with Royalty Pharma and Sixth Street Partners. Interest expense on liabilities related to the sale of future royalties and revenues consists of the periodic interest calculated using the effective interest rate method over the future estimated royalty payments due to Royalty Pharma and Sixth Street Partners over the life of the agreements.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Times;serif" w:hAnsi="Times New Roman;Times;serif"/>
          <w:i/>
          <w:sz w:val="20"/>
        </w:rPr>
        <w:t>Financing Arrangements</w:t>
      </w:r>
      <w:r>
        <w:rPr>
          <w:rFonts w:ascii="Times New Roman;Times;serif" w:hAnsi="Times New Roman;Times;serif"/>
          <w:sz w:val="20"/>
        </w:rPr>
        <w:t xml:space="preserve">, to our unaudited condensed consolidated financial statements. </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also includes income earned on cash equivalents and marketable securities. Our interest income may fluctuate depending on the movement of interest rates and our total amount of cash equivalents and marketable securities.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net consists of miscellaneous income and expenses unrelated to our core operations, including the impacts of foreign currency exchange differences.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consists of federal, state and foreign income taxes incurred.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2022. There have been no significant changes to our critical accounting policies and estimates since December 31, 2022 with the exception of the below new policy and estimate.</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Performance-Based Restricted Stock Unit Awards</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Fair value of performance-based restricted stock unit awards (PSUs) at the grant date are estimated using a lattice model with a Monte Carlo simulation. This valuation methodology utilizes several key assumptions, the defined consecutive trading day average closing stock price on the grant date, expected volatility of our stock price, risk-free rates of return and expected dividend yield. The probability of actual shares expected to be earned is considered in the grant date valuation and the expense is not adjusted to reflect the actual units earned. The PSUs cliff vest at the end of the service period and therefore the compensation expense for PSUs is recognized straight-line over the applicable service period.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June 30, 2023 and 2022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June 30, 2023 and 2022, together with the changes in those items in dollars and as a percentage (in thousands): </w:t>
      </w:r>
    </w:p>
    <w:tbl>
      <w:tblPr>
        <w:tblW w:w="8496" w:type="dxa"/>
        <w:jc w:val="left"/>
        <w:tblInd w:w="0" w:type="dxa"/>
        <w:tblLayout w:type="fixed"/>
        <w:tblCellMar>
          <w:top w:w="0" w:type="dxa"/>
          <w:left w:w="0" w:type="dxa"/>
          <w:bottom w:w="0" w:type="dxa"/>
          <w:right w:w="0" w:type="dxa"/>
        </w:tblCellMar>
      </w:tblPr>
      <w:tblGrid>
        <w:gridCol w:w="2881"/>
        <w:gridCol w:w="326"/>
        <w:gridCol w:w="211"/>
        <w:gridCol w:w="901"/>
        <w:gridCol w:w="326"/>
        <w:gridCol w:w="211"/>
        <w:gridCol w:w="901"/>
        <w:gridCol w:w="326"/>
        <w:gridCol w:w="278"/>
        <w:gridCol w:w="893"/>
        <w:gridCol w:w="326"/>
        <w:gridCol w:w="552"/>
        <w:gridCol w:w="364"/>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829435" cy="175260"/>
                      <wp:effectExtent l="0" t="0" r="0" b="0"/>
                      <wp:wrapNone/>
                      <wp:docPr id="427" name="Frame42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72135" cy="175260"/>
                      <wp:effectExtent l="0" t="0" r="0" b="0"/>
                      <wp:wrapNone/>
                      <wp:docPr id="430" name="Frame4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72135" cy="175260"/>
                      <wp:effectExtent l="0" t="0" r="0" b="0"/>
                      <wp:wrapNone/>
                      <wp:docPr id="433" name="Frame4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76530" cy="175260"/>
                      <wp:effectExtent l="0" t="0" r="0" b="0"/>
                      <wp:wrapNone/>
                      <wp:docPr id="435" name="Frame435"/>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67055" cy="175260"/>
                      <wp:effectExtent l="0" t="0" r="0" b="0"/>
                      <wp:wrapNone/>
                      <wp:docPr id="436" name="Frame43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50520" cy="175260"/>
                      <wp:effectExtent l="0" t="0" r="0" b="0"/>
                      <wp:wrapNone/>
                      <wp:docPr id="438" name="Frame43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31140" cy="175260"/>
                      <wp:effectExtent l="0" t="0" r="0" b="0"/>
                      <wp:wrapNone/>
                      <wp:docPr id="439" name="Frame43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57,570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36,547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185,551</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194,185</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 </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(8,634)</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(132,603)</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(156,579)</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 </w:t>
            </w:r>
          </w:p>
        </w:tc>
        <w:tc>
          <w:tcPr>
            <w:tcW w:w="8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23,976</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(132,793)</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(159,709)</w:t>
            </w:r>
          </w:p>
        </w:tc>
        <w:tc>
          <w:tcPr>
            <w:tcW w:w="326" w:type="dxa"/>
            <w:tcBorders/>
            <w:vAlign w:val="center"/>
          </w:tcPr>
          <w:p>
            <w:pPr>
              <w:pStyle w:val="TableContents"/>
              <w:bidi w:val="0"/>
              <w:spacing w:lineRule="auto" w:line="285" w:before="0" w:after="0"/>
              <w:ind w:left="0" w:right="0" w:hanging="0"/>
              <w:jc w:val="left"/>
              <w:rPr/>
            </w:pPr>
            <w:r>
              <w:rPr/>
              <w:t>    </w:t>
            </w:r>
          </w:p>
        </w:tc>
        <w:tc>
          <w:tcPr>
            <w:tcW w:w="27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26,916</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Total revenues consist of the following (in thousands):</w:t>
      </w:r>
    </w:p>
    <w:tbl>
      <w:tblPr>
        <w:tblW w:w="8464" w:type="dxa"/>
        <w:jc w:val="left"/>
        <w:tblInd w:w="0" w:type="dxa"/>
        <w:tblLayout w:type="fixed"/>
        <w:tblCellMar>
          <w:top w:w="0" w:type="dxa"/>
          <w:left w:w="0" w:type="dxa"/>
          <w:bottom w:w="0" w:type="dxa"/>
          <w:right w:w="0" w:type="dxa"/>
        </w:tblCellMar>
      </w:tblPr>
      <w:tblGrid>
        <w:gridCol w:w="2911"/>
        <w:gridCol w:w="386"/>
        <w:gridCol w:w="225"/>
        <w:gridCol w:w="723"/>
        <w:gridCol w:w="412"/>
        <w:gridCol w:w="225"/>
        <w:gridCol w:w="723"/>
        <w:gridCol w:w="386"/>
        <w:gridCol w:w="278"/>
        <w:gridCol w:w="893"/>
        <w:gridCol w:w="386"/>
        <w:gridCol w:w="523"/>
        <w:gridCol w:w="393"/>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848485" cy="175260"/>
                      <wp:effectExtent l="0" t="0" r="0" b="0"/>
                      <wp:wrapNone/>
                      <wp:docPr id="440" name="Frame44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45110" cy="175260"/>
                      <wp:effectExtent l="0" t="0" r="0" b="0"/>
                      <wp:wrapNone/>
                      <wp:docPr id="441" name="Frame44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42875" cy="175260"/>
                      <wp:effectExtent l="0" t="0" r="0" b="0"/>
                      <wp:wrapNone/>
                      <wp:docPr id="442" name="Frame44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59105" cy="175260"/>
                      <wp:effectExtent l="0" t="0" r="0" b="0"/>
                      <wp:wrapNone/>
                      <wp:docPr id="443" name="Frame44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61620" cy="175260"/>
                      <wp:effectExtent l="0" t="0" r="0" b="0"/>
                      <wp:wrapNone/>
                      <wp:docPr id="444" name="Frame444"/>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2875" cy="175260"/>
                      <wp:effectExtent l="0" t="0" r="0" b="0"/>
                      <wp:wrapNone/>
                      <wp:docPr id="445" name="Frame44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59105" cy="175260"/>
                      <wp:effectExtent l="0" t="0" r="0" b="0"/>
                      <wp:wrapNone/>
                      <wp:docPr id="446" name="Frame446"/>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45110" cy="175260"/>
                      <wp:effectExtent l="0" t="0" r="0" b="0"/>
                      <wp:wrapNone/>
                      <wp:docPr id="447" name="Frame44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76530" cy="175260"/>
                      <wp:effectExtent l="0" t="0" r="0" b="0"/>
                      <wp:wrapNone/>
                      <wp:docPr id="448" name="Frame44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67055" cy="175260"/>
                      <wp:effectExtent l="0" t="0" r="0" b="0"/>
                      <wp:wrapNone/>
                      <wp:docPr id="449" name="Frame449"/>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45110" cy="175260"/>
                      <wp:effectExtent l="0" t="0" r="0" b="0"/>
                      <wp:wrapNone/>
                      <wp:docPr id="450" name="Frame45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32105" cy="175260"/>
                      <wp:effectExtent l="0" t="0" r="0" b="0"/>
                      <wp:wrapNone/>
                      <wp:docPr id="451" name="Frame451"/>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49555" cy="175260"/>
                      <wp:effectExtent l="0" t="0" r="0" b="0"/>
                      <wp:wrapNone/>
                      <wp:docPr id="452" name="Frame45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94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2" w:type="dxa"/>
            <w:tcBorders/>
            <w:vAlign w:val="center"/>
          </w:tcPr>
          <w:p>
            <w:pPr>
              <w:pStyle w:val="TableContents"/>
              <w:bidi w:val="0"/>
              <w:spacing w:lineRule="auto" w:line="285" w:before="0" w:after="0"/>
              <w:ind w:left="0" w:right="0" w:hanging="0"/>
              <w:jc w:val="center"/>
              <w:rPr/>
            </w:pPr>
            <w:r>
              <w:rPr/>
              <w:t>   </w:t>
            </w:r>
          </w:p>
        </w:tc>
        <w:tc>
          <w:tcPr>
            <w:tcW w:w="94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412"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28,454</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11,422</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386" w:type="dxa"/>
            <w:tcBorders/>
            <w:vAlign w:val="center"/>
          </w:tcPr>
          <w:p>
            <w:pPr>
              <w:pStyle w:val="TableContents"/>
              <w:bidi w:val="0"/>
              <w:spacing w:lineRule="auto" w:line="285" w:before="0" w:after="0"/>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17,694</w:t>
            </w:r>
          </w:p>
        </w:tc>
        <w:tc>
          <w:tcPr>
            <w:tcW w:w="412" w:type="dxa"/>
            <w:tcBorders/>
            <w:vAlign w:val="center"/>
          </w:tcPr>
          <w:p>
            <w:pPr>
              <w:pStyle w:val="TableContents"/>
              <w:bidi w:val="0"/>
              <w:spacing w:lineRule="auto" w:line="285" w:before="0" w:after="0"/>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8,093</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9,601</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57,570</w:t>
            </w:r>
          </w:p>
        </w:tc>
        <w:tc>
          <w:tcPr>
            <w:tcW w:w="412" w:type="dxa"/>
            <w:tcBorders/>
            <w:shd w:fill="CCEEFF" w:val="clear"/>
            <w:vAlign w:val="center"/>
          </w:tcPr>
          <w:p>
            <w:pPr>
              <w:pStyle w:val="TableContents"/>
              <w:bidi w:val="0"/>
              <w:spacing w:lineRule="auto" w:line="285"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36,547</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21,023</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revenue recognized from sales of AYVAKIT/AYVAKYT during the three months ended June 30, 2023 and 2022 (in thousands): </w:t>
      </w:r>
    </w:p>
    <w:tbl>
      <w:tblPr>
        <w:tblW w:w="6619" w:type="dxa"/>
        <w:jc w:val="left"/>
        <w:tblInd w:w="0" w:type="dxa"/>
        <w:tblLayout w:type="fixed"/>
        <w:tblCellMar>
          <w:top w:w="0" w:type="dxa"/>
          <w:left w:w="0" w:type="dxa"/>
          <w:bottom w:w="0" w:type="dxa"/>
          <w:right w:w="0" w:type="dxa"/>
        </w:tblCellMar>
      </w:tblPr>
      <w:tblGrid>
        <w:gridCol w:w="1246"/>
        <w:gridCol w:w="326"/>
        <w:gridCol w:w="232"/>
        <w:gridCol w:w="743"/>
        <w:gridCol w:w="358"/>
        <w:gridCol w:w="232"/>
        <w:gridCol w:w="743"/>
        <w:gridCol w:w="326"/>
        <w:gridCol w:w="278"/>
        <w:gridCol w:w="893"/>
        <w:gridCol w:w="326"/>
        <w:gridCol w:w="458"/>
        <w:gridCol w:w="458"/>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791210" cy="175260"/>
                      <wp:effectExtent l="0" t="0" r="0" b="0"/>
                      <wp:wrapNone/>
                      <wp:docPr id="453" name="Frame45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47320" cy="175260"/>
                      <wp:effectExtent l="0" t="0" r="0" b="0"/>
                      <wp:wrapNone/>
                      <wp:docPr id="455" name="Frame45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71805" cy="175260"/>
                      <wp:effectExtent l="0" t="0" r="0" b="0"/>
                      <wp:wrapNone/>
                      <wp:docPr id="456" name="Frame456"/>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27330" cy="175260"/>
                      <wp:effectExtent l="0" t="0" r="0" b="0"/>
                      <wp:wrapNone/>
                      <wp:docPr id="457" name="Frame457"/>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47320" cy="175260"/>
                      <wp:effectExtent l="0" t="0" r="0" b="0"/>
                      <wp:wrapNone/>
                      <wp:docPr id="458" name="Frame45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71805" cy="175260"/>
                      <wp:effectExtent l="0" t="0" r="0" b="0"/>
                      <wp:wrapNone/>
                      <wp:docPr id="459" name="Frame45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76530" cy="175260"/>
                      <wp:effectExtent l="0" t="0" r="0" b="0"/>
                      <wp:wrapNone/>
                      <wp:docPr id="461" name="Frame46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67055" cy="175260"/>
                      <wp:effectExtent l="0" t="0" r="0" b="0"/>
                      <wp:wrapNone/>
                      <wp:docPr id="462" name="Frame46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90830" cy="175260"/>
                      <wp:effectExtent l="0" t="0" r="0" b="0"/>
                      <wp:wrapNone/>
                      <wp:docPr id="464" name="Frame464"/>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90830" cy="175260"/>
                      <wp:effectExtent l="0" t="0" r="0" b="0"/>
                      <wp:wrapNone/>
                      <wp:docPr id="465" name="Frame46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center"/>
              <w:rPr/>
            </w:pPr>
            <w:r>
              <w:rPr/>
              <w:t>​</w:t>
            </w:r>
          </w:p>
        </w:tc>
        <w:tc>
          <w:tcPr>
            <w:tcW w:w="278"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8" w:type="dxa"/>
            <w:tcBorders/>
            <w:vAlign w:val="center"/>
          </w:tcPr>
          <w:p>
            <w:pPr>
              <w:pStyle w:val="TableContents"/>
              <w:bidi w:val="0"/>
              <w:spacing w:lineRule="auto" w:line="285"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34,307</w:t>
            </w:r>
          </w:p>
        </w:tc>
        <w:tc>
          <w:tcPr>
            <w:tcW w:w="358" w:type="dxa"/>
            <w:tcBorders/>
            <w:shd w:fill="CCEEFF" w:val="clear"/>
            <w:vAlign w:val="center"/>
          </w:tcPr>
          <w:p>
            <w:pPr>
              <w:pStyle w:val="TableContents"/>
              <w:bidi w:val="0"/>
              <w:spacing w:lineRule="auto" w:line="285" w:before="0" w:after="0"/>
              <w:ind w:left="0" w:right="0" w:hanging="0"/>
              <w:jc w:val="center"/>
              <w:rPr/>
            </w:pPr>
            <w:r>
              <w:rPr/>
              <w:t>​</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24,682</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9,625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26" w:type="dxa"/>
            <w:tcBorders/>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358" w:type="dxa"/>
            <w:tcBorders/>
            <w:vAlign w:val="center"/>
          </w:tcPr>
          <w:p>
            <w:pPr>
              <w:pStyle w:val="TableContents"/>
              <w:bidi w:val="0"/>
              <w:spacing w:lineRule="auto" w:line="285"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3,772</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39,876</w:t>
            </w:r>
          </w:p>
        </w:tc>
        <w:tc>
          <w:tcPr>
            <w:tcW w:w="358" w:type="dxa"/>
            <w:tcBorders/>
            <w:shd w:fill="CCEEFF" w:val="clear"/>
            <w:vAlign w:val="center"/>
          </w:tcPr>
          <w:p>
            <w:pPr>
              <w:pStyle w:val="TableContents"/>
              <w:bidi w:val="0"/>
              <w:spacing w:lineRule="auto" w:line="285"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28,454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Product revenue, net increased during the three months ended June 30, 2023 as compared to the three months ended June 30, 2022 primarily driven by growth in the number of SM patients on therapy, including advanced SM and indolent SM with the recent label expansion.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and License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and license agreements during the three months ended June 30, 2023 and 2022 (in thousands):</w:t>
      </w:r>
    </w:p>
    <w:tbl>
      <w:tblPr>
        <w:tblW w:w="8674" w:type="dxa"/>
        <w:jc w:val="left"/>
        <w:tblInd w:w="0" w:type="dxa"/>
        <w:tblLayout w:type="fixed"/>
        <w:tblCellMar>
          <w:top w:w="0" w:type="dxa"/>
          <w:left w:w="0" w:type="dxa"/>
          <w:bottom w:w="0" w:type="dxa"/>
          <w:right w:w="0" w:type="dxa"/>
        </w:tblCellMar>
      </w:tblPr>
      <w:tblGrid>
        <w:gridCol w:w="3346"/>
        <w:gridCol w:w="326"/>
        <w:gridCol w:w="244"/>
        <w:gridCol w:w="783"/>
        <w:gridCol w:w="377"/>
        <w:gridCol w:w="244"/>
        <w:gridCol w:w="661"/>
        <w:gridCol w:w="326"/>
        <w:gridCol w:w="303"/>
        <w:gridCol w:w="822"/>
        <w:gridCol w:w="326"/>
        <w:gridCol w:w="523"/>
        <w:gridCol w:w="393"/>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24710" cy="175260"/>
                      <wp:effectExtent l="0" t="0" r="0" b="0"/>
                      <wp:wrapNone/>
                      <wp:docPr id="466" name="Frame466"/>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54940" cy="175260"/>
                      <wp:effectExtent l="0" t="0" r="0" b="0"/>
                      <wp:wrapNone/>
                      <wp:docPr id="468" name="Frame468"/>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97205" cy="175260"/>
                      <wp:effectExtent l="0" t="0" r="0" b="0"/>
                      <wp:wrapNone/>
                      <wp:docPr id="469" name="Frame46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39395" cy="175260"/>
                      <wp:effectExtent l="0" t="0" r="0" b="0"/>
                      <wp:wrapNone/>
                      <wp:docPr id="470" name="Frame470"/>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54940" cy="175260"/>
                      <wp:effectExtent l="0" t="0" r="0" b="0"/>
                      <wp:wrapNone/>
                      <wp:docPr id="471" name="Frame47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19735" cy="175260"/>
                      <wp:effectExtent l="0" t="0" r="0" b="0"/>
                      <wp:wrapNone/>
                      <wp:docPr id="472" name="Frame47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92405" cy="175260"/>
                      <wp:effectExtent l="0" t="0" r="0" b="0"/>
                      <wp:wrapNone/>
                      <wp:docPr id="474" name="Frame47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21970" cy="175260"/>
                      <wp:effectExtent l="0" t="0" r="0" b="0"/>
                      <wp:wrapNone/>
                      <wp:docPr id="475" name="Frame475"/>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332105" cy="175260"/>
                      <wp:effectExtent l="0" t="0" r="0" b="0"/>
                      <wp:wrapNone/>
                      <wp:docPr id="477" name="Frame47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49555" cy="175260"/>
                      <wp:effectExtent l="0" t="0" r="0" b="0"/>
                      <wp:wrapNone/>
                      <wp:docPr id="478" name="Frame47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0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8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33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7" w:type="dxa"/>
            <w:tcBorders/>
            <w:vAlign w:val="center"/>
          </w:tcPr>
          <w:p>
            <w:pPr>
              <w:pStyle w:val="TableContents"/>
              <w:bidi w:val="0"/>
              <w:spacing w:lineRule="auto" w:line="285"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CStone collaboration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13,390</w:t>
            </w:r>
          </w:p>
        </w:tc>
        <w:tc>
          <w:tcPr>
            <w:tcW w:w="377" w:type="dxa"/>
            <w:tcBorders/>
            <w:shd w:fill="CCEEFF" w:val="clear"/>
            <w:vAlign w:val="center"/>
          </w:tcPr>
          <w:p>
            <w:pPr>
              <w:pStyle w:val="TableContents"/>
              <w:bidi w:val="0"/>
              <w:spacing w:lineRule="auto" w:line="285" w:before="0" w:after="0"/>
              <w:ind w:left="0" w:right="0" w:hanging="0"/>
              <w:jc w:val="center"/>
              <w:rPr/>
            </w:pPr>
            <w:r>
              <w:rPr/>
              <w:t>​</w:t>
            </w:r>
          </w:p>
        </w:tc>
        <w:tc>
          <w:tcPr>
            <w:tcW w:w="24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6,082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Roche immunotherapy collaboration</w:t>
            </w:r>
          </w:p>
        </w:tc>
        <w:tc>
          <w:tcPr>
            <w:tcW w:w="32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78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3,709</w:t>
            </w:r>
          </w:p>
        </w:tc>
        <w:tc>
          <w:tcPr>
            <w:tcW w:w="377" w:type="dxa"/>
            <w:tcBorders/>
            <w:vAlign w:val="center"/>
          </w:tcPr>
          <w:p>
            <w:pPr>
              <w:pStyle w:val="TableContents"/>
              <w:bidi w:val="0"/>
              <w:spacing w:lineRule="auto" w:line="285" w:before="0" w:after="0"/>
              <w:ind w:left="0" w:right="0" w:hanging="0"/>
              <w:jc w:val="center"/>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8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2,526</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77"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collaboration and license revenue</w:t>
            </w:r>
          </w:p>
        </w:tc>
        <w:tc>
          <w:tcPr>
            <w:tcW w:w="326" w:type="dxa"/>
            <w:tcBorders/>
            <w:vAlign w:val="center"/>
          </w:tcPr>
          <w:p>
            <w:pPr>
              <w:pStyle w:val="TableContents"/>
              <w:bidi w:val="0"/>
              <w:spacing w:lineRule="auto" w:line="285" w:before="0" w:after="0"/>
              <w:ind w:left="0" w:right="0" w:hanging="0"/>
              <w:jc w:val="left"/>
              <w:rPr/>
            </w:pPr>
            <w:r>
              <w:rPr/>
              <w:t> </w:t>
            </w:r>
          </w:p>
        </w:tc>
        <w:tc>
          <w:tcPr>
            <w:tcW w:w="2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17,694</w:t>
            </w:r>
          </w:p>
        </w:tc>
        <w:tc>
          <w:tcPr>
            <w:tcW w:w="377" w:type="dxa"/>
            <w:tcBorders/>
            <w:vAlign w:val="center"/>
          </w:tcPr>
          <w:p>
            <w:pPr>
              <w:pStyle w:val="TableContents"/>
              <w:bidi w:val="0"/>
              <w:spacing w:lineRule="auto" w:line="285" w:before="0" w:after="0"/>
              <w:ind w:left="0" w:right="0" w:hanging="0"/>
              <w:jc w:val="left"/>
              <w:rPr/>
            </w:pPr>
            <w:r>
              <w:rPr/>
              <w:t> </w:t>
            </w:r>
          </w:p>
        </w:tc>
        <w:tc>
          <w:tcPr>
            <w:tcW w:w="2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8,093</w:t>
            </w:r>
          </w:p>
        </w:tc>
        <w:tc>
          <w:tcPr>
            <w:tcW w:w="326" w:type="dxa"/>
            <w:tcBorders/>
            <w:vAlign w:val="center"/>
          </w:tcPr>
          <w:p>
            <w:pPr>
              <w:pStyle w:val="TableContents"/>
              <w:bidi w:val="0"/>
              <w:spacing w:lineRule="auto" w:line="285" w:before="0" w:after="0"/>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9,601</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9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 recognized from our collaboration and license agreements increased during the three months ended June 30, 2023 as compared to the three months ended June 30, 2022 primarily due to:</w:t>
      </w:r>
    </w:p>
    <w:p>
      <w:pPr>
        <w:pStyle w:val="TextBody"/>
        <w:bidi w:val="0"/>
        <w:spacing w:lineRule="auto" w:line="285"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revenue from our CStone collaboration due the $9.0 million specified regulatory milestone achieved during the three months ended June 30, 2023; and</w:t>
            </w:r>
          </w:p>
        </w:tc>
      </w:tr>
    </w:tbl>
    <w:p>
      <w:pPr>
        <w:pStyle w:val="TextBody"/>
        <w:bidi w:val="0"/>
        <w:spacing w:lineRule="auto" w:line="285" w:before="0" w:after="0"/>
        <w:ind w:left="720" w:right="0" w:hanging="0"/>
        <w:jc w:val="left"/>
        <w:rPr>
          <w:shd w:fill="FFFF00" w:val="clear"/>
        </w:rPr>
      </w:pPr>
      <w:r>
        <w:rPr>
          <w:shd w:fill="FFFF00"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revenue from our Roche immunotherapy collaboration during the three months ended June 30, 2023 due to the collaboration agreement termination and the completion of the research and development services related to the collaboration agreement, which resulted in an increase in the percentage of completion of revenue to be recognized under the collaboration agreement.</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Product Sales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the cost of product sales during the three months ended June 30, 2023 and 2022 (in thousands): </w:t>
      </w:r>
    </w:p>
    <w:tbl>
      <w:tblPr>
        <w:tblW w:w="7610" w:type="dxa"/>
        <w:jc w:val="left"/>
        <w:tblInd w:w="0" w:type="dxa"/>
        <w:tblLayout w:type="fixed"/>
        <w:tblCellMar>
          <w:top w:w="0" w:type="dxa"/>
          <w:left w:w="0" w:type="dxa"/>
          <w:bottom w:w="0" w:type="dxa"/>
          <w:right w:w="0" w:type="dxa"/>
        </w:tblCellMar>
      </w:tblPr>
      <w:tblGrid>
        <w:gridCol w:w="2281"/>
        <w:gridCol w:w="326"/>
        <w:gridCol w:w="258"/>
        <w:gridCol w:w="698"/>
        <w:gridCol w:w="398"/>
        <w:gridCol w:w="258"/>
        <w:gridCol w:w="698"/>
        <w:gridCol w:w="326"/>
        <w:gridCol w:w="263"/>
        <w:gridCol w:w="862"/>
        <w:gridCol w:w="326"/>
        <w:gridCol w:w="523"/>
        <w:gridCol w:w="393"/>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448435" cy="175260"/>
                      <wp:effectExtent l="0" t="0" r="0" b="0"/>
                      <wp:wrapNone/>
                      <wp:docPr id="479" name="Frame47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63830" cy="175260"/>
                      <wp:effectExtent l="0" t="0" r="0" b="0"/>
                      <wp:wrapNone/>
                      <wp:docPr id="481" name="Frame48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43230" cy="175260"/>
                      <wp:effectExtent l="0" t="0" r="0" b="0"/>
                      <wp:wrapNone/>
                      <wp:docPr id="482" name="Frame482"/>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52730" cy="175260"/>
                      <wp:effectExtent l="0" t="0" r="0" b="0"/>
                      <wp:wrapNone/>
                      <wp:docPr id="483" name="Frame483"/>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63830" cy="175260"/>
                      <wp:effectExtent l="0" t="0" r="0" b="0"/>
                      <wp:wrapNone/>
                      <wp:docPr id="484" name="Frame48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43230" cy="175260"/>
                      <wp:effectExtent l="0" t="0" r="0" b="0"/>
                      <wp:wrapNone/>
                      <wp:docPr id="485" name="Frame485"/>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67005" cy="175260"/>
                      <wp:effectExtent l="0" t="0" r="0" b="0"/>
                      <wp:wrapNone/>
                      <wp:docPr id="487" name="Frame48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47370" cy="175260"/>
                      <wp:effectExtent l="0" t="0" r="0" b="0"/>
                      <wp:wrapNone/>
                      <wp:docPr id="488" name="Frame48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32105" cy="175260"/>
                      <wp:effectExtent l="0" t="0" r="0" b="0"/>
                      <wp:wrapNone/>
                      <wp:docPr id="490" name="Frame49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49555" cy="175260"/>
                      <wp:effectExtent l="0" t="0" r="0" b="0"/>
                      <wp:wrapNone/>
                      <wp:docPr id="491" name="Frame49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8" w:type="dxa"/>
            <w:tcBorders/>
            <w:vAlign w:val="center"/>
          </w:tcPr>
          <w:p>
            <w:pPr>
              <w:pStyle w:val="TableContents"/>
              <w:bidi w:val="0"/>
              <w:spacing w:lineRule="auto" w:line="285" w:before="0" w:after="0"/>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1,803</w:t>
            </w:r>
          </w:p>
        </w:tc>
        <w:tc>
          <w:tcPr>
            <w:tcW w:w="398"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sales</w:t>
            </w:r>
          </w:p>
        </w:tc>
        <w:tc>
          <w:tcPr>
            <w:tcW w:w="326"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98"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4,091</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(3,571)</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398"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 of sales decreased during the three months ended June 30, 2023 as compared to the three months ended June 30, 2022 primarily due to a decrease in the cost of collaboration related sales which was driven by fewer shipments made to our collaboration partners. The increase in cost of product sales was primarily driven by an increase in product sales. </w:t>
      </w:r>
    </w:p>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collaboration loss sharing expense during the three months ended June 30, 2023 and 2022 (in thousands):</w:t>
      </w:r>
    </w:p>
    <w:tbl>
      <w:tblPr>
        <w:tblW w:w="7641" w:type="dxa"/>
        <w:jc w:val="left"/>
        <w:tblInd w:w="0" w:type="dxa"/>
        <w:tblLayout w:type="fixed"/>
        <w:tblCellMar>
          <w:top w:w="0" w:type="dxa"/>
          <w:left w:w="0" w:type="dxa"/>
          <w:bottom w:w="0" w:type="dxa"/>
          <w:right w:w="0" w:type="dxa"/>
        </w:tblCellMar>
      </w:tblPr>
      <w:tblGrid>
        <w:gridCol w:w="2266"/>
        <w:gridCol w:w="326"/>
        <w:gridCol w:w="258"/>
        <w:gridCol w:w="698"/>
        <w:gridCol w:w="398"/>
        <w:gridCol w:w="258"/>
        <w:gridCol w:w="698"/>
        <w:gridCol w:w="326"/>
        <w:gridCol w:w="357"/>
        <w:gridCol w:w="814"/>
        <w:gridCol w:w="326"/>
        <w:gridCol w:w="497"/>
        <w:gridCol w:w="419"/>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438910" cy="175260"/>
                      <wp:effectExtent l="0" t="0" r="0" b="0"/>
                      <wp:wrapNone/>
                      <wp:docPr id="492" name="Frame49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63830" cy="175260"/>
                      <wp:effectExtent l="0" t="0" r="0" b="0"/>
                      <wp:wrapNone/>
                      <wp:docPr id="494" name="Frame49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43230" cy="175260"/>
                      <wp:effectExtent l="0" t="0" r="0" b="0"/>
                      <wp:wrapNone/>
                      <wp:docPr id="495" name="Frame495"/>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52730" cy="175260"/>
                      <wp:effectExtent l="0" t="0" r="0" b="0"/>
                      <wp:wrapNone/>
                      <wp:docPr id="496" name="Frame49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63830" cy="175260"/>
                      <wp:effectExtent l="0" t="0" r="0" b="0"/>
                      <wp:wrapNone/>
                      <wp:docPr id="497" name="Frame49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43230" cy="175260"/>
                      <wp:effectExtent l="0" t="0" r="0" b="0"/>
                      <wp:wrapNone/>
                      <wp:docPr id="498" name="Frame498"/>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26695" cy="175260"/>
                      <wp:effectExtent l="0" t="0" r="0" b="0"/>
                      <wp:wrapNone/>
                      <wp:docPr id="500" name="Frame50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16890" cy="175260"/>
                      <wp:effectExtent l="0" t="0" r="0" b="0"/>
                      <wp:wrapNone/>
                      <wp:docPr id="501" name="Frame501"/>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15595" cy="175260"/>
                      <wp:effectExtent l="0" t="0" r="0" b="0"/>
                      <wp:wrapNone/>
                      <wp:docPr id="503" name="Frame50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66065" cy="175260"/>
                      <wp:effectExtent l="0" t="0" r="0" b="0"/>
                      <wp:wrapNone/>
                      <wp:docPr id="504" name="Frame504"/>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81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8" w:type="dxa"/>
            <w:tcBorders/>
            <w:vAlign w:val="center"/>
          </w:tcPr>
          <w:p>
            <w:pPr>
              <w:pStyle w:val="TableContents"/>
              <w:bidi w:val="0"/>
              <w:spacing w:lineRule="auto" w:line="285" w:before="0" w:after="0"/>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98"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Collaboration loss sharing under the collaboration with Roche for pralsetinib decreased for the three months ended June 30, 2023 as compared to the three months ended June 30, 2022 primarily due to higher GAVRETO product sales in the U.S. during the three months ended June 30, 2023 as compared to the three months ended June 30, 2022.</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three months ended June 30, 2023 and 2022 (in thousands):</w:t>
      </w:r>
    </w:p>
    <w:tbl>
      <w:tblPr>
        <w:tblW w:w="9080" w:type="dxa"/>
        <w:jc w:val="left"/>
        <w:tblInd w:w="0" w:type="dxa"/>
        <w:tblLayout w:type="fixed"/>
        <w:tblCellMar>
          <w:top w:w="0" w:type="dxa"/>
          <w:left w:w="0" w:type="dxa"/>
          <w:bottom w:w="0" w:type="dxa"/>
          <w:right w:w="0" w:type="dxa"/>
        </w:tblCellMar>
      </w:tblPr>
      <w:tblGrid>
        <w:gridCol w:w="3751"/>
        <w:gridCol w:w="326"/>
        <w:gridCol w:w="211"/>
        <w:gridCol w:w="781"/>
        <w:gridCol w:w="326"/>
        <w:gridCol w:w="211"/>
        <w:gridCol w:w="781"/>
        <w:gridCol w:w="326"/>
        <w:gridCol w:w="235"/>
        <w:gridCol w:w="890"/>
        <w:gridCol w:w="326"/>
        <w:gridCol w:w="497"/>
        <w:gridCol w:w="41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381885" cy="175260"/>
                      <wp:effectExtent l="0" t="0" r="0" b="0"/>
                      <wp:wrapNone/>
                      <wp:docPr id="505" name="Frame505"/>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3985" cy="175260"/>
                      <wp:effectExtent l="0" t="0" r="0" b="0"/>
                      <wp:wrapNone/>
                      <wp:docPr id="507"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95935" cy="175260"/>
                      <wp:effectExtent l="0" t="0" r="0" b="0"/>
                      <wp:wrapNone/>
                      <wp:docPr id="508" name="Frame5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9"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510"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95935" cy="175260"/>
                      <wp:effectExtent l="0" t="0" r="0" b="0"/>
                      <wp:wrapNone/>
                      <wp:docPr id="511" name="Frame5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49225" cy="175260"/>
                      <wp:effectExtent l="0" t="0" r="0" b="0"/>
                      <wp:wrapNone/>
                      <wp:docPr id="513" name="Frame51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65150" cy="175260"/>
                      <wp:effectExtent l="0" t="0" r="0" b="0"/>
                      <wp:wrapNone/>
                      <wp:docPr id="514" name="Frame514"/>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15595" cy="175260"/>
                      <wp:effectExtent l="0" t="0" r="0" b="0"/>
                      <wp:wrapNone/>
                      <wp:docPr id="516" name="Frame51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66065" cy="175260"/>
                      <wp:effectExtent l="0" t="0" r="0" b="0"/>
                      <wp:wrapNone/>
                      <wp:docPr id="517" name="Frame517"/>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36,626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55,230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(18,604)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27,880</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23,893</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3,987</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19,489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21,889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10,227</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7,166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8,695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6,934</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110,063</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128,466</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(18,403)</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 decreased for the three months ended June 30, 2023 as compared to the three months ended June 30, 2022 primarily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$18.6 million in clinical and manufacturing related activities primarily due to our continued effort to enhance operational efficiency across our portfolio while executing across our top priority programs as well as the timing of manufacturing of clinical trial materials;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$2.4 million in costs related to early drug discovery efforts due to decreased activities for our early-staged drug discovery programs and the termination of MAP4K1 (BLU-852) under the Roche immunotherapy agreement.</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three months ended June 30, 2023 and 2022 (in thousands):</w:t>
      </w:r>
    </w:p>
    <w:tbl>
      <w:tblPr>
        <w:tblW w:w="9348" w:type="dxa"/>
        <w:jc w:val="left"/>
        <w:tblInd w:w="0" w:type="dxa"/>
        <w:tblLayout w:type="fixed"/>
        <w:tblCellMar>
          <w:top w:w="0" w:type="dxa"/>
          <w:left w:w="0" w:type="dxa"/>
          <w:bottom w:w="0" w:type="dxa"/>
          <w:right w:w="0" w:type="dxa"/>
        </w:tblCellMar>
      </w:tblPr>
      <w:tblGrid>
        <w:gridCol w:w="4021"/>
        <w:gridCol w:w="326"/>
        <w:gridCol w:w="232"/>
        <w:gridCol w:w="743"/>
        <w:gridCol w:w="358"/>
        <w:gridCol w:w="232"/>
        <w:gridCol w:w="743"/>
        <w:gridCol w:w="326"/>
        <w:gridCol w:w="263"/>
        <w:gridCol w:w="862"/>
        <w:gridCol w:w="326"/>
        <w:gridCol w:w="458"/>
        <w:gridCol w:w="458"/>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553335" cy="175260"/>
                      <wp:effectExtent l="0" t="0" r="0" b="0"/>
                      <wp:wrapNone/>
                      <wp:docPr id="518" name="Frame51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47320" cy="175260"/>
                      <wp:effectExtent l="0" t="0" r="0" b="0"/>
                      <wp:wrapNone/>
                      <wp:docPr id="520" name="Frame52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71805" cy="175260"/>
                      <wp:effectExtent l="0" t="0" r="0" b="0"/>
                      <wp:wrapNone/>
                      <wp:docPr id="521" name="Frame521"/>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27330" cy="175260"/>
                      <wp:effectExtent l="0" t="0" r="0" b="0"/>
                      <wp:wrapNone/>
                      <wp:docPr id="522" name="Frame522"/>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47320" cy="175260"/>
                      <wp:effectExtent l="0" t="0" r="0" b="0"/>
                      <wp:wrapNone/>
                      <wp:docPr id="523" name="Frame52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71805" cy="175260"/>
                      <wp:effectExtent l="0" t="0" r="0" b="0"/>
                      <wp:wrapNone/>
                      <wp:docPr id="524" name="Frame524"/>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67005" cy="175260"/>
                      <wp:effectExtent l="0" t="0" r="0" b="0"/>
                      <wp:wrapNone/>
                      <wp:docPr id="526" name="Frame52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47370" cy="175260"/>
                      <wp:effectExtent l="0" t="0" r="0" b="0"/>
                      <wp:wrapNone/>
                      <wp:docPr id="527" name="Frame527"/>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90830" cy="175260"/>
                      <wp:effectExtent l="0" t="0" r="0" b="0"/>
                      <wp:wrapNone/>
                      <wp:docPr id="529" name="Frame52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90830" cy="175260"/>
                      <wp:effectExtent l="0" t="0" r="0" b="0"/>
                      <wp:wrapNone/>
                      <wp:docPr id="530" name="Frame530"/>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8" w:type="dxa"/>
            <w:tcBorders/>
            <w:vAlign w:val="center"/>
          </w:tcPr>
          <w:p>
            <w:pPr>
              <w:pStyle w:val="TableContents"/>
              <w:bidi w:val="0"/>
              <w:spacing w:lineRule="auto" w:line="285" w:before="0" w:after="0"/>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29,451</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13,594</w:t>
            </w:r>
          </w:p>
        </w:tc>
        <w:tc>
          <w:tcPr>
            <w:tcW w:w="358"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righ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14,850</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58"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11,367</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righ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9,625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58"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10,167</w:t>
            </w:r>
          </w:p>
        </w:tc>
        <w:tc>
          <w:tcPr>
            <w:tcW w:w="358" w:type="dxa"/>
            <w:tcBorders/>
            <w:vAlign w:val="center"/>
          </w:tcPr>
          <w:p>
            <w:pPr>
              <w:pStyle w:val="TableContents"/>
              <w:bidi w:val="0"/>
              <w:spacing w:lineRule="auto" w:line="285" w:before="0" w:after="0"/>
              <w:ind w:left="0" w:right="0" w:hanging="0"/>
              <w:jc w:val="left"/>
              <w:rPr/>
            </w:pPr>
            <w:r>
              <w:rPr/>
              <w:t> </w:t>
            </w:r>
          </w:p>
        </w:tc>
        <w:tc>
          <w:tcPr>
            <w:tcW w:w="232" w:type="dxa"/>
            <w:tcBorders/>
            <w:vAlign w:val="center"/>
          </w:tcPr>
          <w:p>
            <w:pPr>
              <w:pStyle w:val="TableContents"/>
              <w:bidi w:val="0"/>
              <w:spacing w:lineRule="auto" w:line="285" w:before="0" w:after="0"/>
              <w:ind w:left="0" w:right="0" w:hanging="0"/>
              <w:jc w:val="righ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7,215</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58"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3,403</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58"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3,949</w:t>
            </w:r>
          </w:p>
        </w:tc>
        <w:tc>
          <w:tcPr>
            <w:tcW w:w="358" w:type="dxa"/>
            <w:tcBorders/>
            <w:vAlign w:val="center"/>
          </w:tcPr>
          <w:p>
            <w:pPr>
              <w:pStyle w:val="TableContents"/>
              <w:bidi w:val="0"/>
              <w:spacing w:lineRule="auto" w:line="285"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3,090</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71,931</w:t>
            </w:r>
          </w:p>
        </w:tc>
        <w:tc>
          <w:tcPr>
            <w:tcW w:w="358" w:type="dxa"/>
            <w:tcBorders/>
            <w:shd w:fill="CCEEFF" w:val="clear"/>
            <w:vAlign w:val="center"/>
          </w:tcPr>
          <w:p>
            <w:pPr>
              <w:pStyle w:val="TableContents"/>
              <w:bidi w:val="0"/>
              <w:spacing w:lineRule="auto" w:line="285"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58,688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13,243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for the three months ended June 30, 2023 as compared to the three months ended June 30, 2022 primarily due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$8.3 million in compensation and related costs driven by increased headcount in our field team to support our commercial activities related to indolent SM launch;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$3.0 million in consulting and professional services to support commercial activities related to AYVAKIT/AYVAKYT and our growing business.</w:t>
            </w:r>
          </w:p>
        </w:tc>
      </w:tr>
    </w:tbl>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lineRule="auto" w:line="285"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interest income (expense), net, during the three months ended June 30, 2023 and 2022 (in thousands):</w:t>
      </w:r>
    </w:p>
    <w:tbl>
      <w:tblPr>
        <w:tblW w:w="8002" w:type="dxa"/>
        <w:jc w:val="left"/>
        <w:tblInd w:w="0" w:type="dxa"/>
        <w:tblLayout w:type="fixed"/>
        <w:tblCellMar>
          <w:top w:w="0" w:type="dxa"/>
          <w:left w:w="0" w:type="dxa"/>
          <w:bottom w:w="0" w:type="dxa"/>
          <w:right w:w="0" w:type="dxa"/>
        </w:tblCellMar>
      </w:tblPr>
      <w:tblGrid>
        <w:gridCol w:w="2536"/>
        <w:gridCol w:w="326"/>
        <w:gridCol w:w="248"/>
        <w:gridCol w:w="936"/>
        <w:gridCol w:w="383"/>
        <w:gridCol w:w="248"/>
        <w:gridCol w:w="495"/>
        <w:gridCol w:w="326"/>
        <w:gridCol w:w="260"/>
        <w:gridCol w:w="911"/>
        <w:gridCol w:w="326"/>
        <w:gridCol w:w="691"/>
        <w:gridCol w:w="31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610360" cy="175260"/>
                      <wp:effectExtent l="0" t="0" r="0" b="0"/>
                      <wp:wrapNone/>
                      <wp:docPr id="531" name="Frame53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57480" cy="175260"/>
                      <wp:effectExtent l="0" t="0" r="0" b="0"/>
                      <wp:wrapNone/>
                      <wp:docPr id="533" name="Frame53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594360" cy="175260"/>
                      <wp:effectExtent l="0" t="0" r="0" b="0"/>
                      <wp:wrapNone/>
                      <wp:docPr id="534" name="Frame534"/>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43205" cy="175260"/>
                      <wp:effectExtent l="0" t="0" r="0" b="0"/>
                      <wp:wrapNone/>
                      <wp:docPr id="535" name="Frame535"/>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57480" cy="175260"/>
                      <wp:effectExtent l="0" t="0" r="0" b="0"/>
                      <wp:wrapNone/>
                      <wp:docPr id="536" name="Frame536"/>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314325" cy="175260"/>
                      <wp:effectExtent l="0" t="0" r="0" b="0"/>
                      <wp:wrapNone/>
                      <wp:docPr id="537" name="Frame537"/>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65100" cy="175260"/>
                      <wp:effectExtent l="0" t="0" r="0" b="0"/>
                      <wp:wrapNone/>
                      <wp:docPr id="539" name="Frame53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78485" cy="175260"/>
                      <wp:effectExtent l="0" t="0" r="0" b="0"/>
                      <wp:wrapNone/>
                      <wp:docPr id="540" name="Frame54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438785" cy="175260"/>
                      <wp:effectExtent l="0" t="0" r="0" b="0"/>
                      <wp:wrapNone/>
                      <wp:docPr id="542" name="Frame5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0660" cy="175260"/>
                      <wp:effectExtent l="0" t="0" r="0" b="0"/>
                      <wp:wrapNone/>
                      <wp:docPr id="543" name="Frame5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r>
      <w:tr>
        <w:trPr/>
        <w:tc>
          <w:tcPr>
            <w:tcW w:w="253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3" w:type="dxa"/>
            <w:tcBorders/>
            <w:vAlign w:val="center"/>
          </w:tcPr>
          <w:p>
            <w:pPr>
              <w:pStyle w:val="TableContents"/>
              <w:bidi w:val="0"/>
              <w:spacing w:lineRule="auto" w:line="285" w:before="0" w:after="0"/>
              <w:ind w:left="0" w:right="0" w:hanging="0"/>
              <w:jc w:val="center"/>
              <w:rPr/>
            </w:pPr>
            <w:r>
              <w:rPr/>
              <w:t>    </w:t>
            </w:r>
          </w:p>
        </w:tc>
        <w:tc>
          <w:tcPr>
            <w:tcW w:w="74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383" w:type="dxa"/>
            <w:tcBorders/>
            <w:shd w:fill="CCEEFF" w:val="clear"/>
            <w:vAlign w:val="center"/>
          </w:tcPr>
          <w:p>
            <w:pPr>
              <w:pStyle w:val="TableContents"/>
              <w:bidi w:val="0"/>
              <w:spacing w:lineRule="auto" w:line="285" w:before="0" w:after="0"/>
              <w:ind w:left="0" w:right="0" w:hanging="0"/>
              <w:jc w:val="left"/>
              <w:rPr/>
            </w:pPr>
            <w:r>
              <w:rPr/>
              <w:t> </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7,316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3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5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lineRule="auto" w:line="285"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(11,745)</w:t>
            </w:r>
          </w:p>
        </w:tc>
        <w:tc>
          <w:tcPr>
            <w:tcW w:w="383" w:type="dxa"/>
            <w:tcBorders/>
            <w:vAlign w:val="center"/>
          </w:tcPr>
          <w:p>
            <w:pPr>
              <w:pStyle w:val="TableContents"/>
              <w:bidi w:val="0"/>
              <w:spacing w:lineRule="auto" w:line="285"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lineRule="auto" w:line="285" w:before="0" w:after="0"/>
              <w:ind w:left="0" w:right="0" w:hanging="0"/>
              <w:jc w:val="left"/>
              <w:rPr/>
            </w:pPr>
            <w:r>
              <w:rPr/>
              <w:t> </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(11,739)</w:t>
            </w:r>
          </w:p>
        </w:tc>
        <w:tc>
          <w:tcPr>
            <w:tcW w:w="326" w:type="dxa"/>
            <w:tcBorders/>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(3,996)</w:t>
            </w:r>
          </w:p>
        </w:tc>
        <w:tc>
          <w:tcPr>
            <w:tcW w:w="383" w:type="dxa"/>
            <w:tcBorders/>
            <w:shd w:fill="CCEEFF" w:val="clear"/>
            <w:vAlign w:val="center"/>
          </w:tcPr>
          <w:p>
            <w:pPr>
              <w:pStyle w:val="TableContents"/>
              <w:bidi w:val="0"/>
              <w:spacing w:lineRule="auto" w:line="285" w:before="0" w:after="0"/>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increased for the three months ended June 30, 2023 as compared to the three months ended June 30, 2022 primarily due to the interest charges on the liability related to the sale of future revenues and the term loan with Sixth Street Partners. The increase in interest expense was partially offset by higher interest income earned on the Company’s investments during the three months ended June 30, 2023 as compared to the three months ended June 30, 2022.</w:t>
      </w:r>
    </w:p>
    <w:p>
      <w:pPr>
        <w:pStyle w:val="TextBody"/>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other income (expense), net, during the three months ended June 30, 2023 and 2022 (in thousands):</w:t>
      </w:r>
    </w:p>
    <w:tbl>
      <w:tblPr>
        <w:tblW w:w="7760" w:type="dxa"/>
        <w:jc w:val="left"/>
        <w:tblInd w:w="0" w:type="dxa"/>
        <w:tblLayout w:type="fixed"/>
        <w:tblCellMar>
          <w:top w:w="0" w:type="dxa"/>
          <w:left w:w="0" w:type="dxa"/>
          <w:bottom w:w="0" w:type="dxa"/>
          <w:right w:w="0" w:type="dxa"/>
        </w:tblCellMar>
      </w:tblPr>
      <w:tblGrid>
        <w:gridCol w:w="2386"/>
        <w:gridCol w:w="326"/>
        <w:gridCol w:w="285"/>
        <w:gridCol w:w="731"/>
        <w:gridCol w:w="440"/>
        <w:gridCol w:w="285"/>
        <w:gridCol w:w="568"/>
        <w:gridCol w:w="326"/>
        <w:gridCol w:w="293"/>
        <w:gridCol w:w="878"/>
        <w:gridCol w:w="326"/>
        <w:gridCol w:w="552"/>
        <w:gridCol w:w="364"/>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515110" cy="175260"/>
                      <wp:effectExtent l="0" t="0" r="0" b="0"/>
                      <wp:wrapNone/>
                      <wp:docPr id="544" name="Frame54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80975" cy="175260"/>
                      <wp:effectExtent l="0" t="0" r="0" b="0"/>
                      <wp:wrapNone/>
                      <wp:docPr id="546" name="Frame54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64185" cy="175260"/>
                      <wp:effectExtent l="0" t="0" r="0" b="0"/>
                      <wp:wrapNone/>
                      <wp:docPr id="547" name="Frame54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79400" cy="175260"/>
                      <wp:effectExtent l="0" t="0" r="0" b="0"/>
                      <wp:wrapNone/>
                      <wp:docPr id="548" name="Frame548"/>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80975" cy="175260"/>
                      <wp:effectExtent l="0" t="0" r="0" b="0"/>
                      <wp:wrapNone/>
                      <wp:docPr id="549" name="Frame54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360680" cy="175260"/>
                      <wp:effectExtent l="0" t="0" r="0" b="0"/>
                      <wp:wrapNone/>
                      <wp:docPr id="550" name="Frame550"/>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86055" cy="175260"/>
                      <wp:effectExtent l="0" t="0" r="0" b="0"/>
                      <wp:wrapNone/>
                      <wp:docPr id="552" name="Frame55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57530" cy="175260"/>
                      <wp:effectExtent l="0" t="0" r="0" b="0"/>
                      <wp:wrapNone/>
                      <wp:docPr id="553" name="Frame55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50520" cy="175260"/>
                      <wp:effectExtent l="0" t="0" r="0" b="0"/>
                      <wp:wrapNone/>
                      <wp:docPr id="555" name="Frame555"/>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31140" cy="175260"/>
                      <wp:effectExtent l="0" t="0" r="0" b="0"/>
                      <wp:wrapNone/>
                      <wp:docPr id="556" name="Frame55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0" w:type="dxa"/>
            <w:tcBorders/>
            <w:vAlign w:val="center"/>
          </w:tcPr>
          <w:p>
            <w:pPr>
              <w:pStyle w:val="TableContents"/>
              <w:bidi w:val="0"/>
              <w:spacing w:lineRule="auto" w:line="285" w:before="0" w:after="0"/>
              <w:ind w:left="0" w:right="0" w:hanging="0"/>
              <w:jc w:val="center"/>
              <w:rPr/>
            </w:pPr>
            <w:r>
              <w:rPr/>
              <w:t>    </w:t>
            </w:r>
          </w:p>
        </w:tc>
        <w:tc>
          <w:tcPr>
            <w:tcW w:w="8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440" w:type="dxa"/>
            <w:tcBorders/>
            <w:shd w:fill="CCEEFF" w:val="clear"/>
            <w:vAlign w:val="center"/>
          </w:tcPr>
          <w:p>
            <w:pPr>
              <w:pStyle w:val="TableContents"/>
              <w:bidi w:val="0"/>
              <w:spacing w:lineRule="auto" w:line="285" w:before="0" w:after="0"/>
              <w:ind w:left="0" w:right="0" w:hanging="0"/>
              <w:jc w:val="left"/>
              <w:rPr/>
            </w:pPr>
            <w:r>
              <w:rPr/>
              <w:t> </w:t>
            </w:r>
          </w:p>
        </w:tc>
        <w:tc>
          <w:tcPr>
            <w:tcW w:w="2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expense, net, increased for the three months ended June 30, 2023 as compared to the three months ended June 30, 2022 primarily due to an increase in foreign currency losses. </w:t>
      </w:r>
    </w:p>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income tax expense during the three months ended June 30, 2023 and 2022 (in thousands):</w:t>
      </w:r>
    </w:p>
    <w:tbl>
      <w:tblPr>
        <w:tblW w:w="7100" w:type="dxa"/>
        <w:jc w:val="left"/>
        <w:tblInd w:w="0" w:type="dxa"/>
        <w:tblLayout w:type="fixed"/>
        <w:tblCellMar>
          <w:top w:w="0" w:type="dxa"/>
          <w:left w:w="0" w:type="dxa"/>
          <w:bottom w:w="0" w:type="dxa"/>
          <w:right w:w="0" w:type="dxa"/>
        </w:tblCellMar>
      </w:tblPr>
      <w:tblGrid>
        <w:gridCol w:w="1726"/>
        <w:gridCol w:w="326"/>
        <w:gridCol w:w="280"/>
        <w:gridCol w:w="559"/>
        <w:gridCol w:w="432"/>
        <w:gridCol w:w="280"/>
        <w:gridCol w:w="758"/>
        <w:gridCol w:w="326"/>
        <w:gridCol w:w="293"/>
        <w:gridCol w:w="878"/>
        <w:gridCol w:w="326"/>
        <w:gridCol w:w="497"/>
        <w:gridCol w:w="4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096010" cy="175260"/>
                      <wp:effectExtent l="0" t="0" r="0" b="0"/>
                      <wp:wrapNone/>
                      <wp:docPr id="557" name="Frame55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77800" cy="175260"/>
                      <wp:effectExtent l="0" t="0" r="0" b="0"/>
                      <wp:wrapNone/>
                      <wp:docPr id="559" name="Frame55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54965" cy="175260"/>
                      <wp:effectExtent l="0" t="0" r="0" b="0"/>
                      <wp:wrapNone/>
                      <wp:docPr id="560" name="Frame560"/>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74320" cy="175260"/>
                      <wp:effectExtent l="0" t="0" r="0" b="0"/>
                      <wp:wrapNone/>
                      <wp:docPr id="561" name="Frame561"/>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77800" cy="175260"/>
                      <wp:effectExtent l="0" t="0" r="0" b="0"/>
                      <wp:wrapNone/>
                      <wp:docPr id="562" name="Frame56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81330" cy="175260"/>
                      <wp:effectExtent l="0" t="0" r="0" b="0"/>
                      <wp:wrapNone/>
                      <wp:docPr id="563" name="Frame563"/>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86055" cy="175260"/>
                      <wp:effectExtent l="0" t="0" r="0" b="0"/>
                      <wp:wrapNone/>
                      <wp:docPr id="565" name="Frame565"/>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57530" cy="175260"/>
                      <wp:effectExtent l="0" t="0" r="0" b="0"/>
                      <wp:wrapNone/>
                      <wp:docPr id="566" name="Frame56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315595" cy="175260"/>
                      <wp:effectExtent l="0" t="0" r="0" b="0"/>
                      <wp:wrapNone/>
                      <wp:docPr id="568" name="Frame568"/>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66065" cy="175260"/>
                      <wp:effectExtent l="0" t="0" r="0" b="0"/>
                      <wp:wrapNone/>
                      <wp:docPr id="569" name="Frame569"/>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2" w:type="dxa"/>
            <w:tcBorders/>
            <w:vAlign w:val="center"/>
          </w:tcPr>
          <w:p>
            <w:pPr>
              <w:pStyle w:val="TableContents"/>
              <w:bidi w:val="0"/>
              <w:spacing w:lineRule="auto" w:line="285"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432" w:type="dxa"/>
            <w:tcBorders/>
            <w:shd w:fill="CCEEFF" w:val="clear"/>
            <w:vAlign w:val="center"/>
          </w:tcPr>
          <w:p>
            <w:pPr>
              <w:pStyle w:val="TableContents"/>
              <w:bidi w:val="0"/>
              <w:spacing w:lineRule="auto" w:line="285" w:before="0" w:after="0"/>
              <w:ind w:left="0" w:right="0" w:hanging="0"/>
              <w:jc w:val="left"/>
              <w:rPr/>
            </w:pPr>
            <w:r>
              <w:rPr/>
              <w:t> </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Income tax expense decreased for the three months ended June 30, 2023 as compared to the three months ended June 30, 2022 primarily due to the Company’s estimated taxable loss position for the year ended December 31, 2023, whereas, during the three months ended June 30, 2022, the Company was in estimated taxable income position for the calendar year ended December 31, 2022 due to the cash considerations received under the royalty purchase agreement and the purchase and sale agreement entered into with Royalty Pharma and Sixth Street Partners, respectively, in June 2022.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Six Months Ended June 30, 2023 and 2022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2023 and 2022, together with the changes in those items in dollars and as a percentage (in thousands):</w:t>
      </w:r>
    </w:p>
    <w:tbl>
      <w:tblPr>
        <w:tblW w:w="8370" w:type="dxa"/>
        <w:jc w:val="left"/>
        <w:tblInd w:w="0" w:type="dxa"/>
        <w:tblLayout w:type="fixed"/>
        <w:tblCellMar>
          <w:top w:w="0" w:type="dxa"/>
          <w:left w:w="0" w:type="dxa"/>
          <w:bottom w:w="0" w:type="dxa"/>
          <w:right w:w="0" w:type="dxa"/>
        </w:tblCellMar>
      </w:tblPr>
      <w:tblGrid>
        <w:gridCol w:w="2881"/>
        <w:gridCol w:w="109"/>
        <w:gridCol w:w="211"/>
        <w:gridCol w:w="901"/>
        <w:gridCol w:w="326"/>
        <w:gridCol w:w="211"/>
        <w:gridCol w:w="901"/>
        <w:gridCol w:w="326"/>
        <w:gridCol w:w="260"/>
        <w:gridCol w:w="911"/>
        <w:gridCol w:w="326"/>
        <w:gridCol w:w="691"/>
        <w:gridCol w:w="31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829435" cy="175260"/>
                      <wp:effectExtent l="0" t="0" r="0" b="0"/>
                      <wp:wrapNone/>
                      <wp:docPr id="570" name="Frame570"/>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9215" cy="175260"/>
                      <wp:effectExtent l="0" t="0" r="0" b="0"/>
                      <wp:wrapNone/>
                      <wp:docPr id="571" name="Frame5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33985" cy="175260"/>
                      <wp:effectExtent l="0" t="0" r="0" b="0"/>
                      <wp:wrapNone/>
                      <wp:docPr id="572" name="Frame5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572135" cy="175260"/>
                      <wp:effectExtent l="0" t="0" r="0" b="0"/>
                      <wp:wrapNone/>
                      <wp:docPr id="573" name="Frame57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4"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33985" cy="175260"/>
                      <wp:effectExtent l="0" t="0" r="0" b="0"/>
                      <wp:wrapNone/>
                      <wp:docPr id="575" name="Frame5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572135" cy="175260"/>
                      <wp:effectExtent l="0" t="0" r="0" b="0"/>
                      <wp:wrapNone/>
                      <wp:docPr id="576" name="Frame57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65100" cy="175260"/>
                      <wp:effectExtent l="0" t="0" r="0" b="0"/>
                      <wp:wrapNone/>
                      <wp:docPr id="578" name="Frame57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578485" cy="175260"/>
                      <wp:effectExtent l="0" t="0" r="0" b="0"/>
                      <wp:wrapNone/>
                      <wp:docPr id="579" name="Frame57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80"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38785" cy="175260"/>
                      <wp:effectExtent l="0" t="0" r="0" b="0"/>
                      <wp:wrapNone/>
                      <wp:docPr id="581" name="Frame5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0660" cy="175260"/>
                      <wp:effectExtent l="0" t="0" r="0" b="0"/>
                      <wp:wrapNone/>
                      <wp:docPr id="582" name="Frame58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120,857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99,278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21,579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373,045</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362,720</w:t>
            </w:r>
          </w:p>
        </w:tc>
        <w:tc>
          <w:tcPr>
            <w:tcW w:w="326" w:type="dxa"/>
            <w:tcBorders/>
            <w:vAlign w:val="center"/>
          </w:tcPr>
          <w:p>
            <w:pPr>
              <w:pStyle w:val="TableContents"/>
              <w:bidi w:val="0"/>
              <w:spacing w:lineRule="auto" w:line="285" w:before="0" w:after="0"/>
              <w:ind w:left="0" w:right="0" w:hanging="0"/>
              <w:jc w:val="left"/>
              <w:rPr/>
            </w:pPr>
            <w:r>
              <w:rPr/>
              <w:t>    </w:t>
            </w:r>
          </w:p>
        </w:tc>
        <w:tc>
          <w:tcPr>
            <w:tcW w:w="260" w:type="dxa"/>
            <w:tcBorders/>
            <w:vAlign w:val="center"/>
          </w:tcPr>
          <w:p>
            <w:pPr>
              <w:pStyle w:val="TableContents"/>
              <w:bidi w:val="0"/>
              <w:spacing w:lineRule="auto" w:line="285" w:before="0" w:after="0"/>
              <w:ind w:left="0" w:right="0" w:hanging="0"/>
              <w:jc w:val="left"/>
              <w:rPr/>
            </w:pPr>
            <w:r>
              <w:rPr/>
              <w:t> </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10,325</w:t>
            </w:r>
          </w:p>
        </w:tc>
        <w:tc>
          <w:tcPr>
            <w:tcW w:w="326"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(9,456)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(10,502)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(261,644)</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(262,396)</w:t>
            </w:r>
          </w:p>
        </w:tc>
        <w:tc>
          <w:tcPr>
            <w:tcW w:w="326" w:type="dxa"/>
            <w:tcBorders/>
            <w:vAlign w:val="center"/>
          </w:tcPr>
          <w:p>
            <w:pPr>
              <w:pStyle w:val="TableContents"/>
              <w:bidi w:val="0"/>
              <w:spacing w:lineRule="auto" w:line="285" w:before="0" w:after="0"/>
              <w:ind w:left="0" w:right="0" w:hanging="0"/>
              <w:jc w:val="left"/>
              <w:rPr/>
            </w:pPr>
            <w:r>
              <w:rPr/>
              <w:t>    </w:t>
            </w:r>
          </w:p>
        </w:tc>
        <w:tc>
          <w:tcPr>
            <w:tcW w:w="260" w:type="dxa"/>
            <w:tcBorders/>
            <w:vAlign w:val="center"/>
          </w:tcPr>
          <w:p>
            <w:pPr>
              <w:pStyle w:val="TableContents"/>
              <w:bidi w:val="0"/>
              <w:spacing w:lineRule="auto" w:line="285" w:before="0" w:after="0"/>
              <w:ind w:left="0" w:right="0" w:hanging="0"/>
              <w:jc w:val="left"/>
              <w:rPr/>
            </w:pPr>
            <w:r>
              <w:rPr/>
              <w:t> </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26"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(262,354)</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(265,709)</w:t>
            </w:r>
          </w:p>
        </w:tc>
        <w:tc>
          <w:tcPr>
            <w:tcW w:w="326" w:type="dxa"/>
            <w:tcBorders/>
            <w:vAlign w:val="center"/>
          </w:tcPr>
          <w:p>
            <w:pPr>
              <w:pStyle w:val="TableContents"/>
              <w:bidi w:val="0"/>
              <w:spacing w:lineRule="auto" w:line="285" w:before="0" w:after="0"/>
              <w:ind w:left="0" w:right="0" w:hanging="0"/>
              <w:jc w:val="left"/>
              <w:rPr/>
            </w:pPr>
            <w:r>
              <w:rPr/>
              <w:t>    </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3,355</w:t>
            </w:r>
          </w:p>
        </w:tc>
        <w:tc>
          <w:tcPr>
            <w:tcW w:w="326" w:type="dxa"/>
            <w:tcBorders/>
            <w:vAlign w:val="center"/>
          </w:tcPr>
          <w:p>
            <w:pPr>
              <w:pStyle w:val="TableContents"/>
              <w:bidi w:val="0"/>
              <w:spacing w:lineRule="auto" w:line="285"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Total revenues consist of the following (in thousands):</w:t>
      </w:r>
    </w:p>
    <w:tbl>
      <w:tblPr>
        <w:tblW w:w="8144" w:type="dxa"/>
        <w:jc w:val="left"/>
        <w:tblInd w:w="0" w:type="dxa"/>
        <w:tblLayout w:type="fixed"/>
        <w:tblCellMar>
          <w:top w:w="0" w:type="dxa"/>
          <w:left w:w="0" w:type="dxa"/>
          <w:bottom w:w="0" w:type="dxa"/>
          <w:right w:w="0" w:type="dxa"/>
        </w:tblCellMar>
      </w:tblPr>
      <w:tblGrid>
        <w:gridCol w:w="2911"/>
        <w:gridCol w:w="109"/>
        <w:gridCol w:w="211"/>
        <w:gridCol w:w="781"/>
        <w:gridCol w:w="386"/>
        <w:gridCol w:w="211"/>
        <w:gridCol w:w="676"/>
        <w:gridCol w:w="386"/>
        <w:gridCol w:w="278"/>
        <w:gridCol w:w="893"/>
        <w:gridCol w:w="386"/>
        <w:gridCol w:w="497"/>
        <w:gridCol w:w="419"/>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848485" cy="175260"/>
                      <wp:effectExtent l="0" t="0" r="0" b="0"/>
                      <wp:wrapNone/>
                      <wp:docPr id="583" name="Frame58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84" name="Frame5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5" name="Frame5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95935" cy="175260"/>
                      <wp:effectExtent l="0" t="0" r="0" b="0"/>
                      <wp:wrapNone/>
                      <wp:docPr id="586" name="Frame5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45110" cy="175260"/>
                      <wp:effectExtent l="0" t="0" r="0" b="0"/>
                      <wp:wrapNone/>
                      <wp:docPr id="587" name="Frame58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29260" cy="175260"/>
                      <wp:effectExtent l="0" t="0" r="0" b="0"/>
                      <wp:wrapNone/>
                      <wp:docPr id="589" name="Frame5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45110" cy="175260"/>
                      <wp:effectExtent l="0" t="0" r="0" b="0"/>
                      <wp:wrapNone/>
                      <wp:docPr id="590" name="Frame59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76530" cy="175260"/>
                      <wp:effectExtent l="0" t="0" r="0" b="0"/>
                      <wp:wrapNone/>
                      <wp:docPr id="591" name="Frame59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67055" cy="175260"/>
                      <wp:effectExtent l="0" t="0" r="0" b="0"/>
                      <wp:wrapNone/>
                      <wp:docPr id="592" name="Frame59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45110" cy="175260"/>
                      <wp:effectExtent l="0" t="0" r="0" b="0"/>
                      <wp:wrapNone/>
                      <wp:docPr id="593" name="Frame59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15595" cy="175260"/>
                      <wp:effectExtent l="0" t="0" r="0" b="0"/>
                      <wp:wrapNone/>
                      <wp:docPr id="594" name="Frame594"/>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66065" cy="175260"/>
                      <wp:effectExtent l="0" t="0" r="0" b="0"/>
                      <wp:wrapNone/>
                      <wp:docPr id="595" name="Frame595"/>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78,945</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52,295</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26,650</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41,912</w:t>
            </w:r>
          </w:p>
        </w:tc>
        <w:tc>
          <w:tcPr>
            <w:tcW w:w="38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46,983</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(5,071)</w:t>
            </w:r>
          </w:p>
        </w:tc>
        <w:tc>
          <w:tcPr>
            <w:tcW w:w="38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120,857</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99,278</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21,579</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revenue recognized from sales of AYVAKIT/AYVAKYT during the six months ended June 30, 2023 and 2022 (in thousands):</w:t>
      </w:r>
    </w:p>
    <w:tbl>
      <w:tblPr>
        <w:tblW w:w="6208" w:type="dxa"/>
        <w:jc w:val="left"/>
        <w:tblInd w:w="0" w:type="dxa"/>
        <w:tblLayout w:type="fixed"/>
        <w:tblCellMar>
          <w:top w:w="0" w:type="dxa"/>
          <w:left w:w="0" w:type="dxa"/>
          <w:bottom w:w="0" w:type="dxa"/>
          <w:right w:w="0" w:type="dxa"/>
        </w:tblCellMar>
      </w:tblPr>
      <w:tblGrid>
        <w:gridCol w:w="1246"/>
        <w:gridCol w:w="109"/>
        <w:gridCol w:w="212"/>
        <w:gridCol w:w="681"/>
        <w:gridCol w:w="328"/>
        <w:gridCol w:w="212"/>
        <w:gridCol w:w="681"/>
        <w:gridCol w:w="326"/>
        <w:gridCol w:w="278"/>
        <w:gridCol w:w="893"/>
        <w:gridCol w:w="326"/>
        <w:gridCol w:w="458"/>
        <w:gridCol w:w="458"/>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791210" cy="175260"/>
                      <wp:effectExtent l="0" t="0" r="0" b="0"/>
                      <wp:wrapNone/>
                      <wp:docPr id="596" name="Frame59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9215" cy="175260"/>
                      <wp:effectExtent l="0" t="0" r="0" b="0"/>
                      <wp:wrapNone/>
                      <wp:docPr id="597" name="Frame5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34620" cy="175260"/>
                      <wp:effectExtent l="0" t="0" r="0" b="0"/>
                      <wp:wrapNone/>
                      <wp:docPr id="598" name="Frame59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432435" cy="175260"/>
                      <wp:effectExtent l="0" t="0" r="0" b="0"/>
                      <wp:wrapNone/>
                      <wp:docPr id="599" name="Frame599"/>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8280" cy="175260"/>
                      <wp:effectExtent l="0" t="0" r="0" b="0"/>
                      <wp:wrapNone/>
                      <wp:docPr id="600" name="Frame60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4620" cy="175260"/>
                      <wp:effectExtent l="0" t="0" r="0" b="0"/>
                      <wp:wrapNone/>
                      <wp:docPr id="601" name="Frame60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32435" cy="175260"/>
                      <wp:effectExtent l="0" t="0" r="0" b="0"/>
                      <wp:wrapNone/>
                      <wp:docPr id="602" name="Frame602"/>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3"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76530" cy="175260"/>
                      <wp:effectExtent l="0" t="0" r="0" b="0"/>
                      <wp:wrapNone/>
                      <wp:docPr id="604" name="Frame60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67055" cy="175260"/>
                      <wp:effectExtent l="0" t="0" r="0" b="0"/>
                      <wp:wrapNone/>
                      <wp:docPr id="605" name="Frame605"/>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6" name="Frame6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90830" cy="175260"/>
                      <wp:effectExtent l="0" t="0" r="0" b="0"/>
                      <wp:wrapNone/>
                      <wp:docPr id="607" name="Frame607"/>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90830" cy="175260"/>
                      <wp:effectExtent l="0" t="0" r="0" b="0"/>
                      <wp:wrapNone/>
                      <wp:docPr id="608" name="Frame60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center"/>
              <w:rPr/>
            </w:pPr>
            <w:r>
              <w:rPr/>
              <w:t>​</w:t>
            </w:r>
          </w:p>
        </w:tc>
        <w:tc>
          <w:tcPr>
            <w:tcW w:w="278"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w:t>
            </w:r>
          </w:p>
        </w:tc>
        <w:tc>
          <w:tcPr>
            <w:tcW w:w="458"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8" w:type="dxa"/>
            <w:tcBorders/>
            <w:vAlign w:val="center"/>
          </w:tcPr>
          <w:p>
            <w:pPr>
              <w:pStyle w:val="TableContents"/>
              <w:bidi w:val="0"/>
              <w:spacing w:lineRule="auto" w:line="285"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69,234</w:t>
            </w:r>
          </w:p>
        </w:tc>
        <w:tc>
          <w:tcPr>
            <w:tcW w:w="328" w:type="dxa"/>
            <w:tcBorders/>
            <w:shd w:fill="CCEEFF" w:val="clear"/>
            <w:vAlign w:val="center"/>
          </w:tcPr>
          <w:p>
            <w:pPr>
              <w:pStyle w:val="TableContents"/>
              <w:bidi w:val="0"/>
              <w:spacing w:lineRule="auto" w:line="285" w:before="0" w:after="0"/>
              <w:ind w:left="0" w:right="0" w:hanging="0"/>
              <w:jc w:val="center"/>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45,834</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9,711</w:t>
            </w:r>
          </w:p>
        </w:tc>
        <w:tc>
          <w:tcPr>
            <w:tcW w:w="328"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6,461</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78,945</w:t>
            </w:r>
          </w:p>
        </w:tc>
        <w:tc>
          <w:tcPr>
            <w:tcW w:w="328"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52,295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26,650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Product revenue, net increased during the six months ended June 30, 2023 as compared to the six months ended June 30, 2022 primarily driven by growth in the number of SM patients on therapy, including advanced SM and indolent SM with the recent label expansion.</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and License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and license agreements during the six months ended June 30, 2023 and 2022 (in thousands):</w:t>
      </w:r>
    </w:p>
    <w:tbl>
      <w:tblPr>
        <w:tblW w:w="8262" w:type="dxa"/>
        <w:jc w:val="left"/>
        <w:tblInd w:w="0" w:type="dxa"/>
        <w:tblLayout w:type="fixed"/>
        <w:tblCellMar>
          <w:top w:w="0" w:type="dxa"/>
          <w:left w:w="0" w:type="dxa"/>
          <w:bottom w:w="0" w:type="dxa"/>
          <w:right w:w="0" w:type="dxa"/>
        </w:tblCellMar>
      </w:tblPr>
      <w:tblGrid>
        <w:gridCol w:w="3346"/>
        <w:gridCol w:w="109"/>
        <w:gridCol w:w="212"/>
        <w:gridCol w:w="681"/>
        <w:gridCol w:w="328"/>
        <w:gridCol w:w="212"/>
        <w:gridCol w:w="681"/>
        <w:gridCol w:w="326"/>
        <w:gridCol w:w="235"/>
        <w:gridCol w:w="890"/>
        <w:gridCol w:w="326"/>
        <w:gridCol w:w="552"/>
        <w:gridCol w:w="364"/>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24710" cy="175260"/>
                      <wp:effectExtent l="0" t="0" r="0" b="0"/>
                      <wp:wrapNone/>
                      <wp:docPr id="609" name="Frame609"/>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9215" cy="175260"/>
                      <wp:effectExtent l="0" t="0" r="0" b="0"/>
                      <wp:wrapNone/>
                      <wp:docPr id="610" name="Frame6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34620" cy="175260"/>
                      <wp:effectExtent l="0" t="0" r="0" b="0"/>
                      <wp:wrapNone/>
                      <wp:docPr id="611" name="Frame61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432435" cy="175260"/>
                      <wp:effectExtent l="0" t="0" r="0" b="0"/>
                      <wp:wrapNone/>
                      <wp:docPr id="612" name="Frame612"/>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8280" cy="175260"/>
                      <wp:effectExtent l="0" t="0" r="0" b="0"/>
                      <wp:wrapNone/>
                      <wp:docPr id="613" name="Frame61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34620" cy="175260"/>
                      <wp:effectExtent l="0" t="0" r="0" b="0"/>
                      <wp:wrapNone/>
                      <wp:docPr id="614" name="Frame61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32435" cy="175260"/>
                      <wp:effectExtent l="0" t="0" r="0" b="0"/>
                      <wp:wrapNone/>
                      <wp:docPr id="615" name="Frame61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6" name="Frame6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49225" cy="175260"/>
                      <wp:effectExtent l="0" t="0" r="0" b="0"/>
                      <wp:wrapNone/>
                      <wp:docPr id="617" name="Frame61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565150" cy="175260"/>
                      <wp:effectExtent l="0" t="0" r="0" b="0"/>
                      <wp:wrapNone/>
                      <wp:docPr id="618" name="Frame618"/>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7010" cy="175260"/>
                      <wp:effectExtent l="0" t="0" r="0" b="0"/>
                      <wp:wrapNone/>
                      <wp:docPr id="619" name="Frame6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350520" cy="175260"/>
                      <wp:effectExtent l="0" t="0" r="0" b="0"/>
                      <wp:wrapNone/>
                      <wp:docPr id="620" name="Frame620"/>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31140" cy="175260"/>
                      <wp:effectExtent l="0" t="0" r="0" b="0"/>
                      <wp:wrapNone/>
                      <wp:docPr id="621" name="Frame62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3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8" w:type="dxa"/>
            <w:tcBorders/>
            <w:vAlign w:val="center"/>
          </w:tcPr>
          <w:p>
            <w:pPr>
              <w:pStyle w:val="TableContents"/>
              <w:bidi w:val="0"/>
              <w:spacing w:lineRule="auto" w:line="285"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Roche immunotherapy collaboration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25,705</w:t>
            </w:r>
          </w:p>
        </w:tc>
        <w:tc>
          <w:tcPr>
            <w:tcW w:w="328" w:type="dxa"/>
            <w:tcBorders/>
            <w:shd w:fill="CCEEFF" w:val="clear"/>
            <w:vAlign w:val="center"/>
          </w:tcPr>
          <w:p>
            <w:pPr>
              <w:pStyle w:val="TableContents"/>
              <w:bidi w:val="0"/>
              <w:spacing w:lineRule="auto" w:line="285" w:before="0" w:after="0"/>
              <w:ind w:left="0" w:right="0" w:hanging="0"/>
              <w:jc w:val="center"/>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26,470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CStone collaboration</w:t>
            </w:r>
          </w:p>
        </w:tc>
        <w:tc>
          <w:tcPr>
            <w:tcW w:w="109"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6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15,042</w:t>
            </w:r>
          </w:p>
        </w:tc>
        <w:tc>
          <w:tcPr>
            <w:tcW w:w="328" w:type="dxa"/>
            <w:tcBorders/>
            <w:vAlign w:val="center"/>
          </w:tcPr>
          <w:p>
            <w:pPr>
              <w:pStyle w:val="TableContents"/>
              <w:bidi w:val="0"/>
              <w:spacing w:lineRule="auto" w:line="285" w:before="0" w:after="0"/>
              <w:ind w:left="0" w:right="0" w:hanging="0"/>
              <w:jc w:val="left"/>
              <w:rPr/>
            </w:pPr>
            <w:r>
              <w:rPr/>
              <w:t> </w:t>
            </w:r>
          </w:p>
        </w:tc>
        <w:tc>
          <w:tcPr>
            <w:tcW w:w="212" w:type="dxa"/>
            <w:tcBorders/>
            <w:vAlign w:val="center"/>
          </w:tcPr>
          <w:p>
            <w:pPr>
              <w:pStyle w:val="TableContents"/>
              <w:bidi w:val="0"/>
              <w:spacing w:lineRule="auto" w:line="285" w:before="0" w:after="0"/>
              <w:ind w:left="0" w:right="0" w:hanging="0"/>
              <w:jc w:val="right"/>
              <w:rPr/>
            </w:pPr>
            <w:r>
              <w:rPr/>
              <w:t>​</w:t>
            </w:r>
          </w:p>
        </w:tc>
        <w:tc>
          <w:tcPr>
            <w:tcW w:w="6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15,294</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Clementia license agreement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1" w:type="dxa"/>
            <w:tcBorders/>
            <w:shd w:fill="CCEEFF" w:val="clear"/>
            <w:vAlign w:val="center"/>
          </w:tcPr>
          <w:p>
            <w:pPr>
              <w:pStyle w:val="TableContents"/>
              <w:bidi w:val="0"/>
              <w:spacing w:lineRule="auto" w:line="285" w:before="0" w:after="0"/>
              <w:ind w:left="0" w:right="0" w:hanging="0"/>
              <w:jc w:val="right"/>
              <w:rPr/>
            </w:pPr>
            <w:r>
              <w:rPr/>
              <w:t>—</w:t>
            </w:r>
          </w:p>
        </w:tc>
        <w:tc>
          <w:tcPr>
            <w:tcW w:w="328"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right"/>
              <w:rPr/>
            </w:pPr>
            <w:r>
              <w:rPr/>
              <w:t>​</w:t>
            </w:r>
          </w:p>
        </w:tc>
        <w:tc>
          <w:tcPr>
            <w:tcW w:w="6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r>
      <w:tr>
        <w:trPr/>
        <w:tc>
          <w:tcPr>
            <w:tcW w:w="3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8"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2,454</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(1,289)</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collaboration and license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41,912</w:t>
            </w:r>
          </w:p>
        </w:tc>
        <w:tc>
          <w:tcPr>
            <w:tcW w:w="328"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46,983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(5,071)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recognized from our collaboration and license agreements decreased during the six months ended June 30, 2023 as compared to six months ended June 30, 2022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revenue from our license agreement with Clementia due to revenue from a $30.0 million milestone payment related to a specified development milestone achieved during the six months ended June 30, 2022. </w:t>
            </w:r>
          </w:p>
        </w:tc>
      </w:tr>
    </w:tbl>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decrease was partially offset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revenue under our Roche immunotherapy collaboration during the six months ended June 30, 2023 due to the collaboration agreement termination which resulted in the reduction in the costs incurred to satisfy our performance obligation under the Roche immunotherapy collaboration, and consequently, increased the transaction price and the percentage of completion of revenue to be recognized under the collaboration agreement. </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Product Sales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cost of product sales during the six months ended June 30, 2023 and 2022 (in thousands):</w:t>
      </w:r>
    </w:p>
    <w:tbl>
      <w:tblPr>
        <w:tblW w:w="7197" w:type="dxa"/>
        <w:jc w:val="left"/>
        <w:tblInd w:w="0" w:type="dxa"/>
        <w:tblLayout w:type="fixed"/>
        <w:tblCellMar>
          <w:top w:w="0" w:type="dxa"/>
          <w:left w:w="0" w:type="dxa"/>
          <w:bottom w:w="0" w:type="dxa"/>
          <w:right w:w="0" w:type="dxa"/>
        </w:tblCellMar>
      </w:tblPr>
      <w:tblGrid>
        <w:gridCol w:w="2281"/>
        <w:gridCol w:w="109"/>
        <w:gridCol w:w="236"/>
        <w:gridCol w:w="639"/>
        <w:gridCol w:w="364"/>
        <w:gridCol w:w="236"/>
        <w:gridCol w:w="639"/>
        <w:gridCol w:w="326"/>
        <w:gridCol w:w="263"/>
        <w:gridCol w:w="862"/>
        <w:gridCol w:w="326"/>
        <w:gridCol w:w="523"/>
        <w:gridCol w:w="393"/>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448435" cy="175260"/>
                      <wp:effectExtent l="0" t="0" r="0" b="0"/>
                      <wp:wrapNone/>
                      <wp:docPr id="622" name="Frame622"/>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9215" cy="175260"/>
                      <wp:effectExtent l="0" t="0" r="0" b="0"/>
                      <wp:wrapNone/>
                      <wp:docPr id="623"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49860" cy="175260"/>
                      <wp:effectExtent l="0" t="0" r="0" b="0"/>
                      <wp:wrapNone/>
                      <wp:docPr id="624" name="Frame62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05765" cy="175260"/>
                      <wp:effectExtent l="0" t="0" r="0" b="0"/>
                      <wp:wrapNone/>
                      <wp:docPr id="625" name="Frame625"/>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31140" cy="175260"/>
                      <wp:effectExtent l="0" t="0" r="0" b="0"/>
                      <wp:wrapNone/>
                      <wp:docPr id="626" name="Frame62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49860" cy="175260"/>
                      <wp:effectExtent l="0" t="0" r="0" b="0"/>
                      <wp:wrapNone/>
                      <wp:docPr id="627" name="Frame62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05765" cy="175260"/>
                      <wp:effectExtent l="0" t="0" r="0" b="0"/>
                      <wp:wrapNone/>
                      <wp:docPr id="628" name="Frame628"/>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07010" cy="175260"/>
                      <wp:effectExtent l="0" t="0" r="0" b="0"/>
                      <wp:wrapNone/>
                      <wp:docPr id="629" name="Frame6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67005" cy="175260"/>
                      <wp:effectExtent l="0" t="0" r="0" b="0"/>
                      <wp:wrapNone/>
                      <wp:docPr id="630" name="Frame63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47370" cy="175260"/>
                      <wp:effectExtent l="0" t="0" r="0" b="0"/>
                      <wp:wrapNone/>
                      <wp:docPr id="631" name="Frame63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07010" cy="175260"/>
                      <wp:effectExtent l="0" t="0" r="0" b="0"/>
                      <wp:wrapNone/>
                      <wp:docPr id="632" name="Frame6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332105" cy="175260"/>
                      <wp:effectExtent l="0" t="0" r="0" b="0"/>
                      <wp:wrapNone/>
                      <wp:docPr id="633" name="Frame63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49555" cy="175260"/>
                      <wp:effectExtent l="0" t="0" r="0" b="0"/>
                      <wp:wrapNone/>
                      <wp:docPr id="634" name="Frame63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4" w:type="dxa"/>
            <w:tcBorders/>
            <w:vAlign w:val="center"/>
          </w:tcPr>
          <w:p>
            <w:pPr>
              <w:pStyle w:val="TableContents"/>
              <w:bidi w:val="0"/>
              <w:spacing w:lineRule="auto" w:line="285" w:before="0" w:after="0"/>
              <w:ind w:left="0" w:right="0" w:hanging="0"/>
              <w:jc w:val="center"/>
              <w:rPr/>
            </w:pPr>
            <w:r>
              <w:rPr/>
              <w:t>    </w:t>
            </w:r>
          </w:p>
        </w:tc>
        <w:tc>
          <w:tcPr>
            <w:tcW w:w="8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2,986</w:t>
            </w:r>
          </w:p>
        </w:tc>
        <w:tc>
          <w:tcPr>
            <w:tcW w:w="364" w:type="dxa"/>
            <w:tcBorders/>
            <w:shd w:fill="CCEEFF" w:val="clear"/>
            <w:vAlign w:val="center"/>
          </w:tcPr>
          <w:p>
            <w:pPr>
              <w:pStyle w:val="TableContents"/>
              <w:bidi w:val="0"/>
              <w:spacing w:lineRule="auto" w:line="285" w:before="0" w:after="0"/>
              <w:ind w:left="0" w:right="0" w:hanging="0"/>
              <w:jc w:val="left"/>
              <w:rPr/>
            </w:pPr>
            <w:r>
              <w:rPr/>
              <w:t> </w:t>
            </w:r>
          </w:p>
        </w:tc>
        <w:tc>
          <w:tcPr>
            <w:tcW w:w="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sales</w:t>
            </w:r>
          </w:p>
        </w:tc>
        <w:tc>
          <w:tcPr>
            <w:tcW w:w="109"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64" w:type="dxa"/>
            <w:tcBorders/>
            <w:vAlign w:val="center"/>
          </w:tcPr>
          <w:p>
            <w:pPr>
              <w:pStyle w:val="TableContents"/>
              <w:bidi w:val="0"/>
              <w:spacing w:lineRule="auto" w:line="285"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8,536</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(6,024)</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5,498</w:t>
            </w:r>
          </w:p>
        </w:tc>
        <w:tc>
          <w:tcPr>
            <w:tcW w:w="364" w:type="dxa"/>
            <w:tcBorders/>
            <w:shd w:fill="CCEEFF" w:val="clear"/>
            <w:vAlign w:val="center"/>
          </w:tcPr>
          <w:p>
            <w:pPr>
              <w:pStyle w:val="TableContents"/>
              <w:bidi w:val="0"/>
              <w:spacing w:lineRule="auto" w:line="285" w:before="0" w:after="0"/>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9,964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(4,466)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 of sales decreased during the six months ended June 30, 2023 as compared to the six months ended June 30, 2022 primarily due to a decrease in the cost of collaboration related sales which was driven by fewer shipments made to our collaboration partners. The increase in cost of product sales was primarily driven by an increase in product sales.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collaboration loss sharing expense during the six months ended June 30, 2023 and 2022 (in thousands):</w:t>
      </w:r>
    </w:p>
    <w:tbl>
      <w:tblPr>
        <w:tblW w:w="7228" w:type="dxa"/>
        <w:jc w:val="left"/>
        <w:tblInd w:w="0" w:type="dxa"/>
        <w:tblLayout w:type="fixed"/>
        <w:tblCellMar>
          <w:top w:w="0" w:type="dxa"/>
          <w:left w:w="0" w:type="dxa"/>
          <w:bottom w:w="0" w:type="dxa"/>
          <w:right w:w="0" w:type="dxa"/>
        </w:tblCellMar>
      </w:tblPr>
      <w:tblGrid>
        <w:gridCol w:w="2266"/>
        <w:gridCol w:w="109"/>
        <w:gridCol w:w="236"/>
        <w:gridCol w:w="639"/>
        <w:gridCol w:w="364"/>
        <w:gridCol w:w="236"/>
        <w:gridCol w:w="639"/>
        <w:gridCol w:w="326"/>
        <w:gridCol w:w="293"/>
        <w:gridCol w:w="878"/>
        <w:gridCol w:w="326"/>
        <w:gridCol w:w="497"/>
        <w:gridCol w:w="419"/>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438910" cy="175260"/>
                      <wp:effectExtent l="0" t="0" r="0" b="0"/>
                      <wp:wrapNone/>
                      <wp:docPr id="635" name="Frame63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9215" cy="175260"/>
                      <wp:effectExtent l="0" t="0" r="0" b="0"/>
                      <wp:wrapNone/>
                      <wp:docPr id="636" name="Frame6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49860" cy="175260"/>
                      <wp:effectExtent l="0" t="0" r="0" b="0"/>
                      <wp:wrapNone/>
                      <wp:docPr id="637" name="Frame63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05765" cy="175260"/>
                      <wp:effectExtent l="0" t="0" r="0" b="0"/>
                      <wp:wrapNone/>
                      <wp:docPr id="638" name="Frame638"/>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31140" cy="175260"/>
                      <wp:effectExtent l="0" t="0" r="0" b="0"/>
                      <wp:wrapNone/>
                      <wp:docPr id="639" name="Frame63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49860" cy="175260"/>
                      <wp:effectExtent l="0" t="0" r="0" b="0"/>
                      <wp:wrapNone/>
                      <wp:docPr id="640" name="Frame64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05765" cy="175260"/>
                      <wp:effectExtent l="0" t="0" r="0" b="0"/>
                      <wp:wrapNone/>
                      <wp:docPr id="641" name="Frame641"/>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42"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86055" cy="175260"/>
                      <wp:effectExtent l="0" t="0" r="0" b="0"/>
                      <wp:wrapNone/>
                      <wp:docPr id="643" name="Frame643"/>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557530" cy="175260"/>
                      <wp:effectExtent l="0" t="0" r="0" b="0"/>
                      <wp:wrapNone/>
                      <wp:docPr id="644" name="Frame644"/>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7010" cy="175260"/>
                      <wp:effectExtent l="0" t="0" r="0" b="0"/>
                      <wp:wrapNone/>
                      <wp:docPr id="645" name="Frame6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15595" cy="175260"/>
                      <wp:effectExtent l="0" t="0" r="0" b="0"/>
                      <wp:wrapNone/>
                      <wp:docPr id="646" name="Frame64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66065" cy="175260"/>
                      <wp:effectExtent l="0" t="0" r="0" b="0"/>
                      <wp:wrapNone/>
                      <wp:docPr id="647" name="Frame647"/>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22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4" w:type="dxa"/>
            <w:tcBorders/>
            <w:vAlign w:val="center"/>
          </w:tcPr>
          <w:p>
            <w:pPr>
              <w:pStyle w:val="TableContents"/>
              <w:bidi w:val="0"/>
              <w:spacing w:lineRule="auto" w:line="285" w:before="0" w:after="0"/>
              <w:ind w:left="0" w:right="0" w:hanging="0"/>
              <w:jc w:val="center"/>
              <w:rPr/>
            </w:pPr>
            <w:r>
              <w:rPr/>
              <w:t>    </w:t>
            </w:r>
          </w:p>
        </w:tc>
        <w:tc>
          <w:tcPr>
            <w:tcW w:w="8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2,530</w:t>
            </w:r>
          </w:p>
        </w:tc>
        <w:tc>
          <w:tcPr>
            <w:tcW w:w="364" w:type="dxa"/>
            <w:tcBorders/>
            <w:shd w:fill="CCEEFF" w:val="clear"/>
            <w:vAlign w:val="center"/>
          </w:tcPr>
          <w:p>
            <w:pPr>
              <w:pStyle w:val="TableContents"/>
              <w:bidi w:val="0"/>
              <w:spacing w:lineRule="auto" w:line="285" w:before="0" w:after="0"/>
              <w:ind w:left="0" w:right="0" w:hanging="0"/>
              <w:jc w:val="left"/>
              <w:rPr/>
            </w:pPr>
            <w:r>
              <w:rPr/>
              <w:t> </w:t>
            </w:r>
          </w:p>
        </w:tc>
        <w:tc>
          <w:tcPr>
            <w:tcW w:w="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Collaboration loss sharing under the collaboration with Roche for pralsetinib decreased for the six months ended June 30, 2023 as compared to the six months ended June 30, 2022 primarily due to higher GAVRETO product sales in the U.S. during the six months ended June 30, 2023 as compared to the six months ended June 30, 2022.</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six months ended June 30, 2023 and 2022 (in thousands):</w:t>
      </w:r>
    </w:p>
    <w:tbl>
      <w:tblPr>
        <w:tblW w:w="8863" w:type="dxa"/>
        <w:jc w:val="left"/>
        <w:tblInd w:w="0" w:type="dxa"/>
        <w:tblLayout w:type="fixed"/>
        <w:tblCellMar>
          <w:top w:w="0" w:type="dxa"/>
          <w:left w:w="0" w:type="dxa"/>
          <w:bottom w:w="0" w:type="dxa"/>
          <w:right w:w="0" w:type="dxa"/>
        </w:tblCellMar>
      </w:tblPr>
      <w:tblGrid>
        <w:gridCol w:w="3751"/>
        <w:gridCol w:w="109"/>
        <w:gridCol w:w="211"/>
        <w:gridCol w:w="781"/>
        <w:gridCol w:w="326"/>
        <w:gridCol w:w="211"/>
        <w:gridCol w:w="781"/>
        <w:gridCol w:w="326"/>
        <w:gridCol w:w="235"/>
        <w:gridCol w:w="890"/>
        <w:gridCol w:w="326"/>
        <w:gridCol w:w="497"/>
        <w:gridCol w:w="41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381885" cy="175260"/>
                      <wp:effectExtent l="0" t="0" r="0" b="0"/>
                      <wp:wrapNone/>
                      <wp:docPr id="648" name="Frame64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9215" cy="175260"/>
                      <wp:effectExtent l="0" t="0" r="0" b="0"/>
                      <wp:wrapNone/>
                      <wp:docPr id="649" name="Frame6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3985" cy="175260"/>
                      <wp:effectExtent l="0" t="0" r="0" b="0"/>
                      <wp:wrapNone/>
                      <wp:docPr id="650" name="Frame6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495935" cy="175260"/>
                      <wp:effectExtent l="0" t="0" r="0" b="0"/>
                      <wp:wrapNone/>
                      <wp:docPr id="651" name="Frame6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07010" cy="175260"/>
                      <wp:effectExtent l="0" t="0" r="0" b="0"/>
                      <wp:wrapNone/>
                      <wp:docPr id="652"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33985" cy="175260"/>
                      <wp:effectExtent l="0" t="0" r="0" b="0"/>
                      <wp:wrapNone/>
                      <wp:docPr id="653" name="Frame6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495935" cy="175260"/>
                      <wp:effectExtent l="0" t="0" r="0" b="0"/>
                      <wp:wrapNone/>
                      <wp:docPr id="654" name="Frame6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7010" cy="175260"/>
                      <wp:effectExtent l="0" t="0" r="0" b="0"/>
                      <wp:wrapNone/>
                      <wp:docPr id="655"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49225" cy="175260"/>
                      <wp:effectExtent l="0" t="0" r="0" b="0"/>
                      <wp:wrapNone/>
                      <wp:docPr id="656" name="Frame65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565150" cy="175260"/>
                      <wp:effectExtent l="0" t="0" r="0" b="0"/>
                      <wp:wrapNone/>
                      <wp:docPr id="657" name="Frame657"/>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07010" cy="175260"/>
                      <wp:effectExtent l="0" t="0" r="0" b="0"/>
                      <wp:wrapNone/>
                      <wp:docPr id="658" name="Frame6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315595" cy="175260"/>
                      <wp:effectExtent l="0" t="0" r="0" b="0"/>
                      <wp:wrapNone/>
                      <wp:docPr id="659" name="Frame659"/>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66065" cy="175260"/>
                      <wp:effectExtent l="0" t="0" r="0" b="0"/>
                      <wp:wrapNone/>
                      <wp:docPr id="660" name="Frame66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74,122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94,662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(20,540)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56,527</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46,588</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9,939</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38,037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37,822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20,344</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20,538</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15,101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15,759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16,691</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13,951</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2,740</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222,135</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231,599</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(9,464)</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decreased for the six months ended June 30, 2023 as compared to the six months ended June 30, 2022 primarily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$20.5 million in clinical and manufacturing related activities primarily due to our continued effort to enhance operational efficiency across our portfolio while executing across our top priority programs, the timing of manufacturing of clinical trial materials and decreased activities related to pralsetinib clinical studies; offset by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$9.9 million in compensation and related costs driven by increased headcount to support the progression of our pipeline. </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six months ended June 30, 2023 and 2022 (in thousands):</w:t>
      </w:r>
    </w:p>
    <w:tbl>
      <w:tblPr>
        <w:tblW w:w="9133" w:type="dxa"/>
        <w:jc w:val="left"/>
        <w:tblInd w:w="0" w:type="dxa"/>
        <w:tblLayout w:type="fixed"/>
        <w:tblCellMar>
          <w:top w:w="0" w:type="dxa"/>
          <w:left w:w="0" w:type="dxa"/>
          <w:bottom w:w="0" w:type="dxa"/>
          <w:right w:w="0" w:type="dxa"/>
        </w:tblCellMar>
      </w:tblPr>
      <w:tblGrid>
        <w:gridCol w:w="4021"/>
        <w:gridCol w:w="109"/>
        <w:gridCol w:w="211"/>
        <w:gridCol w:w="781"/>
        <w:gridCol w:w="326"/>
        <w:gridCol w:w="211"/>
        <w:gridCol w:w="781"/>
        <w:gridCol w:w="326"/>
        <w:gridCol w:w="263"/>
        <w:gridCol w:w="862"/>
        <w:gridCol w:w="326"/>
        <w:gridCol w:w="458"/>
        <w:gridCol w:w="458"/>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553335" cy="175260"/>
                      <wp:effectExtent l="0" t="0" r="0" b="0"/>
                      <wp:wrapNone/>
                      <wp:docPr id="661" name="Frame66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175260"/>
                      <wp:effectExtent l="0" t="0" r="0" b="0"/>
                      <wp:wrapNone/>
                      <wp:docPr id="662" name="Frame6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33985" cy="175260"/>
                      <wp:effectExtent l="0" t="0" r="0" b="0"/>
                      <wp:wrapNone/>
                      <wp:docPr id="663" name="Frame6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495935" cy="175260"/>
                      <wp:effectExtent l="0" t="0" r="0" b="0"/>
                      <wp:wrapNone/>
                      <wp:docPr id="664" name="Frame6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07010" cy="175260"/>
                      <wp:effectExtent l="0" t="0" r="0" b="0"/>
                      <wp:wrapNone/>
                      <wp:docPr id="665" name="Frame6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133985" cy="175260"/>
                      <wp:effectExtent l="0" t="0" r="0" b="0"/>
                      <wp:wrapNone/>
                      <wp:docPr id="666" name="Frame6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495935" cy="175260"/>
                      <wp:effectExtent l="0" t="0" r="0" b="0"/>
                      <wp:wrapNone/>
                      <wp:docPr id="667" name="Frame6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07010" cy="175260"/>
                      <wp:effectExtent l="0" t="0" r="0" b="0"/>
                      <wp:wrapNone/>
                      <wp:docPr id="668" name="Frame6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67005" cy="175260"/>
                      <wp:effectExtent l="0" t="0" r="0" b="0"/>
                      <wp:wrapNone/>
                      <wp:docPr id="669" name="Frame66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547370" cy="175260"/>
                      <wp:effectExtent l="0" t="0" r="0" b="0"/>
                      <wp:wrapNone/>
                      <wp:docPr id="670" name="Frame67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07010" cy="175260"/>
                      <wp:effectExtent l="0" t="0" r="0" b="0"/>
                      <wp:wrapNone/>
                      <wp:docPr id="671" name="Frame6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90830" cy="175260"/>
                      <wp:effectExtent l="0" t="0" r="0" b="0"/>
                      <wp:wrapNone/>
                      <wp:docPr id="672" name="Frame67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90830" cy="175260"/>
                      <wp:effectExtent l="0" t="0" r="0" b="0"/>
                      <wp:wrapNone/>
                      <wp:docPr id="673" name="Frame673"/>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59,949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41,940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18,009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26,673</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28,208</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58"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21,417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16,580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58"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19,704</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16,987</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58"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6,958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58"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8,181</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6,116</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142,882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115,747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27,135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for the six months ended June 30, 2023 as compared to the six months ended June 30, 2022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$18.0 million in compensation and related costs driven by increased headcount in our sales force to support our commercial activities related to indolent SM launch; and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$4.8 million in commercial and related activities primarily related to the expansion of our commercial infrastructure for commercialization of AYVAKIT/AYVAKYT.</w:t>
            </w:r>
          </w:p>
        </w:tc>
      </w:tr>
    </w:tbl>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interest income (expense), net, during the six months ended June 30, 2023 and 2022 (in thousands):</w:t>
      </w:r>
    </w:p>
    <w:tbl>
      <w:tblPr>
        <w:tblW w:w="7590" w:type="dxa"/>
        <w:jc w:val="left"/>
        <w:tblInd w:w="0" w:type="dxa"/>
        <w:tblLayout w:type="fixed"/>
        <w:tblCellMar>
          <w:top w:w="0" w:type="dxa"/>
          <w:left w:w="0" w:type="dxa"/>
          <w:bottom w:w="0" w:type="dxa"/>
          <w:right w:w="0" w:type="dxa"/>
        </w:tblCellMar>
      </w:tblPr>
      <w:tblGrid>
        <w:gridCol w:w="2536"/>
        <w:gridCol w:w="109"/>
        <w:gridCol w:w="227"/>
        <w:gridCol w:w="857"/>
        <w:gridCol w:w="351"/>
        <w:gridCol w:w="227"/>
        <w:gridCol w:w="453"/>
        <w:gridCol w:w="326"/>
        <w:gridCol w:w="260"/>
        <w:gridCol w:w="911"/>
        <w:gridCol w:w="326"/>
        <w:gridCol w:w="691"/>
        <w:gridCol w:w="31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610360" cy="175260"/>
                      <wp:effectExtent l="0" t="0" r="0" b="0"/>
                      <wp:wrapNone/>
                      <wp:docPr id="674" name="Frame674"/>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9215" cy="175260"/>
                      <wp:effectExtent l="0" t="0" r="0" b="0"/>
                      <wp:wrapNone/>
                      <wp:docPr id="675" name="Frame6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44145" cy="175260"/>
                      <wp:effectExtent l="0" t="0" r="0" b="0"/>
                      <wp:wrapNone/>
                      <wp:docPr id="676" name="Frame67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544195" cy="175260"/>
                      <wp:effectExtent l="0" t="0" r="0" b="0"/>
                      <wp:wrapNone/>
                      <wp:docPr id="677" name="Frame677"/>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22885" cy="175260"/>
                      <wp:effectExtent l="0" t="0" r="0" b="0"/>
                      <wp:wrapNone/>
                      <wp:docPr id="678" name="Frame678"/>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44145" cy="175260"/>
                      <wp:effectExtent l="0" t="0" r="0" b="0"/>
                      <wp:wrapNone/>
                      <wp:docPr id="679" name="Frame67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87655" cy="175260"/>
                      <wp:effectExtent l="0" t="0" r="0" b="0"/>
                      <wp:wrapNone/>
                      <wp:docPr id="680" name="Frame680"/>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7010" cy="175260"/>
                      <wp:effectExtent l="0" t="0" r="0" b="0"/>
                      <wp:wrapNone/>
                      <wp:docPr id="681" name="Frame6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65100" cy="175260"/>
                      <wp:effectExtent l="0" t="0" r="0" b="0"/>
                      <wp:wrapNone/>
                      <wp:docPr id="682" name="Frame68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578485" cy="175260"/>
                      <wp:effectExtent l="0" t="0" r="0" b="0"/>
                      <wp:wrapNone/>
                      <wp:docPr id="683" name="Frame683"/>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07010" cy="175260"/>
                      <wp:effectExtent l="0" t="0" r="0" b="0"/>
                      <wp:wrapNone/>
                      <wp:docPr id="684" name="Frame6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438785" cy="175260"/>
                      <wp:effectExtent l="0" t="0" r="0" b="0"/>
                      <wp:wrapNone/>
                      <wp:docPr id="685" name="Frame6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0660" cy="175260"/>
                      <wp:effectExtent l="0" t="0" r="0" b="0"/>
                      <wp:wrapNone/>
                      <wp:docPr id="686" name="Frame68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r>
      <w:tr>
        <w:trPr/>
        <w:tc>
          <w:tcPr>
            <w:tcW w:w="25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1" w:type="dxa"/>
            <w:tcBorders/>
            <w:vAlign w:val="center"/>
          </w:tcPr>
          <w:p>
            <w:pPr>
              <w:pStyle w:val="TableContents"/>
              <w:bidi w:val="0"/>
              <w:spacing w:lineRule="auto" w:line="285" w:before="0" w:after="0"/>
              <w:ind w:left="0" w:right="0" w:hanging="0"/>
              <w:jc w:val="center"/>
              <w:rPr/>
            </w:pPr>
            <w:r>
              <w:rPr/>
              <w:t>    </w:t>
            </w:r>
          </w:p>
        </w:tc>
        <w:tc>
          <w:tcPr>
            <w:tcW w:w="6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13,649</w:t>
            </w:r>
          </w:p>
        </w:tc>
        <w:tc>
          <w:tcPr>
            <w:tcW w:w="351" w:type="dxa"/>
            <w:tcBorders/>
            <w:shd w:fill="CCEEFF" w:val="clear"/>
            <w:vAlign w:val="center"/>
          </w:tcPr>
          <w:p>
            <w:pPr>
              <w:pStyle w:val="TableContents"/>
              <w:bidi w:val="0"/>
              <w:spacing w:lineRule="auto" w:line="285" w:before="0" w:after="0"/>
              <w:ind w:left="0" w:right="0" w:hanging="0"/>
              <w:jc w:val="left"/>
              <w:rPr/>
            </w:pPr>
            <w:r>
              <w:rPr/>
              <w:t> </w:t>
            </w:r>
          </w:p>
        </w:tc>
        <w:tc>
          <w:tcPr>
            <w:tcW w:w="2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12,774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1,460</w:t>
            </w:r>
          </w:p>
        </w:tc>
        <w:tc>
          <w:tcPr>
            <w:tcW w:w="3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5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lineRule="auto" w:line="285"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(23,464)</w:t>
            </w:r>
          </w:p>
        </w:tc>
        <w:tc>
          <w:tcPr>
            <w:tcW w:w="351" w:type="dxa"/>
            <w:tcBorders/>
            <w:vAlign w:val="center"/>
          </w:tcPr>
          <w:p>
            <w:pPr>
              <w:pStyle w:val="TableContents"/>
              <w:bidi w:val="0"/>
              <w:spacing w:lineRule="auto" w:line="285" w:before="0" w:after="0"/>
              <w:ind w:left="0" w:right="0" w:hanging="0"/>
              <w:jc w:val="left"/>
              <w:rPr/>
            </w:pPr>
            <w:r>
              <w:rPr/>
              <w:t> </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lineRule="auto" w:line="285" w:before="0" w:after="0"/>
              <w:ind w:left="0" w:right="0" w:hanging="0"/>
              <w:jc w:val="left"/>
              <w:rPr/>
            </w:pPr>
            <w:r>
              <w:rPr/>
              <w:t> </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(23,458)</w:t>
            </w:r>
          </w:p>
        </w:tc>
        <w:tc>
          <w:tcPr>
            <w:tcW w:w="326" w:type="dxa"/>
            <w:tcBorders/>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(9,815)</w:t>
            </w:r>
          </w:p>
        </w:tc>
        <w:tc>
          <w:tcPr>
            <w:tcW w:w="351" w:type="dxa"/>
            <w:tcBorders/>
            <w:shd w:fill="CCEEFF" w:val="clear"/>
            <w:vAlign w:val="center"/>
          </w:tcPr>
          <w:p>
            <w:pPr>
              <w:pStyle w:val="TableContents"/>
              <w:bidi w:val="0"/>
              <w:spacing w:lineRule="auto" w:line="285" w:before="0" w:after="0"/>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(10,684)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increased for the six months ended June 30, 2023 as compared to the six months ended June 30, 2022 primarily due to the interest charges on the liability related to the sale of future revenues and the term loan with Sixth Street Partners. The increase in interest expense was partially offset by higher interest income earned on the Company’s investments during the six months ended June 30, 2023 as compared to the six months ended June 30, 2022.</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other income, net, during the six months ended June 30, 2023 and 2022 (in thousands):</w:t>
      </w:r>
    </w:p>
    <w:tbl>
      <w:tblPr>
        <w:tblW w:w="6522" w:type="dxa"/>
        <w:jc w:val="left"/>
        <w:tblInd w:w="0" w:type="dxa"/>
        <w:tblLayout w:type="fixed"/>
        <w:tblCellMar>
          <w:top w:w="0" w:type="dxa"/>
          <w:left w:w="0" w:type="dxa"/>
          <w:bottom w:w="0" w:type="dxa"/>
          <w:right w:w="0" w:type="dxa"/>
        </w:tblCellMar>
      </w:tblPr>
      <w:tblGrid>
        <w:gridCol w:w="1561"/>
        <w:gridCol w:w="109"/>
        <w:gridCol w:w="280"/>
        <w:gridCol w:w="560"/>
        <w:gridCol w:w="433"/>
        <w:gridCol w:w="280"/>
        <w:gridCol w:w="560"/>
        <w:gridCol w:w="326"/>
        <w:gridCol w:w="390"/>
        <w:gridCol w:w="781"/>
        <w:gridCol w:w="326"/>
        <w:gridCol w:w="523"/>
        <w:gridCol w:w="393"/>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991235" cy="175260"/>
                      <wp:effectExtent l="0" t="0" r="0" b="0"/>
                      <wp:wrapNone/>
                      <wp:docPr id="687" name="Frame68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9215" cy="175260"/>
                      <wp:effectExtent l="0" t="0" r="0" b="0"/>
                      <wp:wrapNone/>
                      <wp:docPr id="688" name="Frame6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77800" cy="175260"/>
                      <wp:effectExtent l="0" t="0" r="0" b="0"/>
                      <wp:wrapNone/>
                      <wp:docPr id="689" name="Frame68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355600" cy="175260"/>
                      <wp:effectExtent l="0" t="0" r="0" b="0"/>
                      <wp:wrapNone/>
                      <wp:docPr id="690" name="Frame690"/>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74955" cy="175260"/>
                      <wp:effectExtent l="0" t="0" r="0" b="0"/>
                      <wp:wrapNone/>
                      <wp:docPr id="691" name="Frame691"/>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77800" cy="175260"/>
                      <wp:effectExtent l="0" t="0" r="0" b="0"/>
                      <wp:wrapNone/>
                      <wp:docPr id="692" name="Frame69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355600" cy="175260"/>
                      <wp:effectExtent l="0" t="0" r="0" b="0"/>
                      <wp:wrapNone/>
                      <wp:docPr id="693" name="Frame693"/>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94" name="Frame6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47650" cy="175260"/>
                      <wp:effectExtent l="0" t="0" r="0" b="0"/>
                      <wp:wrapNone/>
                      <wp:docPr id="695" name="Frame695"/>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495935" cy="175260"/>
                      <wp:effectExtent l="0" t="0" r="0" b="0"/>
                      <wp:wrapNone/>
                      <wp:docPr id="696" name="Frame6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07010" cy="175260"/>
                      <wp:effectExtent l="0" t="0" r="0" b="0"/>
                      <wp:wrapNone/>
                      <wp:docPr id="697" name="Frame6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332105" cy="175260"/>
                      <wp:effectExtent l="0" t="0" r="0" b="0"/>
                      <wp:wrapNone/>
                      <wp:docPr id="698" name="Frame698"/>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49555" cy="175260"/>
                      <wp:effectExtent l="0" t="0" r="0" b="0"/>
                      <wp:wrapNone/>
                      <wp:docPr id="699" name="Frame69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390"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3" w:type="dxa"/>
            <w:tcBorders/>
            <w:vAlign w:val="center"/>
          </w:tcPr>
          <w:p>
            <w:pPr>
              <w:pStyle w:val="TableContents"/>
              <w:bidi w:val="0"/>
              <w:spacing w:lineRule="auto" w:line="285" w:before="0" w:after="0"/>
              <w:ind w:left="0" w:right="0" w:hanging="0"/>
              <w:jc w:val="center"/>
              <w:rPr/>
            </w:pPr>
            <w:r>
              <w:rPr/>
              <w:t>    </w:t>
            </w:r>
          </w:p>
        </w:tc>
        <w:tc>
          <w:tcPr>
            <w:tcW w:w="8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433" w:type="dxa"/>
            <w:tcBorders/>
            <w:shd w:fill="CCEEFF" w:val="clear"/>
            <w:vAlign w:val="center"/>
          </w:tcPr>
          <w:p>
            <w:pPr>
              <w:pStyle w:val="TableContents"/>
              <w:bidi w:val="0"/>
              <w:spacing w:lineRule="auto" w:line="285" w:before="0" w:after="0"/>
              <w:ind w:left="0" w:right="0" w:hanging="0"/>
              <w:jc w:val="left"/>
              <w:rPr/>
            </w:pPr>
            <w:r>
              <w:rPr/>
              <w:t> </w:t>
            </w:r>
          </w:p>
        </w:tc>
        <w:tc>
          <w:tcPr>
            <w:tcW w:w="28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Other income, net, increased for the six months ended June 30, 2023 as compared to the six months ended June 30, 2022 primarily due to an increase in other income earned from the transfer of pre-launch inventory to a third party, partially offset by an increase in foreign currency losses.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income tax expense during the six months ended June 30, 2023 and 2022 (in thousands):</w:t>
      </w:r>
    </w:p>
    <w:tbl>
      <w:tblPr>
        <w:tblW w:w="6687" w:type="dxa"/>
        <w:jc w:val="left"/>
        <w:tblInd w:w="0" w:type="dxa"/>
        <w:tblLayout w:type="fixed"/>
        <w:tblCellMar>
          <w:top w:w="0" w:type="dxa"/>
          <w:left w:w="0" w:type="dxa"/>
          <w:bottom w:w="0" w:type="dxa"/>
          <w:right w:w="0" w:type="dxa"/>
        </w:tblCellMar>
      </w:tblPr>
      <w:tblGrid>
        <w:gridCol w:w="1726"/>
        <w:gridCol w:w="109"/>
        <w:gridCol w:w="256"/>
        <w:gridCol w:w="511"/>
        <w:gridCol w:w="396"/>
        <w:gridCol w:w="256"/>
        <w:gridCol w:w="694"/>
        <w:gridCol w:w="326"/>
        <w:gridCol w:w="293"/>
        <w:gridCol w:w="878"/>
        <w:gridCol w:w="326"/>
        <w:gridCol w:w="497"/>
        <w:gridCol w:w="4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096010" cy="175260"/>
                      <wp:effectExtent l="0" t="0" r="0" b="0"/>
                      <wp:wrapNone/>
                      <wp:docPr id="700" name="Frame700"/>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9215" cy="175260"/>
                      <wp:effectExtent l="0" t="0" r="0" b="0"/>
                      <wp:wrapNone/>
                      <wp:docPr id="701" name="Frame7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62560" cy="175260"/>
                      <wp:effectExtent l="0" t="0" r="0" b="0"/>
                      <wp:wrapNone/>
                      <wp:docPr id="702" name="Frame70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324485" cy="175260"/>
                      <wp:effectExtent l="0" t="0" r="0" b="0"/>
                      <wp:wrapNone/>
                      <wp:docPr id="703" name="Frame70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51460" cy="175260"/>
                      <wp:effectExtent l="0" t="0" r="0" b="0"/>
                      <wp:wrapNone/>
                      <wp:docPr id="704" name="Frame704"/>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62560" cy="175260"/>
                      <wp:effectExtent l="0" t="0" r="0" b="0"/>
                      <wp:wrapNone/>
                      <wp:docPr id="705" name="Frame70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440690" cy="175260"/>
                      <wp:effectExtent l="0" t="0" r="0" b="0"/>
                      <wp:wrapNone/>
                      <wp:docPr id="706" name="Frame706"/>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07010" cy="175260"/>
                      <wp:effectExtent l="0" t="0" r="0" b="0"/>
                      <wp:wrapNone/>
                      <wp:docPr id="707" name="Frame7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86055" cy="175260"/>
                      <wp:effectExtent l="0" t="0" r="0" b="0"/>
                      <wp:wrapNone/>
                      <wp:docPr id="708" name="Frame708"/>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557530" cy="175260"/>
                      <wp:effectExtent l="0" t="0" r="0" b="0"/>
                      <wp:wrapNone/>
                      <wp:docPr id="709" name="Frame709"/>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175260"/>
                      <wp:effectExtent l="0" t="0" r="0" b="0"/>
                      <wp:wrapNone/>
                      <wp:docPr id="710" name="Frame7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315595" cy="175260"/>
                      <wp:effectExtent l="0" t="0" r="0" b="0"/>
                      <wp:wrapNone/>
                      <wp:docPr id="711" name="Frame711"/>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66065" cy="175260"/>
                      <wp:effectExtent l="0" t="0" r="0" b="0"/>
                      <wp:wrapNone/>
                      <wp:docPr id="712" name="Frame712"/>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6" w:type="dxa"/>
            <w:tcBorders/>
            <w:vAlign w:val="center"/>
          </w:tcPr>
          <w:p>
            <w:pPr>
              <w:pStyle w:val="TableContents"/>
              <w:bidi w:val="0"/>
              <w:spacing w:lineRule="auto" w:line="285" w:before="0" w:after="0"/>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96" w:type="dxa"/>
            <w:tcBorders/>
            <w:shd w:fill="CCEEFF" w:val="clear"/>
            <w:vAlign w:val="center"/>
          </w:tcPr>
          <w:p>
            <w:pPr>
              <w:pStyle w:val="TableContents"/>
              <w:bidi w:val="0"/>
              <w:spacing w:lineRule="auto" w:line="285" w:before="0" w:after="0"/>
              <w:ind w:left="0" w:right="0" w:hanging="0"/>
              <w:jc w:val="left"/>
              <w:rPr/>
            </w:pPr>
            <w:r>
              <w:rPr/>
              <w:t> </w:t>
            </w:r>
          </w:p>
        </w:tc>
        <w:tc>
          <w:tcPr>
            <w:tcW w:w="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Income tax expense decreased for the six months ended June 30, 2023 as compared to the six months ended June 30, 2022 primarily due to the Company’s estimated taxable loss position for the year ended December 31, 2023, whereas, during the six months ended June 30, 2022, the Company was in estimated taxable income position for the calendar year ended December 31, 2022 due to the cash considerations received under the royalty purchase agreement and the purchase and sale agreement entered into with Royalty Pharma and Sixth Street Partners, respectively, in June 2022.</w:t>
      </w:r>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collaborations and license agreements, future royalty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revenue monetization, and a term loan. Through June 30, 2023, we have received an aggregate of $3.6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$150.0 million in gross proceeds from a term loan from Sixth Street Partners. In addition, since January 2020, we have also generated revenue through the sales of our approved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2023, we had cash, cash equivalents and marketable securities of $836.6 million.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our cash flows for the six months ended June 30, 2023 and 2022:</w:t>
      </w:r>
    </w:p>
    <w:tbl>
      <w:tblPr>
        <w:tblW w:w="7707" w:type="dxa"/>
        <w:jc w:val="left"/>
        <w:tblInd w:w="0" w:type="dxa"/>
        <w:tblLayout w:type="fixed"/>
        <w:tblCellMar>
          <w:top w:w="0" w:type="dxa"/>
          <w:left w:w="0" w:type="dxa"/>
          <w:bottom w:w="0" w:type="dxa"/>
          <w:right w:w="0" w:type="dxa"/>
        </w:tblCellMar>
      </w:tblPr>
      <w:tblGrid>
        <w:gridCol w:w="4786"/>
        <w:gridCol w:w="326"/>
        <w:gridCol w:w="211"/>
        <w:gridCol w:w="901"/>
        <w:gridCol w:w="326"/>
        <w:gridCol w:w="211"/>
        <w:gridCol w:w="94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3039110" cy="175260"/>
                      <wp:effectExtent l="0" t="0" r="0" b="0"/>
                      <wp:wrapNone/>
                      <wp:docPr id="713" name="Frame713"/>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07010" cy="175260"/>
                      <wp:effectExtent l="0" t="0" r="0" b="0"/>
                      <wp:wrapNone/>
                      <wp:docPr id="714" name="Frame7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33985" cy="175260"/>
                      <wp:effectExtent l="0" t="0" r="0" b="0"/>
                      <wp:wrapNone/>
                      <wp:docPr id="715" name="Frame7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572135" cy="175260"/>
                      <wp:effectExtent l="0" t="0" r="0" b="0"/>
                      <wp:wrapNone/>
                      <wp:docPr id="716" name="Frame7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07010" cy="175260"/>
                      <wp:effectExtent l="0" t="0" r="0" b="0"/>
                      <wp:wrapNone/>
                      <wp:docPr id="717" name="Frame7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33985" cy="175260"/>
                      <wp:effectExtent l="0" t="0" r="0" b="0"/>
                      <wp:wrapNone/>
                      <wp:docPr id="718" name="Frame7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00710" cy="175260"/>
                      <wp:effectExtent l="0" t="0" r="0" b="0"/>
                      <wp:wrapNone/>
                      <wp:docPr id="719" name="Frame71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7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78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(253,436)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(250,982)</w:t>
            </w:r>
          </w:p>
        </w:tc>
      </w:tr>
      <w:tr>
        <w:trPr/>
        <w:tc>
          <w:tcPr>
            <w:tcW w:w="4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204,857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35,977</w:t>
            </w:r>
          </w:p>
        </w:tc>
      </w:tr>
      <w:tr>
        <w:trPr/>
        <w:tc>
          <w:tcPr>
            <w:tcW w:w="47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5,298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178,762</w:t>
            </w:r>
          </w:p>
        </w:tc>
      </w:tr>
      <w:tr>
        <w:trPr/>
        <w:tc>
          <w:tcPr>
            <w:tcW w:w="4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(36,243)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Used in Operating Activities. </w:t>
      </w:r>
      <w:r>
        <w:rPr>
          <w:rFonts w:ascii="Times New Roman;Times;serif" w:hAnsi="Times New Roman;Times;serif"/>
          <w:sz w:val="20"/>
        </w:rPr>
        <w:t xml:space="preserve">For the six months ended June 30, 2023, compared to the same period in 2022, the $2.5 million increase in net cash used in operating activities was primarily due to changes in our operating assets and liabilities of $12.7 million, partially offset by a decrease in our net loss of $3.4 million and an increase in non-cash adjustments of $6.9 million. The changes in net cash flows related to changes in our operating assets and liabilities were generally due to the timing of vendor invoicing and payments.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Provided by Investing Activities. </w:t>
      </w:r>
      <w:r>
        <w:rPr>
          <w:rFonts w:ascii="Times New Roman;Times;serif" w:hAnsi="Times New Roman;Times;serif"/>
          <w:sz w:val="20"/>
        </w:rPr>
        <w:t>For the six months ended June 30, 2023, compared to the same period in 2022, the $168.9 million increase in net cash provided by investing activities was primarily due to the $170.3 million increase in net proceeds received from maturities of available for sale investments.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Financing Activities.</w:t>
      </w:r>
      <w:r>
        <w:rPr>
          <w:rFonts w:ascii="Times New Roman;Times;serif" w:hAnsi="Times New Roman;Times;serif"/>
          <w:sz w:val="20"/>
        </w:rPr>
        <w:t xml:space="preserve"> For the six months ended June 30, 2023, compared to the same period in 2022, the $173.5 million decrease in net cash provided by financing activities was due to the $175.0 million gross proceeds provided by the sale of future royalties during the six months ended June 30, 2022.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Financing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Net proceeds from the transaction were recorded as liabilities related to sale of future royalties and revenues on the consolidated balance sheet and as of June 30, 2023, the net carrying value of the liability related to this arrangement was $175.6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Future Revenue Purchase Agreement with Sixth Street Partners and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June 30, 2023, the net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of the liability related to this arrangement was $261.7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 As of June 30, 2023, the net carrying value of the term loan was $140.0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obligations under the Financing Agreement are secured, subject to certain exceptions, by security interests in the substantially all of our assets and our certain subsidiaries. The Financing Agreement contains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 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Funding Requirements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our expenses to increase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2023, we had cash, cash equivalents and marketable securities of $836.6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Our future capital requirements will depend on and could increase significantly as a result of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commercialization efforts and market acceptance for AYVAKIT/AYVAKYT, GAVRETO or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maintaining, expanding or contracting for sales, marketing and distribution capabilities in connection with commercialization of AYVAKIT/AYVAKYT and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of securing manufacturing, packaging and labeling arrangements to ensure adequate supply for development activities and commercial production, including API, drug substance and drug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material for use in preclinical studies, clinical trials, our compassionate use program and for use as commercial supply, as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purchasing quantities of agents for use in our clinical trials in connection with our efforts to develop our drugs and drug candidates, including for development as combination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development, laboratory testing and clinical trials for our approved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marketing applications for our drug candidates, to the extent these expenses are not the responsibility of our collaboration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collaborations with CStone, Zai Lab and Proteovant and our license agreements with Clementia and IDRx, as well as our ability to establish and maintain additional collaborations, partnerships or licenses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our existing collaboration or license agreements, our financing arrangements, or any collaboration, partnership, financing or license agreements that we may enter into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obligated to reimburse, or entitled to reimbursement of, research and development, clinical or other costs under future collaboration agreements,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approved drugs, drug candidates or technologies and the terms of any such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continuing to expand our operations.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that receive marketing approval, including for AYVAKIT/AYVAKYT and GAVRETO.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Until such time, if ever, as we can generate substantial drug revenues, we expect to finance our cash needs primarily through a combination of public and private equity offerings, debt financings, future revenue monetizations, collaborations, strategic alliances and licensing arrangements. We do not have any committed external source of funds, other than our collaborations with CStone and Zai Lab, the license agreements with Clementia and IDRx, the Royalty Purchase Agreement with Royalty Pharma,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 </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contractual obligations primarily consist of our obligations under non-cancellable operating leases and unconditional purchase obligations related to certain commercial manufacturing agreements.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2023, there was a decrease of $7.3 million in our contractual obligations described under “Management’s Discussion and Analysis of Financial Condition and Results of Operations” included in the Annual Report on Form 10-K for the year ended December 31, 2022. </w:t>
      </w:r>
    </w:p>
    <w:p>
      <w:pPr>
        <w:pStyle w:val="TextBody"/>
        <w:bidi w:val="0"/>
        <w:spacing w:lineRule="auto" w:line="285" w:before="0" w:after="240"/>
        <w:ind w:left="0" w:right="0" w:hanging="0"/>
        <w:jc w:val="left"/>
        <w:rPr>
          <w:rFonts w:ascii="Times New Roman;Times;serif" w:hAnsi="Times New Roman;Times;serif"/>
          <w:b/>
          <w:sz w:val="20"/>
        </w:rPr>
      </w:pPr>
      <w:bookmarkStart w:id="1249" w:name="Quantitative_675574"/>
      <w:bookmarkStart w:id="1250" w:name="_1cba4399_93bd_4228_b1f2_c297cc72f401"/>
      <w:bookmarkEnd w:id="1249"/>
      <w:bookmarkEnd w:id="1250"/>
      <w:r>
        <w:rPr>
          <w:rFonts w:ascii="Times New Roman;Times;serif" w:hAnsi="Times New Roman;Times;serif"/>
          <w:b/>
          <w:sz w:val="20"/>
        </w:rPr>
        <w:t>Item 3. Quantitative and Qualitative Disclosures About Market Risk</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2023 and December 31, 2022, we had cash, cash equivalents and marketable securities of $836.6 million and $1,078.5 million, respectively, consisting primarily of money market funds and investments in U.S. government agency and treasury obligations.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primary exposure to market risk is interest rate sensitivity, which is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We are also exposed to market risk related to changes in foreign currency exchange rates, including recent changes resulting from monetary policy from the U.S. and international central banks, inflationary pressures and the Russian invasion of Ukraine.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June 30, 2023 and December 31, 2022, we held limited funds and future obligations denominated in foreign currencies.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and six months ended June 30, 2023. However, if inflation remains at current levels for an extended period of time, or increases, our costs are likely to increase, which may negatively impact our margins and cash flows.</w:t>
      </w:r>
    </w:p>
    <w:p>
      <w:pPr>
        <w:pStyle w:val="TextBody"/>
        <w:bidi w:val="0"/>
        <w:spacing w:lineRule="auto" w:line="285" w:before="0" w:after="240"/>
        <w:ind w:left="0" w:right="0" w:hanging="0"/>
        <w:jc w:val="left"/>
        <w:rPr>
          <w:rFonts w:ascii="Times New Roman;Times;serif" w:hAnsi="Times New Roman;Times;serif"/>
          <w:b/>
          <w:sz w:val="20"/>
        </w:rPr>
      </w:pPr>
      <w:bookmarkStart w:id="1251" w:name="ControlsandProcedures_819554"/>
      <w:bookmarkStart w:id="1252" w:name="_3ea7e387_8185_4d26_b6b7_fe8db2d8c864"/>
      <w:bookmarkEnd w:id="1251"/>
      <w:bookmarkEnd w:id="1252"/>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Management’s Evaluation of our Disclosure Controls and Procedures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June 30, 2023. Based upon such evaluation, our Chief Executive Officer and Chief Financial Officer have concluded that, as of June 30, 2023, our disclosure controls and procedures were effective at the reasonable assurance level.</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fiscal quarter covered by this report that materially affected, or are reasonably likely to materially affect, our internal control over financial reporting.</w:t>
      </w:r>
    </w:p>
    <w:p>
      <w:pPr>
        <w:pStyle w:val="TextBody"/>
        <w:bidi w:val="0"/>
        <w:spacing w:lineRule="auto" w:line="285" w:before="120" w:after="0"/>
        <w:ind w:left="0" w:right="0" w:hanging="0"/>
        <w:jc w:val="center"/>
        <w:rPr>
          <w:rFonts w:ascii="Times New Roman;Times;serif" w:hAnsi="Times New Roman;Times;serif"/>
          <w:b/>
          <w:caps/>
          <w:sz w:val="20"/>
        </w:rPr>
      </w:pPr>
      <w:bookmarkStart w:id="1253" w:name="PARTII_568397"/>
      <w:bookmarkStart w:id="1254" w:name="_07058cb0_09f7_4497_92f8_fd48be27812f"/>
      <w:bookmarkEnd w:id="1253"/>
      <w:bookmarkEnd w:id="1254"/>
      <w:r>
        <w:rPr>
          <w:rFonts w:ascii="Times New Roman;Times;serif" w:hAnsi="Times New Roman;Times;serif"/>
          <w:b/>
          <w:caps/>
          <w:sz w:val="20"/>
        </w:rPr>
        <w:t>Part II – OTHER INFORMATION</w:t>
      </w:r>
    </w:p>
    <w:p>
      <w:pPr>
        <w:pStyle w:val="TextBody"/>
        <w:bidi w:val="0"/>
        <w:spacing w:lineRule="auto" w:line="285" w:before="12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255" w:name="LegalProceedings_161281"/>
      <w:bookmarkStart w:id="1256" w:name="_0537f994_a0f8_4a3a_89d3_2684e8161899"/>
      <w:bookmarkEnd w:id="1255"/>
      <w:bookmarkEnd w:id="1256"/>
      <w:r>
        <w:rPr>
          <w:rFonts w:ascii="Times New Roman;Times;serif" w:hAnsi="Times New Roman;Times;serif"/>
          <w:b/>
          <w:sz w:val="20"/>
        </w:rPr>
        <w:t>Item 1. Legal Proceedings</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not currently a party to any material legal proceedings, nor are we aware of any governmental proceedings involving potential monetary sanctions of $300,000 or more. </w:t>
      </w:r>
    </w:p>
    <w:p>
      <w:pPr>
        <w:pStyle w:val="TextBody"/>
        <w:pBdr/>
        <w:shd w:fill="FFFFFF" w:val="clear"/>
        <w:bidi w:val="0"/>
        <w:spacing w:lineRule="auto" w:line="285" w:before="0" w:after="0"/>
        <w:ind w:left="0" w:right="0" w:hanging="0"/>
        <w:jc w:val="left"/>
        <w:rPr>
          <w:rFonts w:ascii="Times New Roman;Times;serif" w:hAnsi="Times New Roman;Times;serif"/>
          <w:sz w:val="20"/>
        </w:rPr>
      </w:pPr>
      <w:bookmarkStart w:id="1257" w:name="Item1ARiskFactors"/>
      <w:bookmarkStart w:id="1258" w:name="_676db9f3_6bee_4c61_9908_f456303d956f"/>
      <w:bookmarkEnd w:id="1257"/>
      <w:bookmarkEnd w:id="1258"/>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growing as a commercial company and the marketing and sale of AYVAKIT® (avapritinib) (marketed in Europe under the brand name AYVAKYT®), GAVRETO® (pralsetinib) or any future approved drugs may be unsuccessful or less successful than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current and future drugs will depend upon the degree of market acceptance by physicians, patients, third-party payors and others in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which may result in our commercial opportunity being reduced or limited by others commercializing, developing or discovering drugs before or more successfully than we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lawsuits against us could cause us to incur substantial liabilities and could limit commercialization of any of our approved drugs or drug candidates that we may develop.</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obtain regulatory approval for our drug candidates (including for avapritinib in additional geographies, as well as for indolent SM in geographies outside of the U.S., and pralsetinib for an additional indication) and ultimately commercialize them, or experience significant delays in doing so, our business may be materially harmed.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or difficulties in the enrollment of patients in clinical trials, our receipt of necessary regulatory approvals could be delayed or prevented.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expand our pipeline of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our inception and anticipate that we will incur continued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 parties may initiate legal proceedings alleging that we are infringing their intellectual property rights, the outcome of which would be uncertain and could have a material adverse effect on the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289" w:type="dxa"/>
        <w:jc w:val="left"/>
        <w:tblInd w:w="0" w:type="dxa"/>
        <w:tblLayout w:type="fixed"/>
        <w:tblCellMar>
          <w:top w:w="28" w:type="dxa"/>
          <w:left w:w="28" w:type="dxa"/>
          <w:bottom w:w="28" w:type="dxa"/>
          <w:right w:w="28" w:type="dxa"/>
        </w:tblCellMar>
      </w:tblPr>
      <w:tblGrid>
        <w:gridCol w:w="124"/>
        <w:gridCol w:w="109"/>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future growth prospects could be materially and adversely affected by a resurgence of the COVID-19 pandemic.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has been and may in the future be volatile and fluctuate substantially.</w:t>
            </w:r>
          </w:p>
        </w:tc>
      </w:tr>
    </w:tbl>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Commercialization</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We are in the process of growing as a commercial company and the marketing and sale of AYVAKIT/AYVAKYT, GAVRETO or any future approved drugs may be unsuccessful or less successful than anticipated.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two approved precision therapies, AYVAKIT/AYVAKYT and GAVRETO. While we have been commercializing AYVAKIT in the U.S. and AYVAKYT in Europe and co-commercializing GAVRETO with Roche in the U.S., we only have several years’ experience as a commercial company, and we have a limited track record demonstrating our ability to successfully overcome the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pStyle w:val="TextBody"/>
        <w:bidi w:val="0"/>
        <w:spacing w:lineRule="auto" w:line="285" w:before="0" w:after="240"/>
        <w:ind w:left="1080" w:right="0" w:hanging="0"/>
        <w:jc w:val="left"/>
        <w:rPr/>
      </w:pPr>
      <w:r>
        <w:rPr/>
        <w:t>●</w:t>
      </w:r>
      <w:r>
        <w:rPr>
          <w:rFonts w:ascii="Times New Roman;Times;serif" w:hAnsi="Times New Roman;Times;serif"/>
          <w:sz w:val="20"/>
        </w:rPr>
        <w:t>establish and maintain our relationships with healthcare providers who will be treating patients who may receive our drugs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obtain and maintain adequate pricing and reimbursement for AYVAKIT/AYVAKYT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gain regulatory acceptance for the development and commercialization of current or future drug candidates in our pipeline, including for additional indications or in additional geographies for marketed drugs in our portfolio;</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our existing collaborations with CStone Pharmaceuticals, or CStone, and Zai Lab; </w:t>
      </w:r>
    </w:p>
    <w:p>
      <w:pPr>
        <w:pStyle w:val="TextBody"/>
        <w:bidi w:val="0"/>
        <w:spacing w:lineRule="auto" w:line="285" w:before="0" w:after="240"/>
        <w:ind w:left="1080" w:right="0" w:hanging="0"/>
        <w:jc w:val="left"/>
        <w:rPr/>
      </w:pPr>
      <w:r>
        <w:rPr/>
        <w:t>●</w:t>
      </w:r>
      <w:r>
        <w:rPr>
          <w:rFonts w:ascii="Times New Roman;Times;serif" w:hAnsi="Times New Roman;Times;serif"/>
          <w:sz w:val="20"/>
        </w:rPr>
        <w:t>expand our global operations or enter into collaboration, partnerships or distribution arrangements in geographies where we may not have current operations or expertise; and</w:t>
      </w:r>
    </w:p>
    <w:p>
      <w:pPr>
        <w:pStyle w:val="TextBody"/>
        <w:bidi w:val="0"/>
        <w:spacing w:lineRule="auto" w:line="285"/>
        <w:ind w:left="1080" w:right="0" w:hanging="0"/>
        <w:jc w:val="left"/>
        <w:rPr/>
      </w:pPr>
      <w:r>
        <w:rPr/>
        <w:t>●</w:t>
      </w:r>
      <w:r>
        <w:rPr>
          <w:rFonts w:ascii="Times New Roman;Times;serif" w:hAnsi="Times New Roman;Times;serif"/>
          <w:sz w:val="20"/>
        </w:rPr>
        <w:t>manage our spending as costs and expenses increase due to clinical trials, marketing approvals, and commercialization.</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commercialize our current or future approved drugs, develop current or future drug candidates, expand our business or continue our operations.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The commercial success of AYVAKIT/AYVAKYT and GAVRETO, as well as any other drugs that we may bring to the market, will depend upon the degree of market acceptance by physicians, patients, third-party payors and others in the medical community.</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profitable. The degree of market acceptance for AYVAKIT/AYVAKYT and GAVRETO, as well as any current or future drug candidates for which we receive marketing approval, will depend on a number of factors, including:</w:t>
      </w:r>
    </w:p>
    <w:tbl>
      <w:tblPr>
        <w:tblW w:w="6606" w:type="dxa"/>
        <w:jc w:val="left"/>
        <w:tblInd w:w="0" w:type="dxa"/>
        <w:shd w:fill="FFFFFF" w:val="clear"/>
        <w:tblLayout w:type="fixed"/>
        <w:tblCellMar>
          <w:top w:w="28" w:type="dxa"/>
          <w:left w:w="28" w:type="dxa"/>
          <w:bottom w:w="28" w:type="dxa"/>
          <w:right w:w="28" w:type="dxa"/>
        </w:tblCellMar>
      </w:tblPr>
      <w:tblGrid>
        <w:gridCol w:w="124"/>
        <w:gridCol w:w="256"/>
        <w:gridCol w:w="62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efficacy and potential advantages over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including any limitations or warnings contained in the drug’s approved labeling;</w:t>
            </w:r>
          </w:p>
        </w:tc>
      </w:tr>
    </w:tbl>
    <w:p>
      <w:pPr>
        <w:pStyle w:val="TextBody"/>
        <w:bidi w:val="0"/>
        <w:spacing w:lineRule="auto" w:line="285" w:before="0" w:after="240"/>
        <w:ind w:left="1080" w:right="0" w:hanging="0"/>
        <w:jc w:val="left"/>
        <w:rPr/>
      </w:pPr>
      <w:r>
        <w:rPr/>
        <w:t>●</w:t>
      </w:r>
      <w:r>
        <w:rPr>
          <w:rFonts w:ascii="Times New Roman;Times;serif" w:hAnsi="Times New Roman;Times;serif"/>
          <w:sz w:val="20"/>
        </w:rPr>
        <w:t>the relative convenience and ease of administration;</w:t>
      </w:r>
    </w:p>
    <w:p>
      <w:pPr>
        <w:pStyle w:val="TextBody"/>
        <w:bidi w:val="0"/>
        <w:spacing w:lineRule="auto" w:line="285" w:before="0" w:after="240"/>
        <w:ind w:left="1080" w:right="0" w:hanging="0"/>
        <w:jc w:val="left"/>
        <w:rPr/>
      </w:pPr>
      <w:r>
        <w:rPr/>
        <w:t>●</w:t>
      </w:r>
      <w:r>
        <w:rPr>
          <w:rFonts w:ascii="Times New Roman;Times;serif" w:hAnsi="Times New Roman;Times;serif"/>
          <w:sz w:val="20"/>
        </w:rPr>
        <w:t>the willingness of eligible patients to try new therapies and of physicians to prescribe these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length of time that patients who are prescribed our drugs remain on treatment;</w:t>
      </w:r>
    </w:p>
    <w:p>
      <w:pPr>
        <w:pStyle w:val="TextBody"/>
        <w:bidi w:val="0"/>
        <w:spacing w:lineRule="auto" w:line="285" w:before="0" w:after="240"/>
        <w:ind w:left="1080" w:right="0" w:hanging="0"/>
        <w:jc w:val="left"/>
        <w:rPr/>
      </w:pPr>
      <w:r>
        <w:rPr/>
        <w:t>●</w:t>
      </w:r>
      <w:r>
        <w:rPr>
          <w:rFonts w:ascii="Times New Roman;Times;serif" w:hAnsi="Times New Roman;Times;serif"/>
          <w:sz w:val="20"/>
        </w:rPr>
        <w:t>the pricing of our drugs and any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publicity concerning our current and future drugs, or competing products and treatments; and</w:t>
      </w:r>
    </w:p>
    <w:p>
      <w:pPr>
        <w:pStyle w:val="TextBody"/>
        <w:bidi w:val="0"/>
        <w:spacing w:lineRule="auto" w:line="285"/>
        <w:ind w:left="1080" w:right="0" w:hanging="0"/>
        <w:jc w:val="left"/>
        <w:rPr/>
      </w:pPr>
      <w:r>
        <w:rPr/>
        <w:t>●</w:t>
      </w:r>
      <w:r>
        <w:rPr>
          <w:rFonts w:ascii="Times New Roman;Times;serif" w:hAnsi="Times New Roman;Times;serif"/>
          <w:sz w:val="20"/>
        </w:rPr>
        <w:t>sufficient third-party insurance coverage or reimbursement.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establish additional commercial capabilities and infrastructure, we may be unable to generate sufficient revenue to sustain our business.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drugs include:</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recruit, train and retain adequate numbers of sales and marketing personnel;</w:t>
      </w:r>
    </w:p>
    <w:p>
      <w:pPr>
        <w:pStyle w:val="TextBody"/>
        <w:bidi w:val="0"/>
        <w:spacing w:lineRule="auto" w:line="285" w:before="0" w:after="240"/>
        <w:ind w:left="1080" w:right="0" w:hanging="0"/>
        <w:jc w:val="left"/>
        <w:rPr/>
      </w:pPr>
      <w:r>
        <w:rPr/>
        <w:t>●</w:t>
      </w:r>
      <w:r>
        <w:rPr>
          <w:rFonts w:ascii="Times New Roman;Times;serif" w:hAnsi="Times New Roman;Times;serif"/>
          <w:sz w:val="20"/>
        </w:rPr>
        <w:t>the inability of sales personnel to obtain access to or to persuade adequate numbers of physicians to prescribe our drugs;</w:t>
      </w:r>
    </w:p>
    <w:p>
      <w:pPr>
        <w:pStyle w:val="TextBody"/>
        <w:bidi w:val="0"/>
        <w:spacing w:lineRule="auto" w:line="285" w:before="0" w:after="240"/>
        <w:ind w:left="1080" w:right="0" w:hanging="0"/>
        <w:jc w:val="left"/>
        <w:rPr/>
      </w:pPr>
      <w:r>
        <w:rPr/>
        <w:t>●</w:t>
      </w:r>
      <w:r>
        <w:rPr>
          <w:rFonts w:ascii="Times New Roman;Times;serif" w:hAnsi="Times New Roman;Times;serif"/>
          <w:sz w:val="20"/>
        </w:rPr>
        <w:t>unforeseen costs and expenses associated with maintaining an independent sales and marketing organization; and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ind w:left="1080" w:right="0" w:hanging="0"/>
        <w:jc w:val="left"/>
        <w:rPr/>
      </w:pPr>
      <w:r>
        <w:rPr/>
        <w:t>●</w:t>
      </w:r>
      <w:r>
        <w:rPr>
          <w:rFonts w:ascii="Times New Roman;Times;serif" w:hAnsi="Times New Roman;Times;serif"/>
          <w:sz w:val="20"/>
        </w:rPr>
        <w:t>delays or disruptions to sales and marketing activities.</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precise incidence and/or prevalence for SM, RET-altered cancers, EGFR-mutated NSCLC,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pStyle w:val="TextBody"/>
        <w:bidi w:val="0"/>
        <w:spacing w:lineRule="auto" w:line="285" w:before="28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We face substantial competition, which may result in others commercializing, developing or discovering drugs before or more successfully than we do.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AYVAKIT/AYVAKYT and elenestinib (BLU-263) face competition for advanced SM from Novartis AG’s midostaurin and imatinib, and may face competition from drug candidates in development, including that being developed by Cogent Biosciences, Inc. Avapritinib and elenestinib may face non-advanced SM competition from drug candidates in development, including those being developed by AB Science S.A., Allakos Inc., Celldex Therapeutics, Inc. and Cogent Biosciences, Inc.</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GAVRETO faces competition for RET fusion-positive NSCLC and RET fusion-positive thyroid cancer, from Eli Lilly and Company’s selpercatinib. If pralsetinib receives marketing approval for patients with other solid tumors, it will also face competition from selpercatinib for these additional indications. In addition, pralsetinib may face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are developing BLU-525 and BLU-945 for treatment-resistant EGFR-mutated NSCLC, which, if approved, will face competition from AstraZeneca plc’s osimertinib and aumolertinib, which is under collaboration between Jiangsu Hansoh Pharmaceutical Group Co., Ltd. and EQRx, Inc. and approved in China. In addition, BLU-525 and BLU-945 may face competition from drug candidates in development for EGFR-mutated NSCLC, including those being developed by Abbisko Therapeutics Co. Ltd, Shanghai Allist Pharmaceuticals Co. Ltd. (Allist), Arrivent Biopharma, Inc., Betta Pharmaceuticals Co. Ltd., Black Diamond Therapeutics, Inc., Boehringer Ingelheim RCV GmbH &amp; Co KG, Bridge Biotherapeutics, Inc., C4 Therapeutics, Inc., Daiichi Sankyo Company, Limited, Janssen Pharmaceuticals, Inc., J INTS Bio, Kanaph Therapeutics Inc., Qilu Pharmaceutical Co., Ltd., RedCloud Bio, Suzhou Junjing Biosciences, Suzhou Puhe Biopharma Co. Limited, Systimmune, Taiho Oncology, Therapex, Theseus Pharmaceuticals, Inc.</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are developing BLU-451 for NSCLC driven by EGFR exon 20 insertions or other rare, atypical mutations, which, if approved, will face competition from AstraZeneca plc’s osimertinib, Boehringer Ingelheim Pharmaceuticals’ afatinib, Janssen Pharmaceuticals’s amivantamab, and Takeda Pharmaceuticals’ mobocertinib. In addition, BLU-451 may face competition from drug candidates in development for NSCLC driven by EGFR exon 20 insertions or other rare, atypical mutations, including those being developed by Abbisko Therapeutics Co., Ltd., Avistone, Bayer AG, Black Diamond Therapeutics, Cullinan Oncology, Inc., Daiichi Sankyo Company, Limited, Dizal Pharmaceutical Co. Ltd., Shenzhen Forward Pharmaceutical Co., Ltd., Huadong Medicine Co., Ltd., Shanghai Junshi Biosciences Co., Ltd., Oric Pharmaceuticals, Inc, Scorpion Therapeutics, Inc; Suzhou Puhe Biopharma Co. Limited, and TYK Medicines, Inc.</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are developing BLU-222 for cancers vulnerable to CDK2 inhibition, including CCNE1-aberrant cancers, which, if approved, will face competition from indication-specific therapies such as AstraZeneca and Daiichi Sankyo’s Enhertu, AstraZeneca and Merck’s olaparib, Clovis Oncology’s rucaparib, Eisai’s Lenvatinib, Genentech’s bevacizumab, GSK’s niraparib, GSK’s dostarlimab, Menarini Group &amp; Stemline Therapeutics’ elacestrant, Merck’s pembrolizumab, and Novartis' alpelisib. In addition, BLU-222 may face competition from drug candidates in development, including those being developed by Acrivon Therapeutics, Allorion Therapeutics, Inc., Anrui Biomedical Technology, Arvinas, AstraZeneca plc, Aucentra Therapeutics, BioTheryX, Inc., Cedilla Therapeutics, Inc., Cyclacel Pharmaceuticals Inc., Eli Lilly and Company, Exelixis, Gilead Sciences, Inc., IMPACT Therapeutics, Inc., Incyclix Bio, LLC, Incyte Corporation, Monte Rosa Therapeutics, Inc., Pfizer Inc., Plexium, Inc., Regor Therapeutics Inc., Relay Therapeutics, Inc., Repare Therapeutics, Inc., and Zentalis Pharmaceuticals, Inc.</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are developing BLU-852 for advanced cancers susceptible to MAP4K1 inhibition, which, if approved, will face competition from immuno-oncology products, including those developed by Bristol-Myers Squibb Company, Merck &amp; Co., Inc., Regeneron Pharmaceuticals, Inc., Sanofi S.A., and AstraZeneca plc. In addition, BLU-852 may face competition from drug candidates in development for advanced cancers susceptible to MAP4K1 inhibition, including those being developed by 1st Biotherapeutics, Inc., BeiGene Ltd., Glenmark Pharmaceuticals Limited, MingMed Biotechnology Co., Ltd., Nimbus Therapeutics, LLC, Pfizer Inc., Regor Pharmaceuticals Inc., and Treadwell Therapeutics, Inc.</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are developing BLU-808 for chronic spontaneous urticaria, which if approved, will face competition from other therapies, including omalizumab developed by Genentech and Novartis. In addition, BLU-808 may face competition from drug candidates in development for chronic spontaneous urticaria, including those developed by Allakos Inc., Amgen Inc., AstraZeneca plc, Celldex Therapeutics, Inc., Escient Pharmaceuticals, Inc., Jasper Therapeutics, Inc., Novartis AG, Regeneron Pharmaceuticals, Inc., Sanofi S.A., and Third Harmonic Bio, Inc.</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pStyle w:val="TextBody"/>
        <w:bidi w:val="0"/>
        <w:spacing w:lineRule="auto" w:line="285" w:before="280" w:after="240"/>
        <w:ind w:left="0" w:right="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could limit commercialization of any of our approved drugs or drug candidates that we may develop.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of our approved drugs or drug candidates that we may develop and commercialize;</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related litigation;</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of approved drugs or drug candidates that we may develop.</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 </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Increasing demand for compassionate use of our drug candidates could negatively affect our reputation and harm our business.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Media attention to individual patients’ expanded access requests has resulted in the introduction and enactment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PDGFRA D842V mutation, and pralsetinib in order to identify NSCLC patients with RET fusions.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pStyle w:val="TextBody"/>
        <w:bidi w:val="0"/>
        <w:spacing w:lineRule="auto" w:line="285" w:before="0" w:after="240"/>
        <w:ind w:left="1080" w:right="0" w:hanging="0"/>
        <w:jc w:val="left"/>
        <w:rPr/>
      </w:pPr>
      <w:r>
        <w:rPr/>
        <w:t>●</w:t>
      </w:r>
      <w:r>
        <w:rPr>
          <w:rFonts w:ascii="Times New Roman;Times;serif" w:hAnsi="Times New Roman;Times;serif"/>
          <w:sz w:val="20"/>
        </w:rPr>
        <w:t>may not perform their respective obligations as expected or as required under our agreements with them;</w:t>
      </w:r>
    </w:p>
    <w:p>
      <w:pPr>
        <w:pStyle w:val="TextBody"/>
        <w:bidi w:val="0"/>
        <w:spacing w:lineRule="auto" w:line="285" w:before="0" w:after="240"/>
        <w:ind w:left="1080" w:right="0" w:hanging="0"/>
        <w:jc w:val="left"/>
        <w:rPr/>
      </w:pPr>
      <w:r>
        <w:rPr/>
        <w:t>●</w:t>
      </w:r>
      <w:r>
        <w:rPr>
          <w:rFonts w:ascii="Times New Roman;Times;serif" w:hAnsi="Times New Roman;Times;serif"/>
          <w:sz w:val="20"/>
        </w:rPr>
        <w:t>may not pursue commercialization of a companion diagnostic test even if it receives any required regulatory clearances or approvals;</w:t>
      </w:r>
    </w:p>
    <w:p>
      <w:pPr>
        <w:pStyle w:val="TextBody"/>
        <w:bidi w:val="0"/>
        <w:spacing w:lineRule="auto" w:line="285" w:before="0" w:after="240"/>
        <w:ind w:left="1080" w:right="0" w:hanging="0"/>
        <w:jc w:val="left"/>
        <w:rPr/>
      </w:pPr>
      <w:r>
        <w:rPr/>
        <w:t>●</w:t>
      </w:r>
      <w:r>
        <w:rPr>
          <w:rFonts w:ascii="Times New Roman;Times;serif" w:hAnsi="Times New Roman;Times;serif"/>
          <w:sz w:val="20"/>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pStyle w:val="TextBody"/>
        <w:bidi w:val="0"/>
        <w:spacing w:lineRule="auto" w:line="285" w:before="0" w:after="240"/>
        <w:ind w:left="1080" w:right="0" w:hanging="0"/>
        <w:jc w:val="left"/>
        <w:rPr/>
      </w:pPr>
      <w:r>
        <w:rPr/>
        <w:t>●</w:t>
      </w:r>
      <w:r>
        <w:rPr>
          <w:rFonts w:ascii="Times New Roman;Times;serif" w:hAnsi="Times New Roman;Times;serif"/>
          <w:sz w:val="20"/>
        </w:rPr>
        <w:t>may not commit sufficient resources to the marketing and distribution of a companion diagnostic test; and</w:t>
      </w:r>
    </w:p>
    <w:p>
      <w:pPr>
        <w:pStyle w:val="TextBody"/>
        <w:bidi w:val="0"/>
        <w:spacing w:lineRule="auto" w:line="285"/>
        <w:ind w:left="1080" w:right="0" w:hanging="0"/>
        <w:jc w:val="left"/>
        <w:rPr/>
      </w:pPr>
      <w:r>
        <w:rPr/>
        <w:t>●</w:t>
      </w:r>
      <w:r>
        <w:rPr>
          <w:rFonts w:ascii="Times New Roman;Times;serif" w:hAnsi="Times New Roman;Times;serif"/>
          <w:sz w:val="20"/>
        </w:rPr>
        <w:t>may terminate their relationship with us.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pStyle w:val="TextBody"/>
        <w:bidi w:val="0"/>
        <w:spacing w:lineRule="auto" w:line="285" w:before="0" w:after="240"/>
        <w:ind w:left="1080" w:right="0" w:hanging="0"/>
        <w:jc w:val="left"/>
        <w:rPr/>
      </w:pPr>
      <w:r>
        <w:rPr/>
        <w:t>●</w:t>
      </w:r>
      <w:r>
        <w:rPr>
          <w:rFonts w:ascii="Times New Roman;Times;serif" w:hAnsi="Times New Roman;Times;serif"/>
          <w:sz w:val="20"/>
        </w:rPr>
        <w:t>the development of our approved drugs and drug candidates may be adversely affected if we are unable to appropriately select patients for enrollment in our clinical trials;</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our drug candidates may not receive marketing approval if safe and effective use of a therapeutic drug candidate depends on an in vitro diagnostic; </w:t>
      </w:r>
    </w:p>
    <w:p>
      <w:pPr>
        <w:pStyle w:val="TextBody"/>
        <w:bidi w:val="0"/>
        <w:spacing w:lineRule="auto" w:line="285" w:before="0" w:after="240"/>
        <w:ind w:left="1080" w:right="0" w:hanging="0"/>
        <w:jc w:val="left"/>
        <w:rPr/>
      </w:pPr>
      <w:r>
        <w:rPr/>
        <w:t>●</w:t>
      </w:r>
      <w:r>
        <w:rPr>
          <w:rFonts w:ascii="Times New Roman;Times;serif" w:hAnsi="Times New Roman;Times;serif"/>
          <w:sz w:val="20"/>
        </w:rPr>
        <w:t>regulatory authorities may impose post-marketing requirements regarding the development and commercialization of companion diagnostic tests for our drugs and drug candidates; and</w:t>
      </w:r>
    </w:p>
    <w:p>
      <w:pPr>
        <w:pStyle w:val="TextBody"/>
        <w:bidi w:val="0"/>
        <w:spacing w:lineRule="auto" w:line="285"/>
        <w:ind w:left="1080" w:right="0" w:hanging="0"/>
        <w:jc w:val="left"/>
        <w:rPr/>
      </w:pPr>
      <w:r>
        <w:rPr/>
        <w:t>●</w:t>
      </w:r>
      <w:r>
        <w:rPr>
          <w:rFonts w:ascii="Times New Roman;Times;serif" w:hAnsi="Times New Roman;Times;serif"/>
          <w:sz w:val="20"/>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our business may be materially harmed.</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third-party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Our reliance on single-source third-party suppliers could harm our ability to commercialize our drugs or any drug candidates that may be approved in the future.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w:t>
      </w:r>
      <w:r>
        <w:rPr>
          <w:rFonts w:ascii="Times New Roman;Times;serif" w:hAnsi="Times New Roman;Times;serif"/>
          <w:sz w:val="20"/>
          <w:shd w:fill="FFFFFF" w:val="clear"/>
        </w:rPr>
        <w:t>or a new indication for a drug product</w:t>
      </w:r>
      <w:r>
        <w:rPr>
          <w:rFonts w:ascii="Times New Roman;Times;serif" w:hAnsi="Times New Roman;Times;serif"/>
          <w:sz w:val="20"/>
        </w:rPr>
        <w:t xml:space="preserve"> for which we establish marketing capabilities is delayed or does not occur for any reason, we would have prematurely or unnecessarily incurred these commercialization expenses, which may be costly.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devote the necessary resources and attention to sell and market our drugs effectively. In addition, we may not be successful in entering into arrangements with third parties to sell and market our current and future drugs or may be unable to do so on terms that are favorable to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Drug Development and Regulatory Approval</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sz w:val="20"/>
        </w:rPr>
        <w:t>If we are unable to advance our drug candidates to clinical development, obtain regulatory approval for our drug candidates, including for avapritinib in additional geographies</w:t>
      </w:r>
      <w:r>
        <w:rPr>
          <w:rFonts w:ascii="Times New Roman;Times;serif" w:hAnsi="Times New Roman;Times;serif"/>
          <w:b/>
          <w:sz w:val="20"/>
        </w:rPr>
        <w:t>, a</w:t>
      </w:r>
      <w:r>
        <w:rPr>
          <w:rFonts w:ascii="Times New Roman;Times;serif" w:hAnsi="Times New Roman;Times;serif"/>
          <w:b/>
          <w:i/>
          <w:sz w:val="20"/>
        </w:rPr>
        <w:t xml:space="preserve">s well as for indolent SM in geographies outside the U.S., and for pralsetinib in an additional indication, and ultimately commercialize them, or experience significant delays in doing so, our business will be materially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successful enrollment in, and initiation and completion of, clinical trials, including our ongoing and planned clinical trials for our drugs and drug candidates </w:t>
      </w:r>
      <w:r>
        <w:rPr>
          <w:rFonts w:ascii="Times New Roman;Times;serif" w:hAnsi="Times New Roman;Times;serif"/>
          <w:sz w:val="20"/>
          <w:shd w:fill="FFFFFF" w:val="clear"/>
        </w:rPr>
        <w:t>as monotherapies and in combination with other agents</w:t>
      </w:r>
      <w:r>
        <w:rPr>
          <w:rFonts w:ascii="Times New Roman;Times;serif" w:hAnsi="Times New Roman;Times;serif"/>
          <w:sz w:val="20"/>
        </w:rPr>
        <w:t>;</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initiation and completion of preclinical studies for our other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development of any companion diagnostic tests for use with our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receipt of regulatory approvals from applicable regulatory authorities and transitioning any conditional marketing authorizations to full approvals;</w:t>
      </w:r>
    </w:p>
    <w:p>
      <w:pPr>
        <w:pStyle w:val="TextBody"/>
        <w:bidi w:val="0"/>
        <w:spacing w:lineRule="auto" w:line="285" w:before="0" w:after="240"/>
        <w:ind w:left="1080" w:right="0" w:hanging="0"/>
        <w:jc w:val="left"/>
        <w:rPr/>
      </w:pPr>
      <w:r>
        <w:rPr/>
        <w:t>●</w:t>
      </w:r>
      <w:r>
        <w:rPr>
          <w:rFonts w:ascii="Times New Roman;Times;serif" w:hAnsi="Times New Roman;Times;serif"/>
          <w:sz w:val="20"/>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patent and trade secret protection or regulatory exclusivity for our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commercialization of our approved drugs and drug candidates, if and when approved, whether alone or in collaboration with others;</w:t>
      </w:r>
    </w:p>
    <w:p>
      <w:pPr>
        <w:pStyle w:val="TextBody"/>
        <w:bidi w:val="0"/>
        <w:spacing w:lineRule="auto" w:line="285" w:before="0" w:after="240"/>
        <w:ind w:left="1080" w:right="0" w:hanging="0"/>
        <w:jc w:val="left"/>
        <w:rPr/>
      </w:pPr>
      <w:r>
        <w:rPr/>
        <w:t>●</w:t>
      </w:r>
      <w:r>
        <w:rPr>
          <w:rFonts w:ascii="Times New Roman;Times;serif" w:hAnsi="Times New Roman;Times;serif"/>
          <w:sz w:val="20"/>
        </w:rPr>
        <w:t>acceptance of our approved drugs and drug candidates, if and when approved, by patients, the medical community and third-party payors;</w:t>
      </w:r>
    </w:p>
    <w:p>
      <w:pPr>
        <w:pStyle w:val="TextBody"/>
        <w:bidi w:val="0"/>
        <w:spacing w:lineRule="auto" w:line="285" w:before="0" w:after="240"/>
        <w:ind w:left="1080" w:right="0" w:hanging="0"/>
        <w:jc w:val="left"/>
        <w:rPr/>
      </w:pPr>
      <w:r>
        <w:rPr/>
        <w:t>●</w:t>
      </w:r>
      <w:r>
        <w:rPr>
          <w:rFonts w:ascii="Times New Roman;Times;serif" w:hAnsi="Times New Roman;Times;serif"/>
          <w:sz w:val="20"/>
        </w:rPr>
        <w:t>effectively competing with other therapies;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healthcare coverage and adequate reimbursement;</w:t>
      </w:r>
    </w:p>
    <w:p>
      <w:pPr>
        <w:pStyle w:val="TextBody"/>
        <w:bidi w:val="0"/>
        <w:spacing w:lineRule="auto" w:line="285" w:before="0" w:after="240"/>
        <w:ind w:left="1080" w:right="0" w:hanging="0"/>
        <w:jc w:val="left"/>
        <w:rPr/>
      </w:pPr>
      <w:r>
        <w:rPr/>
        <w:t>●</w:t>
      </w:r>
      <w:r>
        <w:rPr>
          <w:rFonts w:ascii="Times New Roman;Times;serif" w:hAnsi="Times New Roman;Times;serif"/>
          <w:sz w:val="20"/>
        </w:rPr>
        <w:t>enforcing and defending intellectual property rights and claims; and</w:t>
      </w:r>
    </w:p>
    <w:p>
      <w:pPr>
        <w:pStyle w:val="TextBody"/>
        <w:bidi w:val="0"/>
        <w:spacing w:lineRule="auto" w:line="285"/>
        <w:ind w:left="1080" w:right="0" w:hanging="0"/>
        <w:jc w:val="left"/>
        <w:rPr/>
      </w:pPr>
      <w:r>
        <w:rPr/>
        <w:t>●</w:t>
      </w:r>
      <w:r>
        <w:rPr>
          <w:rFonts w:ascii="Times New Roman;Times;serif" w:hAnsi="Times New Roman;Times;serif"/>
          <w:sz w:val="20"/>
        </w:rPr>
        <w:t>maintaining a continued acceptable safety profile of our drugs and drug candidates following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experience delays or difficulties in the enrollment of patients in clinical trials, our receipt of necessary regulatory approvals could be delayed or prevented.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be able to initiate or continue clinical trials for our drug candidates, including avapritinib and pralsetinib for an additional indication,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experienced some delays or disruptions in enrollment in our ongoing clinical trials due to the COVID-19 pandemic, and we anticipate we may experience additional delays or disruptions in the future due to the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Patient enrollment may be affected by other factors including:</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clinical trial;</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an appropriate genomic screening test;</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drug candidate under study;</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 and</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patients.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 </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drug candidates could be delayed in receiving, or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drug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drug candidates may not be sufficient to support the submission of an NDA or other submission or to obtain regulatory approval in the U.S.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or comparable foreign regulatory authorities may find deficiencies with or fail to approve the manufacturing processes or facilities of third-party manufacturers with which we contract for clinical and commercial supplies;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 and</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disruptions impacting the FDA or comparable foreign regulatory authorities due to the COVID-19 pandemic.</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Moreover, during the COVID-19 pandemic,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or clinical trials may show the drug candidates to be less effective than expected (e.g., a clinical trial could fail to meet its primary endpoint(s)) or to have unacceptable side effects or toxicities;</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clinical endpoints that applicable regulatory authorities would consider clinically meaningful;</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receive the necessary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issues, formulation issues, pricing or reimbursement issues or other factors that make a drug candidate uneconomical;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rights of others and their competing products and technologies that may prevent one of our drug candidates from being commercialized.</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or limit their approval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such drug is distributed or administered, conduct additional clinical trials or change the labeling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regulatory investigations and government enforcement actions;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such drug from the marketplace;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our drugs and drug candidates;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seek designation for our discovery platform as a designated platform technology, but we might not receive such designation, and even if we do, such designation may not lead to faster drug development or a faster regulatory review or approval process.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investigational new drug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 be developed or reviewed more quickly or receive FDA approval. Moreover, the FDA may revoke a designation if the FDA determines that a designated platform technology no longer meets the criteria for such designation.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has granted fast track designation to BLU-782 for the treatment of FOP. The FDA has granted breakthrough therapy designation to avapritinib for the treatment of moderate to severe indolent SM. In addition, the FDA previously granted breakthrough designation to our drugs, AYVAKIT and GAVRETO, for the treatment of certain patients with GIST, advanced SM, moderate to severe indolent SM and RET-altered cancers, respectively.</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 Specifically, in June 2023, Roche voluntarily withdrew the indication of GAVRETO for the treatment of adult and pediatric patients 12 years of age and older with advanced or metastatic RET-mutant MTC. The decision to withdraw the indication was made in consultation with the FDA, in accordance with the requirements of the FDA’s Accelerated Approval Program, with the official FDA withdrawal of the indication occurring on July 20, 2023.</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unsuccessful in obtaining or may be unable to maintain the benefits associated with orphan drug designation, including the potential for market exclusivity.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orphan drug designation to avapritinib for the treatment of GIST and the treatment of mastocytosis, to pralsetinib for the treatment of RET-rearranged NSCLC, JAK1/2-positive NSCLC or TRKC-positive NSCLC for the treatment of HCC. In addition, the European Commission, or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Similarly, in the EU, the European Commission grants orphan medicinal product designation after receiving the opinion of the European Medicines Agency’s, or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expand our pipeline of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 medicine capabilities. However, we may not be able to identify any drug candidates for our pipeline through such acquisitions or in-licenses.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intend to develop drug candidates in combination with other therapies, which exposes us to additional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intend to develop, launch and commercialize BLU-945, BLU-525,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Government Legislations and Regulations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in the past and may in the future seek approval of current or future drug candidates, where applicable, under the FDA’s accelerated approval pathway. 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For example, the voluntary withdrawal AcceleRET-MTC, a Phase 3 clinical trial required by the FDA to convert the accelerated approval of GAVRETO for MTC to a full approval, is no longer being pursued due to lack of feasibility.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drug, withdrawal of the drug from the market, “dear doctor” letters or drug recalls;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marketing approvals;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 detention, or refusal to permit the import or export of drugs;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though we may have obtained approvals for certain of our products, such drug or drug candidate may become subject to unfavorable pricing regulations or third-party coverage and reimbursement policies, which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Times;serif" w:hAnsi="Times New Roman;Times;serif"/>
          <w:i/>
          <w:sz w:val="20"/>
        </w:rPr>
        <w:t>Business – Coverage and Reimbursement</w:t>
      </w:r>
      <w:r>
        <w:rPr>
          <w:rFonts w:ascii="Times New Roman;Times;serif" w:hAnsi="Times New Roman;Times;serif"/>
          <w:sz w:val="20"/>
        </w:rPr>
        <w:t>” included in our Annual Report on Form 10-K for the year ended December 31,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legislative reform measures may have a material adverse effect on our business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In August 2022, the Inflation Reduction Act of 2022, or IRA, was signed into law. The IRA includes several provisions that will impact our business to varying degrees, including provisions that reduce the out-of-pocket spending cap for Medicare Part D beneficiaries from $7,050 to $2,000 starting in 2025, thereby effectively eliminating the coverage gap,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 of IRA on our business and the healthcare industry in general is not yet known.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 For example,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The Creating and Restoring Equal Access to Equivalent Samples Act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the Physician Payment Sunshine Act, as amended by the Health Information Technology for Economic and Clinical Health Act of 2009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Times;serif" w:hAnsi="Times New Roman;Times;serif"/>
          <w:i/>
          <w:sz w:val="20"/>
        </w:rPr>
        <w:t>Business – Other Healthcare Laws</w:t>
      </w:r>
      <w:r>
        <w:rPr>
          <w:rFonts w:ascii="Times New Roman;Times;serif" w:hAnsi="Times New Roman;Times;serif"/>
          <w:sz w:val="20"/>
        </w:rPr>
        <w:t>” included in our Annual Report on Form 10-K for the year ended December 31, 2022.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penetrate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our customers’ ability to obtain reimbursement for our drug candidates in foreign markets;</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directly control commercial activities because we are relying on third parties;</w:t>
      </w:r>
    </w:p>
    <w:p>
      <w:pPr>
        <w:pStyle w:val="TextBody"/>
        <w:bidi w:val="0"/>
        <w:spacing w:lineRule="auto" w:line="285" w:before="0" w:after="240"/>
        <w:ind w:left="1080" w:right="0" w:hanging="0"/>
        <w:jc w:val="left"/>
        <w:rPr/>
      </w:pPr>
      <w:r>
        <w:rPr/>
        <w:t>●</w:t>
      </w:r>
      <w:r>
        <w:rPr>
          <w:rFonts w:ascii="Times New Roman;Times;serif" w:hAnsi="Times New Roman;Times;serif"/>
          <w:sz w:val="20"/>
        </w:rPr>
        <w:t>the burden of complying with complex and changing foreign regulatory, tax, accounting and legal requirements, including the European General Data Protection Regulation 2016/679, commonly referred to as GDPR;</w:t>
      </w:r>
    </w:p>
    <w:p>
      <w:pPr>
        <w:pStyle w:val="TextBody"/>
        <w:bidi w:val="0"/>
        <w:spacing w:lineRule="auto" w:line="285" w:before="0" w:after="240"/>
        <w:ind w:left="1080" w:right="0" w:hanging="0"/>
        <w:jc w:val="left"/>
        <w:rPr/>
      </w:pPr>
      <w:r>
        <w:rPr/>
        <w:t>●</w:t>
      </w:r>
      <w:r>
        <w:rPr>
          <w:rFonts w:ascii="Times New Roman;Times;serif" w:hAnsi="Times New Roman;Times;serif"/>
          <w:sz w:val="20"/>
        </w:rPr>
        <w:t>different medical practices and customs in foreign countries affecting acceptance in the marketplace;</w:t>
      </w:r>
    </w:p>
    <w:p>
      <w:pPr>
        <w:pStyle w:val="TextBody"/>
        <w:bidi w:val="0"/>
        <w:spacing w:lineRule="auto" w:line="285" w:before="0" w:after="240"/>
        <w:ind w:left="1080" w:right="0" w:hanging="0"/>
        <w:jc w:val="left"/>
        <w:rPr/>
      </w:pPr>
      <w:r>
        <w:rPr/>
        <w:t>●</w:t>
      </w:r>
      <w:r>
        <w:rPr>
          <w:rFonts w:ascii="Times New Roman;Times;serif" w:hAnsi="Times New Roman;Times;serif"/>
          <w:sz w:val="20"/>
        </w:rPr>
        <w:t>import or export licensing requirements;</w:t>
      </w:r>
    </w:p>
    <w:p>
      <w:pPr>
        <w:pStyle w:val="TextBody"/>
        <w:bidi w:val="0"/>
        <w:spacing w:lineRule="auto" w:line="285" w:before="0" w:after="240"/>
        <w:ind w:left="1080" w:right="0" w:hanging="0"/>
        <w:jc w:val="left"/>
        <w:rPr/>
      </w:pPr>
      <w:r>
        <w:rPr/>
        <w:t>●</w:t>
      </w:r>
      <w:r>
        <w:rPr>
          <w:rFonts w:ascii="Times New Roman;Times;serif" w:hAnsi="Times New Roman;Times;serif"/>
          <w:sz w:val="20"/>
        </w:rPr>
        <w:t>longer accounts receivable collection times;</w:t>
      </w:r>
    </w:p>
    <w:p>
      <w:pPr>
        <w:pStyle w:val="TextBody"/>
        <w:bidi w:val="0"/>
        <w:spacing w:lineRule="auto" w:line="285" w:before="0" w:after="240"/>
        <w:ind w:left="1080" w:right="0" w:hanging="0"/>
        <w:jc w:val="left"/>
        <w:rPr/>
      </w:pPr>
      <w:r>
        <w:rPr/>
        <w:t>●</w:t>
      </w:r>
      <w:r>
        <w:rPr>
          <w:rFonts w:ascii="Times New Roman;Times;serif" w:hAnsi="Times New Roman;Times;serif"/>
          <w:sz w:val="20"/>
        </w:rPr>
        <w:t>longer lead times for shipping;</w:t>
      </w:r>
    </w:p>
    <w:p>
      <w:pPr>
        <w:pStyle w:val="TextBody"/>
        <w:bidi w:val="0"/>
        <w:spacing w:lineRule="auto" w:line="285" w:before="0" w:after="240"/>
        <w:ind w:left="1080" w:right="0" w:hanging="0"/>
        <w:jc w:val="left"/>
        <w:rPr/>
      </w:pPr>
      <w:r>
        <w:rPr/>
        <w:t>●</w:t>
      </w:r>
      <w:r>
        <w:rPr>
          <w:rFonts w:ascii="Times New Roman;Times;serif" w:hAnsi="Times New Roman;Times;serif"/>
          <w:sz w:val="20"/>
        </w:rPr>
        <w:t>language barriers for technical training;</w:t>
      </w:r>
    </w:p>
    <w:p>
      <w:pPr>
        <w:pStyle w:val="TextBody"/>
        <w:bidi w:val="0"/>
        <w:spacing w:lineRule="auto" w:line="285" w:before="0" w:after="240"/>
        <w:ind w:left="1080" w:right="0" w:hanging="0"/>
        <w:jc w:val="left"/>
        <w:rPr/>
      </w:pPr>
      <w:r>
        <w:rPr/>
        <w:t>●</w:t>
      </w:r>
      <w:r>
        <w:rPr>
          <w:rFonts w:ascii="Times New Roman;Times;serif" w:hAnsi="Times New Roman;Times;serif"/>
          <w:sz w:val="20"/>
        </w:rPr>
        <w:t>reduced protection of intellectual property rights in some foreign countries;</w:t>
      </w:r>
    </w:p>
    <w:p>
      <w:pPr>
        <w:pStyle w:val="TextBody"/>
        <w:bidi w:val="0"/>
        <w:spacing w:lineRule="auto" w:line="285" w:before="0" w:after="240"/>
        <w:ind w:left="1080" w:right="0" w:hanging="0"/>
        <w:jc w:val="left"/>
        <w:rPr/>
      </w:pPr>
      <w:r>
        <w:rPr/>
        <w:t>●</w:t>
      </w:r>
      <w:r>
        <w:rPr>
          <w:rFonts w:ascii="Times New Roman;Times;serif" w:hAnsi="Times New Roman;Times;serif"/>
          <w:sz w:val="20"/>
        </w:rPr>
        <w:t>the existence of additional potentially relevant third-party intellectual property rights;</w:t>
      </w:r>
    </w:p>
    <w:p>
      <w:pPr>
        <w:pStyle w:val="TextBody"/>
        <w:bidi w:val="0"/>
        <w:spacing w:lineRule="auto" w:line="285" w:before="0" w:after="240"/>
        <w:ind w:left="1080" w:right="0" w:hanging="0"/>
        <w:jc w:val="left"/>
        <w:rPr/>
      </w:pPr>
      <w:r>
        <w:rPr/>
        <w:t>●</w:t>
      </w:r>
      <w:r>
        <w:rPr>
          <w:rFonts w:ascii="Times New Roman;Times;serif" w:hAnsi="Times New Roman;Times;serif"/>
          <w:sz w:val="20"/>
        </w:rPr>
        <w:t>foreign currency exchange rate fluctuations; and</w:t>
      </w:r>
    </w:p>
    <w:p>
      <w:pPr>
        <w:pStyle w:val="TextBody"/>
        <w:bidi w:val="0"/>
        <w:spacing w:lineRule="auto" w:line="285"/>
        <w:ind w:left="1080" w:right="0" w:hanging="0"/>
        <w:jc w:val="left"/>
        <w:rPr/>
      </w:pPr>
      <w:r>
        <w:rPr/>
        <w:t>●</w:t>
      </w:r>
      <w:r>
        <w:rPr>
          <w:rFonts w:ascii="Times New Roman;Times;serif" w:hAnsi="Times New Roman;Times;serif"/>
          <w:sz w:val="20"/>
        </w:rPr>
        <w:t>the interpretation of contractual provisions governed by foreign laws in the event of a contract dispute.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Foreign sales of our drug candidates could also be adversely affected by the imposition of governmental controls, political and economic instability, trade restrictions and changes in tariffs.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therapies. If reimbursement of our drugs is unavailable or limited in scope or amount, or if pricing is set at unsatisfactory levels, our business could be materially harmed.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precision therapy company in the process of growing our operations. We have incurred significant operating losses since our inception and anticipate that we will incur continued losses for the foreseeable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 and license agreements, future royalty and revenue monetization, and a term loan. Through June 30, 2023, we have received an aggregate of $3.6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Pharma Holding, or Alexion and $150.0 million in gross proceeds from a term loan from Sixth Street Partners. In addition, since January 2020, we also have generated revenue through sales of our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loss was $262.4 million for the six months ended June 30, 2023. Our net losses were $557.5 million and $644.1 million for the years ended December 31, 2022 and 2021, respectively. As of June 30, 2023, we had an accumulated deficit of $2,095.3 million.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substantial revenue depends on a number of factors, including, but not limited to, our ability to:</w:t>
      </w:r>
    </w:p>
    <w:p>
      <w:pPr>
        <w:pStyle w:val="TextBody"/>
        <w:bidi w:val="0"/>
        <w:spacing w:lineRule="auto" w:line="285" w:before="0" w:after="240"/>
        <w:ind w:left="1080" w:right="0" w:hanging="0"/>
        <w:jc w:val="left"/>
        <w:rPr/>
      </w:pPr>
      <w:r>
        <w:rPr/>
        <w:t>●</w:t>
      </w:r>
      <w:r>
        <w:rPr>
          <w:rFonts w:ascii="Times New Roman;Times;serif" w:hAnsi="Times New Roman;Times;serif"/>
          <w:sz w:val="20"/>
        </w:rPr>
        <w:t>initiate and successfully complete clinical trials that meet their clinical endpoints;</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initiate and successfully complete all safety studies required to obtain U.S. and foreign marketing approval for our drug candidates, including for avapritinib </w:t>
      </w:r>
      <w:r>
        <w:rPr>
          <w:rFonts w:ascii="Times New Roman;Times;serif" w:hAnsi="Times New Roman;Times;serif"/>
          <w:sz w:val="20"/>
          <w:shd w:fill="FFFFFF" w:val="clear"/>
        </w:rPr>
        <w:t>in additional geographies, as well as for</w:t>
      </w:r>
      <w:r>
        <w:rPr>
          <w:rFonts w:ascii="Times New Roman;Times;serif" w:hAnsi="Times New Roman;Times;serif"/>
          <w:sz w:val="20"/>
        </w:rPr>
        <w:t xml:space="preserve"> </w:t>
      </w:r>
      <w:r>
        <w:rPr>
          <w:rFonts w:ascii="Times New Roman;Times;serif" w:hAnsi="Times New Roman;Times;serif"/>
          <w:sz w:val="20"/>
          <w:shd w:fill="FFFFFF" w:val="clear"/>
        </w:rPr>
        <w:t xml:space="preserve">indolent SM in geographies outside of the U.S., </w:t>
      </w:r>
      <w:r>
        <w:rPr>
          <w:rFonts w:ascii="Times New Roman;Times;serif" w:hAnsi="Times New Roman;Times;serif"/>
          <w:sz w:val="20"/>
        </w:rPr>
        <w:t>and pralsetinib</w:t>
      </w:r>
      <w:r>
        <w:rPr>
          <w:rFonts w:ascii="Times New Roman;Times;serif" w:hAnsi="Times New Roman;Times;serif"/>
          <w:sz w:val="20"/>
          <w:shd w:fill="FFFFFF" w:val="clear"/>
        </w:rPr>
        <w:t xml:space="preserve"> for an additional indication</w:t>
      </w:r>
      <w:r>
        <w:rPr>
          <w:rFonts w:ascii="Times New Roman;Times;serif" w:hAnsi="Times New Roman;Times;serif"/>
          <w:sz w:val="20"/>
        </w:rPr>
        <w:t xml:space="preserve">; </w:t>
      </w:r>
    </w:p>
    <w:p>
      <w:pPr>
        <w:pStyle w:val="TextBody"/>
        <w:bidi w:val="0"/>
        <w:spacing w:lineRule="auto" w:line="285" w:before="0" w:after="240"/>
        <w:ind w:left="1080" w:right="0" w:hanging="0"/>
        <w:jc w:val="left"/>
        <w:rPr/>
      </w:pPr>
      <w:r>
        <w:rPr/>
        <w:t>●</w:t>
      </w:r>
      <w:r>
        <w:rPr>
          <w:rFonts w:ascii="Times New Roman;Times;serif" w:hAnsi="Times New Roman;Times;serif"/>
          <w:sz w:val="20"/>
        </w:rPr>
        <w:t>continue to maintain and expand commercial manufacturing capabilities or make arrangements with third-party manufacturers to ensure clinical supply and commercial manufacturing;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and, if necessary, expand a sales, marketing and distribution infrastructure to commercialize AYVAKIT/AYVAKYT and any current or future drug candidates for which we obtain marketing approval; </w:t>
      </w:r>
    </w:p>
    <w:p>
      <w:pPr>
        <w:pStyle w:val="TextBody"/>
        <w:bidi w:val="0"/>
        <w:spacing w:lineRule="auto" w:line="285" w:before="0" w:after="240"/>
        <w:ind w:left="1080" w:right="0" w:hanging="0"/>
        <w:jc w:val="left"/>
        <w:rPr/>
      </w:pPr>
      <w:r>
        <w:rPr/>
        <w:t>●</w:t>
      </w:r>
      <w:r>
        <w:rPr>
          <w:rFonts w:ascii="Times New Roman;Times;serif" w:hAnsi="Times New Roman;Times;serif"/>
          <w:sz w:val="20"/>
        </w:rPr>
        <w:t>achieve market acceptance in the medical community and with third-party payors for AYVAKIT/AYVAKYT, GAVRETO and any current or future drug candidates for which we receive marketing approval; and</w:t>
      </w:r>
    </w:p>
    <w:p>
      <w:pPr>
        <w:pStyle w:val="TextBody"/>
        <w:bidi w:val="0"/>
        <w:spacing w:lineRule="auto" w:line="285"/>
        <w:ind w:left="1080" w:right="0" w:hanging="0"/>
        <w:jc w:val="left"/>
        <w:rPr/>
      </w:pPr>
      <w:r>
        <w:rPr/>
        <w:t>●</w:t>
      </w:r>
      <w:r>
        <w:rPr>
          <w:rFonts w:ascii="Times New Roman;Times;serif" w:hAnsi="Times New Roman;Times;serif"/>
          <w:sz w:val="20"/>
        </w:rPr>
        <w:t>compete with companies that may have significantly greater financial resources and expertise in research and development, manufacturing, preclinical testing, conducting clinical trials, obtaining regulatory approvals and marketing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substantial drug revenue, we will not become profitable and may be unable to continue operations without continued funding.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to raise additional funding from time to time. If we are unable to raise capital when needed, we may be forced to delay, reduce or eliminate some of our drug development programs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in additional geographies, as well as for indolent SM in geographies outside of the U.S., and pralsetinib for an additional indication.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future capital requirements will depend on and could increase significantly as a result of many factors, including: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commercialization efforts and market acceptance for AYVAKIT/AYVAKYT or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maintaining, expanding or contracting for sales, marketing and distribution capabilities in connection with commercialization of AYVAKIT/AYVAKYT and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pStyle w:val="TextBody"/>
        <w:bidi w:val="0"/>
        <w:spacing w:lineRule="auto" w:line="285" w:before="0" w:after="240"/>
        <w:ind w:left="1080" w:right="0" w:hanging="0"/>
        <w:jc w:val="left"/>
        <w:rPr/>
      </w:pPr>
      <w:r>
        <w:rPr/>
        <w:t>●</w:t>
      </w:r>
      <w:r>
        <w:rPr>
          <w:rFonts w:ascii="Times New Roman;Times;serif" w:hAnsi="Times New Roman;Times;serif"/>
          <w:sz w:val="20"/>
          <w:shd w:fill="FFFFFF" w:val="clear"/>
        </w:rPr>
        <w:t>the cost of purchasing quantities of agents for use in our clinical trials in connection with our efforts to develop our drugs and drug candidates, including for development as combination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scope, progress, results and costs of drug discovery, preclinical development, laboratory testing and clinical trials for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timing and outcome of regulatory review of marketing applications for our drug candidates, including seeking marketing approval for avapritinib in additional geographies, as well as for indolent SM in geographies outside of the U.S., and pralsetinib for an additional indication;</w:t>
      </w:r>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collaborations with CStone and Zai Lab and our license agreements with Clementia and IDRx, as well as our ability to establish and maintain additional collaborations, partnerships or licenses on favorable terms, if at all;</w:t>
      </w:r>
    </w:p>
    <w:p>
      <w:pPr>
        <w:pStyle w:val="TextBody"/>
        <w:bidi w:val="0"/>
        <w:spacing w:lineRule="auto" w:line="285" w:before="0" w:after="240"/>
        <w:ind w:left="1080" w:right="0" w:hanging="0"/>
        <w:jc w:val="left"/>
        <w:rPr/>
      </w:pPr>
      <w:r>
        <w:rPr/>
        <w:t>●</w:t>
      </w:r>
      <w:r>
        <w:rPr>
          <w:rFonts w:ascii="Times New Roman;Times;serif" w:hAnsi="Times New Roman;Times;serif"/>
          <w:sz w:val="20"/>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pStyle w:val="TextBody"/>
        <w:bidi w:val="0"/>
        <w:spacing w:lineRule="auto" w:line="285" w:before="0" w:after="240"/>
        <w:ind w:left="1080" w:right="0" w:hanging="0"/>
        <w:jc w:val="left"/>
        <w:rPr/>
      </w:pPr>
      <w:r>
        <w:rPr/>
        <w:t>●</w:t>
      </w:r>
      <w:r>
        <w:rPr>
          <w:rFonts w:ascii="Times New Roman;Times;serif" w:hAnsi="Times New Roman;Times;serif"/>
          <w:sz w:val="20"/>
        </w:rPr>
        <w:t>the extent to which we are obligated to reimburse, or entitled to reimbursement of, research and development, clinical or other costs under future collaboration agreements, if any;</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the extent to which we acquire or in-license other approved drugs, drug candidates or technologies and the terms of any such arrangements; </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preparing, filing and prosecuting patent applications, maintaining and enforcing our intellectual property rights and defending intellectual property-related claims; and</w:t>
      </w:r>
    </w:p>
    <w:p>
      <w:pPr>
        <w:pStyle w:val="TextBody"/>
        <w:bidi w:val="0"/>
        <w:spacing w:lineRule="auto" w:line="285"/>
        <w:ind w:left="1080" w:right="0" w:hanging="0"/>
        <w:jc w:val="left"/>
        <w:rPr/>
      </w:pPr>
      <w:r>
        <w:rPr/>
        <w:t>●</w:t>
      </w:r>
      <w:r>
        <w:rPr>
          <w:rFonts w:ascii="Times New Roman;Times;serif" w:hAnsi="Times New Roman;Times;serif"/>
          <w:sz w:val="20"/>
        </w:rPr>
        <w:t>the costs of continuing to expand our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are unable to obtain funding on a timely basis or on attractive terms, we may be required to significantly curtail, delay or discontinue one or more of our research or development programs or the commercialization of any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our approved drugs or be unable to expand our operations or otherwise capitalize on our business opportunities, as desired, which could materially affect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our technologies or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Until such time, if ever, as we can generate substantial drug revenues,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collaborations with CStone and Zai Lab and the license agreements with Clementia and IDRx, </w:t>
      </w:r>
      <w:r>
        <w:rPr>
          <w:rFonts w:ascii="Times New Roman;Times;serif" w:hAnsi="Times New Roman;Times;serif"/>
          <w:sz w:val="20"/>
          <w:shd w:fill="FFFFFF" w:val="clear"/>
        </w:rPr>
        <w:t xml:space="preserve">the Royalty Purchase Agreement with Royalty Pharma, and the Financing Agreement with Sixth Street Partners, which are limited in scope and duration and subject to the achievement of milestones or royalties on sales of licensed products, if any. </w:t>
      </w:r>
      <w:r>
        <w:rPr>
          <w:rFonts w:ascii="Times New Roman;Times;serif" w:hAnsi="Times New Roman;Times;serif"/>
          <w:sz w:val="20"/>
        </w:rPr>
        <w:t xml:space="preserve">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which, we sold our right to receive all of the royalties payable to the Company with respect to net sales by Roche, in all countries besides China, Hong Kong, Macau, Taiwan (collectively, “Greater China”) and the U.S., of GAVRETO under the collaboration agreement, dated July 13, 2020, by and between the Company and Roche, as amended, which we refer to as the Roche pralsetinib collaboration agreement. As consideration for the arrangement, we received $175.0 million upfront in cash and may receive up to $165.0 million in contingent milestone payments. However, in February 2023, Roche provided written notice of its election to terminate the Roche pralsetinib collaboration agreement for convenience. Following the termination of the Roche pralsetinib collaboration agreement, if the specified net sales milestone thresholds under the Royalty Purchase Agreement with Royalty Pharma are not otherwise met, we may no longer be eligible to receive any of the contingent milestone payments under the Royalty Purchase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June 2022, we entered into a Future Revenue Purchase Agreement with Sixth Street Partners, the other purchasers from time to time party thereto, and Sixth Street Partners as representative for the purchasers, pursuant to which, we sold our right to receive future royalty payments at a rate of 9.75% on up to $900 million each year of (i) aggregate worldwide annual net product sales of AYVAKIT/ 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As consideration for the arrangement, we received $250.0 million in cash in July 2022 upon the transactions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level of indebtedness and the terms of the Sixth Street Financing Agreement could adversely affect our operations and limit our ability to plan for or respond to changes in our business. If we are unable to comply with restrictions in the Financing Agreement, the repayment of our existing indebtedness could be accelerated.</w:t>
      </w:r>
      <w:r>
        <w:rPr>
          <w:rFonts w:ascii="Times New Roman;Times;serif" w:hAnsi="Times New Roman;Times;serif"/>
          <w:sz w:val="20"/>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Financing Agreement by and among the Company, the other lenders from time to time party thereto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and Tao Talents, LLC, as the administrative agent for the lenders,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We may also at any time request an incremental term loan in an amount not to exceed $260.0 million on terms to be agreed and subject to the consent of the lenders providing such incremental term loan.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Sixth Street Financing Agreement could restrict our ability to grow our business or enter into transactions that we believe would be beneficial to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shd w:fill="FFFFFF" w:val="clear"/>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entered into collaborations and licenses with CStone, Zai Lab, Proteovant, Clementia and IDRx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Collaborations and licenses with pharmaceutical or biotechnology companies and other third parties often are terminated or allowed to expire by the other party. Any termination or expiration of our collaboration or license agreements with CStone, Zai Lab, Proteovant, Clementia or IDRx, or of any future collaboration or license agreement, could adversely affect us financially or harm our business reputation. For example, in February 2023, Roche provided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written notice of its election to terminate for convenience our collaboration agreement for the development and commercialization of GAVRETO worldwide, excluding the CStone Territory. While we will regain rights to the development and commercialization of GAVRETO following the effective date of such termination, there can be no assurance that we will be able to successfully enter into a new arrangement with a third party to collaborate on the development and commercialization or GAVRETO, or that we will be able to successfully commercialize GAVRETO through our own organization. Further, following the termination of such collaboration agreement, if the specified net sales milestone thresholds under the Royalty Purchase Agreement with Royalty Pharma are not otherwise met, we may no longer be eligible to receive any of the contingent milestone payments under the Royalty Purchase Agreement.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lineRule="auto" w:line="285" w:before="0" w:after="240"/>
        <w:ind w:left="1080" w:right="0" w:hanging="0"/>
        <w:jc w:val="left"/>
        <w:rPr/>
      </w:pPr>
      <w:r>
        <w:rPr/>
        <w:t>●</w:t>
      </w:r>
      <w:r>
        <w:rPr>
          <w:rFonts w:ascii="Times New Roman;Times;serif" w:hAnsi="Times New Roman;Times;serif"/>
          <w:sz w:val="20"/>
        </w:rPr>
        <w:t>have staffing difficulties;</w:t>
      </w:r>
    </w:p>
    <w:p>
      <w:pPr>
        <w:pStyle w:val="TextBody"/>
        <w:bidi w:val="0"/>
        <w:spacing w:lineRule="auto" w:line="285" w:before="0" w:after="240"/>
        <w:ind w:left="1080" w:right="0" w:hanging="0"/>
        <w:jc w:val="left"/>
        <w:rPr/>
      </w:pPr>
      <w:r>
        <w:rPr/>
        <w:t>●</w:t>
      </w:r>
      <w:r>
        <w:rPr>
          <w:rFonts w:ascii="Times New Roman;Times;serif" w:hAnsi="Times New Roman;Times;serif"/>
          <w:sz w:val="20"/>
        </w:rPr>
        <w:t>fail to comply with contractual obligations;</w:t>
      </w:r>
    </w:p>
    <w:p>
      <w:pPr>
        <w:pStyle w:val="TextBody"/>
        <w:bidi w:val="0"/>
        <w:spacing w:lineRule="auto" w:line="285" w:before="0" w:after="240"/>
        <w:ind w:left="1080" w:right="0" w:hanging="0"/>
        <w:jc w:val="left"/>
        <w:rPr/>
      </w:pPr>
      <w:r>
        <w:rPr/>
        <w:t>●</w:t>
      </w:r>
      <w:r>
        <w:rPr>
          <w:rFonts w:ascii="Times New Roman;Times;serif" w:hAnsi="Times New Roman;Times;serif"/>
          <w:sz w:val="20"/>
        </w:rPr>
        <w:t>experience regulatory compliance issues;</w:t>
      </w:r>
    </w:p>
    <w:p>
      <w:pPr>
        <w:pStyle w:val="TextBody"/>
        <w:bidi w:val="0"/>
        <w:spacing w:lineRule="auto" w:line="285" w:before="0" w:after="240"/>
        <w:ind w:left="1080" w:right="0" w:hanging="0"/>
        <w:jc w:val="left"/>
        <w:rPr/>
      </w:pPr>
      <w:r>
        <w:rPr/>
        <w:t>●</w:t>
      </w:r>
      <w:r>
        <w:rPr>
          <w:rFonts w:ascii="Times New Roman;Times;serif" w:hAnsi="Times New Roman;Times;serif"/>
          <w:sz w:val="20"/>
        </w:rPr>
        <w:t>undergo changes in priorities or become financially distressed; or</w:t>
      </w:r>
    </w:p>
    <w:p>
      <w:pPr>
        <w:pStyle w:val="TextBody"/>
        <w:bidi w:val="0"/>
        <w:spacing w:lineRule="auto" w:line="285"/>
        <w:ind w:left="1080" w:right="0" w:hanging="0"/>
        <w:jc w:val="left"/>
        <w:rPr/>
      </w:pPr>
      <w:r>
        <w:rPr/>
        <w:t>●</w:t>
      </w:r>
      <w:r>
        <w:rPr>
          <w:rFonts w:ascii="Times New Roman;Times;serif" w:hAnsi="Times New Roman;Times;serif"/>
          <w:sz w:val="20"/>
        </w:rPr>
        <w:t>form relationships with other entities, some of which may be our competitors.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Since March 2020 when foreign and domestic inspections of facilities were largely placed on hold, the FDA has been working to resume pre-pandemic levels of inspection activities, including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reliance on the third party for regulatory compliance and quality assurance;</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breach of the manufacturing agreement by the third party;</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misappropriation of our proprietary information, including our trade secrets and know-how; and</w:t>
      </w:r>
    </w:p>
    <w:p>
      <w:pPr>
        <w:pStyle w:val="TextBody"/>
        <w:bidi w:val="0"/>
        <w:spacing w:lineRule="auto" w:line="285"/>
        <w:ind w:left="1080" w:right="0" w:hanging="0"/>
        <w:jc w:val="left"/>
        <w:rPr/>
      </w:pPr>
      <w:r>
        <w:rPr/>
        <w:t>●</w:t>
      </w:r>
      <w:r>
        <w:rPr>
          <w:rFonts w:ascii="Times New Roman;Times;serif" w:hAnsi="Times New Roman;Times;serif"/>
          <w:sz w:val="20"/>
        </w:rPr>
        <w:t>the possible termination or nonrenewal of the agreement by the third party at a time that is costly or inconvenient for us.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has been public concern over the availability and accessibility of critical medical products, and the CARES Act enhances FDA’s existing authority with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w:t>
      </w:r>
      <w:r>
        <w:rPr>
          <w:rFonts w:ascii="Times New Roman;Times;serif" w:hAnsi="Times New Roman;Times;serif"/>
          <w:sz w:val="20"/>
          <w:shd w:fill="FFFFFF" w:val="clear"/>
        </w:rPr>
        <w:t>If we experience shortages in the supply of our marketed products, our results could be materially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third parties upon whom we rely for the supply of the API, drug substance and drug product used in avapritinib and pralsetinib are our sole source of supply, and the loss of any of these suppliers could significantly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w:t>
      </w:r>
    </w:p>
    <w:p>
      <w:pPr>
        <w:pStyle w:val="TextBody"/>
        <w:bidi w:val="0"/>
        <w:spacing w:lineRule="auto" w:line="285" w:before="0" w:after="240"/>
        <w:ind w:left="0" w:right="0" w:firstLine="720"/>
        <w:jc w:val="left"/>
        <w:rPr>
          <w:rFonts w:ascii="Times New Roman;Times;serif" w:hAnsi="Times New Roman;Times;serif"/>
          <w:sz w:val="20"/>
        </w:rPr>
      </w:pPr>
      <w:bookmarkStart w:id="1259" w:name="_cp_text_1_156"/>
      <w:bookmarkEnd w:id="1259"/>
      <w:r>
        <w:rPr>
          <w:rFonts w:ascii="Times New Roman;Times;serif" w:hAnsi="Times New Roman;Times;serif"/>
          <w:sz w:val="20"/>
        </w:rPr>
        <w:t xml:space="preserve">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including the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 </w:t>
      </w:r>
    </w:p>
    <w:p>
      <w:pPr>
        <w:pStyle w:val="TextBody"/>
        <w:bidi w:val="0"/>
        <w:spacing w:lineRule="auto" w:line="285" w:before="0" w:after="240"/>
        <w:ind w:left="0" w:right="0" w:hanging="0"/>
        <w:jc w:val="center"/>
        <w:rPr>
          <w:rFonts w:ascii="Times New Roman;Times;serif" w:hAnsi="Times New Roman;Times;serif"/>
          <w:sz w:val="20"/>
        </w:rPr>
      </w:pPr>
      <w:bookmarkStart w:id="1260" w:name="_cp_text_1_157"/>
      <w:bookmarkEnd w:id="1260"/>
      <w:r>
        <w:rPr>
          <w:rFonts w:ascii="Times New Roman;Times;serif" w:hAnsi="Times New Roman;Times;serif"/>
          <w:b/>
          <w:sz w:val="20"/>
        </w:rPr>
        <w:t>Risks Related to Intellectual Property</w:t>
      </w:r>
      <w:r>
        <w:rPr>
          <w:rFonts w:ascii="Times New Roman;Times;serif" w:hAnsi="Times New Roman;Times;serif"/>
          <w:sz w:val="20"/>
          <w:shd w:fill="FFFFFF" w:val="clear"/>
        </w:rPr>
        <w:t xml:space="preserv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100" w:after="10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patents and other intellectual property rights, which could be expensive, time-consuming and unsuccessful.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and other third parties may infringe, misappropriate or otherwise violate our patents and other intellectual property rights. To counter infringement or unauthorized use, including against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litigation could cause us to spend substantial resources and distract our personnel from their normal responsibilities.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lineRule="auto" w:line="285" w:before="16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not able to obtain, or in applicable cases maintain, patent term extension or non-patent exclusivity in the United States under the Hatch-Waxman Act and in foreign countries under similar legislation, thereby potentially extending the marketing exclusivity term of our products or product candidates, our business may be materially harmed. </w:t>
      </w:r>
    </w:p>
    <w:p>
      <w:pPr>
        <w:pStyle w:val="TextBody"/>
        <w:bidi w:val="0"/>
        <w:spacing w:lineRule="auto" w:line="285" w:before="120" w:after="0"/>
        <w:ind w:left="0" w:right="0" w:firstLine="555"/>
        <w:jc w:val="left"/>
        <w:rPr>
          <w:rFonts w:ascii="Times New Roman;Times;serif" w:hAnsi="Times New Roman;Times;serif"/>
          <w:sz w:val="20"/>
        </w:rPr>
      </w:pPr>
      <w:r>
        <w:rPr>
          <w:rFonts w:ascii="Times New Roman;Times;serif" w:hAnsi="Times New Roman;Times;serif"/>
          <w:sz w:val="20"/>
        </w:rPr>
        <w:t xml:space="preserve">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abbreviated new drug application, or ANDA, filed with the FDA to obtain permission to sell a generic version of such product.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pStyle w:val="TextBody"/>
        <w:bidi w:val="0"/>
        <w:spacing w:lineRule="auto" w:line="285" w:before="0" w:after="0"/>
        <w:ind w:left="0" w:right="0" w:firstLine="555"/>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effectively enforce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intellectual property licensed from third parties and termination of any of these licenses could result in the loss of significant rights, which would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the patent law in the U.S. and other jurisdictions could diminish the value of patents in general, thereby impairing our ability to protect our drugs and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our competitors or are in breach of non-competition or non-solicitation agreements with our competitors.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including Employee Matters, Managing Growth and Others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business, results of operations and future growth prospects could be materially and adversely affected by any resurgence of the COVID-19 pandemic.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 the extent there is a resurgence of the COVID-19 pandemic, our business, results of operations and future growth prospects may be impacted. Any impact will depend on a variety of factors and future developments, which are highly uncertain and cannot be predicted with confidence, including the duration, scope and severity of any such resurgence and government actions taken in response. In particular, our clinical and commercial supply chains, personnel, sales and marketing activities and clinical trial operations could be impacted. For example, during the initial COVID-19 pandemic, we experienced certain temporary delays and disruptions, including limited or reduced patient access to trial investigators, hospitals and trial sites, delayed initiation of new clinical trial sites and limited on-site personnel support at various trial sites.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key executives and to attract, retain and motivate qualified personnel.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will need to develop and expand our company, and we may encounter difficulties in managing this development and expansion, which could disrupt our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July 15, 2023, we had 660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Unfavorable global economic or political conditions could adversely affect our business,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Related sanctions, export controls or other actions that may be initiated by nations including the U.S., the EU or Russia (e.g., potential cyberattacks, disruption of energy flows) could adversely affect our business, our supply chain, CROs, CMOs, clinical trial sites, collaborative partners,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Political development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Geopolitical risks associated with the Russian invasion of Ukraine could have an adverse impact on our business, financial condition and results of operations, including our clinical trials.</w:t>
      </w:r>
    </w:p>
    <w:p>
      <w:pPr>
        <w:pStyle w:val="TextBody"/>
        <w:bidi w:val="0"/>
        <w:spacing w:lineRule="auto" w:line="285"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24, 2022, Russian forces invaded Ukraine, which has resulted in conflict and disruption in the region. In response to this action taken by Russia, the U.S. and other countries immediately imposed various economic sanctions against Russia. In the event Russia’s invasion continues or geographically expands, additional governmental sanctions may be enacted. The uncertain nature of this evolving situation, including the potential effects of sanctions limitations,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retaliatory cyber-attacks on the world economy and markets, have also contributed to increased market volatility and uncertainty, which could have an adverse impact on macroeconomic factors that affect our business and operations.</w:t>
      </w:r>
    </w:p>
    <w:p>
      <w:pPr>
        <w:pStyle w:val="TextBody"/>
        <w:bidi w:val="0"/>
        <w:spacing w:lineRule="auto" w:line="285"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Additionally, the ongoing conflict in Ukraine may disrupt the ability of our commercial research organizations, or CROs, to conduct clinical trials at certain sites in Ukraine. Moreover, enrollment and retention of clinical trial participants may be adversely affected. The overall impact of this conflict on our ability to conduct clinical trials at certain sites in future periods is hard to predict. However, interruptions of our clinical trials could significantly delay our clinical development plans and potential authorization or approval of our product candidates, which could increase our costs and impact our timelines for commercializing certain of our product candidates. </w:t>
      </w:r>
    </w:p>
    <w:p>
      <w:pPr>
        <w:pStyle w:val="TextBody"/>
        <w:bidi w:val="0"/>
        <w:spacing w:lineRule="auto" w:line="285"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Rising inflation rates could negatively impact our revenues and profitability if increases in the prices of our products or a decrease in</w:t>
      </w:r>
      <w:r>
        <w:rPr>
          <w:rFonts w:ascii="Times New Roman;Times;serif" w:hAnsi="Times New Roman;Times;serif"/>
          <w:sz w:val="20"/>
        </w:rPr>
        <w:t xml:space="preserve"> </w:t>
      </w:r>
      <w:r>
        <w:rPr>
          <w:rFonts w:ascii="Times New Roman;Times;serif" w:hAnsi="Times New Roman;Times;serif"/>
          <w:b/>
          <w:i/>
          <w:sz w:val="20"/>
        </w:rPr>
        <w:t>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currency exchange rates fluctuations could have an adverse impact on our operating results.</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From time to time, we contract with vendors that are located in Asia and Europe, which are denominated in foreign currencies. </w:t>
      </w:r>
      <w:r>
        <w:rPr>
          <w:rFonts w:ascii="Times New Roman;Times;serif" w:hAnsi="Times New Roman;Times;serif"/>
          <w:sz w:val="20"/>
        </w:rPr>
        <w:t>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Similarly, the increasing use of artificial intelligence, or AI, and machine learning technology in the biopharmaceutical industry presents new risks and challenges. The use of AI based software may lead to the inadvertent release of confidential or proprietary information, which may adversely impact our ability to realize the benefit of our intellectual property or cause us to incur liabilities.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obtained to our data or our information technology systems, we may incur significant legal and financial exposure and liabilities.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European Economic Area, or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 data, including, for example, expanded disclosures about how personal information is to be used, ensuring we have a valid legal basis to process personal data, maintaining records of our processing activities and to document data protection impact assessments where there is high risk processing, limitations on retention of information, mandatory data breach notification requirements, ensuring appropriate technical and organizational measures to be put in place to safeguard personal data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In this document, “GDPR” refers to both the EU and the UK GDPR, unless specified otherwise.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EEA.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 In addition, the UK has announced plans to reform the country’s data protection legal framework in its Data Reform Bill, but these plans have been put on hold.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European data protection laws also regulates the transfer of personal data from the EEA and Switzerland to third countries that are not considered to provide adequate protections are provided for personal data. With regard to transfers of personal data from the EEA, transfers to third countries that have not been approved as “adequate” are prohibited unless an appropriate safeguard specified by the GDPR is implemented, such as the Standard Contractual Clauses, or SCCs, approved by the European Commission, or EC, or binding corporate rules, or a derogation applies. In the past, companies in the U.S. were able to rely upon the Privacy Shield framework to legitimize data transfers from the EEA to the U.S. In July 2020, the Court of Justice of the European Union, or CJEU, in Case C-311/18 (Data Protection Commissioner v Facebook Ireland and Maximillian Schrems, or Schrems II) invalidated the EU-U.S. Privacy Shield on the grounds that the Privacy Shield failed to offer adequate protections to EU personal data transferred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U.S. The CJEU, in the same decision, deemed that the Standard Contractual Clauses, or SCCs, published by the EC are valid. However, the CJEU ruled that transfers made pursuant to the SCCs need to be assessed on a case-by-case basis to ensure the law in the recipient country provides “essentially equivalent” protections to safeguard the transferred personal data as the EEA, and required businesses to adopt supplementary measures if such standard is not met.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4, 2021, the European Commission issued new SCCs that account for the CJEU’s decision and other developments, which need to be put in place for new contracts involving the transfer of personal data from the EEA to a third country since September 27, 2021, and incorporated into existing contracts since December 27, 2022. The New SCCs do not apply to the UK, but the UK Information Commissioner’s Office has published its own transfer mechanism, the International Data Transfer Agreement, or UK IDTA, which entered into force on 21 March 2022, and enables data transfers originating from the UK. It requires a similar assessment of the data protection provided in the importer’s country. The UK IDTA needs to be concluded in new contracts involving the transfer of personal data from the UK as of 22 September 2022. Organizations have until 21 March 2024 to update existing agreements. On July 10, 2023, the EU adopted an adequacy decision for a new “Data Privacy Framework,” which replaces the invalidated Privacy Shield, for personal data transferred from the EU to the U.S. On July 17, 2023 the U.S. Department of Commerce released registration means and requirements for U.S. companies to register. The Framework provides additional certification mechanisms to provide for UK and Swiss data transfers. We will be required to implement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the UK is regarded as a third country under the EU’s GDPR, the EC has issued a decision recognizing the UK as providing adequate protection under the EU GDPR and, therefore, transfers of personal data originating in the EEA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 Complying with this guidance as it exists today and evolves will be expensive and time consuming and may ultimately prevent us from transferring personal data outside the EEA, which would cause significant business disruption for ourselves and our customers and potentially require the changes in the way our products are configured, hosted and supported.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are subject to Swiss data protection laws, including the Federal Act on Data Protection, or FADP. While the FADP provides broad protections to personal data, on September 25, 2020, the Swiss federal Parliament enacted a revised version of the FADP, which is anticipated to become effective in September 2023. The new version of the FADP aligns Swiss data protection law with the GDPR.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The Draft Regulation is still the subject of negotiations between the Council of the European Union and the European Parliament. It is unclear when the Draft Regulation will enter into force.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limitations. Non-compliance could result in proceedings, fines or penalties against us by governmental entities, customers, data subjects, consumer associations or others.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European data protection requirements,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a new California ballot initiative, the California Privacy Rights Act (CPRA) was passed in November 2020 and became effective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Also, on March 2, 2021, Virginia enacted the Consumer Data Protection Act, or CDPA. The CDPA became effective on January 1, 2023. The CDPA regulates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CDPA regulates impact how controllers collect and process personal sensitive data, conduct data protection assessments, transfer personal data to affiliates, and respond to consumer rights requests. In addition, on July 8, 2021, Colorado’s governor signed the Colorado Privacy Act, or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on March 24, 2022, Utah’s governor signed the Utah Consumer Privacy Act, or UCPA, into law. The UCPA will take effect on December 31, 2023. Also, in 2022, Connecticut Governor Lamont signed the Connecticut Data Privacy Act, or CTDPA, into laws. The UCPA and CTDPA draw heavily upon their predecessors in Virginia and Colorado. With Oregon’s governor signing of the Oregon Consumer Privacy Act on July 18, 2023, there are eleven states with signed comprehensive privacy laws that are either effective or will be effective in the next three years. Furthermore, on April 27, 2023 Washington state signed the My Health My Data Act (MHMDA) a consumer health privacy law aimed at expanding protections to health data historically not covered by existing laws. The MHMDA requires sweeping changes to how impacted organizations obtain consent and authorization to collect and share consumer health information.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increasing number and complexity of regional, country and U.S. state data protection laws, and other changes in laws or regulations across the globe, especially those associated with the enhanced protection of certain types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principal investigators, CROs and consultants may engage in misconduct or other improper activities, including non-compliance with regulatory standards and requirements and insider trading.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be subject to adverse legislative or regulatory tax changes that could negatively impact our financial condition.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As of June 30, 2023, the U.S.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Congress has not passed legislation that would defer the amortization requirement to future periods and as such the inability to deduct research and development expenditures in their entirety in 2022 and 2023 will have a material impact on the carryover of taxable losses used to offset future taxable income, and in turn will impact our cash flows in future years. </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may in the future be volatile and fluctuate substantially.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July 28, 2023. As a result of this volatility, our stockholders could incur substantial losses.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our drugs and drug candidates, if approved;</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drugs or technologies;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our drug candidates or those of our competitors;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drug candidates or clinical development programs;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drug candidates or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epidemic or pandemic disease outbreaks, including the COVID-19 pandemic, trade wars, political unrest or other similar events;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Future sales or issuances of common stock or other equity related securities may also adversely affect the market price of our common stock. In February 2022, we entered into a new sales agreement with Cowen and Company,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LLC through which we may, from time to time, issue and sell shares of our common stock having an aggregate offering price of up to $300.0 million, subject to the terms and conditions of the sales agreement. We did not sell any shares of common stock under this sales agreement as of June 30, 2023. If we seek authorization to sell shares of common stock under the new sales agreement, enter into new “at the market” stock offering programs, or conduct a public offering or private offering through other means, it could lead to additional dilution for our stockholders and may impact our stock price adversely.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2022, we commenced a new at-the-market, or ATM, program to raise capital. Under our ATM program, we have entered into a sales agreement to sell common shares, up to a maximum aggregate market value of $300.0 million, through one or more at-the-market offerings. Given 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equity research analysts publish negative evaluations of or downgrade our common stock, the price of our common stock could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principal stockholders and their affiliates maintain the ability to exercise significant influence over our company and all matters submitted to stockholders for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of us;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acquiror from making a tender offer or otherwise attempting to obtain control of us.</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bylaws contain exclusive forum provisions, which may limit a stockholder’s ability to bring a claim in a judicial forum it finds favorable and may discourage lawsuits with respect to such claims.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Our amended and restated bylaws,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federal district courts of the United States will be the exclusive forum for resolving any complaint asserting a cause of action arising under the Securities Act, which we refer to as the federal forum provision. We have chosen the federal district courts of the United States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addition, our bylaws provide that any person or entity purchasing or otherwise acquiring any interest in shares of our common stock is deemed to have notice of and consented to the Delaware forum provision and the federal forum provision.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our common stock, including by us or our directors and executive officers or shares issued upon the exercise of currently outstanding options, could cause our stock price to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and our management is required to devote substantial time to new compliance initiatives and corporate governance practices.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in the foreseeable future, capital appreciation, if any, will be the sole source of gain for our stockholders.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Repurchases of our capital stock may be subject to additional tax.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Congress recently enacted a new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ability to utilize our net operating loss carryforwards and certain other tax attributes may be limited.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$648.1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With respect to the net operating losses and research and development tax credit carryforwards acquired from the acquisition of Lengo Therapeutics, Inc. (Lengo), the Company has completed a study to assess whether an ownership change under Section 382 of the Code has occurred, or whether there have been multiple ownership changes since Lengo’s formation. Based on the study all the net operating losses and research and development credits acquired will be available for utilization within their applicable carryforward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ownership change. The previous Section 382 model, through December 31, 2021, was updated for reported transactions among the Company’s 5% owners. The analysis concluded that there was no additional Company equity activity through December 31, 2022 that would rise to the level of a &gt;50% ownership change.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part of this update, the Company also analyzed the shifts in the stock ownership of Lengo, which was acquired by the Company on December 29, 2021, for purposes of determining (1) whether and when Lengo experienced an “ownership change,” as defined in Section 382(g)(1) of the Code, during the period beginning March 6, 2019, the date of the first reported issuance of Lengo stock, and ending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the Company’s acquisition of Lengo. An analysis of Lengo was not required as it was merged into the Company effective June 24, 2022.</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261" w:name="Item5OtherInformation_346096"/>
      <w:bookmarkStart w:id="1262" w:name="_b6dad3f0_9e1f_46a3_b849_c954d62deb3f"/>
      <w:bookmarkEnd w:id="1261"/>
      <w:bookmarkEnd w:id="1262"/>
      <w:r>
        <w:rPr>
          <w:rFonts w:ascii="Times New Roman;Times;serif" w:hAnsi="Times New Roman;Times;serif"/>
          <w:b/>
          <w:sz w:val="20"/>
        </w:rPr>
        <w:t>Item 5. Other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2023, the following 10b5-1 plans were adopted: </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04"/>
        <w:gridCol w:w="871"/>
        <w:gridCol w:w="2761"/>
        <w:gridCol w:w="2103"/>
        <w:gridCol w:w="1531"/>
        <w:gridCol w:w="1335"/>
      </w:tblGrid>
      <w:tr>
        <w:trPr/>
        <w:tc>
          <w:tcPr>
            <w:tcW w:w="1604"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c>
          <w:tcPr>
            <w:tcW w:w="2761" w:type="dxa"/>
            <w:tcBorders/>
            <w:vAlign w:val="center"/>
          </w:tcPr>
          <w:p>
            <w:pPr>
              <w:pStyle w:val="TableContents"/>
              <w:bidi w:val="0"/>
              <w:spacing w:lineRule="auto" w:line="285" w:before="0" w:after="0"/>
              <w:ind w:left="0" w:right="0" w:hanging="0"/>
              <w:jc w:val="left"/>
              <w:rPr/>
            </w:pPr>
            <w:r>
              <w:rPr/>
              <w:t>​</w:t>
            </w:r>
          </w:p>
        </w:tc>
        <w:tc>
          <w:tcPr>
            <w:tcW w:w="2103" w:type="dxa"/>
            <w:tcBorders/>
            <w:vAlign w:val="center"/>
          </w:tcPr>
          <w:p>
            <w:pPr>
              <w:pStyle w:val="TableContents"/>
              <w:bidi w:val="0"/>
              <w:spacing w:lineRule="auto" w:line="285" w:before="0" w:after="0"/>
              <w:ind w:left="0" w:right="0" w:hanging="0"/>
              <w:jc w:val="left"/>
              <w:rPr/>
            </w:pPr>
            <w:r>
              <w:rPr/>
              <w:t>​</w:t>
            </w:r>
          </w:p>
        </w:tc>
        <w:tc>
          <w:tcPr>
            <w:tcW w:w="1531" w:type="dxa"/>
            <w:tcBorders/>
            <w:vAlign w:val="center"/>
          </w:tcPr>
          <w:p>
            <w:pPr>
              <w:pStyle w:val="TableContents"/>
              <w:bidi w:val="0"/>
              <w:spacing w:lineRule="auto" w:line="285" w:before="0" w:after="0"/>
              <w:ind w:left="0" w:right="0" w:hanging="0"/>
              <w:jc w:val="left"/>
              <w:rPr/>
            </w:pPr>
            <w:r>
              <w:rPr/>
              <w:t>​</w:t>
            </w:r>
          </w:p>
        </w:tc>
        <w:tc>
          <w:tcPr>
            <w:tcW w:w="1335" w:type="dxa"/>
            <w:tcBorders/>
            <w:vAlign w:val="center"/>
          </w:tcPr>
          <w:p>
            <w:pPr>
              <w:pStyle w:val="TableContents"/>
              <w:bidi w:val="0"/>
              <w:spacing w:lineRule="auto" w:line="285" w:before="0" w:after="0"/>
              <w:ind w:left="0" w:right="0" w:hanging="0"/>
              <w:jc w:val="left"/>
              <w:rPr/>
            </w:pPr>
            <w:r>
              <w:rPr/>
              <w:t>​</w:t>
            </w:r>
          </w:p>
        </w:tc>
      </w:tr>
      <w:tr>
        <w:trPr/>
        <w:tc>
          <w:tcPr>
            <w:tcW w:w="1604"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18"/>
              </w:rPr>
            </w:pPr>
            <w:r>
              <w:rPr>
                <w:rFonts w:ascii="Times New Roman;Times;serif" w:hAnsi="Times New Roman;Times;serif"/>
                <w:b/>
                <w:sz w:val="18"/>
              </w:rPr>
              <w:t>Name and Title</w:t>
            </w:r>
          </w:p>
        </w:tc>
        <w:tc>
          <w:tcPr>
            <w:tcW w:w="87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18"/>
              </w:rPr>
            </w:pPr>
            <w:r>
              <w:rPr>
                <w:rFonts w:ascii="Times New Roman;Times;serif" w:hAnsi="Times New Roman;Times;serif"/>
                <w:b/>
                <w:sz w:val="18"/>
              </w:rPr>
              <w:t>Action Taken</w:t>
            </w:r>
          </w:p>
        </w:tc>
        <w:tc>
          <w:tcPr>
            <w:tcW w:w="276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18"/>
              </w:rPr>
            </w:pPr>
            <w:r>
              <w:rPr>
                <w:rFonts w:ascii="Times New Roman;Times;serif" w:hAnsi="Times New Roman;Times;serif"/>
                <w:b/>
                <w:sz w:val="18"/>
              </w:rPr>
              <w:t>Type of Trading Arrangement</w:t>
            </w:r>
          </w:p>
        </w:tc>
        <w:tc>
          <w:tcPr>
            <w:tcW w:w="2103"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18"/>
              </w:rPr>
            </w:pPr>
            <w:r>
              <w:rPr>
                <w:rFonts w:ascii="Times New Roman;Times;serif" w:hAnsi="Times New Roman;Times;serif"/>
                <w:b/>
                <w:sz w:val="18"/>
              </w:rPr>
              <w:t>Nature of Trading Arrangement</w:t>
            </w:r>
          </w:p>
        </w:tc>
        <w:tc>
          <w:tcPr>
            <w:tcW w:w="153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18"/>
              </w:rPr>
            </w:pPr>
            <w:r>
              <w:rPr>
                <w:rFonts w:ascii="Times New Roman;Times;serif" w:hAnsi="Times New Roman;Times;serif"/>
                <w:b/>
                <w:sz w:val="18"/>
              </w:rPr>
              <w:t>Duration of Trading Arrangement</w:t>
            </w:r>
          </w:p>
        </w:tc>
        <w:tc>
          <w:tcPr>
            <w:tcW w:w="133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18"/>
              </w:rPr>
            </w:pPr>
            <w:r>
              <w:rPr>
                <w:rFonts w:ascii="Times New Roman;Times;serif" w:hAnsi="Times New Roman;Times;serif"/>
                <w:b/>
                <w:sz w:val="18"/>
              </w:rPr>
              <w:t>Aggregate Number of Securities</w:t>
            </w:r>
          </w:p>
        </w:tc>
      </w:tr>
      <w:tr>
        <w:trPr/>
        <w:tc>
          <w:tcPr>
            <w:tcW w:w="16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18"/>
              </w:rPr>
              <w:t>Jefferey W. Albers</w:t>
            </w:r>
            <w:r>
              <w:rPr>
                <w:rFonts w:ascii="Times New Roman;Times;serif" w:hAnsi="Times New Roman;Times;serif"/>
                <w:sz w:val="20"/>
              </w:rPr>
              <w:t xml:space="preserve"> </w:t>
            </w:r>
          </w:p>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18"/>
              </w:rPr>
              <w:t>(</w:t>
            </w:r>
            <w:r>
              <w:rPr>
                <w:rFonts w:ascii="Times New Roman;Times;serif" w:hAnsi="Times New Roman;Times;serif"/>
                <w:i/>
                <w:sz w:val="18"/>
              </w:rPr>
              <w:t>Chairman of the Board of Directors</w:t>
            </w:r>
            <w:r>
              <w:rPr>
                <w:rFonts w:ascii="Times New Roman;Times;serif" w:hAnsi="Times New Roman;Times;serif"/>
                <w:sz w:val="18"/>
              </w:rPr>
              <w:t>)</w:t>
            </w:r>
          </w:p>
        </w:tc>
        <w:tc>
          <w:tcPr>
            <w:tcW w:w="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Adoption</w:t>
            </w:r>
          </w:p>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18"/>
              </w:rPr>
              <w:t>(</w:t>
            </w:r>
            <w:r>
              <w:rPr>
                <w:rFonts w:ascii="Times New Roman;Times;serif" w:hAnsi="Times New Roman;Times;serif"/>
                <w:i/>
                <w:sz w:val="18"/>
              </w:rPr>
              <w:t>5/26/23</w:t>
            </w:r>
            <w:r>
              <w:rPr>
                <w:rFonts w:ascii="Times New Roman;Times;serif" w:hAnsi="Times New Roman;Times;serif"/>
                <w:sz w:val="18"/>
              </w:rPr>
              <w:t>)</w:t>
            </w:r>
          </w:p>
        </w:tc>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Trading plan intended to satisfy the affirmative defense conditions of Securities Exchange Act Rule 10b5-1(c)</w:t>
            </w:r>
          </w:p>
        </w:tc>
        <w:tc>
          <w:tcPr>
            <w:tcW w:w="21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Sale of the Company’s common stock pursuant to the terms of the plan</w:t>
            </w:r>
          </w:p>
        </w:tc>
        <w:tc>
          <w:tcPr>
            <w:tcW w:w="15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5/26/23 – 5/31/24</w:t>
            </w:r>
          </w:p>
        </w:tc>
        <w:tc>
          <w:tcPr>
            <w:tcW w:w="133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135,073 </w:t>
            </w:r>
          </w:p>
          <w:p>
            <w:pPr>
              <w:pStyle w:val="TableContents"/>
              <w:bidi w:val="0"/>
              <w:spacing w:lineRule="auto" w:line="285" w:before="0" w:after="0"/>
              <w:ind w:left="0" w:right="0" w:hanging="0"/>
              <w:jc w:val="center"/>
              <w:rPr/>
            </w:pPr>
            <w:r>
              <w:rPr/>
              <w:t>​</w:t>
            </w:r>
          </w:p>
        </w:tc>
      </w:tr>
      <w:tr>
        <w:trPr/>
        <w:tc>
          <w:tcPr>
            <w:tcW w:w="16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18"/>
              </w:rPr>
              <w:t>Christopher Murray</w:t>
            </w:r>
            <w:r>
              <w:rPr>
                <w:rFonts w:ascii="Times New Roman;Times;serif" w:hAnsi="Times New Roman;Times;serif"/>
                <w:sz w:val="20"/>
              </w:rPr>
              <w:t xml:space="preserve"> </w:t>
            </w:r>
          </w:p>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18"/>
              </w:rPr>
              <w:t>(</w:t>
            </w:r>
            <w:r>
              <w:rPr>
                <w:rFonts w:ascii="Times New Roman;Times;serif" w:hAnsi="Times New Roman;Times;serif"/>
                <w:i/>
                <w:sz w:val="18"/>
              </w:rPr>
              <w:t>Chief Technical Operations and Quality Officer</w:t>
            </w:r>
            <w:r>
              <w:rPr>
                <w:rFonts w:ascii="Times New Roman;Times;serif" w:hAnsi="Times New Roman;Times;serif"/>
                <w:sz w:val="18"/>
              </w:rPr>
              <w:t>)</w:t>
            </w:r>
          </w:p>
        </w:tc>
        <w:tc>
          <w:tcPr>
            <w:tcW w:w="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18"/>
              </w:rPr>
              <w:t>Adoption</w:t>
            </w:r>
            <w:r>
              <w:rPr>
                <w:rFonts w:ascii="Times New Roman;Times;serif" w:hAnsi="Times New Roman;Times;serif"/>
                <w:sz w:val="20"/>
              </w:rPr>
              <w:t xml:space="preserve"> </w:t>
            </w:r>
          </w:p>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18"/>
              </w:rPr>
              <w:t>(</w:t>
            </w:r>
            <w:r>
              <w:rPr>
                <w:rFonts w:ascii="Times New Roman;Times;serif" w:hAnsi="Times New Roman;Times;serif"/>
                <w:i/>
                <w:sz w:val="18"/>
              </w:rPr>
              <w:t>6/5/23</w:t>
            </w:r>
            <w:r>
              <w:rPr>
                <w:rFonts w:ascii="Times New Roman;Times;serif" w:hAnsi="Times New Roman;Times;serif"/>
                <w:sz w:val="18"/>
              </w:rPr>
              <w:t>)</w:t>
            </w:r>
          </w:p>
        </w:tc>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Trading plan intended to satisfy the affirmative defense conditions of Securities Exchange Act Rule 10b5-1(c)</w:t>
            </w:r>
          </w:p>
        </w:tc>
        <w:tc>
          <w:tcPr>
            <w:tcW w:w="21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Sale of the Company’s common stock pursuant to the terms of the plan</w:t>
            </w:r>
          </w:p>
        </w:tc>
        <w:tc>
          <w:tcPr>
            <w:tcW w:w="15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6/5/23 – 6/5/24</w:t>
            </w:r>
          </w:p>
        </w:tc>
        <w:tc>
          <w:tcPr>
            <w:tcW w:w="133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18"/>
              </w:rPr>
            </w:pPr>
            <w:r>
              <w:rPr>
                <w:rFonts w:ascii="Times New Roman;Times;serif" w:hAnsi="Times New Roman;Times;serif"/>
                <w:sz w:val="18"/>
              </w:rPr>
              <w:t>11,821 </w:t>
            </w:r>
          </w:p>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263" w:name="Item6Exhibits_734890"/>
      <w:bookmarkStart w:id="1264" w:name="_0716a8df_329c_4c65_8847_ba0de6cbe4b9"/>
      <w:bookmarkEnd w:id="1263"/>
      <w:bookmarkEnd w:id="1264"/>
      <w:r>
        <w:rPr>
          <w:rFonts w:ascii="Times New Roman;Times;serif" w:hAnsi="Times New Roman;Times;serif"/>
          <w:b/>
          <w:sz w:val="20"/>
        </w:rPr>
        <w:t>Item 6. Exhibits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92"/>
        <w:gridCol w:w="326"/>
        <w:gridCol w:w="8987"/>
      </w:tblGrid>
      <w:tr>
        <w:trPr/>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566420" cy="29210"/>
                      <wp:effectExtent l="0" t="0" r="0" b="0"/>
                      <wp:wrapNone/>
                      <wp:docPr id="720" name="Frame720"/>
                      <a:graphic xmlns:a="http://schemas.openxmlformats.org/drawingml/2006/main">
                        <a:graphicData uri="http://schemas.microsoft.com/office/word/2010/wordprocessingShape">
                          <wps:wsp>
                            <wps:cNvSpPr txBox="1"/>
                            <wps:spPr>
                              <a:xfrm>
                                <a:off x="0" y="0"/>
                                <a:ext cx="5664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7010" cy="29210"/>
                      <wp:effectExtent l="0" t="0" r="0" b="0"/>
                      <wp:wrapNone/>
                      <wp:docPr id="721" name="Frame721"/>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5706745" cy="29210"/>
                      <wp:effectExtent l="0" t="0" r="0" b="0"/>
                      <wp:wrapNone/>
                      <wp:docPr id="722" name="Frame722"/>
                      <a:graphic xmlns:a="http://schemas.openxmlformats.org/drawingml/2006/main">
                        <a:graphicData uri="http://schemas.microsoft.com/office/word/2010/wordprocessingShape">
                          <wps:wsp>
                            <wps:cNvSpPr txBox="1"/>
                            <wps:spPr>
                              <a:xfrm>
                                <a:off x="0" y="0"/>
                                <a:ext cx="57067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92" w:type="dxa"/>
            <w:tcBorders>
              <w:bottom w:val="single" w:sz="2" w:space="0" w:color="000000"/>
            </w:tcBorders>
            <w:tcMar>
              <w:bottom w:w="28" w:type="dxa"/>
            </w:tcMar>
            <w:vAlign w:val="center"/>
          </w:tcPr>
          <w:p>
            <w:pPr>
              <w:pStyle w:val="TableContents"/>
              <w:pBdr/>
              <w:bidi w:val="0"/>
              <w:spacing w:lineRule="auto" w:line="304" w:before="0" w:after="0"/>
              <w:ind w:left="0" w:right="0" w:hanging="144"/>
              <w:jc w:val="center"/>
              <w:rPr>
                <w:rFonts w:ascii="Times New Roman;Times;serif" w:hAnsi="Times New Roman;Times;serif"/>
                <w:b/>
                <w:sz w:val="20"/>
              </w:rPr>
            </w:pPr>
            <w:r>
              <w:rPr>
                <w:rFonts w:ascii="Times New Roman;Times;serif" w:hAnsi="Times New Roman;Times;serif"/>
                <w:b/>
                <w:sz w:val="20"/>
              </w:rPr>
              <w:t>Exhibit</w:t>
            </w:r>
          </w:p>
          <w:p>
            <w:pPr>
              <w:pStyle w:val="TableContents"/>
              <w:pBdr/>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8987" w:type="dxa"/>
            <w:tcBorders>
              <w:bottom w:val="single" w:sz="2" w:space="0" w:color="000000"/>
            </w:tcBorders>
            <w:tcMar>
              <w:bottom w:w="28" w:type="dxa"/>
            </w:tcMar>
            <w:vAlign w:val="center"/>
          </w:tcPr>
          <w:p>
            <w:pPr>
              <w:pStyle w:val="TableContents"/>
              <w:bidi w:val="0"/>
              <w:spacing w:lineRule="auto" w:line="304" w:before="0" w:after="120"/>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892"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lineRule="auto" w:line="285" w:before="0" w:after="0"/>
              <w:ind w:left="0" w:right="0" w:hanging="0"/>
              <w:jc w:val="left"/>
              <w:rPr/>
            </w:pPr>
            <w:r>
              <w:rPr/>
              <w:t>​</w:t>
            </w:r>
          </w:p>
        </w:tc>
        <w:tc>
          <w:tcPr>
            <w:tcW w:w="8987" w:type="dxa"/>
            <w:tcBorders/>
            <w:vAlign w:val="center"/>
          </w:tcPr>
          <w:p>
            <w:pPr>
              <w:pStyle w:val="TableContents"/>
              <w:bidi w:val="0"/>
              <w:spacing w:lineRule="auto" w:line="285" w:before="0" w:after="100"/>
              <w:ind w:left="0" w:right="0" w:hanging="0"/>
              <w:jc w:val="left"/>
              <w:rPr/>
            </w:pPr>
            <w:hyperlink w:anchor="bpmc-20230630xex10d1.htm">
              <w:r>
                <w:rPr>
                  <w:rStyle w:val="InternetLink"/>
                  <w:rFonts w:ascii="Times New Roman;Times;serif" w:hAnsi="Times New Roman;Times;serif"/>
                  <w:b w:val="false"/>
                  <w:i w:val="false"/>
                  <w:caps w:val="false"/>
                  <w:smallCaps w:val="false"/>
                  <w:sz w:val="20"/>
                </w:rPr>
                <w:t>Amendment No. 1 to Collaboration and License Agreement, dated as of June 5, 2023, between Blueprint Medicines Corporation and Oncopia Therapeutics, Inc. d/b/a Proteovant Therapeutics, Inc.</w:t>
              </w:r>
            </w:hyperlink>
          </w:p>
        </w:tc>
      </w:tr>
      <w:tr>
        <w:trPr/>
        <w:tc>
          <w:tcPr>
            <w:tcW w:w="892"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lineRule="auto" w:line="285" w:before="0" w:after="0"/>
              <w:ind w:left="0" w:right="0" w:hanging="0"/>
              <w:jc w:val="left"/>
              <w:rPr/>
            </w:pPr>
            <w:r>
              <w:rPr/>
              <w:t>​</w:t>
            </w:r>
          </w:p>
        </w:tc>
        <w:tc>
          <w:tcPr>
            <w:tcW w:w="8987" w:type="dxa"/>
            <w:tcBorders/>
            <w:vAlign w:val="center"/>
          </w:tcPr>
          <w:p>
            <w:pPr>
              <w:pStyle w:val="TableContents"/>
              <w:bidi w:val="0"/>
              <w:spacing w:lineRule="auto" w:line="285" w:before="0" w:after="100"/>
              <w:ind w:left="0" w:right="0" w:hanging="0"/>
              <w:jc w:val="left"/>
              <w:rPr/>
            </w:pPr>
            <w:hyperlink w:anchor="bpmc-20230630xex10d2.htm">
              <w:r>
                <w:rPr>
                  <w:rStyle w:val="InternetLink"/>
                  <w:rFonts w:ascii="Times New Roman;Times;serif" w:hAnsi="Times New Roman;Times;serif"/>
                  <w:b w:val="false"/>
                  <w:i w:val="false"/>
                  <w:caps w:val="false"/>
                  <w:smallCaps w:val="false"/>
                  <w:sz w:val="20"/>
                </w:rPr>
                <w:t>Amendment No. 2 to Collaboration and License Agreement, dated as of July 27, 2023, between Blueprint Medicines Corporation and Oncopia Therapeutics, Inc. d/b/a Proteovant Therapeutics, Inc.</w:t>
              </w:r>
            </w:hyperlink>
          </w:p>
        </w:tc>
      </w:tr>
      <w:tr>
        <w:trPr/>
        <w:tc>
          <w:tcPr>
            <w:tcW w:w="892"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pBdr/>
              <w:bidi w:val="0"/>
              <w:spacing w:lineRule="auto" w:line="285" w:before="0" w:after="0"/>
              <w:ind w:left="0" w:right="0" w:hanging="0"/>
              <w:jc w:val="left"/>
              <w:rPr/>
            </w:pPr>
            <w:r>
              <w:rPr/>
              <w:t>​</w:t>
            </w:r>
          </w:p>
        </w:tc>
        <w:tc>
          <w:tcPr>
            <w:tcW w:w="8987" w:type="dxa"/>
            <w:tcBorders/>
            <w:vAlign w:val="center"/>
          </w:tcPr>
          <w:p>
            <w:pPr>
              <w:pStyle w:val="TableContents"/>
              <w:bidi w:val="0"/>
              <w:spacing w:lineRule="auto" w:line="285" w:before="0" w:after="100"/>
              <w:ind w:left="0" w:right="0" w:hanging="0"/>
              <w:jc w:val="left"/>
              <w:rPr/>
            </w:pPr>
            <w:hyperlink w:anchor="bpmc-20230630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Exchange Act, as adopted pursuant to Section 302 of the Sarbanes-Oxley Act of 2002</w:t>
              </w:r>
            </w:hyperlink>
          </w:p>
        </w:tc>
      </w:tr>
      <w:tr>
        <w:trPr/>
        <w:tc>
          <w:tcPr>
            <w:tcW w:w="892"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pBdr/>
              <w:bidi w:val="0"/>
              <w:spacing w:lineRule="auto" w:line="285" w:before="0" w:after="0"/>
              <w:ind w:left="0" w:right="0" w:hanging="0"/>
              <w:jc w:val="left"/>
              <w:rPr/>
            </w:pPr>
            <w:r>
              <w:rPr/>
              <w:t>​</w:t>
            </w:r>
          </w:p>
        </w:tc>
        <w:tc>
          <w:tcPr>
            <w:tcW w:w="8987" w:type="dxa"/>
            <w:tcBorders/>
            <w:vAlign w:val="center"/>
          </w:tcPr>
          <w:p>
            <w:pPr>
              <w:pStyle w:val="TableContents"/>
              <w:bidi w:val="0"/>
              <w:spacing w:lineRule="auto" w:line="285" w:before="0" w:after="100"/>
              <w:ind w:left="0" w:right="0" w:hanging="0"/>
              <w:jc w:val="left"/>
              <w:rPr/>
            </w:pPr>
            <w:hyperlink w:anchor="bpmc-20230630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Exchange Act, as adopted pursuant to Section 302 of the Sarbanes-Oxley Act of 2002</w:t>
              </w:r>
            </w:hyperlink>
          </w:p>
        </w:tc>
      </w:tr>
      <w:tr>
        <w:trPr/>
        <w:tc>
          <w:tcPr>
            <w:tcW w:w="8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pBdr/>
              <w:bidi w:val="0"/>
              <w:spacing w:lineRule="auto" w:line="285" w:before="0" w:after="0"/>
              <w:ind w:left="0" w:right="0" w:hanging="0"/>
              <w:jc w:val="left"/>
              <w:rPr/>
            </w:pPr>
            <w:r>
              <w:rPr/>
              <w:t>​</w:t>
            </w:r>
          </w:p>
        </w:tc>
        <w:tc>
          <w:tcPr>
            <w:tcW w:w="8987" w:type="dxa"/>
            <w:tcBorders/>
            <w:vAlign w:val="center"/>
          </w:tcPr>
          <w:p>
            <w:pPr>
              <w:pStyle w:val="TableContents"/>
              <w:bidi w:val="0"/>
              <w:spacing w:lineRule="auto" w:line="304" w:before="0" w:after="100"/>
              <w:ind w:left="0" w:right="0" w:hanging="0"/>
              <w:jc w:val="left"/>
              <w:rPr/>
            </w:pPr>
            <w:hyperlink w:anchor="bpmc-20230630xex32d1.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pBdr/>
              <w:bidi w:val="0"/>
              <w:spacing w:lineRule="auto" w:line="285" w:before="0" w:after="0"/>
              <w:ind w:left="0" w:right="0" w:hanging="0"/>
              <w:jc w:val="left"/>
              <w:rPr/>
            </w:pPr>
            <w:r>
              <w:rPr/>
              <w:t>​</w:t>
            </w:r>
          </w:p>
        </w:tc>
        <w:tc>
          <w:tcPr>
            <w:tcW w:w="8987"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pBdr/>
              <w:bidi w:val="0"/>
              <w:spacing w:lineRule="auto" w:line="285" w:before="0" w:after="0"/>
              <w:ind w:left="0" w:right="0" w:hanging="0"/>
              <w:jc w:val="left"/>
              <w:rPr/>
            </w:pPr>
            <w:r>
              <w:rPr/>
              <w:t>​</w:t>
            </w:r>
          </w:p>
        </w:tc>
        <w:tc>
          <w:tcPr>
            <w:tcW w:w="89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pBdr/>
              <w:bidi w:val="0"/>
              <w:spacing w:lineRule="auto" w:line="285" w:before="0" w:after="0"/>
              <w:ind w:left="0" w:right="0" w:hanging="0"/>
              <w:jc w:val="left"/>
              <w:rPr/>
            </w:pPr>
            <w:r>
              <w:rPr/>
              <w:t>​</w:t>
            </w:r>
          </w:p>
        </w:tc>
        <w:tc>
          <w:tcPr>
            <w:tcW w:w="89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92"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285" w:before="0" w:after="0"/>
              <w:ind w:left="0" w:right="0" w:hanging="0"/>
              <w:jc w:val="left"/>
              <w:rPr/>
            </w:pPr>
            <w:r>
              <w:rPr/>
              <w:t>​</w:t>
            </w:r>
          </w:p>
        </w:tc>
        <w:tc>
          <w:tcPr>
            <w:tcW w:w="89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92"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285" w:before="0" w:after="0"/>
              <w:ind w:left="0" w:right="0" w:hanging="0"/>
              <w:jc w:val="left"/>
              <w:rPr/>
            </w:pPr>
            <w:r>
              <w:rPr/>
              <w:t>​</w:t>
            </w:r>
          </w:p>
        </w:tc>
        <w:tc>
          <w:tcPr>
            <w:tcW w:w="89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92"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285" w:before="0" w:after="0"/>
              <w:ind w:left="0" w:right="0" w:hanging="0"/>
              <w:jc w:val="left"/>
              <w:rPr/>
            </w:pPr>
            <w:r>
              <w:rPr/>
              <w:t>​</w:t>
            </w:r>
          </w:p>
        </w:tc>
        <w:tc>
          <w:tcPr>
            <w:tcW w:w="89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92"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285" w:before="0" w:after="0"/>
              <w:ind w:left="0" w:right="0" w:hanging="0"/>
              <w:jc w:val="left"/>
              <w:rPr/>
            </w:pPr>
            <w:r>
              <w:rPr/>
              <w:t>​</w:t>
            </w:r>
          </w:p>
        </w:tc>
        <w:tc>
          <w:tcPr>
            <w:tcW w:w="8987"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r>
        <w:trPr/>
        <w:tc>
          <w:tcPr>
            <w:tcW w:w="892"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898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41"/>
        <w:gridCol w:w="9964"/>
      </w:tblGrid>
      <w:tr>
        <w:trPr/>
        <w:tc>
          <w:tcPr>
            <w:tcW w:w="24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964"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Indicates management contract or compensatory plan or arrangement.</w:t>
            </w:r>
          </w:p>
        </w:tc>
      </w:tr>
      <w:tr>
        <w:trPr/>
        <w:tc>
          <w:tcPr>
            <w:tcW w:w="241" w:type="dxa"/>
            <w:tcBorders/>
            <w:shd w:fill="FFFFFF" w:val="clear"/>
            <w:vAlign w:val="center"/>
          </w:tcPr>
          <w:p>
            <w:pPr>
              <w:pStyle w:val="TableContents"/>
              <w:bidi w:val="0"/>
              <w:spacing w:lineRule="auto" w:line="304" w:before="0" w:after="0"/>
              <w:ind w:left="0" w:right="0" w:hanging="0"/>
              <w:jc w:val="left"/>
              <w:rPr>
                <w:shd w:fill="FFFFFF" w:val="clear"/>
              </w:rPr>
            </w:pPr>
            <w:r>
              <w:rPr>
                <w:shd w:fill="FFFFFF" w:val="clear"/>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Certain portions of the exhibit have been omitted pursuant to Regulation S-K Item 601(b) because it is both (i) not material to investors and (ii) information that the Company treats as private or confidential.</w:t>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pStyle w:val="TableContents"/>
              <w:bidi w:val="0"/>
              <w:spacing w:lineRule="auto" w:line="285" w:before="0" w:after="0"/>
              <w:ind w:left="0" w:right="0" w:hanging="0"/>
              <w:jc w:val="left"/>
              <w:rPr/>
            </w:pPr>
            <w:r>
              <w:rPr/>
              <w:t>​</w:t>
            </w:r>
          </w:p>
        </w:tc>
      </w:tr>
    </w:tbl>
    <w:p>
      <w:pPr>
        <w:pStyle w:val="TextBody"/>
        <w:pBdr/>
        <w:shd w:fill="FFFFFF" w:val="clear"/>
        <w:bidi w:val="0"/>
        <w:spacing w:lineRule="auto" w:line="285" w:before="0" w:after="0"/>
        <w:ind w:left="0" w:right="0" w:hanging="0"/>
        <w:jc w:val="left"/>
        <w:rPr>
          <w:shd w:fill="FFFF00" w:val="clear"/>
        </w:rPr>
      </w:pPr>
      <w:r>
        <w:rPr>
          <w:shd w:fill="FFFF00" w:val="clea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bookmarkStart w:id="1265" w:name="SIGNATURES_862342"/>
      <w:bookmarkStart w:id="1266" w:name="_b025d31f_86ad_4eb5_890d_6c6550c1ece7"/>
      <w:bookmarkEnd w:id="1265"/>
      <w:bookmarkEnd w:id="1266"/>
      <w:r>
        <w:rPr>
          <w:rFonts w:ascii="Times New Roman;Times;serif" w:hAnsi="Times New Roman;Times;serif"/>
          <w:b/>
          <w:sz w:val="20"/>
        </w:rPr>
        <w:t>SIGNATURES</w:t>
      </w:r>
    </w:p>
    <w:p>
      <w:pPr>
        <w:pStyle w:val="TextBody"/>
        <w:pBd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4214" w:type="dxa"/>
        <w:jc w:val="left"/>
        <w:tblInd w:w="0" w:type="dxa"/>
        <w:tblLayout w:type="fixed"/>
        <w:tblCellMar>
          <w:top w:w="0" w:type="dxa"/>
          <w:left w:w="0" w:type="dxa"/>
          <w:bottom w:w="0" w:type="dxa"/>
          <w:right w:w="0" w:type="dxa"/>
        </w:tblCellMar>
      </w:tblPr>
      <w:tblGrid>
        <w:gridCol w:w="124"/>
        <w:gridCol w:w="146"/>
        <w:gridCol w:w="1154"/>
        <w:gridCol w:w="1154"/>
        <w:gridCol w:w="1636"/>
      </w:tblGrid>
      <w:tr>
        <w:trPr/>
        <w:tc>
          <w:tcPr>
            <w:tcW w:w="12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92710" cy="175260"/>
                      <wp:effectExtent l="0" t="0" r="0" b="0"/>
                      <wp:wrapNone/>
                      <wp:docPr id="723" name="Frame7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lineRule="auto" w:line="285" w:before="0" w:after="0"/>
              <w:ind w:left="0" w:right="0" w:hanging="0"/>
              <w:jc w:val="left"/>
              <w:rPr/>
            </w:pPr>
            <w:r>
              <w:rPr/>
              <w:t>​</w: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732790" cy="175260"/>
                      <wp:effectExtent l="0" t="0" r="0" b="0"/>
                      <wp:wrapNone/>
                      <wp:docPr id="724" name="Frame724"/>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154" w:type="dxa"/>
            <w:tcBorders/>
            <w:vAlign w:val="center"/>
          </w:tcPr>
          <w:p>
            <w:pPr>
              <w:pStyle w:val="TableContents"/>
              <w:bidi w:val="0"/>
              <w:spacing w:lineRule="auto" w:line="285" w:before="0" w:after="0"/>
              <w:ind w:left="0" w:right="0" w:hanging="0"/>
              <w:jc w:val="left"/>
              <w:rPr/>
            </w:pPr>
            <w:r>
              <w:rPr/>
              <w:t>​</w:t>
            </w:r>
          </w:p>
        </w:tc>
        <w:tc>
          <w:tcPr>
            <w:tcW w:w="1154" w:type="dxa"/>
            <w:tcBorders/>
            <w:vAlign w:val="center"/>
          </w:tcPr>
          <w:p>
            <w:pPr>
              <w:pStyle w:val="TableContents"/>
              <w:bidi w:val="0"/>
              <w:spacing w:lineRule="auto" w:line="285" w:before="0" w:after="0"/>
              <w:ind w:left="0" w:right="0" w:hanging="0"/>
              <w:jc w:val="left"/>
              <w:rPr/>
            </w:pPr>
            <w:r>
              <w:rPr/>
              <w:t>​</w:t>
            </w:r>
          </w:p>
        </w:tc>
        <w:tc>
          <w:tcPr>
            <w:tcW w:w="16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3944"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caps/>
                <w:sz w:val="20"/>
              </w:rPr>
            </w:pPr>
            <w:r>
              <w:rPr>
                <w:rFonts w:ascii="Times New Roman;Times;serif" w:hAnsi="Times New Roman;Times;serif"/>
                <w:b/>
                <w:caps/>
                <w:sz w:val="20"/>
              </w:rPr>
              <w:t>Blueprint Medicines Corporation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1300" w:type="dxa"/>
            <w:gridSpan w:val="2"/>
            <w:tcBorders/>
            <w:vAlign w:val="center"/>
          </w:tcPr>
          <w:p>
            <w:pPr>
              <w:pStyle w:val="TableContents"/>
              <w:bidi w:val="0"/>
              <w:spacing w:lineRule="auto" w:line="285" w:before="0" w:after="0"/>
              <w:ind w:left="0" w:right="0" w:hanging="0"/>
              <w:jc w:val="left"/>
              <w:rPr/>
            </w:pPr>
            <w:r>
              <w:rPr/>
              <w:t>​</w:t>
            </w:r>
          </w:p>
        </w:tc>
        <w:tc>
          <w:tcPr>
            <w:tcW w:w="2790" w:type="dxa"/>
            <w:gridSpan w:val="2"/>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65" w:type="dxa"/>
        <w:jc w:val="left"/>
        <w:tblInd w:w="0" w:type="dxa"/>
        <w:tblLayout w:type="fixed"/>
        <w:tblCellMar>
          <w:top w:w="0" w:type="dxa"/>
          <w:left w:w="0" w:type="dxa"/>
          <w:bottom w:w="0" w:type="dxa"/>
          <w:right w:w="0" w:type="dxa"/>
        </w:tblCellMar>
      </w:tblPr>
      <w:tblGrid>
        <w:gridCol w:w="1846"/>
        <w:gridCol w:w="146"/>
        <w:gridCol w:w="406"/>
        <w:gridCol w:w="146"/>
        <w:gridCol w:w="4021"/>
      </w:tblGrid>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center"/>
        <w:rPr>
          <w:shd w:fill="FFFF00" w:val="clear"/>
        </w:rPr>
      </w:pPr>
      <w:r>
        <w:rPr>
          <w:shd w:fill="FFFF00" w:val="clea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240"/>
        <w:ind w:left="0" w:right="0" w:hanging="0"/>
        <w:jc w:val="right"/>
        <w:rPr>
          <w:rFonts w:ascii="Times New Roman;Times;serif" w:hAnsi="Times New Roman;Times;serif"/>
          <w:b/>
          <w:sz w:val="20"/>
        </w:rPr>
      </w:pPr>
      <w:bookmarkStart w:id="1267" w:name="bpmc-20230630xex10d1.htm"/>
      <w:bookmarkStart w:id="1268" w:name="ksbpmc20230630xex10d1"/>
      <w:bookmarkEnd w:id="1267"/>
      <w:bookmarkEnd w:id="1268"/>
      <w:r>
        <w:rPr>
          <w:rFonts w:ascii="Times New Roman;Times;serif" w:hAnsi="Times New Roman;Times;serif"/>
          <w:b/>
          <w:sz w:val="20"/>
        </w:rPr>
        <w:t>Exhibit 10.1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Certain information in this document has been omitted from this exhibit because it (i) is</w:t>
        <w:br/>
        <w:t>not material and (ii) would be competitively harmful if publicly disclosed.</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CONFIDENTIAL</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Amendment No. 1 to Collaboration and License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Amendment No. 1 (this “</w:t>
      </w:r>
      <w:r>
        <w:rPr>
          <w:rFonts w:ascii="Times New Roman;Times;serif" w:hAnsi="Times New Roman;Times;serif"/>
          <w:b/>
          <w:sz w:val="20"/>
        </w:rPr>
        <w:t>Amendment</w:t>
      </w:r>
      <w:r>
        <w:rPr>
          <w:rFonts w:ascii="Times New Roman;Times;serif" w:hAnsi="Times New Roman;Times;serif"/>
          <w:sz w:val="20"/>
        </w:rPr>
        <w:t>”), dated as of June 5, 2023 (“</w:t>
      </w:r>
      <w:r>
        <w:rPr>
          <w:rFonts w:ascii="Times New Roman;Times;serif" w:hAnsi="Times New Roman;Times;serif"/>
          <w:b/>
          <w:sz w:val="20"/>
        </w:rPr>
        <w:t>Amendment Effective Date</w:t>
      </w:r>
      <w:r>
        <w:rPr>
          <w:rFonts w:ascii="Times New Roman;Times;serif" w:hAnsi="Times New Roman;Times;serif"/>
          <w:sz w:val="20"/>
        </w:rPr>
        <w:t xml:space="preserve">”), between </w:t>
      </w:r>
      <w:r>
        <w:rPr>
          <w:rFonts w:ascii="Times New Roman;Times;serif" w:hAnsi="Times New Roman;Times;serif"/>
          <w:b/>
          <w:sz w:val="20"/>
        </w:rPr>
        <w:t>Blueprint Medicines Corporation</w:t>
      </w:r>
      <w:r>
        <w:rPr>
          <w:rFonts w:ascii="Times New Roman;Times;serif" w:hAnsi="Times New Roman;Times;serif"/>
          <w:sz w:val="20"/>
        </w:rPr>
        <w:t xml:space="preserve"> (“</w:t>
      </w:r>
      <w:r>
        <w:rPr>
          <w:rFonts w:ascii="Times New Roman;Times;serif" w:hAnsi="Times New Roman;Times;serif"/>
          <w:b/>
          <w:sz w:val="20"/>
        </w:rPr>
        <w:t>Blueprint</w:t>
      </w:r>
      <w:r>
        <w:rPr>
          <w:rFonts w:ascii="Times New Roman;Times;serif" w:hAnsi="Times New Roman;Times;serif"/>
          <w:sz w:val="20"/>
        </w:rPr>
        <w:t xml:space="preserve">”) </w:t>
      </w:r>
      <w:r>
        <w:rPr>
          <w:rFonts w:ascii="Times New Roman;Times;serif" w:hAnsi="Times New Roman;Times;serif"/>
          <w:b/>
          <w:sz w:val="20"/>
        </w:rPr>
        <w:t>and Oncopia Therapeutics, Inc.</w:t>
      </w:r>
      <w:r>
        <w:rPr>
          <w:rFonts w:ascii="Times New Roman;Times;serif" w:hAnsi="Times New Roman;Times;serif"/>
          <w:sz w:val="20"/>
        </w:rPr>
        <w:t xml:space="preserve"> d/b/a </w:t>
      </w:r>
      <w:r>
        <w:rPr>
          <w:rFonts w:ascii="Times New Roman;Times;serif" w:hAnsi="Times New Roman;Times;serif"/>
          <w:b/>
          <w:sz w:val="20"/>
        </w:rPr>
        <w:t xml:space="preserve">Proteovant Therapeutics, Inc. </w:t>
      </w:r>
      <w:r>
        <w:rPr>
          <w:rFonts w:ascii="Times New Roman;Times;serif" w:hAnsi="Times New Roman;Times;serif"/>
          <w:sz w:val="20"/>
        </w:rPr>
        <w:t>(“</w:t>
      </w:r>
      <w:r>
        <w:rPr>
          <w:rFonts w:ascii="Times New Roman;Times;serif" w:hAnsi="Times New Roman;Times;serif"/>
          <w:b/>
          <w:sz w:val="20"/>
        </w:rPr>
        <w:t>Proteovant</w:t>
      </w:r>
      <w:r>
        <w:rPr>
          <w:rFonts w:ascii="Times New Roman;Times;serif" w:hAnsi="Times New Roman;Times;serif"/>
          <w:sz w:val="20"/>
        </w:rPr>
        <w:t>”) amends that certain Collaboration and License Agreement, dated February 26, 2022 by and between Blueprint and Proteovant (the “</w:t>
      </w:r>
      <w:r>
        <w:rPr>
          <w:rFonts w:ascii="Times New Roman;Times;serif" w:hAnsi="Times New Roman;Times;serif"/>
          <w:b/>
          <w:sz w:val="20"/>
        </w:rPr>
        <w:t>Agreement</w:t>
      </w:r>
      <w:r>
        <w:rPr>
          <w:rFonts w:ascii="Times New Roman;Times;serif" w:hAnsi="Times New Roman;Times;serif"/>
          <w:sz w:val="20"/>
        </w:rPr>
        <w:t>”).  Blueprint and the Proteovant are each referred to herein as a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 Capitalized terms used and not otherwise defined in this Amendment shall have the meanings set forth in the Agreement.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Recitals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pursuant to the Agreement, the Parties developed a Research Plan for each of the Initial Target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Parties desire to extend the time period within which to [***] the [***] Target Program in accordance with the Agreement;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NOW, THEREFORE, for good and valuable consideration, the receipt and sufficiency of which are hereby acknowledged, the Parties hereby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Solely with respect to the [***] Target Program, the [***] time period defined in [***] of the Agreement within which to [***] such Target Program shall be extended by [***] to [***], which date was [***]. For clarity, the foregoing date shall be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From the Effective Date through [***], [***] the [***] Target Program Research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This Amendment shall be effective as of the Amendment Effective Date. On and after the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Amendment. Except as specifically amended above, the Agreement shall remain in full force and effect and is hereby ratified and confirmed.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[Remainder of page intentionally left blank.]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have executed this Amendment as of the Amendment Effective Date.</w:t>
      </w:r>
    </w:p>
    <w:tbl>
      <w:tblPr>
        <w:tblW w:w="4069" w:type="dxa"/>
        <w:jc w:val="left"/>
        <w:tblInd w:w="0" w:type="dxa"/>
        <w:tblLayout w:type="fixed"/>
        <w:tblCellMar>
          <w:top w:w="0" w:type="dxa"/>
          <w:left w:w="0" w:type="dxa"/>
          <w:bottom w:w="0" w:type="dxa"/>
          <w:right w:w="0" w:type="dxa"/>
        </w:tblCellMar>
      </w:tblPr>
      <w:tblGrid>
        <w:gridCol w:w="124"/>
        <w:gridCol w:w="937"/>
        <w:gridCol w:w="3008"/>
      </w:tblGrid>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Percy Carter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0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Percy Carter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Scientific Officer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ONCOPIA THERAPEUTICS, INC.</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Ruby Holder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0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Ruby Holder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Strategy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69" w:name="bpmc-20230630xex10d2.htm"/>
      <w:bookmarkStart w:id="1270" w:name="ksbpmc20230630xex10d2"/>
      <w:bookmarkEnd w:id="1269"/>
      <w:bookmarkEnd w:id="1270"/>
      <w:r>
        <w:rPr>
          <w:rFonts w:ascii="Times New Roman;Times;serif" w:hAnsi="Times New Roman;Times;serif"/>
          <w:b/>
          <w:sz w:val="20"/>
        </w:rPr>
        <w:t>Exhibit 10.2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Certain information in this document has been omitted from this exhibit because it (i) is not</w:t>
        <w:br/>
        <w:t>material and (ii) would be competitively harmful if publicly disclosed.</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CONFIDENTIAL</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Amendment No. 2 to Collaboration and License Agreement</w:t>
      </w:r>
    </w:p>
    <w:p>
      <w:pPr>
        <w:pStyle w:val="TextBody"/>
        <w:bidi w:val="0"/>
        <w:spacing w:before="0" w:after="240"/>
        <w:ind w:left="100" w:right="0" w:firstLine="719"/>
        <w:jc w:val="both"/>
        <w:rPr>
          <w:rFonts w:ascii="Times New Roman;Times;serif" w:hAnsi="Times New Roman;Times;serif"/>
          <w:sz w:val="20"/>
        </w:rPr>
      </w:pPr>
      <w:r>
        <w:rPr>
          <w:rFonts w:ascii="Times New Roman;Times;serif" w:hAnsi="Times New Roman;Times;serif"/>
          <w:sz w:val="20"/>
        </w:rPr>
        <w:t>This Amendment No. 2 (this “</w:t>
      </w:r>
      <w:r>
        <w:rPr>
          <w:rFonts w:ascii="Times New Roman;Times;serif" w:hAnsi="Times New Roman;Times;serif"/>
          <w:b/>
          <w:sz w:val="20"/>
        </w:rPr>
        <w:t>Amendment</w:t>
      </w:r>
      <w:r>
        <w:rPr>
          <w:rFonts w:ascii="Times New Roman;Times;serif" w:hAnsi="Times New Roman;Times;serif"/>
          <w:sz w:val="20"/>
        </w:rPr>
        <w:t>”), dated as of July 27, 2023 (“</w:t>
      </w:r>
      <w:r>
        <w:rPr>
          <w:rFonts w:ascii="Times New Roman;Times;serif" w:hAnsi="Times New Roman;Times;serif"/>
          <w:b/>
          <w:sz w:val="20"/>
        </w:rPr>
        <w:t>Amendment 2 Effective Date</w:t>
      </w:r>
      <w:r>
        <w:rPr>
          <w:rFonts w:ascii="Times New Roman;Times;serif" w:hAnsi="Times New Roman;Times;serif"/>
          <w:sz w:val="20"/>
        </w:rPr>
        <w:t xml:space="preserve">”), between </w:t>
      </w:r>
      <w:r>
        <w:rPr>
          <w:rFonts w:ascii="Times New Roman;Times;serif" w:hAnsi="Times New Roman;Times;serif"/>
          <w:b/>
          <w:sz w:val="20"/>
        </w:rPr>
        <w:t xml:space="preserve">Blueprint Medicines Corporation </w:t>
      </w:r>
      <w:r>
        <w:rPr>
          <w:rFonts w:ascii="Times New Roman;Times;serif" w:hAnsi="Times New Roman;Times;serif"/>
          <w:sz w:val="20"/>
        </w:rPr>
        <w:t>(“</w:t>
      </w:r>
      <w:r>
        <w:rPr>
          <w:rFonts w:ascii="Times New Roman;Times;serif" w:hAnsi="Times New Roman;Times;serif"/>
          <w:b/>
          <w:sz w:val="20"/>
        </w:rPr>
        <w:t>Blueprint</w:t>
      </w:r>
      <w:r>
        <w:rPr>
          <w:rFonts w:ascii="Times New Roman;Times;serif" w:hAnsi="Times New Roman;Times;serif"/>
          <w:sz w:val="20"/>
        </w:rPr>
        <w:t xml:space="preserve">”) </w:t>
      </w:r>
      <w:r>
        <w:rPr>
          <w:rFonts w:ascii="Times New Roman;Times;serif" w:hAnsi="Times New Roman;Times;serif"/>
          <w:b/>
          <w:sz w:val="20"/>
        </w:rPr>
        <w:t xml:space="preserve">and Oncopia Therapeutics, Inc. </w:t>
      </w:r>
      <w:r>
        <w:rPr>
          <w:rFonts w:ascii="Times New Roman;Times;serif" w:hAnsi="Times New Roman;Times;serif"/>
          <w:sz w:val="20"/>
        </w:rPr>
        <w:t xml:space="preserve">d/b/a </w:t>
      </w:r>
      <w:r>
        <w:rPr>
          <w:rFonts w:ascii="Times New Roman;Times;serif" w:hAnsi="Times New Roman;Times;serif"/>
          <w:b/>
          <w:sz w:val="20"/>
        </w:rPr>
        <w:t xml:space="preserve">Proteovant Therapeutics, Inc. </w:t>
      </w:r>
      <w:r>
        <w:rPr>
          <w:rFonts w:ascii="Times New Roman;Times;serif" w:hAnsi="Times New Roman;Times;serif"/>
          <w:sz w:val="20"/>
        </w:rPr>
        <w:t>(“</w:t>
      </w:r>
      <w:r>
        <w:rPr>
          <w:rFonts w:ascii="Times New Roman;Times;serif" w:hAnsi="Times New Roman;Times;serif"/>
          <w:b/>
          <w:sz w:val="20"/>
        </w:rPr>
        <w:t>Proteovant</w:t>
      </w:r>
      <w:r>
        <w:rPr>
          <w:rFonts w:ascii="Times New Roman;Times;serif" w:hAnsi="Times New Roman;Times;serif"/>
          <w:sz w:val="20"/>
        </w:rPr>
        <w:t>”) amends that certain Collaboration and License Agreement, dated February 26, 2022 by and between Blueprint and Proteovant, as earlier amended on June 5, 2023 (the “</w:t>
      </w:r>
      <w:r>
        <w:rPr>
          <w:rFonts w:ascii="Times New Roman;Times;serif" w:hAnsi="Times New Roman;Times;serif"/>
          <w:b/>
          <w:sz w:val="20"/>
        </w:rPr>
        <w:t>Agreement</w:t>
      </w:r>
      <w:r>
        <w:rPr>
          <w:rFonts w:ascii="Times New Roman;Times;serif" w:hAnsi="Times New Roman;Times;serif"/>
          <w:sz w:val="20"/>
        </w:rPr>
        <w:t>”). Blueprint and the Proteovant are each referred to herein as a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 Capitalized terms used and not otherwise defined in this Amendment shall have the meanings set forth in the Agreement.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Recitals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pursuant to the Agreement, the Parties developed a Research Plan for each of the Initial Target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Parties desire [***] extend the time period within which the JRC shall meet to discuss the [***] and determine whether [***] with respect to the [***] Target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Parties also desire to further extend the time period to [***] Target Program;</w:t>
      </w:r>
    </w:p>
    <w:p>
      <w:pPr>
        <w:pStyle w:val="TextBody"/>
        <w:bidi w:val="0"/>
        <w:spacing w:before="0" w:after="240"/>
        <w:ind w:left="0" w:right="0" w:firstLine="719"/>
        <w:jc w:val="left"/>
        <w:rPr>
          <w:rFonts w:ascii="Times New Roman;Times;serif" w:hAnsi="Times New Roman;Times;serif"/>
          <w:sz w:val="20"/>
        </w:rPr>
      </w:pPr>
      <w:r>
        <w:rPr>
          <w:rFonts w:ascii="Times New Roman;Times;serif" w:hAnsi="Times New Roman;Times;serif"/>
          <w:sz w:val="20"/>
        </w:rPr>
        <w:t>NOW, THEREFORE, for good and valuable consideration, the receipt and sufficiency of which are hereby acknowledged, the Parties hereby agree as follows:</w:t>
      </w:r>
    </w:p>
    <w:p>
      <w:pPr>
        <w:pStyle w:val="TextBody"/>
        <w:bidi w:val="0"/>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Solely with respect to the [***] Target Program, the Parties mutually agree to (a) [***], and (b) [***] the requirement set forth in [***] of the Agreement that the JRC meet within [***] of [***] to discuss [***] and determine whether [***] with respect to the [***] Target Program.</w:t>
      </w:r>
    </w:p>
    <w:p>
      <w:pPr>
        <w:pStyle w:val="TextBody"/>
        <w:bidi w:val="0"/>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Parties shall [***] Target Program and shall hold the aforementioned JRC meeting promptly following [***].</w:t>
      </w:r>
    </w:p>
    <w:p>
      <w:pPr>
        <w:pStyle w:val="TextBody"/>
        <w:bidi w:val="0"/>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With respect to the [***] Target Program, the time period, as defined in [***] of the Agreement and previously extended to [***] pursuant to Amendment No. 1 to Collaboration and License Agreement, dated June 5, 2023, between the Parties, within which to [***] such Target Program, is hereby further extended to [***].</w:t>
      </w:r>
    </w:p>
    <w:p>
      <w:pPr>
        <w:pStyle w:val="TextBody"/>
        <w:bidi w:val="0"/>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This Amendment shall be effective as of the Amendment 2 Effective Date. On and after the Amendment 2 Effective Date, each reference in the Agreement to “this Agreement,” “hereunder,” “hereof,” “herein” or words of like import, and each similar reference in the other documents entered into in connection with the Agreement, shall mean and be a reference to the Agreement, as amended by this Amendment. Except as specifically amended above, the Agreement shall remain in full force and effect and is hereby ratified and confirmed.</w:t>
      </w:r>
    </w:p>
    <w:p>
      <w:pPr>
        <w:pStyle w:val="TextBody"/>
        <w:bidi w:val="0"/>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This Amendment may be executed in two or more counterparts, each of which shall be deemed an original, but all of which together shall constitute one and the same</w:t>
      </w:r>
    </w:p>
    <w:p>
      <w:pPr>
        <w:pStyle w:val="TextBody"/>
        <w:bidi w:val="0"/>
        <w:spacing w:before="0" w:after="240"/>
        <w:ind w:left="100" w:right="0" w:firstLine="719"/>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0" w:right="0" w:hanging="0"/>
        <w:jc w:val="left"/>
        <w:rPr>
          <w:rFonts w:ascii="Times New Roman;Times;serif" w:hAnsi="Times New Roman;Times;serif"/>
          <w:sz w:val="20"/>
        </w:rPr>
      </w:pPr>
      <w:r>
        <w:rPr>
          <w:rFonts w:ascii="Times New Roman;Times;serif" w:hAnsi="Times New Roman;Times;serif"/>
          <w:sz w:val="20"/>
        </w:rPr>
        <w:t>instrument.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[Remainder of page intentionally left blank.]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0" w:right="0" w:firstLine="719"/>
        <w:jc w:val="left"/>
        <w:rPr>
          <w:rFonts w:ascii="Times New Roman;Times;serif" w:hAnsi="Times New Roman;Times;serif"/>
          <w:sz w:val="20"/>
        </w:rPr>
      </w:pPr>
      <w:r>
        <w:rPr>
          <w:rFonts w:ascii="Times New Roman;Times;serif" w:hAnsi="Times New Roman;Times;serif"/>
          <w:sz w:val="20"/>
        </w:rPr>
        <w:t>IN WITNESS WHEREOF, the undersigned have executed this Amendment as of the Amendment Effective Date.</w:t>
      </w:r>
    </w:p>
    <w:tbl>
      <w:tblPr>
        <w:tblW w:w="4069" w:type="dxa"/>
        <w:jc w:val="left"/>
        <w:tblInd w:w="0" w:type="dxa"/>
        <w:tblLayout w:type="fixed"/>
        <w:tblCellMar>
          <w:top w:w="0" w:type="dxa"/>
          <w:left w:w="0" w:type="dxa"/>
          <w:bottom w:w="0" w:type="dxa"/>
          <w:right w:w="0" w:type="dxa"/>
        </w:tblCellMar>
      </w:tblPr>
      <w:tblGrid>
        <w:gridCol w:w="124"/>
        <w:gridCol w:w="937"/>
        <w:gridCol w:w="3008"/>
      </w:tblGrid>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Percy Carter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0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Percy Carter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Scientific Officer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ONCOPIA THERAPEUTICS, INC.</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00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Ruby Holder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0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Ruby Holder</w:t>
            </w:r>
          </w:p>
        </w:tc>
      </w:tr>
      <w:tr>
        <w:trPr/>
        <w:tc>
          <w:tcPr>
            <w:tcW w:w="12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Strategy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271" w:name="bpmc-20230630xex31d1.htm"/>
      <w:bookmarkStart w:id="1272" w:name="ksbpmc20230630xex31d1"/>
      <w:bookmarkEnd w:id="1271"/>
      <w:bookmarkEnd w:id="1272"/>
      <w:r>
        <w:rPr>
          <w:rFonts w:ascii="Times New Roman;Times;serif" w:hAnsi="Times New Roman;Times;serif"/>
          <w:b/>
          <w:sz w:val="20"/>
        </w:rPr>
        <w:t>Exhibit 31.1</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Kathryn Haviland,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shd w:fill="FFFFFF" w:val="clear"/>
        <w:bidi w:val="0"/>
        <w:spacing w:lineRule="auto" w:line="285" w:before="0" w:after="0"/>
        <w:ind w:left="0" w:right="0" w:hanging="0"/>
        <w:jc w:val="left"/>
        <w:rPr/>
      </w:pPr>
      <w:r>
        <w:rPr/>
        <w:t>​</w:t>
      </w:r>
    </w:p>
    <w:tbl>
      <w:tblPr>
        <w:tblW w:w="6213" w:type="dxa"/>
        <w:jc w:val="left"/>
        <w:tblInd w:w="0" w:type="dxa"/>
        <w:tblLayout w:type="fixed"/>
        <w:tblCellMar>
          <w:top w:w="0" w:type="dxa"/>
          <w:left w:w="0" w:type="dxa"/>
          <w:bottom w:w="0" w:type="dxa"/>
          <w:right w:w="0" w:type="dxa"/>
        </w:tblCellMar>
      </w:tblPr>
      <w:tblGrid>
        <w:gridCol w:w="1846"/>
        <w:gridCol w:w="406"/>
        <w:gridCol w:w="3961"/>
      </w:tblGrid>
      <w:tr>
        <w:trPr/>
        <w:tc>
          <w:tcPr>
            <w:tcW w:w="1846" w:type="dxa"/>
            <w:tcBorders/>
            <w:vAlign w:val="center"/>
          </w:tcPr>
          <w:p>
            <w:pPr>
              <w:pStyle w:val="TableContents"/>
              <w:bidi w:val="0"/>
              <w:spacing w:lineRule="auto" w:line="285" w:before="0" w:after="0"/>
              <w:ind w:left="0" w:right="0" w:hanging="0"/>
              <w:jc w:val="left"/>
              <w:rPr/>
            </w:pPr>
            <w:r>
              <w:rPr/>
              <w:t>​</w:t>
            </w:r>
          </w:p>
        </w:tc>
        <w:tc>
          <w:tcPr>
            <w:tcW w:w="4367" w:type="dxa"/>
            <w:gridSpan w:val="2"/>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273" w:name="bpmc-20230630xex31d2.htm"/>
      <w:bookmarkStart w:id="1274" w:name="ksbpmc20230630xex31d2"/>
      <w:bookmarkEnd w:id="1273"/>
      <w:bookmarkEnd w:id="1274"/>
      <w:r>
        <w:rPr>
          <w:rFonts w:ascii="Times New Roman;Times;serif" w:hAnsi="Times New Roman;Times;serif"/>
          <w:b/>
          <w:sz w:val="20"/>
        </w:rPr>
        <w:t>Exhibit 31.2</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Michael Landsittel,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pBdr/>
        <w:shd w:fill="FFFFFF" w:val="clear"/>
        <w:bidi w:val="0"/>
        <w:spacing w:lineRule="auto" w:line="285" w:before="0" w:after="0"/>
        <w:ind w:left="0" w:right="0" w:hanging="4680"/>
        <w:jc w:val="left"/>
        <w:rPr/>
      </w:pPr>
      <w:r>
        <w:rPr/>
        <w:t>​</w:t>
      </w:r>
    </w:p>
    <w:tbl>
      <w:tblPr>
        <w:tblW w:w="4668" w:type="dxa"/>
        <w:jc w:val="center"/>
        <w:tblInd w:w="0" w:type="dxa"/>
        <w:tblLayout w:type="fixed"/>
        <w:tblCellMar>
          <w:top w:w="0" w:type="dxa"/>
          <w:left w:w="0" w:type="dxa"/>
          <w:bottom w:w="0" w:type="dxa"/>
          <w:right w:w="0" w:type="dxa"/>
        </w:tblCellMar>
      </w:tblPr>
      <w:tblGrid>
        <w:gridCol w:w="1846"/>
        <w:gridCol w:w="406"/>
        <w:gridCol w:w="2416"/>
      </w:tblGrid>
      <w:tr>
        <w:trPr/>
        <w:tc>
          <w:tcPr>
            <w:tcW w:w="1846" w:type="dxa"/>
            <w:tcBorders/>
            <w:vAlign w:val="center"/>
          </w:tcPr>
          <w:p>
            <w:pPr>
              <w:pStyle w:val="TableContents"/>
              <w:bidi w:val="0"/>
              <w:spacing w:lineRule="auto" w:line="285" w:before="0" w:after="0"/>
              <w:ind w:left="0" w:right="0" w:hanging="0"/>
              <w:jc w:val="left"/>
              <w:rPr/>
            </w:pPr>
            <w:r>
              <w:rPr/>
              <w:t>​</w:t>
            </w:r>
          </w:p>
        </w:tc>
        <w:tc>
          <w:tcPr>
            <w:tcW w:w="2822" w:type="dxa"/>
            <w:gridSpan w:val="2"/>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275" w:name="bpmc-20230630xex32d1.htm"/>
      <w:bookmarkStart w:id="1276" w:name="ksbpmc20230630xex32d1"/>
      <w:bookmarkEnd w:id="1275"/>
      <w:bookmarkEnd w:id="1276"/>
      <w:r>
        <w:rPr>
          <w:rFonts w:ascii="Times New Roman;Times;serif" w:hAnsi="Times New Roman;Times;serif"/>
          <w:b/>
          <w:sz w:val="20"/>
        </w:rPr>
        <w:t>Exhibit 32.1</w:t>
      </w:r>
      <w:r>
        <w:br w:type="page"/>
      </w:r>
    </w:p>
    <w:p>
      <w:pPr>
        <w:pStyle w:val="TextBody"/>
        <w:shd w:fill="FFFFFF" w:val="clear"/>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Blueprint Medicines Corporation (the “Company”) for the period ended June 30, 2023 as filed with the Securities and Exchange Commission on the date hereof (the “Report”), each of the undersigned officers of the Company hereby certifies, pursuant to 18 U.S.C. Section 1350, that to his knowledge:</w:t>
      </w:r>
    </w:p>
    <w:tbl>
      <w:tblPr>
        <w:tblW w:w="9843" w:type="dxa"/>
        <w:jc w:val="left"/>
        <w:tblInd w:w="0" w:type="dxa"/>
        <w:tblLayout w:type="fixed"/>
        <w:tblCellMar>
          <w:top w:w="0" w:type="dxa"/>
          <w:left w:w="0" w:type="dxa"/>
          <w:bottom w:w="0" w:type="dxa"/>
          <w:right w:w="0" w:type="dxa"/>
        </w:tblCellMar>
      </w:tblPr>
      <w:tblGrid>
        <w:gridCol w:w="23"/>
        <w:gridCol w:w="29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(1) </w:t>
            </w:r>
          </w:p>
        </w:tc>
        <w:tc>
          <w:tcPr>
            <w:tcW w:w="953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(2) </w:t>
            </w:r>
          </w:p>
        </w:tc>
        <w:tc>
          <w:tcPr>
            <w:tcW w:w="991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center"/>
        <w:rPr/>
      </w:pPr>
      <w:r>
        <w:rPr/>
        <w:t>​</w:t>
      </w:r>
    </w:p>
    <w:tbl>
      <w:tblPr>
        <w:tblW w:w="6213" w:type="dxa"/>
        <w:jc w:val="center"/>
        <w:tblInd w:w="0" w:type="dxa"/>
        <w:tblLayout w:type="fixed"/>
        <w:tblCellMar>
          <w:top w:w="0" w:type="dxa"/>
          <w:left w:w="0" w:type="dxa"/>
          <w:bottom w:w="0" w:type="dxa"/>
          <w:right w:w="0" w:type="dxa"/>
        </w:tblCellMar>
      </w:tblPr>
      <w:tblGrid>
        <w:gridCol w:w="1846"/>
        <w:gridCol w:w="406"/>
        <w:gridCol w:w="3961"/>
      </w:tblGrid>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846"/>
        <w:gridCol w:w="406"/>
        <w:gridCol w:w="2521"/>
      </w:tblGrid>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74170</Words>
  <Characters>414216</Characters>
  <CharactersWithSpaces>489954</CharactersWithSpaces>
  <Paragraphs>7742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