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9"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001-37359</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99" w:lineRule="exact"/>
        <w:rPr>
          <w:sz w:val="24"/>
          <w:szCs w:val="24"/>
          <w:color w:val="auto"/>
        </w:rPr>
      </w:pPr>
    </w:p>
    <w:tbl>
      <w:tblPr>
        <w:tblLayout w:type="fixed"/>
        <w:tblInd w:w="1480" w:type="dxa"/>
        <w:tblCellMar>
          <w:top w:w="0" w:type="dxa"/>
          <w:left w:w="0" w:type="dxa"/>
          <w:bottom w:w="0" w:type="dxa"/>
          <w:right w:w="0" w:type="dxa"/>
        </w:tblCellMar>
      </w:tblPr>
      <w:tr>
        <w:trPr>
          <w:trHeight w:val="223"/>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35"/>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24"/>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980" w:type="dxa"/>
            <w:vAlign w:val="bottom"/>
          </w:tcPr>
          <w:p>
            <w:pPr>
              <w:spacing w:after="0"/>
              <w:rPr>
                <w:sz w:val="24"/>
                <w:szCs w:val="24"/>
                <w:color w:val="auto"/>
              </w:rPr>
            </w:pPr>
          </w:p>
        </w:tc>
      </w:tr>
      <w:tr>
        <w:trPr>
          <w:trHeight w:val="223"/>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980" w:type="dxa"/>
            <w:vAlign w:val="bottom"/>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28"/>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37"/>
        </w:trPr>
        <w:tc>
          <w:tcPr>
            <w:tcW w:w="2500" w:type="dxa"/>
            <w:vAlign w:val="bottom"/>
          </w:tcPr>
          <w:p>
            <w:pPr>
              <w:spacing w:after="0"/>
              <w:rPr>
                <w:sz w:val="20"/>
                <w:szCs w:val="20"/>
                <w:color w:val="auto"/>
              </w:rPr>
            </w:pPr>
          </w:p>
        </w:tc>
        <w:tc>
          <w:tcPr>
            <w:tcW w:w="3980" w:type="dxa"/>
            <w:vAlign w:val="bottom"/>
          </w:tcPr>
          <w:p>
            <w:pPr>
              <w:jc w:val="right"/>
              <w:ind w:right="2368"/>
              <w:spacing w:after="0"/>
              <w:rPr>
                <w:sz w:val="20"/>
                <w:szCs w:val="20"/>
                <w:color w:val="auto"/>
              </w:rPr>
            </w:pPr>
            <w:r>
              <w:rPr>
                <w:rFonts w:ascii="Times New Roman" w:cs="Times New Roman" w:eastAsia="Times New Roman" w:hAnsi="Times New Roman"/>
                <w:sz w:val="18"/>
                <w:szCs w:val="18"/>
                <w:b w:val="1"/>
                <w:bCs w:val="1"/>
                <w:color w:val="auto"/>
              </w:rPr>
              <w:t>(617) 374-7580</w:t>
            </w:r>
          </w:p>
        </w:tc>
      </w:tr>
    </w:tbl>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96" w:lineRule="exact"/>
        <w:rPr>
          <w:sz w:val="24"/>
          <w:szCs w:val="24"/>
          <w:color w:val="auto"/>
        </w:rPr>
      </w:pPr>
    </w:p>
    <w:p>
      <w:pPr>
        <w:ind w:right="100" w:firstLine="415"/>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right="160" w:firstLine="415"/>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320" w:firstLine="415"/>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84"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4">
            <w:col w:w="3020" w:space="80"/>
            <w:col w:w="3040" w:space="720"/>
            <w:col w:w="960" w:space="80"/>
            <w:col w:w="2040"/>
          </w:cols>
          <w:pgMar w:left="980" w:top="661" w:right="979" w:bottom="1440" w:gutter="0" w:footer="0" w:header="0"/>
          <w:type w:val="continuous"/>
        </w:sectPr>
      </w:pPr>
    </w:p>
    <w:p>
      <w:pPr>
        <w:spacing w:after="0" w:line="20"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4">
            <w:col w:w="2980" w:space="60"/>
            <w:col w:w="2800" w:space="720"/>
            <w:col w:w="1560" w:space="80"/>
            <w:col w:w="1740"/>
          </w:cols>
          <w:pgMar w:left="980" w:top="661" w:right="979" w:bottom="1440" w:gutter="0" w:footer="0" w:header="0"/>
          <w:type w:val="continuous"/>
        </w:sectPr>
      </w:pPr>
    </w:p>
    <w:p>
      <w:pPr>
        <w:spacing w:after="0" w:line="6"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6" w:lineRule="exact"/>
        <w:rPr>
          <w:sz w:val="24"/>
          <w:szCs w:val="24"/>
          <w:color w:val="auto"/>
        </w:rPr>
      </w:pPr>
    </w:p>
    <w:p>
      <w:pPr>
        <w:sectPr>
          <w:pgSz w:w="11900" w:h="16838" w:orient="portrait"/>
          <w:cols w:equalWidth="0" w:num="2">
            <w:col w:w="8120" w:space="80"/>
            <w:col w:w="1740"/>
          </w:cols>
          <w:pgMar w:left="980" w:top="661" w:right="979" w:bottom="1440" w:gutter="0" w:footer="0" w:header="0"/>
          <w:type w:val="continuous"/>
        </w:sectPr>
      </w:pPr>
    </w:p>
    <w:p>
      <w:pPr>
        <w:ind w:right="60" w:firstLine="415"/>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710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28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88"/>
        </w:trPr>
        <w:tc>
          <w:tcPr>
            <w:tcW w:w="2980" w:type="dxa"/>
            <w:vAlign w:val="bottom"/>
          </w:tcPr>
          <w:p>
            <w:pPr>
              <w:spacing w:after="0"/>
              <w:rPr>
                <w:sz w:val="24"/>
                <w:szCs w:val="24"/>
                <w:color w:val="auto"/>
              </w:rPr>
            </w:pPr>
          </w:p>
        </w:tc>
        <w:tc>
          <w:tcPr>
            <w:tcW w:w="3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r>
      <w:tr>
        <w:trPr>
          <w:trHeight w:val="191"/>
        </w:trPr>
        <w:tc>
          <w:tcPr>
            <w:tcW w:w="298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60" w:type="dxa"/>
            <w:vAlign w:val="bottom"/>
            <w:tcBorders>
              <w:bottom w:val="single" w:sz="8" w:color="auto"/>
              <w:right w:val="single" w:sz="8" w:color="auto"/>
            </w:tcBorders>
          </w:tcPr>
          <w:p>
            <w:pPr>
              <w:spacing w:after="0"/>
              <w:rPr>
                <w:sz w:val="16"/>
                <w:szCs w:val="16"/>
                <w:color w:val="auto"/>
              </w:rPr>
            </w:pP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Trading symbol(s)</w:t>
            </w:r>
          </w:p>
        </w:tc>
        <w:tc>
          <w:tcPr>
            <w:tcW w:w="3300" w:type="dxa"/>
            <w:vAlign w:val="bottom"/>
            <w:tcBorders>
              <w:bottom w:val="single" w:sz="8" w:color="auto"/>
              <w:right w:val="single" w:sz="8" w:color="auto"/>
            </w:tcBorders>
            <w:gridSpan w:val="2"/>
          </w:tcPr>
          <w:p>
            <w:pPr>
              <w:jc w:val="center"/>
              <w:ind w:right="4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2980" w:type="dxa"/>
            <w:vAlign w:val="bottom"/>
            <w:tcBorders>
              <w:left w:val="single" w:sz="8" w:color="auto"/>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60" w:type="dxa"/>
            <w:vAlign w:val="bottom"/>
            <w:tcBorders>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color w:val="auto"/>
              </w:rPr>
              <w:t>BPMC</w:t>
            </w:r>
          </w:p>
        </w:tc>
        <w:tc>
          <w:tcPr>
            <w:tcW w:w="460" w:type="dxa"/>
            <w:vAlign w:val="bottom"/>
            <w:tcBorders>
              <w:bottom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205"/>
        </w:trPr>
        <w:tc>
          <w:tcPr>
            <w:tcW w:w="7100" w:type="dxa"/>
            <w:vAlign w:val="bottom"/>
            <w:gridSpan w:val="4"/>
          </w:tcPr>
          <w:p>
            <w:pPr>
              <w:ind w:left="420"/>
              <w:spacing w:after="0"/>
              <w:rPr>
                <w:sz w:val="20"/>
                <w:szCs w:val="20"/>
                <w:color w:val="auto"/>
              </w:rPr>
            </w:pPr>
            <w:r>
              <w:rPr>
                <w:rFonts w:ascii="Times New Roman" w:cs="Times New Roman" w:eastAsia="Times New Roman" w:hAnsi="Times New Roman"/>
                <w:sz w:val="14"/>
                <w:szCs w:val="14"/>
                <w:color w:val="auto"/>
              </w:rPr>
              <w:t>Number of shares of the registrant’s common stock, $0.001 par value, outstanding on October 28, 2024: 63,525,838</w:t>
            </w:r>
          </w:p>
        </w:tc>
        <w:tc>
          <w:tcPr>
            <w:tcW w:w="2840" w:type="dxa"/>
            <w:vAlign w:val="bottom"/>
          </w:tcPr>
          <w:p>
            <w:pPr>
              <w:spacing w:after="0"/>
              <w:rPr>
                <w:sz w:val="17"/>
                <w:szCs w:val="17"/>
                <w:color w:val="auto"/>
              </w:rPr>
            </w:pPr>
          </w:p>
        </w:tc>
      </w:tr>
      <w:tr>
        <w:trPr>
          <w:trHeight w:val="1326"/>
        </w:trPr>
        <w:tc>
          <w:tcPr>
            <w:tcW w:w="2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160" w:type="dxa"/>
            <w:vAlign w:val="bottom"/>
            <w:gridSpan w:val="8"/>
            <w:vMerge w:val="restart"/>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6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160" w:type="dxa"/>
            <w:vAlign w:val="bottom"/>
            <w:tcBorders>
              <w:bottom w:val="single" w:sz="8" w:color="0000EE"/>
            </w:tcBorders>
            <w:gridSpan w:val="8"/>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220" w:type="dxa"/>
            <w:vAlign w:val="bottom"/>
            <w:vMerge w:val="restart"/>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65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and December 31, 2023</w:t>
            </w:r>
          </w:p>
        </w:tc>
        <w:tc>
          <w:tcPr>
            <w:tcW w:w="4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6580" w:type="dxa"/>
            <w:vAlign w:val="bottom"/>
            <w:tcBorders>
              <w:bottom w:val="single" w:sz="8" w:color="0000EE"/>
            </w:tcBorders>
            <w:gridSpan w:val="18"/>
            <w:vMerge w:val="continue"/>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nine</w:t>
            </w: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7660" w:type="dxa"/>
            <w:vAlign w:val="bottom"/>
            <w:gridSpan w:val="22"/>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w w:val="99"/>
              </w:rPr>
              <w:t>months ended September 30, 2024 and 2023</w:t>
            </w:r>
          </w:p>
        </w:tc>
        <w:tc>
          <w:tcPr>
            <w:tcW w:w="800" w:type="dxa"/>
            <w:vAlign w:val="bottom"/>
            <w:tcBorders>
              <w:top w:val="single" w:sz="8" w:color="0000EE"/>
              <w:bottom w:val="single" w:sz="8" w:color="0000EE"/>
            </w:tcBorders>
          </w:tcPr>
          <w:p>
            <w:pPr>
              <w:spacing w:after="0"/>
              <w:rPr>
                <w:sz w:val="17"/>
                <w:szCs w:val="17"/>
                <w:color w:val="auto"/>
              </w:rPr>
            </w:pPr>
          </w:p>
        </w:tc>
        <w:tc>
          <w:tcPr>
            <w:tcW w:w="280" w:type="dxa"/>
            <w:vAlign w:val="bottom"/>
            <w:tcBorders>
              <w:top w:val="single" w:sz="8" w:color="0000EE"/>
              <w:bottom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rPr>
                <w:sz w:val="17"/>
                <w:szCs w:val="17"/>
                <w:color w:val="auto"/>
              </w:rPr>
            </w:pPr>
          </w:p>
        </w:tc>
        <w:tc>
          <w:tcPr>
            <w:tcW w:w="80" w:type="dxa"/>
            <w:vAlign w:val="bottom"/>
            <w:tcBorders>
              <w:top w:val="single" w:sz="8" w:color="0000EE"/>
              <w:bottom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6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 months ended</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9"/>
              </w:rPr>
              <w:t>September 30, 2024 and 2023</w:t>
            </w:r>
          </w:p>
        </w:tc>
        <w:tc>
          <w:tcPr>
            <w:tcW w:w="140" w:type="dxa"/>
            <w:vAlign w:val="bottom"/>
            <w:tcBorders>
              <w:top w:val="single" w:sz="8" w:color="0000EE"/>
              <w:bottom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rPr>
                <w:sz w:val="17"/>
                <w:szCs w:val="17"/>
                <w:color w:val="auto"/>
              </w:rPr>
            </w:pPr>
          </w:p>
        </w:tc>
        <w:tc>
          <w:tcPr>
            <w:tcW w:w="280" w:type="dxa"/>
            <w:vAlign w:val="bottom"/>
            <w:tcBorders>
              <w:top w:val="single" w:sz="8" w:color="0000EE"/>
              <w:bottom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6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 and</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2023</w:t>
            </w: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0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280" w:type="dxa"/>
            <w:vAlign w:val="bottom"/>
            <w:gridSpan w:val="5"/>
            <w:vMerge w:val="restart"/>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70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280" w:type="dxa"/>
            <w:vAlign w:val="bottom"/>
            <w:gridSpan w:val="5"/>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020" w:type="dxa"/>
            <w:vAlign w:val="bottom"/>
            <w:tcBorders>
              <w:bottom w:val="single" w:sz="8" w:color="0000EE"/>
            </w:tcBorders>
            <w:gridSpan w:val="18"/>
            <w:vMerge w:val="continue"/>
          </w:tcPr>
          <w:p>
            <w:pPr>
              <w:spacing w:after="0"/>
              <w:rPr>
                <w:sz w:val="15"/>
                <w:szCs w:val="15"/>
                <w:color w:val="auto"/>
              </w:rPr>
            </w:pPr>
          </w:p>
        </w:tc>
        <w:tc>
          <w:tcPr>
            <w:tcW w:w="1280" w:type="dxa"/>
            <w:vAlign w:val="bottom"/>
            <w:gridSpan w:val="5"/>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1"/>
        </w:trPr>
        <w:tc>
          <w:tcPr>
            <w:tcW w:w="492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86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20" w:type="dxa"/>
            <w:vAlign w:val="bottom"/>
            <w:tcBorders>
              <w:bottom w:val="single" w:sz="8" w:color="0000EE"/>
            </w:tcBorders>
            <w:gridSpan w:val="15"/>
            <w:vMerge w:val="continue"/>
          </w:tcPr>
          <w:p>
            <w:pPr>
              <w:spacing w:after="0"/>
              <w:rPr>
                <w:sz w:val="15"/>
                <w:szCs w:val="15"/>
                <w:color w:val="auto"/>
              </w:rPr>
            </w:pPr>
          </w:p>
        </w:tc>
        <w:tc>
          <w:tcPr>
            <w:tcW w:w="860" w:type="dxa"/>
            <w:vAlign w:val="bottom"/>
            <w:vMerge w:val="restart"/>
          </w:tcPr>
          <w:p>
            <w:pPr>
              <w:spacing w:after="0"/>
              <w:rPr>
                <w:sz w:val="15"/>
                <w:szCs w:val="15"/>
                <w:color w:val="auto"/>
              </w:rPr>
            </w:pPr>
          </w:p>
        </w:tc>
        <w:tc>
          <w:tcPr>
            <w:tcW w:w="2520" w:type="dxa"/>
            <w:vAlign w:val="bottom"/>
            <w:gridSpan w:val="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61"/>
        </w:trPr>
        <w:tc>
          <w:tcPr>
            <w:tcW w:w="2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00" w:type="dxa"/>
            <w:vAlign w:val="bottom"/>
            <w:gridSpan w:val="3"/>
          </w:tcPr>
          <w:p>
            <w:pPr>
              <w:spacing w:after="0"/>
              <w:rPr>
                <w:sz w:val="5"/>
                <w:szCs w:val="5"/>
                <w:color w:val="auto"/>
              </w:rPr>
            </w:pPr>
          </w:p>
        </w:tc>
        <w:tc>
          <w:tcPr>
            <w:tcW w:w="1980" w:type="dxa"/>
            <w:vAlign w:val="bottom"/>
            <w:gridSpan w:val="4"/>
          </w:tcPr>
          <w:p>
            <w:pPr>
              <w:spacing w:after="0"/>
              <w:rPr>
                <w:sz w:val="5"/>
                <w:szCs w:val="5"/>
                <w:color w:val="auto"/>
              </w:rPr>
            </w:pPr>
          </w:p>
        </w:tc>
        <w:tc>
          <w:tcPr>
            <w:tcW w:w="860" w:type="dxa"/>
            <w:vAlign w:val="bottom"/>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0000EE"/>
            </w:tcBorders>
            <w:gridSpan w:val="8"/>
            <w:vMerge w:val="continue"/>
          </w:tcPr>
          <w:p>
            <w:pPr>
              <w:spacing w:after="0"/>
              <w:rPr>
                <w:sz w:val="15"/>
                <w:szCs w:val="15"/>
                <w:color w:val="auto"/>
              </w:rPr>
            </w:pPr>
          </w:p>
        </w:tc>
        <w:tc>
          <w:tcPr>
            <w:tcW w:w="600" w:type="dxa"/>
            <w:vAlign w:val="bottom"/>
            <w:gridSpan w:val="3"/>
            <w:vMerge w:val="restart"/>
          </w:tcPr>
          <w:p>
            <w:pPr>
              <w:spacing w:after="0"/>
              <w:rPr>
                <w:sz w:val="15"/>
                <w:szCs w:val="15"/>
                <w:color w:val="auto"/>
              </w:rPr>
            </w:pPr>
          </w:p>
        </w:tc>
        <w:tc>
          <w:tcPr>
            <w:tcW w:w="2840" w:type="dxa"/>
            <w:vAlign w:val="bottom"/>
            <w:gridSpan w:val="5"/>
            <w:vMerge w:val="restart"/>
          </w:tcPr>
          <w:p>
            <w:pPr>
              <w:spacing w:after="0"/>
              <w:rPr>
                <w:sz w:val="15"/>
                <w:szCs w:val="15"/>
                <w:color w:val="auto"/>
              </w:rPr>
            </w:pPr>
          </w:p>
        </w:tc>
        <w:tc>
          <w:tcPr>
            <w:tcW w:w="2520" w:type="dxa"/>
            <w:vAlign w:val="bottom"/>
            <w:gridSpan w:val="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61"/>
        </w:trPr>
        <w:tc>
          <w:tcPr>
            <w:tcW w:w="76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3"/>
          </w:tcPr>
          <w:p>
            <w:pPr>
              <w:jc w:val="center"/>
              <w:ind w:right="2380"/>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1040" w:type="dxa"/>
            <w:vAlign w:val="bottom"/>
            <w:gridSpan w:val="4"/>
            <w:vMerge w:val="restart"/>
          </w:tcPr>
          <w:p>
            <w:pPr>
              <w:spacing w:after="0"/>
              <w:rPr>
                <w:sz w:val="21"/>
                <w:szCs w:val="21"/>
                <w:color w:val="auto"/>
              </w:rPr>
            </w:pPr>
          </w:p>
        </w:tc>
        <w:tc>
          <w:tcPr>
            <w:tcW w:w="2840" w:type="dxa"/>
            <w:vAlign w:val="bottom"/>
            <w:tcBorders>
              <w:top w:val="single" w:sz="8" w:color="0000EE"/>
              <w:bottom w:val="single" w:sz="8" w:color="0000EE"/>
            </w:tcBorders>
            <w:gridSpan w:val="5"/>
            <w:vMerge w:val="restart"/>
          </w:tcPr>
          <w:p>
            <w:pPr>
              <w:spacing w:after="0"/>
              <w:rPr>
                <w:sz w:val="21"/>
                <w:szCs w:val="21"/>
                <w:color w:val="auto"/>
              </w:rPr>
            </w:pPr>
          </w:p>
        </w:tc>
        <w:tc>
          <w:tcPr>
            <w:tcW w:w="2520" w:type="dxa"/>
            <w:vAlign w:val="bottom"/>
            <w:gridSpan w:val="7"/>
            <w:vMerge w:val="restart"/>
          </w:tcPr>
          <w:p>
            <w:pPr>
              <w:spacing w:after="0"/>
              <w:rPr>
                <w:sz w:val="21"/>
                <w:szCs w:val="2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61"/>
        </w:trPr>
        <w:tc>
          <w:tcPr>
            <w:tcW w:w="1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00" w:type="dxa"/>
            <w:vAlign w:val="bottom"/>
            <w:tcBorders>
              <w:bottom w:val="single" w:sz="8" w:color="0000EE"/>
            </w:tcBorders>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6420" w:type="dxa"/>
            <w:vAlign w:val="bottom"/>
            <w:gridSpan w:val="1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61"/>
        </w:trPr>
        <w:tc>
          <w:tcPr>
            <w:tcW w:w="18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6420" w:type="dxa"/>
            <w:vAlign w:val="bottom"/>
            <w:gridSpan w:val="1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880" w:type="dxa"/>
            <w:vAlign w:val="bottom"/>
            <w:tcBorders>
              <w:bottom w:val="single" w:sz="8" w:color="0000EE"/>
            </w:tcBorders>
            <w:gridSpan w:val="6"/>
            <w:vMerge w:val="continue"/>
          </w:tcPr>
          <w:p>
            <w:pPr>
              <w:spacing w:after="0"/>
              <w:rPr>
                <w:sz w:val="15"/>
                <w:szCs w:val="15"/>
                <w:color w:val="auto"/>
              </w:rPr>
            </w:pPr>
          </w:p>
        </w:tc>
        <w:tc>
          <w:tcPr>
            <w:tcW w:w="6420" w:type="dxa"/>
            <w:vAlign w:val="bottom"/>
            <w:gridSpan w:val="17"/>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1"/>
        </w:trPr>
        <w:tc>
          <w:tcPr>
            <w:tcW w:w="1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720" w:type="dxa"/>
            <w:vAlign w:val="bottom"/>
            <w:gridSpan w:val="2"/>
          </w:tcPr>
          <w:p>
            <w:pPr>
              <w:spacing w:after="0"/>
              <w:rPr>
                <w:sz w:val="5"/>
                <w:szCs w:val="5"/>
                <w:color w:val="auto"/>
              </w:rPr>
            </w:pPr>
          </w:p>
        </w:tc>
        <w:tc>
          <w:tcPr>
            <w:tcW w:w="6420" w:type="dxa"/>
            <w:vAlign w:val="bottom"/>
            <w:gridSpan w:val="1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60" w:type="dxa"/>
            <w:vAlign w:val="bottom"/>
            <w:tcBorders>
              <w:bottom w:val="single" w:sz="8" w:color="0000EE"/>
            </w:tcBorders>
            <w:gridSpan w:val="4"/>
            <w:vMerge w:val="continue"/>
          </w:tcPr>
          <w:p>
            <w:pPr>
              <w:spacing w:after="0"/>
              <w:rPr>
                <w:sz w:val="15"/>
                <w:szCs w:val="15"/>
                <w:color w:val="auto"/>
              </w:rPr>
            </w:pPr>
          </w:p>
        </w:tc>
        <w:tc>
          <w:tcPr>
            <w:tcW w:w="7140" w:type="dxa"/>
            <w:vAlign w:val="bottom"/>
            <w:gridSpan w:val="19"/>
            <w:vMerge w:val="restart"/>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43"/>
        </w:trPr>
        <w:tc>
          <w:tcPr>
            <w:tcW w:w="760" w:type="dxa"/>
            <w:vAlign w:val="bottom"/>
            <w:gridSpan w:val="2"/>
          </w:tcPr>
          <w:p>
            <w:pPr>
              <w:spacing w:after="0"/>
              <w:rPr>
                <w:sz w:val="3"/>
                <w:szCs w:val="3"/>
                <w:color w:val="auto"/>
              </w:rPr>
            </w:pPr>
          </w:p>
        </w:tc>
        <w:tc>
          <w:tcPr>
            <w:tcW w:w="400" w:type="dxa"/>
            <w:vAlign w:val="bottom"/>
            <w:gridSpan w:val="2"/>
          </w:tcPr>
          <w:p>
            <w:pPr>
              <w:spacing w:after="0"/>
              <w:rPr>
                <w:sz w:val="3"/>
                <w:szCs w:val="3"/>
                <w:color w:val="auto"/>
              </w:rPr>
            </w:pPr>
          </w:p>
        </w:tc>
        <w:tc>
          <w:tcPr>
            <w:tcW w:w="7140" w:type="dxa"/>
            <w:vAlign w:val="bottom"/>
            <w:gridSpan w:val="19"/>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83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Signatures</w:t>
            </w: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right="259" w:firstLine="648"/>
        <w:spacing w:after="0" w:line="219"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and associated logos are trademarks of Blueprint Medicines Corporation. GAVRETO</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and associated logos are trademarks of Blueprint Medicines Corporation outside of the United States. Other brands, names and trademarks contained in this Quarterly Report on Form 10-Q are the property of their respective owners.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a variation or the negative of these words or other comparable terminology, although not all forward-looking statements contain these identifying words.</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124" w:lineRule="exact"/>
        <w:rPr>
          <w:sz w:val="20"/>
          <w:szCs w:val="20"/>
          <w:color w:val="auto"/>
        </w:rPr>
      </w:pPr>
    </w:p>
    <w:p>
      <w:pPr>
        <w:ind w:left="1380" w:right="19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actions, filings and approvals for our current and future drug candidates, including our ability to obtain marketing approval for avapritinib in additional geographies;</w:t>
      </w:r>
    </w:p>
    <w:p>
      <w:pPr>
        <w:spacing w:after="0" w:line="58" w:lineRule="exact"/>
        <w:rPr>
          <w:rFonts w:ascii="Times New Roman" w:cs="Times New Roman" w:eastAsia="Times New Roman" w:hAnsi="Times New Roman"/>
          <w:sz w:val="17"/>
          <w:szCs w:val="17"/>
          <w:color w:val="auto"/>
        </w:rPr>
      </w:pPr>
    </w:p>
    <w:p>
      <w:pPr>
        <w:ind w:left="1380" w:right="79" w:hanging="331"/>
        <w:spacing w:after="0" w:line="23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(avapritinib) (marketed in Europe under the brand name AYVAKYT</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and any current and future drug candidates for which we receive marketing approval;</w:t>
      </w:r>
    </w:p>
    <w:p>
      <w:pPr>
        <w:spacing w:after="0" w:line="18" w:lineRule="exact"/>
        <w:rPr>
          <w:rFonts w:ascii="Times New Roman" w:cs="Times New Roman" w:eastAsia="Times New Roman" w:hAnsi="Times New Roman"/>
          <w:sz w:val="18"/>
          <w:szCs w:val="18"/>
          <w:color w:val="auto"/>
        </w:rPr>
      </w:pPr>
    </w:p>
    <w:p>
      <w:pPr>
        <w:ind w:left="1380" w:right="319" w:hanging="331"/>
        <w:spacing w:after="0" w:line="312" w:lineRule="auto"/>
        <w:tabs>
          <w:tab w:leader="none" w:pos="1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benefits of AYVAKIT/AYVAKYT and any current and future drug candidates in treating patients with indolent systemic mastocytosis (SM) and advanced SM;</w:t>
      </w:r>
    </w:p>
    <w:p>
      <w:pPr>
        <w:spacing w:after="0" w:line="72" w:lineRule="exact"/>
        <w:rPr>
          <w:rFonts w:ascii="Times New Roman" w:cs="Times New Roman" w:eastAsia="Times New Roman" w:hAnsi="Times New Roman"/>
          <w:sz w:val="17"/>
          <w:szCs w:val="17"/>
          <w:color w:val="auto"/>
        </w:rPr>
      </w:pPr>
    </w:p>
    <w:p>
      <w:pPr>
        <w:ind w:left="1380" w:right="4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and any current and future drug candidates for which we receive marketing approval;</w:t>
      </w:r>
    </w:p>
    <w:p>
      <w:pPr>
        <w:spacing w:after="0" w:line="108"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and any current and future drug candidates for which we receive marketing approval;</w:t>
      </w:r>
    </w:p>
    <w:p>
      <w:pPr>
        <w:spacing w:after="0" w:line="94" w:lineRule="exact"/>
        <w:rPr>
          <w:rFonts w:ascii="Times New Roman" w:cs="Times New Roman" w:eastAsia="Times New Roman" w:hAnsi="Times New Roman"/>
          <w:sz w:val="18"/>
          <w:szCs w:val="18"/>
          <w:color w:val="auto"/>
        </w:rPr>
      </w:pPr>
    </w:p>
    <w:p>
      <w:pPr>
        <w:jc w:val="both"/>
        <w:ind w:left="1380" w:right="4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8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44" w:lineRule="exact"/>
        <w:rPr>
          <w:rFonts w:ascii="Times New Roman" w:cs="Times New Roman" w:eastAsia="Times New Roman" w:hAnsi="Times New Roman"/>
          <w:sz w:val="18"/>
          <w:szCs w:val="18"/>
          <w:color w:val="auto"/>
        </w:rPr>
      </w:pPr>
    </w:p>
    <w:p>
      <w:pPr>
        <w:ind w:left="1380" w:right="339" w:hanging="331"/>
        <w:spacing w:after="0" w:line="258"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0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67"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length of protection we are able to establish and maintain for intellectual property rights covering our current and future drugs, drug candidates and technology;</w:t>
      </w:r>
    </w:p>
    <w:p>
      <w:pPr>
        <w:spacing w:after="0" w:line="80" w:lineRule="exact"/>
        <w:rPr>
          <w:rFonts w:ascii="Times New Roman" w:cs="Times New Roman" w:eastAsia="Times New Roman" w:hAnsi="Times New Roman"/>
          <w:sz w:val="18"/>
          <w:szCs w:val="18"/>
          <w:color w:val="auto"/>
        </w:rPr>
      </w:pPr>
    </w:p>
    <w:p>
      <w:pPr>
        <w:ind w:left="1380" w:right="319" w:hanging="331"/>
        <w:spacing w:after="0" w:line="254"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CStone Pharmaceuticals (CStone) to develop and commercialize avapritinib, pralsetinib and fisogatinib in the CStone Territory (as defined below), and our collaboration with VantAI, Inc. (VantAI), to research and advance novel targeted protein degrader therapies, as well as our ability to maintain these collaborations and establish additional strategic collaborations;</w:t>
      </w:r>
    </w:p>
    <w:p>
      <w:pPr>
        <w:spacing w:after="0" w:line="92" w:lineRule="exact"/>
        <w:rPr>
          <w:rFonts w:ascii="Times New Roman" w:cs="Times New Roman" w:eastAsia="Times New Roman" w:hAnsi="Times New Roman"/>
          <w:sz w:val="18"/>
          <w:szCs w:val="18"/>
          <w:color w:val="auto"/>
        </w:rPr>
      </w:pPr>
    </w:p>
    <w:p>
      <w:pPr>
        <w:ind w:left="1380" w:right="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a wholly-owned subsidiary of Ipsen S.A. (Clementia), to develop and commercialize BLU-782 for fibrodysplasia ossificans progressiva;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83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 of our strategic financing transactions with Garnich Adjacent Investments S.a.r.l. and Tao Talents, LLC, both affiliates of Sixth Street Partners;</w:t>
      </w:r>
    </w:p>
    <w:p>
      <w:pPr>
        <w:spacing w:after="0" w:line="94" w:lineRule="exact"/>
        <w:rPr>
          <w:rFonts w:ascii="Times New Roman" w:cs="Times New Roman" w:eastAsia="Times New Roman" w:hAnsi="Times New Roman"/>
          <w:sz w:val="18"/>
          <w:szCs w:val="18"/>
          <w:color w:val="auto"/>
        </w:rPr>
      </w:pPr>
    </w:p>
    <w:p>
      <w:pPr>
        <w:jc w:val="both"/>
        <w:ind w:left="1380" w:right="15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 alternative partner for future development and otherwise realize the benefits of the collaboration compounds retained by us following the mutual termination of our cancer immunotherapy collaboration with F. Hoffmann-La Roche Ltd and Hoffman-La Roche Inc.;</w:t>
      </w:r>
    </w:p>
    <w:p>
      <w:pPr>
        <w:spacing w:after="0" w:line="108" w:lineRule="exact"/>
        <w:rPr>
          <w:rFonts w:ascii="Times New Roman" w:cs="Times New Roman" w:eastAsia="Times New Roman" w:hAnsi="Times New Roman"/>
          <w:sz w:val="18"/>
          <w:szCs w:val="18"/>
          <w:color w:val="auto"/>
        </w:rPr>
      </w:pPr>
    </w:p>
    <w:p>
      <w:pPr>
        <w:ind w:left="1380" w:right="299" w:hanging="331"/>
        <w:spacing w:after="0" w:line="258"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license agreement with IDRx, Inc. (IDRx) to develop our development candidate-stage KIT exon 13 inhibitor, IDRX-73, for the treatment of drug-resistant mutations of non-PDGFR-driven gastrointestinal stromal tumor (GIST);</w:t>
      </w:r>
    </w:p>
    <w:p>
      <w:pPr>
        <w:spacing w:after="0" w:line="115"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9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5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litigation matters; and</w:t>
      </w:r>
    </w:p>
    <w:p>
      <w:pPr>
        <w:spacing w:after="0" w:line="144" w:lineRule="exact"/>
        <w:rPr>
          <w:rFonts w:ascii="Times New Roman" w:cs="Times New Roman" w:eastAsia="Times New Roman" w:hAnsi="Times New Roman"/>
          <w:sz w:val="18"/>
          <w:szCs w:val="18"/>
          <w:color w:val="auto"/>
        </w:rPr>
      </w:pPr>
    </w:p>
    <w:p>
      <w:pPr>
        <w:ind w:left="1380" w:right="619" w:hanging="331"/>
        <w:spacing w:after="0" w:line="312"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or potential benefits of designations granted by the U.S. Food and Drug Administration (FDA), such as orphan drug, fast track and breakthrough therapy designation or priority review.</w:t>
      </w:r>
    </w:p>
    <w:p>
      <w:pPr>
        <w:spacing w:after="0" w:line="7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1A,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96"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70" w:lineRule="exact"/>
        <w:rPr>
          <w:sz w:val="20"/>
          <w:szCs w:val="20"/>
          <w:color w:val="auto"/>
        </w:rPr>
      </w:pPr>
    </w:p>
    <w:p>
      <w:pPr>
        <w:ind w:left="60" w:right="339"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7"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For purposes of this Quarterly Report on Form 10-Q, including the footnotes to our condensed consolidated financial statements, (i) with respect to the terminated collaboration for pralsetinib, Roche means F. Hoffmann-La Roche Ltd and Genentech, Inc., (ii) with respect to our terminated cancer immunotherapy collaboration, Roche means F. Hoffmann-La Roche Ltd and Hoffmann-La Roche Inc., (iii) with respect to our financing transactions with Sixth Street Partners, Sixth Street Partners means Garnich Adjacent Investments S.a.r.l. and/or Tao Talents, LLC, and (iv) with respect to our targeted protein degrader therapies collaboration, Proteovant means Oncopia Therapeutics, Inc., d/b/a SK Life Science Labs (formerly known as Proteovant Therapeutics,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662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89,356</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71,286</w:t>
            </w:r>
          </w:p>
        </w:tc>
        <w:tc>
          <w:tcPr>
            <w:tcW w:w="0" w:type="dxa"/>
            <w:vAlign w:val="bottom"/>
          </w:tcPr>
          <w:p>
            <w:pPr>
              <w:spacing w:after="0"/>
              <w:rPr>
                <w:sz w:val="1"/>
                <w:szCs w:val="1"/>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644,817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639,355</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65,814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0" w:type="dxa"/>
            <w:vAlign w:val="bottom"/>
          </w:tcPr>
          <w:p>
            <w:pPr>
              <w:spacing w:after="0"/>
              <w:rPr>
                <w:sz w:val="1"/>
                <w:szCs w:val="1"/>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42,333</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33,702</w:t>
            </w:r>
          </w:p>
        </w:tc>
        <w:tc>
          <w:tcPr>
            <w:tcW w:w="0" w:type="dxa"/>
            <w:vAlign w:val="bottom"/>
          </w:tcPr>
          <w:p>
            <w:pPr>
              <w:spacing w:after="0"/>
              <w:rPr>
                <w:sz w:val="1"/>
                <w:szCs w:val="1"/>
                <w:color w:val="auto"/>
              </w:rPr>
            </w:pPr>
          </w:p>
        </w:tc>
      </w:tr>
      <w:tr>
        <w:trPr>
          <w:trHeight w:val="183"/>
        </w:trPr>
        <w:tc>
          <w:tcPr>
            <w:tcW w:w="6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854,848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808,393</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148,180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56,530</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41,959</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73,691</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27,789</w:t>
            </w:r>
          </w:p>
        </w:tc>
        <w:tc>
          <w:tcPr>
            <w:tcW w:w="0" w:type="dxa"/>
            <w:vAlign w:val="bottom"/>
          </w:tcPr>
          <w:p>
            <w:pPr>
              <w:spacing w:after="0"/>
              <w:rPr>
                <w:sz w:val="1"/>
                <w:szCs w:val="1"/>
                <w:color w:val="auto"/>
              </w:rPr>
            </w:pPr>
          </w:p>
        </w:tc>
      </w:tr>
      <w:tr>
        <w:trPr>
          <w:trHeight w:val="189"/>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52,153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30,650</w:t>
            </w: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1,199,649</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1,049,250</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127,992</w:t>
            </w:r>
          </w:p>
        </w:tc>
        <w:tc>
          <w:tcPr>
            <w:tcW w:w="0" w:type="dxa"/>
            <w:vAlign w:val="bottom"/>
          </w:tcPr>
          <w:p>
            <w:pPr>
              <w:spacing w:after="0"/>
              <w:rPr>
                <w:sz w:val="1"/>
                <w:szCs w:val="1"/>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11,933</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189"/>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liabilities related to the sale of future royalties and revenues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39,198</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45,032</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30,278</w:t>
            </w:r>
          </w:p>
        </w:tc>
        <w:tc>
          <w:tcPr>
            <w:tcW w:w="0" w:type="dxa"/>
            <w:vAlign w:val="bottom"/>
          </w:tcPr>
          <w:p>
            <w:pPr>
              <w:spacing w:after="0"/>
              <w:rPr>
                <w:sz w:val="1"/>
                <w:szCs w:val="1"/>
                <w:color w:val="auto"/>
              </w:rPr>
            </w:pPr>
          </w:p>
        </w:tc>
      </w:tr>
      <w:tr>
        <w:trPr>
          <w:trHeight w:val="183"/>
        </w:trPr>
        <w:tc>
          <w:tcPr>
            <w:tcW w:w="6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257,661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214,923</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81,751</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related to the sale of future royalties and revenues, net of current portion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201,304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402,427</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Term loan, net of current portion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341,537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208,535</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0" w:type="dxa"/>
            <w:vAlign w:val="bottom"/>
          </w:tcPr>
          <w:p>
            <w:pPr>
              <w:spacing w:after="0"/>
              <w:rPr>
                <w:sz w:val="1"/>
                <w:szCs w:val="1"/>
                <w:color w:val="auto"/>
              </w:rPr>
            </w:pPr>
          </w:p>
        </w:tc>
      </w:tr>
      <w:tr>
        <w:trPr>
          <w:trHeight w:val="183"/>
        </w:trPr>
        <w:tc>
          <w:tcPr>
            <w:tcW w:w="66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886,501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918,641</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66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Common stock, $0.001 par value; 120,000,000 shares authorized; 63,454,673 and 61,147,236 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at September 30, 2024 and December 31, 2023,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2,671,231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2,473,985</w:t>
            </w:r>
          </w:p>
        </w:tc>
        <w:tc>
          <w:tcPr>
            <w:tcW w:w="0" w:type="dxa"/>
            <w:vAlign w:val="bottom"/>
          </w:tcPr>
          <w:p>
            <w:pPr>
              <w:spacing w:after="0"/>
              <w:rPr>
                <w:sz w:val="1"/>
                <w:szCs w:val="1"/>
                <w:color w:val="auto"/>
              </w:rPr>
            </w:pP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(2,357,076)</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(2,339,942)</w:t>
            </w: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313,148</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130,609</w:t>
            </w:r>
          </w:p>
        </w:tc>
        <w:tc>
          <w:tcPr>
            <w:tcW w:w="0" w:type="dxa"/>
            <w:vAlign w:val="bottom"/>
          </w:tcPr>
          <w:p>
            <w:pPr>
              <w:spacing w:after="0"/>
              <w:rPr>
                <w:sz w:val="1"/>
                <w:szCs w:val="1"/>
                <w:color w:val="auto"/>
              </w:rPr>
            </w:pPr>
          </w:p>
        </w:tc>
      </w:tr>
      <w:tr>
        <w:trPr>
          <w:trHeight w:val="183"/>
        </w:trPr>
        <w:tc>
          <w:tcPr>
            <w:tcW w:w="66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1,199,649</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1,049,250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49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Collaboration, license and other revenue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177,423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330,184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215,826</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558,591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Debt extinguishment gain</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(395,161)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(133,713)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(396,068)</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gains on available-for-sale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(388,308)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 loss per</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63,381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60,688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62,608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0" w:type="dxa"/>
            <w:vAlign w:val="bottom"/>
          </w:tcPr>
          <w:p>
            <w:pPr>
              <w:spacing w:after="0"/>
              <w:rPr>
                <w:sz w:val="1"/>
                <w:szCs w:val="1"/>
                <w:color w:val="auto"/>
              </w:rPr>
            </w:pPr>
          </w:p>
        </w:tc>
      </w:tr>
      <w:tr>
        <w:trPr>
          <w:trHeight w:val="221"/>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share - basic and diluted</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0" w:right="59"/>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Blueprint Medicines Corporation Condensed Consolidated Statements of Stockholders’ Equity (in thousands, except share data) </w:t>
      </w:r>
      <w:r>
        <w:rPr>
          <w:rFonts w:ascii="Times New Roman" w:cs="Times New Roman" w:eastAsia="Times New Roman" w:hAnsi="Times New Roman"/>
          <w:sz w:val="18"/>
          <w:szCs w:val="18"/>
          <w:b w:val="1"/>
          <w:bCs w:val="1"/>
          <w:i w:val="1"/>
          <w:iCs w:val="1"/>
          <w:color w:val="auto"/>
        </w:rPr>
        <w:t>(Unaudited)</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77"/>
              <w:spacing w:after="0" w:line="144"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7"/>
              <w:spacing w:after="0" w:line="144"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61,147,236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2,473,985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(2,339,942)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902,292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544,719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2024</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62,594,247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2,565,277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(3,847)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(2,250,806)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310,687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571,478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at June 30, 2024</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63,165,725</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2,624,868</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(3,890)</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(2,300,800)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320,241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63,454,673</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63</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2,671,231</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(1,070)</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(2,357,076)</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313,148</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59,958,919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2,358,018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(10,443)</w:t>
            </w:r>
          </w:p>
        </w:tc>
        <w:tc>
          <w:tcPr>
            <w:tcW w:w="6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(1,832,958)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514,677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457,416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2023</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60,416,335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2,381,358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(4,602)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(1,962,518)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414,298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 and stock purchase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June 30,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60,638,275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2,410,601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(2,095,312)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311,129</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60,740,744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2,434,258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(2,229,025)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202,611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61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(396,068)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(accretion of discount) amortization of premium on investments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debt extinguishment gain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accounts payable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16"/>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0" w:type="dxa"/>
            <w:vAlign w:val="bottom"/>
          </w:tcPr>
          <w:p>
            <w:pPr>
              <w:spacing w:after="0"/>
              <w:rPr>
                <w:sz w:val="1"/>
                <w:szCs w:val="1"/>
                <w:color w:val="auto"/>
              </w:rPr>
            </w:pPr>
          </w:p>
        </w:tc>
      </w:tr>
      <w:tr>
        <w:trPr>
          <w:trHeight w:val="209"/>
        </w:trPr>
        <w:tc>
          <w:tcPr>
            <w:tcW w:w="6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(648,705)</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679,150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855,365</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195,271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at-the-market offerings, net of issuance costs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term loan facility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97,968</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payments for financing arrangements</w:t>
            </w: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124,904</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65,668</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6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taxes, net</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global fully-integrated biopharmaceutical company that invents life-changing medicines in two core focus areas: allergy/inflammation and oncology/hematology. The Company’s approach targets the root causes of disease, using deep scientific knowledge in the Company’s core focus areas and drug discovery expertise across multiple therapeutic modalities.</w:t>
      </w:r>
    </w:p>
    <w:p>
      <w:pPr>
        <w:spacing w:after="0" w:line="18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 Company has a track record of success with two approved medicines, including AYVAKIT®/AYVAKYT® (avapritinib), which the Company is bringing to patients living with systemic mastocytosis (SM) and PDGFRA Exon 18 mutant GIST in the U.S. and Europe. Leveraging the Company’s established research, development, and commercial capability and infrastructure, the Company now aims to significantly scale its impact by advancing a broad pipeline of programs ranging from early science to advanced clinical trials in mast cell diseases including SM and chronic urticaria, breast cancer and other solid tumors.</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2024, the Company had cash, cash equivalents and marketable securities of $882.4 million. Based on the Company’s current operating plans, the Company anticipates that its existing cash, cash equivalents and marketable securities will </w:t>
      </w:r>
      <w:r>
        <w:rPr>
          <w:rFonts w:ascii="Times New Roman" w:cs="Times New Roman" w:eastAsia="Times New Roman" w:hAnsi="Times New Roman"/>
          <w:sz w:val="18"/>
          <w:szCs w:val="18"/>
          <w:color w:val="212529"/>
        </w:rPr>
        <w:t>be sufficient to enable it to fund its current operations for at least the next twelve months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issuance of the financial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2023 and notes thereto included in the Company’s Annual Report on Form 10-K for the year ended December 31, 2023, filed with the SEC on February 15, 2024 (2023 Annual Report on Form 10-K).</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September 30, 2024, the results of its operations for the three and nine months ended September 30, 2024 and 2023, stockholders’ equity for the three and nine months ended September 30, 2024 and 2023 and cash flows for the nine months ended September 30, 2024 and 2023. Such adjustments are of a normal and recurring nature. The results for the three and nine months ended September 30, 2024 are not necessarily indicative of the results for the year ending December 31, 2024 or for any future period.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Actual results may differ from these estimates.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nine months ended September 30, 2024 are consistent with those discussed in Note 2 to the consolidated financial statements in the 2023 Annual Report on Form 10-K, with the exception of the below new policy.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Modification of debt instruments</w:t>
      </w:r>
    </w:p>
    <w:p>
      <w:pPr>
        <w:spacing w:after="0" w:line="227"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When the Company’s debt instrument, where the Company is the debtor, is modified or exchanged, the Company shall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pacing w:after="0" w:line="178"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w:t>
      </w:r>
      <w:r>
        <w:rPr>
          <w:rFonts w:ascii="Times New Roman" w:cs="Times New Roman" w:eastAsia="Times New Roman" w:hAnsi="Times New Roman"/>
          <w:sz w:val="18"/>
          <w:szCs w:val="18"/>
          <w:i w:val="1"/>
          <w:iCs w:val="1"/>
          <w:color w:val="auto"/>
        </w:rPr>
        <w:t>ASU 2023-07, 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is intended to improve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disclosures about significant segment expenses. The standard is effective for fiscal years beginning after December 15, 2023, and interim periods within fiscal years beginning after December 15, 2024, with early adoption permitted. The amendments will be applied retrospectively to all prior periods presented in the financial statements. The Company is currently evaluating the disclosure requirements related to this new standard.</w:t>
      </w:r>
    </w:p>
    <w:p>
      <w:pPr>
        <w:spacing w:after="0" w:line="18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2023-09, 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and income taxes paid. The disclosure requirements will be applied on a prospective basis, with the option to apply them retrospectively. The standard is effective for fiscal years beginning after December 15, 2024, with early adoption permitted. The Company is currently evaluating the disclosure requirements related to this new standard.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1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prior year’s condensed consolidated financial statements have been reclassified to conform to the current presentation.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Financing Arrangements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Royalty Pharma Purchase and Sale Agreement</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On June 30, 2022, the Company entered into a purchase and sale agreement (Royalty Purchase Agreement) with Royalty Pharma Investments 2019 ICAV (Royalty Pharma). Pursuant to the Royalty Purchase Agreement, the Company received an upfront payment of $175.0 million in consideration for the Company’s rights to receive royalty payments on the net sales of GAVRETO worldwide, excluding the CStone Territory (as defined below) and the U.S., under the terms of the Roche pralsetinib collaboration agreement.</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selling all rights to receive royalties on GAVRETO net sales of the underlying territories to Royalty Pharma, the Company maintained its involvement in the global co-development of pralsetinib with Roche and was therefore involved in the generation of these future royalties. Due to the Company’s significant continued involvement, any royalties and development and commercialization milestones earned pertaining to the underlying territory under the Roche pralsetinib collaboration agreement were recognized as collaboration revenue on the consolidated statements of operations and comprehensive income (loss) throughout the contract term of the Roche pralsetinib collaboration agreement. The net proceeds received from the transaction were recorded as a liability related to sale of future royalties and revenues on the consolidated balance sheet on June 30, 2022.</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2023, the Company received written notice from Roche of their election to terminate for convenience the Roche pralsetinib collaboration agreement. The termination became effective February 2024 and the Company regained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In connection with and effective upon the termination of the Roche pralsetinib collaboration agreement, on February 22, 2024 (the Royalty Pharma Termination Date), Royalty Pharma and the Company agreed to terminate the Royalty Purchase Agreement (Royalty Pharma Termination Agreement). Following the termination of the Royalty Purchase Agreement, the Company has no outstanding obligations under the Royalty Purchase Agreement, other than the remaining royalty payment obligation related to GAVRETO net sales through the termination effective date. As of September 30, 2024, the Company had no plan to enter into a new arrangement to commercialize GAVRETO outside of the U.S. and the CStone territory.</w:t>
      </w:r>
    </w:p>
    <w:p>
      <w:pPr>
        <w:spacing w:after="0" w:line="188"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Company has no material outstanding obligations under the Royalty Pharma Termination Agreement and it was accounted for as a debt extinguishment under ASC 470-50 as the terms and conditions of the Royalty Purchase Agreement had undergone a substantial modification and the modified terms are considered substantially different. As a result, during the nine months ended September 30, 2024, the Company recorded a debt extinguishment gain of $173.7 million as other income in the unaudited condensed consolidated statements of operations and comprehensive loss. As of September 30, 2024, the net carrying value of the Company’s liability related to these agreements was $0.7 million, which was determined based on the fair value of the remaining cash flow associated with anticipated future payments outlined in the Royalty Pharma Termination Agreement.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Arrangements with Sixth Street Partners</w:t>
      </w:r>
    </w:p>
    <w:p>
      <w:pPr>
        <w:spacing w:after="0" w:line="21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July 2022, the Company closed two transactions pursuant to a purchase and sale agreement (Future Revenue Purchase Agreement) and a debt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Purchase and Sale Agreement</w:t>
      </w:r>
    </w:p>
    <w:p>
      <w:pPr>
        <w:spacing w:after="0" w:line="227"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Pursuant to the Future Revenue Purchase Agreement, the Company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by specified dates, the royalty rate and cumulative cap shall be increased to 15% and 1.85 times the invested capital (or $462.5 million), respectively.</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continues to own the research, development, manufacturing and commercialization of AYVAKIT/AYVAKYT and if it is approved, elenestinib, and has significant continuing involvement in the generation of the cash flows under the Future Revenue Purchase Agreement. Therefore, the Company continues to account for any revenue earned from worldwide product sales of AYVAKIT/AYVAKYT and, if it is approved, elenestinib, on its unaudited condensed consolidated statements of operations and comprehensive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product sales of AYVAKIT/AYVAKYT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September 30, 2024, the Company’s estimate of this total interest expense resulted in an effective annual interest rate of 10.5%. These estimates contain assumptions that impact the amount recorded and the interest expense that will be recognized in future periods.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2024, the net carrying value of the liability related to this arrangement was $260.5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6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(26,921)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1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as of September 30</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260,470</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264,887</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Sixth Street Partners Term Loan</w:t>
      </w:r>
    </w:p>
    <w:p>
      <w:pPr>
        <w:spacing w:after="0" w:line="214"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w:t>
      </w:r>
    </w:p>
    <w:p>
      <w:pPr>
        <w:spacing w:after="0" w:line="17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proceeds the Company has received under the Financing Agreement with Sixth Street Partners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800" w:type="dxa"/>
            <w:vAlign w:val="bottom"/>
          </w:tcPr>
          <w:p>
            <w:pPr>
              <w:spacing w:after="0"/>
              <w:rPr>
                <w:sz w:val="15"/>
                <w:szCs w:val="15"/>
                <w:color w:val="auto"/>
              </w:rPr>
            </w:pPr>
          </w:p>
        </w:tc>
      </w:tr>
      <w:tr>
        <w:trPr>
          <w:trHeight w:val="195"/>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 loan draw</w:t>
            </w: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cost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proceeds</w:t>
            </w:r>
          </w:p>
        </w:tc>
      </w:tr>
      <w:tr>
        <w:trPr>
          <w:trHeight w:val="214"/>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$ 137,786</w:t>
            </w: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1st Senior Secured Delayed Draw Term Loan Facility</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97,933</w:t>
            </w: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2nd Senior Secured Delayed Draw Term Loan Facility</w:t>
            </w: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2024</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146,973</w:t>
            </w:r>
          </w:p>
        </w:tc>
      </w:tr>
      <w:tr>
        <w:trPr>
          <w:trHeight w:val="209"/>
        </w:trPr>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$ 382,692</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Debt discounts and transaction costs have been recorded as a reduction to the carrying amount of the debt on the Company’s consolidated balance sheet and are amortized as additional interest expenses using the effective interest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September 30, 2024, the Company’s estimate of the total interest expense resulted in an effective annual interest rate of 12.3%. The carrying amount of the debt as of</w:t>
      </w:r>
    </w:p>
    <w:p>
      <w:pPr>
        <w:spacing w:after="0" w:line="3"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September 30, 2024 is subject to variable interest rates, which are based on current market rates, and as such, approximates fair value.</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6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received from the delayed draw term loan</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(29,134)</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r>
      <w:tr>
        <w:trPr>
          <w:trHeight w:val="21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as of September 30</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386,569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238,378</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Company’s obligations under the Financing Agreement are secured, subject to certain exceptions, by security interests in substantially all assets of the Company and certain of its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the Company to maintain a consolidated liquidity of at least $80.0 million. As of September 30, 2024, the Company was in compliance with the applicable terms and conditions of the covenants under the Financing Agreement.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September 30, 2024 and December 31, 2023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8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133,228</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obligations</w:t>
            </w:r>
          </w:p>
        </w:tc>
        <w:tc>
          <w:tcPr>
            <w:tcW w:w="1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34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170,194</w:t>
            </w:r>
          </w:p>
        </w:tc>
        <w:tc>
          <w:tcPr>
            <w:tcW w:w="2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696,074</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the amortized cost basis and estimated fair value of the Company’s available-for-sale securities by contractual maturity as of September 30, 2024 </w:t>
      </w:r>
      <w:r>
        <w:rPr>
          <w:rFonts w:ascii="Times New Roman" w:cs="Times New Roman" w:eastAsia="Times New Roman" w:hAnsi="Times New Roman"/>
          <w:sz w:val="18"/>
          <w:szCs w:val="18"/>
          <w:color w:val="212529"/>
        </w:rPr>
        <w:t>and December 31,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8"/>
        </w:trPr>
        <w:tc>
          <w:tcPr>
            <w:tcW w:w="504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8"/>
                <w:szCs w:val="18"/>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20"/>
                <w:szCs w:val="20"/>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20"/>
                <w:szCs w:val="20"/>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639,355</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one through five years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147,549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56,530</w:t>
            </w: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790,758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792,997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696,074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695,885</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held 22 and 62 debt securities, respectively, that were in an unrealized loss position. The following table summarizes the estimated fair value and the aggregate unrealized loss of the Company’s available-for-sale securities that are in loss position as of September 30, 2024 and December 31, 2023 by the length of time the security has been in loss position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8"/>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233"/>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20"/>
                <w:szCs w:val="20"/>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16"/>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in unrealized loss position for 12 months or less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in unrealized loss position for more than 12 months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09"/>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105,467</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79" w:firstLine="648"/>
        <w:spacing w:after="0" w:line="258"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of amortized cost basis. As a result, the Company did not recognize any differences between the fair value and amortized cost basis as a loss in its condensed consolidated statements of operations and comprehensive loss for the three and nine months ended September 30, 2024 and 2023. The Company did not record any credit-related impairments for its available-for-sale securities for the three and nine months ended September 30, 2024 and 2023.</w:t>
      </w:r>
    </w:p>
    <w:p>
      <w:pPr>
        <w:spacing w:after="0" w:line="17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212529"/>
        </w:rPr>
        <w:t>The following table summarizes the proceeds from maturities of debt securities during the three and nine months ended September 30, 2024 and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2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4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debt securities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237,600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679,150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855,365</w:t>
            </w:r>
          </w:p>
        </w:tc>
      </w:tr>
    </w:tbl>
    <w:p>
      <w:pPr>
        <w:spacing w:after="0" w:line="200" w:lineRule="exact"/>
        <w:rPr>
          <w:sz w:val="20"/>
          <w:szCs w:val="20"/>
          <w:color w:val="auto"/>
        </w:rPr>
      </w:pPr>
    </w:p>
    <w:p>
      <w:pPr>
        <w:spacing w:after="0" w:line="214"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212529"/>
        </w:rPr>
        <w:t>The Company did not realize any gains or losses from maturities of debt securities for the three and nine months ended September 30, 2024 and 2023.</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6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September 30, 2024 (in thousands):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398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5"/>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8"/>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716,662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400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5"/>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8"/>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751,297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581,494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Product Revenue</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product revenue from the sales of AYVAKIT/AYVAKYT in the U.S. and Europe. The following table summarizes net revenue recognized from product sales for the three and nine months ended September 30, 2024 and 2023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00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9"/>
                <w:szCs w:val="19"/>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118,355</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w:t>
            </w: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133,173</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8"/>
          <w:szCs w:val="18"/>
          <w:color w:val="auto"/>
        </w:rPr>
        <w:t>The Company primarily sells AYVAKIT/AYVAKYT through specialty distributors and specialty pharmacies. The following table summarizes the customers that represent 10% or greater of gross product revenue for the three and nine months ended September 30, 2024 and 2023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42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42 %</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Indicates the customer’s share is under 10%.</w:t>
      </w:r>
    </w:p>
    <w:p>
      <w:pPr>
        <w:spacing w:after="0" w:line="392" w:lineRule="exact"/>
        <w:rPr>
          <w:sz w:val="20"/>
          <w:szCs w:val="20"/>
          <w:color w:val="auto"/>
        </w:rPr>
      </w:pPr>
    </w:p>
    <w:p>
      <w:pPr>
        <w:ind w:left="60" w:right="199" w:firstLine="648"/>
        <w:spacing w:after="0" w:line="329" w:lineRule="auto"/>
        <w:rPr>
          <w:sz w:val="20"/>
          <w:szCs w:val="20"/>
          <w:color w:val="auto"/>
        </w:rPr>
      </w:pPr>
      <w:r>
        <w:rPr>
          <w:rFonts w:ascii="Times New Roman" w:cs="Times New Roman" w:eastAsia="Times New Roman" w:hAnsi="Times New Roman"/>
          <w:sz w:val="17"/>
          <w:szCs w:val="17"/>
          <w:color w:val="auto"/>
        </w:rPr>
        <w:t>The following table summarizes the customers with amounts due that represent 10% or greater of the accounts receivable associated with the Company’s product sales as of September 30, 2024 and December 31, 2023 (in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5"/>
        </w:trPr>
        <w:tc>
          <w:tcPr>
            <w:tcW w:w="67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Indicates the customer’s share is under 10%.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nine months ended September 30, 2024 and 2023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6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related to prior periods sales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(43,326)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(17,469)</w:t>
            </w:r>
          </w:p>
        </w:tc>
      </w:tr>
      <w:tr>
        <w:trPr>
          <w:trHeight w:val="209"/>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September 30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total reserves that are included in the Company’s unaudited condensed consolidated balance sheets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December 31, 2023, are summarized as follows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5"/>
        </w:trPr>
        <w:tc>
          <w:tcPr>
            <w:tcW w:w="6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17,465</w:t>
            </w:r>
          </w:p>
        </w:tc>
      </w:tr>
      <w:tr>
        <w:trPr>
          <w:trHeight w:val="21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at September 30, 2024 and December 31, 2023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4"/>
        </w:trPr>
        <w:tc>
          <w:tcPr>
            <w:tcW w:w="67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The Company recognized an insignificant write-down for both the three and nine months ended September 30, 2024. The Company recognized a write-down of $0.1 million and $2.2 million for the three and nine months ended September 30, 2023, respectively. Long-term inventory, which consists of work in process, is included in other assets in the unaudited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Restricted Cash</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Company's condensed consolidated balance sheets for the nine months ended September 30, 2024 and 2023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r>
      <w:tr>
        <w:trPr>
          <w:trHeight w:val="17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89,356</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55,972</w:t>
            </w:r>
          </w:p>
        </w:tc>
        <w:tc>
          <w:tcPr>
            <w:tcW w:w="80" w:type="dxa"/>
            <w:vAlign w:val="bottom"/>
            <w:shd w:val="clear" w:color="auto" w:fill="CCEEFF"/>
          </w:tcPr>
          <w:p>
            <w:pPr>
              <w:spacing w:after="0"/>
              <w:rPr>
                <w:sz w:val="15"/>
                <w:szCs w:val="15"/>
                <w:color w:val="auto"/>
              </w:rPr>
            </w:pPr>
          </w:p>
        </w:tc>
      </w:tr>
      <w:tr>
        <w:trPr>
          <w:trHeight w:val="175"/>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9,696</w:t>
            </w:r>
          </w:p>
        </w:tc>
        <w:tc>
          <w:tcPr>
            <w:tcW w:w="80" w:type="dxa"/>
            <w:vAlign w:val="bottom"/>
            <w:tcBorders>
              <w:bottom w:val="single" w:sz="8" w:color="CCEEFF"/>
            </w:tcBorders>
          </w:tcPr>
          <w:p>
            <w:pPr>
              <w:spacing w:after="0"/>
              <w:rPr>
                <w:sz w:val="15"/>
                <w:szCs w:val="15"/>
                <w:color w:val="auto"/>
              </w:rPr>
            </w:pPr>
          </w:p>
        </w:tc>
      </w:tr>
      <w:tr>
        <w:trPr>
          <w:trHeight w:val="16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condensed consolidated statements of cash flows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100,859</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65,668</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As of September 30, 2024 and December 31, 2023, $11.5 million and $10.2 million, respectively, of the</w:t>
      </w:r>
    </w:p>
    <w:p>
      <w:pPr>
        <w:spacing w:after="0" w:line="27" w:lineRule="exact"/>
        <w:rPr>
          <w:sz w:val="20"/>
          <w:szCs w:val="20"/>
          <w:color w:val="auto"/>
        </w:rPr>
      </w:pPr>
    </w:p>
    <w:p>
      <w:pPr>
        <w:jc w:val="both"/>
        <w:ind w:left="60" w:right="139"/>
        <w:spacing w:after="0" w:line="273" w:lineRule="auto"/>
        <w:rPr>
          <w:sz w:val="20"/>
          <w:szCs w:val="20"/>
          <w:color w:val="auto"/>
        </w:rPr>
      </w:pPr>
      <w:r>
        <w:rPr>
          <w:rFonts w:ascii="Times New Roman" w:cs="Times New Roman" w:eastAsia="Times New Roman" w:hAnsi="Times New Roman"/>
          <w:sz w:val="17"/>
          <w:szCs w:val="17"/>
          <w:color w:val="auto"/>
        </w:rPr>
        <w:t>Company’s cash is restricted by a financial institution primarily related to funds held to satisfy the requirements of certain government agreements and the security deposits for the lease agreements for the Company’s office and laboratory spaces.</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as of September 30, 2024 and December 31, 2023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43,434</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Revenue-related reserves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17,465</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0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Collaboration and Other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Rigel</w:t>
      </w:r>
    </w:p>
    <w:p>
      <w:pPr>
        <w:spacing w:after="0" w:line="22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On February 22, 2024, the Company entered into an Asset Purchase Agreement with Rigel Pharmaceuticals, Inc. (“Rigel”) for Rigel to purchase certain assets from the Company comprising the U.S. rights to research, develop, manufacture and commercialize GAVRETO (pralsetinib). Such assets include, among other things, applicable intellectual property related to pralsetinib in the U.S, including patents, copyrights and trademarks, as well as clinical regulatory and commercial data and records. Simultaneously and in connection with entering into the Asset Purchase Agreement, the parties also entered into certain supporting agreements, including a customary transition agreement, (such agreements collectively, the Rigel Agreement), pursuant to which, the Company transitioned certain inventory and regulatory and distribution responsibilities for pralsetinib to Rigel.</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the Rigel Agreement, the Company has the right to receive a purchase price of $15.0 million, with $10.0 million paid upon first commercial sale of GAVRETO by Rigel and an additional $5.0 million as a delayed purchase price payable on the later of (i) the first anniversary of the closing date of the transaction, or (ii) the completion of certain transition activities. The Company is also eligible to receive up to $102.5 million in contingent specified regulatory and commercial milestone payments, in addition to tiered percentage royalties ranging from 10 percent to 30 percent on annual net sales of GAVRETO in the U.S. The royalties will be payable until the later of (i) the expiration of the royalty term, as defined in the agreement, which begins on the date of the first commercial sale of GAVRETO in the U.S., (ii) the date of expiration of the last valid patent claim within the Company’s IP that covers GAVRETO in the U.S., and (iii) the expiration of the last regulatory exclusivity for GAVRETO in the U.S.</w:t>
      </w:r>
    </w:p>
    <w:p>
      <w:pPr>
        <w:spacing w:after="0" w:line="190"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7"/>
          <w:szCs w:val="17"/>
          <w:color w:val="auto"/>
        </w:rPr>
        <w:t>The Company determined that the Rigel Agreement is a transaction with a customer and therefore accounted for the transaction in accordance with ASC 606. As of the effective date, the Company determined that the agreement includes three performance obligations: the delivery of (1) the U.S. rights to GAVRETO; (2) additional pralsetinib clinical data; and</w:t>
      </w:r>
    </w:p>
    <w:p>
      <w:pPr>
        <w:ind w:left="60"/>
        <w:spacing w:after="0"/>
        <w:rPr>
          <w:sz w:val="20"/>
          <w:szCs w:val="20"/>
          <w:color w:val="auto"/>
        </w:rPr>
      </w:pPr>
      <w:r>
        <w:rPr>
          <w:rFonts w:ascii="Times New Roman" w:cs="Times New Roman" w:eastAsia="Times New Roman" w:hAnsi="Times New Roman"/>
          <w:sz w:val="18"/>
          <w:szCs w:val="18"/>
          <w:color w:val="auto"/>
        </w:rPr>
        <w:t>(3) GAVRETO product to be purchased from Genentech.</w:t>
      </w:r>
    </w:p>
    <w:p>
      <w:pPr>
        <w:spacing w:after="0" w:line="207" w:lineRule="exact"/>
        <w:rPr>
          <w:sz w:val="20"/>
          <w:szCs w:val="20"/>
          <w:color w:val="auto"/>
        </w:rPr>
      </w:pPr>
    </w:p>
    <w:p>
      <w:pPr>
        <w:ind w:left="60" w:right="399" w:firstLine="648"/>
        <w:spacing w:after="0" w:line="253" w:lineRule="auto"/>
        <w:rPr>
          <w:sz w:val="20"/>
          <w:szCs w:val="20"/>
          <w:color w:val="auto"/>
        </w:rPr>
      </w:pPr>
      <w:r>
        <w:rPr>
          <w:rFonts w:ascii="Times New Roman" w:cs="Times New Roman" w:eastAsia="Times New Roman" w:hAnsi="Times New Roman"/>
          <w:sz w:val="18"/>
          <w:szCs w:val="18"/>
          <w:color w:val="auto"/>
        </w:rPr>
        <w:t>The transaction price under ASC 606 was fully constrained at the inception of the Rigel Agreement due to the pending completion of key transition activities stipulated in the agreement, including the transfer of the new drug application (NDA). These key transition activities, including the transfer of the NDA, related patents, and GAVRETO product, were completed in the second quarter of 2024. The performance obligations related to the U.S. rights to GAVRETO and the delivery of GAVRETO product were satisfied at a point in time upon the completion of these key transition activities. The transaction price was determined to be $27.7 million, which consisted of $6.5 million consideration for the GAVRETO product, $10.0 million upfront purchase price payment, and $11.2 million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milestone and royalty payments that were considered probable of achievement and not subject to significant subsequent reversal of revenue. The transaction price was allocated to the three performance obligations on a relative stand-alone selling price basis.</w:t>
      </w:r>
    </w:p>
    <w:p>
      <w:pPr>
        <w:spacing w:after="0" w:line="176"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During the nine months ended September 30, 2024, the Company recognized total revenue of $24.3 million which is primarily comprised of GAVRETO product consideration of $6.5 million and the transaction price allocated to the U.S. rights to GAVRETO performance obligation of $17.6 million. The additional clinical data performance obligation will be satisfied at a point in time once the transfer of such data to Rigel is completed, and the allocated transaction price of $3.6 million was recorded as deferred revenue on the condensed consolidated financial statements as of September 30, 2024. During the three months ended September 30, 2024, insignificant revenue was recognized under the Rigel agreements.</w:t>
      </w:r>
    </w:p>
    <w:p>
      <w:pPr>
        <w:spacing w:after="0" w:line="174"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assets and liabilities under the Rigel agreements as of September 30, 2024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09"/>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0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5"/>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8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r>
    </w:tbl>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IDRx</w:t>
      </w:r>
    </w:p>
    <w:p>
      <w:pPr>
        <w:spacing w:after="0" w:line="26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August 2022, the Company entered into 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among IDRx’s founders are Alexis Borisy, George Demetri, M.D., and Nicholas Lydon, Ph.D., who were each a member of the Company’s board of directors at the time. Due to these relationships, the transaction with IDRx is a related party transaction.</w:t>
      </w:r>
    </w:p>
    <w:p>
      <w:pPr>
        <w:spacing w:after="0" w:line="23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 The shares are restricted from reselling unless IDRx subsequently proposes a resale registered under the Securities Act or if an exemption from registration is otherwise available.</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intellectual property of IDRx to continue to exploit the compound and terminated product, subject to a royalty that will be negotiated at the time of termination.</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spacing w:after="0" w:line="187"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spacing w:after="0" w:line="19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For the purposes of ASC 606, the transaction price of the IDRx License Agreement at the contract inception was determined to be $27.5 million and recorded as license revenue-related party on the consolidated statements of operations and comprehensive loss during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spacing w:after="0" w:line="189"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preferred stock investment was accounted for under the measurement alternative for equity investments that do not have a readily determinable fair value, at cost of $27.8 million including transaction costs of $0.3 million. If observable price changes in orderly transactions for the identical or similar investment are identified, the Company will adjust the carrying value of the investment to its fair value as of the transaction date. During the three months ended September 30, 2024, IDRx completed a Series B preferred stock financing and accordingly, the Company adjusted the carrying value of its investment in IDRx to $28.7 million. The $0.9 million investment gain was recorded as other income on the Company’s unaudited condensed consolidated statements of operations and comprehensive loss. No revenue was recorded under the IDRx License Agreement during the three and nine months ended September 30, 2024 and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VantAI</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February 2022, the Company entered into an exclusive collaboration agreement with Oncopia Therapeutics, Inc. d/b/a Proteovant Therapeutics, Inc. (Proteovant) (the 2022 Agreement) to jointly research and advance certain 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provides expanded computational support directly to the Company,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computational biology and expanded computational chemistry to advance three novel protein degrader programs, and the Company has the option, at its sole discretion, to expand the collaboration to include a fourth target program.</w:t>
      </w:r>
    </w:p>
    <w:p>
      <w:pPr>
        <w:spacing w:after="0" w:line="16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Under the A&amp;R Agreement, VantAI is eligible to receive up to $1.67 billion in contingent payments including specified research, development, regulatory and commercialization milestones for all the target programs. The Company will be obligated to pay VantAI tiered percentage royalties on a licensed product-by-licensed product basis ranging from the mid-single digits on annual net sales of each licensed product in the applicable territory, subject to adjustment in specified circumstances.</w:t>
      </w:r>
    </w:p>
    <w:p>
      <w:pPr>
        <w:spacing w:after="0" w:line="17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the Company concluded that Proteovant was providing the Company with research services throughout such period. The Company determined to continue to amortize the remaining prepaid asset balance as research and development expense over the expected research period of the A&amp;R Agreement as VantAI continued to provide such research and development services. During the three and nine months ended September 30, 2024, the Company recorded research and development expense of $1.6 million and $5.5 million, respectively, under the A&amp;R Agreement. During the three and nine months ended September 30, 2023, research and development expense recorded under the 2022 Agreement was $0.6 million and $6.2 million, respectively. The following table summarizes the prepaid assets associated with the A&amp;R Agreement as of September 30, 2024 and December 31, 2023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tcBorders>
              <w:bottom w:val="single" w:sz="8" w:color="auto"/>
            </w:tcBorders>
          </w:tcPr>
          <w:p>
            <w:pPr>
              <w:spacing w:after="0"/>
              <w:rPr>
                <w:sz w:val="16"/>
                <w:szCs w:val="16"/>
                <w:color w:val="auto"/>
              </w:rPr>
            </w:pPr>
          </w:p>
        </w:tc>
      </w:tr>
      <w:tr>
        <w:trPr>
          <w:trHeight w:val="209"/>
        </w:trPr>
        <w:tc>
          <w:tcPr>
            <w:tcW w:w="3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6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assets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6,067</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3,087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6,581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13,162</w:t>
            </w:r>
          </w:p>
        </w:tc>
      </w:tr>
    </w:tbl>
    <w:p>
      <w:pPr>
        <w:spacing w:after="0" w:line="200" w:lineRule="exact"/>
        <w:rPr>
          <w:sz w:val="20"/>
          <w:szCs w:val="20"/>
          <w:color w:val="auto"/>
        </w:rPr>
      </w:pPr>
    </w:p>
    <w:p>
      <w:pPr>
        <w:spacing w:after="0" w:line="21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reevaluates the expected research period at the end of each reporting period and prospectively adjusts the amortization of the asset for changes in the expected research period. Each research and development milestone payment is accrued and expensed when probable.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Zai Lab</w:t>
      </w:r>
    </w:p>
    <w:p>
      <w:pPr>
        <w:spacing w:after="0" w:line="227"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which currently include BLU-945 and BLU-525. In January 2024, the Company decided to discontinue further investment in the early clinical-stage therapies for EGFR-mutant NSCLC globally. Zai Lab retains its rights to BLU-945 and BLU-525 under the agreement. The Company retains exclusive rights to the licensed products outside the Zai Lab Territory. The decision to deprioritize the licensed products does not have an impact on the Company’s accounting treatment related to the Zai Lab agreement.</w:t>
      </w:r>
    </w:p>
    <w:p>
      <w:pPr>
        <w:spacing w:after="0" w:line="19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The Zai Lab agreement will continue on a licensed product-by-product and region-by-region basis until the later of (i)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after the second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spacing w:after="0" w:line="20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global development of the licensed products. The Company concluded that Zai Lab is the Company’s customer for the licenses and related activities in the Zai Lab Territory under ASC 606, whereas payments received by the Company for global development activities, including manufacturing, are accounted for as a reduction of related expenses. The Company did not record any reductions of expenses under the Zai Lab agreement during the three and nine months ended September 30, 2024 and 2023.</w:t>
      </w:r>
    </w:p>
    <w:p>
      <w:pPr>
        <w:spacing w:after="0" w:line="1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Company evaluated the Zai Lab Territory specific licenses and related activities under ASC 606 and</w:t>
      </w:r>
    </w:p>
    <w:p>
      <w:pPr>
        <w:spacing w:after="0" w:line="27" w:lineRule="exact"/>
        <w:rPr>
          <w:sz w:val="20"/>
          <w:szCs w:val="20"/>
          <w:color w:val="auto"/>
        </w:rPr>
      </w:pPr>
    </w:p>
    <w:p>
      <w:pPr>
        <w:ind w:left="60" w:right="99"/>
        <w:spacing w:after="0" w:line="249" w:lineRule="auto"/>
        <w:rPr>
          <w:sz w:val="20"/>
          <w:szCs w:val="20"/>
          <w:color w:val="auto"/>
        </w:rPr>
      </w:pPr>
      <w:r>
        <w:rPr>
          <w:rFonts w:ascii="Times New Roman" w:cs="Times New Roman" w:eastAsia="Times New Roman" w:hAnsi="Times New Roman"/>
          <w:sz w:val="18"/>
          <w:szCs w:val="18"/>
          <w:color w:val="auto"/>
        </w:rPr>
        <w:t>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manufacturing activities were excluded as performance obligation at the outset of the arrangement because it represented a customer option that was not a material right.</w:t>
      </w:r>
    </w:p>
    <w:p>
      <w:pPr>
        <w:spacing w:after="0" w:line="181"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determined that the license is a functional intellectual property license as Zai Lab benefited from the license along with the initial know-how transfer at the time of grant, and therefore the related performance obligation is satisfied at a point in time. The transaction price of the Zai Lab agreement at the outset of the arrangement was determined to be $25.0 million and the Company satisfied the performance obligation upon delivery of the licenses and initial know-how transfer and accordingly, the upfront payment of $25.0 million was recognized as revenue in 2021. Revenue from sales-based milestones and royalties will be recognized when the related sales occur. The other potential milestone payments that the Company is eligible to receive were excluded from the transaction price, as all milestone amounts were fully constrained based on the probability of achievement. Costs that are incurred associated with Zai Lab Territory specific activities are reimbursable from Zai Lab and are recognized as revenue. The Company did not record any revenue under the Zai Lab agreement during the three and nine months ended September 30, 2024. Revenue recorded during the three and nine months ended September 30, 2023 was negligible.</w:t>
      </w:r>
    </w:p>
    <w:p>
      <w:pPr>
        <w:spacing w:after="0" w:line="188"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Roche – Pralsetinib Collaboration</w:t>
      </w:r>
    </w:p>
    <w:p>
      <w:pPr>
        <w:spacing w:after="0" w:line="22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February 2023, the Company received written notice from Roche of their election to terminate for convenience the Roche pralsetinib collaboration agreement. The termination became effective on February 22, 2024 (the collaboration termination effective date), at which time the Company regained commercialization and development rights to GAVRETO from Roche worldwide excluding the CStone Territory. In January 2024, the Company decided to discontinue global development and marketing of GAVRETO in territories excluding the U.S. and the CStone Territory, due to a lack of an alternate partner in these regions. The Company and Roche continued to perform their respective obligations under the Roche pralsetinib collaboration agreement through the collaboration termination effective date. On February 22, 2024, the Company and Roche entered into a transition agreement (the Roche transition agreement) in connection with the termination of the Roche pralsetinib collaboration agreement.</w:t>
      </w:r>
    </w:p>
    <w:p>
      <w:pPr>
        <w:spacing w:after="0" w:line="18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Through the collaboration termination effective date, the Company received an aggregate of $105.0 million in specified regulatory and commercialization milestones under the Roche pralsetinib collaboration agreement. In connection with the Roche pralsetinib collaboration agreement, in July 2020, the Company also entered into a stock purchase agreement with Roche Holdings, Inc. (Roche Holdings) pursuant to which the Company issued and sold an aggregate of 1,035,519 shares of common stock to Roche Holdings at a purchase price of $96.57 per share for a consideration of $100.0 million. The fair market value of the common stock issued to Roche Holdings was $79.3 million on the date of issuance. The Company determined that the premium of $20.7 million paid by Roche Holdings for the common stock should be attributed to the transaction price of the Roche pralsetinib collaboration agreement.</w:t>
      </w:r>
    </w:p>
    <w:p>
      <w:pPr>
        <w:spacing w:after="0" w:line="19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the U.S., the Company and Roche co-commercialized pralsetinib and shared responsibilities, profits and losses equally. In addition, the Company received tiered royalties on annual net sales of pralsetinib outside the U.S., excluding the CStone Territory (the Roche Territory). The Company and Roche shared global development costs for pralsetinib at a rate of 45 percent for the Company and 55 percent for Roche.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39" w:lineRule="exact"/>
        <w:rPr>
          <w:sz w:val="20"/>
          <w:szCs w:val="20"/>
          <w:color w:val="auto"/>
        </w:rPr>
      </w:pPr>
    </w:p>
    <w:p>
      <w:pPr>
        <w:ind w:left="60" w:right="159" w:hanging="10"/>
        <w:spacing w:after="0" w:line="248" w:lineRule="auto"/>
        <w:tabs>
          <w:tab w:leader="none" w:pos="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w:t>
      </w:r>
    </w:p>
    <w:p>
      <w:pPr>
        <w:spacing w:after="0" w:line="19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was a functional intellectual property license and a distinct performance obligation. The Company determined that Roche benefited from the pralsetinib license at the time of grant, and therefore the related performance obligation was satisfied at a point in time. Costs incurred associated with the Roche Territory activities were reimbursable from Roche and were recognized as revenue.</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transaction price of the Roche pralsetinib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the collaboration termination effective date, the Company achieved an aggregate of $105.0 million in specified regulatory and commercialization milestones which were added to the estimated transaction price of the Roche pralsetinib collaboration agreement.</w:t>
      </w:r>
    </w:p>
    <w:p>
      <w:pPr>
        <w:spacing w:after="0" w:line="17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Roche was the principal for recording product sales to customers in the U.S., and the Company recognized a portion of the profit as revenue and losses as collaboration loss sharing in its consolidated statements of operations and comprehensive income (loss). During the nine months ended September 30, 2024, the Company recorded revenue of $1.4 million derived from profit sharing on Roche sales of GAVRETO in the U.S. and no collaboration profit or loss sharing was recorded during the three months ended September 30, 2024 due to the termination of the Roche pralsetinib</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899"/>
        <w:spacing w:after="0" w:line="266" w:lineRule="auto"/>
        <w:rPr>
          <w:sz w:val="20"/>
          <w:szCs w:val="20"/>
          <w:color w:val="auto"/>
        </w:rPr>
      </w:pPr>
      <w:r>
        <w:rPr>
          <w:rFonts w:ascii="Times New Roman" w:cs="Times New Roman" w:eastAsia="Times New Roman" w:hAnsi="Times New Roman"/>
          <w:sz w:val="18"/>
          <w:szCs w:val="18"/>
          <w:color w:val="auto"/>
        </w:rPr>
        <w:t>collaboration agreement. During the three and nine months ended September 30, 2023, the Company recorded a collaboration loss sharing expense of $1.8 million and $4.3 million on Roche’s sales of GAVRETO in the U.S., respectively.</w:t>
      </w:r>
    </w:p>
    <w:p>
      <w:pPr>
        <w:spacing w:after="0" w:line="189" w:lineRule="exact"/>
        <w:rPr>
          <w:sz w:val="20"/>
          <w:szCs w:val="20"/>
          <w:color w:val="auto"/>
        </w:rPr>
      </w:pPr>
    </w:p>
    <w:p>
      <w:pPr>
        <w:jc w:val="both"/>
        <w:ind w:left="60" w:right="259" w:firstLine="648"/>
        <w:spacing w:after="0" w:line="283" w:lineRule="auto"/>
        <w:rPr>
          <w:sz w:val="20"/>
          <w:szCs w:val="20"/>
          <w:color w:val="auto"/>
        </w:rPr>
      </w:pPr>
      <w:r>
        <w:rPr>
          <w:rFonts w:ascii="Times New Roman" w:cs="Times New Roman" w:eastAsia="Times New Roman" w:hAnsi="Times New Roman"/>
          <w:sz w:val="17"/>
          <w:szCs w:val="17"/>
          <w:color w:val="auto"/>
        </w:rPr>
        <w:t>During the three months ended September 30, 2024, no revenue was recognized related to the Roche pralsetinib collaboration agreement, and during the nine months ended September 30, 2024, revenue of $0.5 million was recognized related to Roche Territory specific activities and royalty revenue through the collaboration termination effective date.</w:t>
      </w:r>
    </w:p>
    <w:p>
      <w:pPr>
        <w:spacing w:after="0" w:line="2" w:lineRule="exact"/>
        <w:rPr>
          <w:sz w:val="20"/>
          <w:szCs w:val="20"/>
          <w:color w:val="auto"/>
        </w:rPr>
      </w:pPr>
    </w:p>
    <w:p>
      <w:pPr>
        <w:ind w:left="60" w:right="459"/>
        <w:spacing w:after="0" w:line="29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recorded revenue of $0.5 million and $1.7 million, respectively, related to the Roche Territory specific activities and royalty revenue.</w:t>
      </w:r>
    </w:p>
    <w:p>
      <w:pPr>
        <w:spacing w:after="0" w:line="85"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were within the scope of ASC 808, as both parties were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were accounted for either as an increase or reduction of research and development expenses.</w:t>
      </w:r>
    </w:p>
    <w:p>
      <w:pPr>
        <w:spacing w:after="0" w:line="18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No operating expenses were recorded under the Roche pralsetinib collaboration since June 30, 2024. During the nine months ended September 30, 2024, the Company recorded $1.0 million reduction to selling, general and administrative expenses in connection with the commercialization of GAVRETO in the U.S and $1.1 million increase in research and development expenses related to global development activities for pralsetinib under the Roche pralsetinib collaboration. During the three and nine months ended September 30, 2023, the Company recorded $3.1 million and $8.6 million, respectively, as reductions in selling, general and administrative expenses in connection with the commercialization of GAVRETO in the U.S. and $7.6 million and $21.2 million, respectively, as increases in research and development expenses in connection with global development activities for pralsetinib.</w:t>
      </w:r>
    </w:p>
    <w:p>
      <w:pPr>
        <w:spacing w:after="0" w:line="192" w:lineRule="exact"/>
        <w:rPr>
          <w:sz w:val="20"/>
          <w:szCs w:val="20"/>
          <w:color w:val="auto"/>
        </w:rPr>
      </w:pPr>
    </w:p>
    <w:p>
      <w:pPr>
        <w:ind w:left="60" w:right="739" w:firstLine="648"/>
        <w:spacing w:after="0" w:line="289" w:lineRule="auto"/>
        <w:rPr>
          <w:sz w:val="20"/>
          <w:szCs w:val="20"/>
          <w:color w:val="auto"/>
        </w:rPr>
      </w:pPr>
      <w:r>
        <w:rPr>
          <w:rFonts w:ascii="Times New Roman" w:cs="Times New Roman" w:eastAsia="Times New Roman" w:hAnsi="Times New Roman"/>
          <w:sz w:val="17"/>
          <w:szCs w:val="17"/>
          <w:color w:val="auto"/>
        </w:rPr>
        <w:t>Upon termination of the Roche pralsetinib collaboration agreement, the Company chose not to assume responsibility for any ongoing pralsetinib clinical trials, and under the terms of the Roche pralsetinib collaboration agreement, Roche bears sole responsibility for all costs associated with the wind-down of these trials.</w:t>
      </w:r>
    </w:p>
    <w:p>
      <w:pPr>
        <w:spacing w:after="0" w:line="144"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the Roche transition agreement, the Company is obligated to reimburse Roche for wind-down costs associated with the marketing and commercialization activities occurred for Roche Territory until December 31, 2026. Additionally, the Company is obligated to reimburse Roche for any U.S. transition related costs that exceeds GAVRETO’s net sales in the U.S., and any remaining net profit are shared equally between the Company and Roche until December 31, 2025. The Company has concluded that such activities and associated payments to Roche are not within the scope of ASC 808 as only the Company is exposed to significant risks and awards associated with those activities. The Company records those wind-down costs and the net amount of U.S. transition costs reimbursable to Roche as selling, general, and administrative expenses when they are incurred. During the three and nine months ended September 30, 2024, the Company recorded $4.2 million and $4.4 million, respectively, in such costs.</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associated with the Roche pralsetinib agreements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December 31, 2023 (in thousands):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1"/>
        </w:trPr>
        <w:tc>
          <w:tcPr>
            <w:tcW w:w="6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00" w:type="dxa"/>
            <w:vAlign w:val="bottom"/>
          </w:tcPr>
          <w:p>
            <w:pPr>
              <w:spacing w:after="0"/>
              <w:rPr>
                <w:sz w:val="20"/>
                <w:szCs w:val="20"/>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r>
    </w:tbl>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Clementia</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the Clementia agreement, the Company received an upfront cash payment of $25.0 million and through September 30, 2024, the Company has received an aggregate of $50.0 million in cash milestone payments. Subject to the terms of the Clementia agreement, in addition to the upfront and milestone payments received through September 30, 2024,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7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90"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 transaction price at the outset of the arrangement was $46.5 million, which was allocated to the three performance obligations on a relative stand-alone selling price basis, and was recognized as revenue during 2019 and 2020.</w:t>
      </w:r>
    </w:p>
    <w:p>
      <w:pPr>
        <w:spacing w:after="0" w:line="1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no revenue was recognized from the Clementia agreement. All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8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was no revenue deferred as a contract liability associated with the Clementia agreement as of September 30, 2024 and December 31,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CStone Pharmaceuticals</w:t>
      </w:r>
    </w:p>
    <w:p>
      <w:pPr>
        <w:spacing w:after="0" w:line="21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September 30, 2024, the Company has achieved an aggregate of $38.5 million in milestones under this collaboration. Subject to the terms of the CStone agreement, in addition to the upfront payments received and milestones achieved through September 30, 2024,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CStone is responsible for costs related to the development of the licensed products in the CStone Territory, other than specified costs related to the development of fisogatinib as a combination therapy in the CStone Territory that are shared by the Company and CStone.</w:t>
      </w:r>
    </w:p>
    <w:p>
      <w:pPr>
        <w:spacing w:after="0" w:line="1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w:t>
      </w:r>
    </w:p>
    <w:p>
      <w:pPr>
        <w:spacing w:after="0" w:line="16" w:lineRule="exact"/>
        <w:rPr>
          <w:sz w:val="20"/>
          <w:szCs w:val="20"/>
          <w:color w:val="auto"/>
        </w:rPr>
      </w:pPr>
    </w:p>
    <w:p>
      <w:pPr>
        <w:ind w:left="60" w:right="119"/>
        <w:spacing w:after="0" w:line="249" w:lineRule="auto"/>
        <w:rPr>
          <w:sz w:val="20"/>
          <w:szCs w:val="20"/>
          <w:color w:val="auto"/>
        </w:rPr>
      </w:pPr>
      <w:r>
        <w:rPr>
          <w:rFonts w:ascii="Times New Roman" w:cs="Times New Roman" w:eastAsia="Times New Roman" w:hAnsi="Times New Roman"/>
          <w:sz w:val="18"/>
          <w:szCs w:val="18"/>
          <w:color w:val="auto"/>
        </w:rPr>
        <w:t>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w:t>
      </w:r>
    </w:p>
    <w:p>
      <w:pPr>
        <w:spacing w:after="0" w:line="19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significant manufacturing and research and development services related to the global development activities during the three and nine months ended September 30, 2024 and 2023.</w:t>
      </w:r>
    </w:p>
    <w:p>
      <w:pPr>
        <w:spacing w:after="0" w:line="14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87"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6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did not achieve any milestones under the CStone agreement during the three and nine months ended September 30, 2024 and during the three months ended September 30, 2023. During the nine months ended September 30, 2023, cash consideration associated with the achieved regulatory milestone of $9.0 million was added to the estimated transaction price for the CStone agreement and recognized as revenue.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spacing w:after="0" w:line="18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Subsequent to the CStone agreement, the Company entered into various commercial supply and manufacturing technology transfer agreements for avapritinib and pralsetinib related to supply of active pharmaceutical ingredient (API),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supply to CStone. Considerations payable to CStone related to the Company’s obligations in connection with commercial supply of pralsetinib for the CStone Territory was recognized as a reduction of collaboration revenue.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revenue recognized under the CStone agreement during the three and nine months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is as follows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milestone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Manufacturing services and royalty revenue related to CStone territory-</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specific activities</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CStone collaboration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any contract assets related to the CStone collaboration as of September 30, 2024 and December 31, 2023. The following table presents the contract liabilities associated with the CStone collaboration as of September 30, 2024 and December 31, 2023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4"/>
        </w:trPr>
        <w:tc>
          <w:tcPr>
            <w:tcW w:w="6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r>
    </w:tbl>
    <w:p>
      <w:pPr>
        <w:spacing w:after="0" w:line="166" w:lineRule="exact"/>
        <w:rPr>
          <w:sz w:val="20"/>
          <w:szCs w:val="20"/>
          <w:color w:val="auto"/>
        </w:rPr>
      </w:pPr>
    </w:p>
    <w:p>
      <w:pPr>
        <w:ind w:left="60" w:right="859" w:firstLine="648"/>
        <w:spacing w:after="0" w:line="266" w:lineRule="auto"/>
        <w:rPr>
          <w:sz w:val="20"/>
          <w:szCs w:val="20"/>
          <w:color w:val="auto"/>
        </w:rPr>
      </w:pPr>
      <w:r>
        <w:rPr>
          <w:rFonts w:ascii="Times New Roman" w:cs="Times New Roman" w:eastAsia="Times New Roman" w:hAnsi="Times New Roman"/>
          <w:sz w:val="18"/>
          <w:szCs w:val="18"/>
          <w:color w:val="auto"/>
        </w:rPr>
        <w:t>The Company’s liabilities associated with the CStone collaboration as of September 30, 2024 and December 31, 2023 resulted primarily from the Company’s obligations in connection with commercial supply of pralsetinib for the CStone Territory.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Roche – Immunotherapy Collaboration</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On April 30, 2023, the Company and Roche entered into a mutual termination agreement to terminate the Roche immunotherapy agreement. Certain licenses granted by Roche to the Company survived and became exclusive, worldwide, perpetual, royalty-free and irrevocable and the Company retained ownership of all the targets developed under the collaboration.</w:t>
      </w:r>
    </w:p>
    <w:p>
      <w:pPr>
        <w:spacing w:after="0" w:line="18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Roche immunotherapy agreement represented a vendor-customer relationship under ASC 606 as the Company performed its one performance obligation at the outset of the Roche immunotherapy agreement, which consisted of: (1) the non-exclusive license; (2) the research and development activities through Phase 1; and (3) regulatory responsibilities under Phase 1 clinical trials.</w:t>
      </w:r>
    </w:p>
    <w:p>
      <w:pPr>
        <w:spacing w:after="0" w:line="227" w:lineRule="exact"/>
        <w:rPr>
          <w:sz w:val="20"/>
          <w:szCs w:val="20"/>
          <w:color w:val="auto"/>
        </w:rPr>
      </w:pPr>
    </w:p>
    <w:p>
      <w:pPr>
        <w:ind w:left="60" w:right="119" w:firstLine="648"/>
        <w:spacing w:after="0" w:line="265" w:lineRule="auto"/>
        <w:rPr>
          <w:sz w:val="20"/>
          <w:szCs w:val="20"/>
          <w:color w:val="auto"/>
        </w:rPr>
      </w:pPr>
      <w:r>
        <w:rPr>
          <w:rFonts w:ascii="Times New Roman" w:cs="Times New Roman" w:eastAsia="Times New Roman" w:hAnsi="Times New Roman"/>
          <w:sz w:val="17"/>
          <w:szCs w:val="17"/>
          <w:color w:val="auto"/>
        </w:rPr>
        <w:t>The aggregate net transaction price of the Roche immunotherapy agreement was $64.7 million. The Company recognized revenue associated with the performance obligation using an input method, based on the costs incurred for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 and no revenue was recognized thereafter for this agreement. During the nine months ended September 30, 2023, the Company recognized research and development services revenue of $25.7 million under the Roche immunotherapy agreement, of which $16.0 million resulted from changes in contract liability balances at the beginning of the period. There was no revenue deferred as a contract liability associated with the Roche immunotherapy</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as of September 30, 2024 and December 31, 2023</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7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February 2022, the Company entered into an at-the-market (ATM) Facility with Cowen and Company, LLC (Cowen), pursuant to which the Company may offer and sell, from time to time at its sole discretion, shares of its common stock having an aggregate offering price of up to $300.0 million through Cowen as sales agent. The Company did not issue any shares under the ATM Facility during the three months ended September 30, 2024. During the nine months ended September 30, 2024, the Company issued and sold 544,719 shares of its common stock under the ATM Facility and received net proceeds of $48.9 million. The Company did not issue any shares under the ATM Facility during the three and nine months ended September 30,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cash-based awards. The Company initially reserved a total of 1,460,084 shares of common stock for the issuance of awards under the 2015 Plan.</w:t>
      </w:r>
    </w:p>
    <w:p>
      <w:pPr>
        <w:spacing w:after="0" w:line="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2015 Plan provided that the number of shares reserved and available for issuance under the 2015 Plan would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Plan was increased by 2,445,889 shares.</w:t>
      </w:r>
    </w:p>
    <w:p>
      <w:pPr>
        <w:spacing w:after="0" w:line="189"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and in June 2022, the Company’s board of directors approved the reservation of an additional 1,500,000 shares of common stock for the issuance of awards under the Inducement Plan.</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June 12, 2024, the Company’s stockholders approved the 2024 Stock Incentive Plan (the 2024 Plan), which replaced the Company’s 2015 Plan and the Inducement Plan. As of September 30, 2024, there were 8,060,501 and 767,490 shares underlying awards outstanding under the 2015 Plan and the Inducement Plan, respectively. No further shares will be granted under the 2015 Plan and the Inducement Plan after the effective date of the 2024 Plan. The 2024 Plan provides for the granting of incentive stock options, nonstatutory stock options, stock appreciation rights, restricted stock, restricted stock units, performance-based restricted stock units, unrestricted stock and cash-based awards. The 2024 Plan provides for the issuance of up to 9,200,000 shares. Any shares of common stock underlying any awards that are forfeited, canceled, held back upon exercise or settlement of an award to satisfy the exercise price or tax withholding, repurchased, expire or are otherwise terminated by the Company under the 2024 Plan and the 2015 Plan will be added back to the shares of common stock available for issuance under the 2024 Plan. As of September 30, 2024, there were 9,242,424 shares available for future grant under the 2024 Plan.</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ESPP was increased by 611,472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nine months ended September 30, 2024:</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0" w:type="dxa"/>
            <w:vAlign w:val="bottom"/>
          </w:tcPr>
          <w:p>
            <w:pPr>
              <w:spacing w:after="0"/>
              <w:rPr>
                <w:sz w:val="1"/>
                <w:szCs w:val="1"/>
                <w:color w:val="auto"/>
              </w:rPr>
            </w:pPr>
          </w:p>
        </w:tc>
      </w:tr>
      <w:tr>
        <w:trPr>
          <w:trHeight w:val="229"/>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(181,789)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6,498,226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4,413,290</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0" w:right="199"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2024, the total unrecognized compensation expense related to unvested stock option awards was $81.0 million, which is expected to be recognized over a weighted-average period of approximately 2.6 years.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activity for the nine months ended September 30, 2024:</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21"/>
        </w:trPr>
        <w:tc>
          <w:tcPr>
            <w:tcW w:w="65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5"/>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16"/>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(687,395)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(134,699)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r>
      <w:tr>
        <w:trPr>
          <w:trHeight w:val="210"/>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30,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2,273,701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r>
      <w:tr>
        <w:trPr>
          <w:trHeight w:val="20"/>
        </w:trPr>
        <w:tc>
          <w:tcPr>
            <w:tcW w:w="6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expense related to unvested restricted stock units was $131.0 million, which is expected to be recognized over a weighted-average period of approximately 2.6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ind w:left="60" w:right="59" w:firstLine="315"/>
        <w:spacing w:after="0" w:line="253" w:lineRule="auto"/>
        <w:rPr>
          <w:sz w:val="20"/>
          <w:szCs w:val="20"/>
          <w:color w:val="auto"/>
        </w:rPr>
      </w:pPr>
      <w:r>
        <w:rPr>
          <w:rFonts w:ascii="Times New Roman" w:cs="Times New Roman" w:eastAsia="Times New Roman" w:hAnsi="Times New Roman"/>
          <w:sz w:val="18"/>
          <w:szCs w:val="18"/>
          <w:color w:val="auto"/>
        </w:rPr>
        <w:t>In 2023, the Company began granting performance-based restricted stock units (PSUs)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spacing w:after="0" w:line="18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Participants may ultimately earn between zero and 200.0% of the target number of PSUs granted based on the degree of achievement of the performance metric which is measured on a three-year cumulative relative total shareholder return metric. Accordingly, additional PSUs may be issued or currently issued PSUs may be cancelled upon final determination of the number of units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PSU activity for the nine months ended September 30, 2024:</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16"/>
        </w:trPr>
        <w:tc>
          <w:tcPr>
            <w:tcW w:w="6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21"/>
        </w:trPr>
        <w:tc>
          <w:tcPr>
            <w:tcW w:w="6580" w:type="dxa"/>
            <w:vAlign w:val="bottom"/>
          </w:tcPr>
          <w:p>
            <w:pPr>
              <w:spacing w:after="0"/>
              <w:rPr>
                <w:sz w:val="19"/>
                <w:szCs w:val="19"/>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14"/>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w:t>
            </w:r>
          </w:p>
        </w:tc>
      </w:tr>
      <w:tr>
        <w:trPr>
          <w:trHeight w:val="20"/>
        </w:trPr>
        <w:tc>
          <w:tcPr>
            <w:tcW w:w="6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unrecognized compensation expense related to unvested PSUs was $11.3 million, which is expected to be recognized over a weighted-average period of approximately 2.1 years.</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$28.3 million and $80.5 million for the three and nine months ended September 30, 2024, respectively, and $23.1 million and $70.1 million for the three and nine months ended September 30, 2023, respectively. Stock-based compensation expense by award type included within the unaudited condensed consolidated statements of operations and comprehensive loss was as follows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46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0"/>
                <w:szCs w:val="20"/>
                <w:color w:val="auto"/>
              </w:rPr>
            </w:pPr>
          </w:p>
        </w:tc>
        <w:tc>
          <w:tcPr>
            <w:tcW w:w="146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70,497</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178"/>
        </w:trPr>
        <w:tc>
          <w:tcPr>
            <w:tcW w:w="55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Stock-based compensation expense included in total cost and operating</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28,282</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70,087</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that is included in operating expenses, by classification within the unaudited condensed consolidated statements of operations and comprehensive loss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$ 12,552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$ 11,169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$ 35,712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$ 23,071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$ 80,529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9"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 average number of shares of common stock outstanding during the period, without consideration of common stock equivalents. Diluted net loss per share is calculated by adjusting weighted average shares outstanding for the dilutive effect of common stock equivalents outstanding for the period. For purposes of the diluted net loss per share calculation, the effect of stock options, unvested restricted stock units, PSUs and ESPP shares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39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potential shares excluded from the calculation of net loss per share for the three and nine months ended September 30, 2024 and 2023 because their inclusion would be anti-dilutive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14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7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r>
      <w:tr>
        <w:trPr>
          <w:trHeight w:val="20"/>
        </w:trPr>
        <w:tc>
          <w:tcPr>
            <w:tcW w:w="7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spacing w:after="0" w:line="183"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September 30, 2024, the Company has a full valuation allowance applied against its U.S. and foreign deferred tax assets.</w:t>
      </w:r>
    </w:p>
    <w:p>
      <w:pPr>
        <w:spacing w:after="0" w:line="18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In connection with and effective upon the termination of the Roche collaboration agreement, on February 22, 2024, Royalty Pharma and the Company entered into the Royalty Pharma Termination Agreement to terminate the Royalty Purchase Agreement. The Company accounted for the Royalty Pharma Termination Agreement as a debt extinguishment. As a result, during the nine months ended September 30, 2024 the Company recorded $173.7 million as a debt extinguishment gain in its condensed consolidated financial statements. For additional information, see Note 3</w:t>
      </w:r>
      <w:r>
        <w:rPr>
          <w:rFonts w:ascii="Times New Roman" w:cs="Times New Roman" w:eastAsia="Times New Roman" w:hAnsi="Times New Roman"/>
          <w:sz w:val="18"/>
          <w:szCs w:val="18"/>
          <w:i w:val="1"/>
          <w:iCs w:val="1"/>
          <w:color w:val="auto"/>
        </w:rPr>
        <w:t>, Financing Arrangements</w:t>
      </w:r>
      <w:r>
        <w:rPr>
          <w:rFonts w:ascii="Times New Roman" w:cs="Times New Roman" w:eastAsia="Times New Roman" w:hAnsi="Times New Roman"/>
          <w:sz w:val="18"/>
          <w:szCs w:val="18"/>
          <w:color w:val="auto"/>
        </w:rPr>
        <w:t>, to our unaudited condensed consolidated financial statements. For tax purposes, the debt extinguishment gain was excluded from the December 31, 2024 estimated taxable income calculation since it was already included in taxable income during the year ended December 31, 2022.</w:t>
      </w:r>
    </w:p>
    <w:p>
      <w:pPr>
        <w:spacing w:after="0" w:line="194" w:lineRule="exact"/>
        <w:rPr>
          <w:sz w:val="20"/>
          <w:szCs w:val="20"/>
          <w:color w:val="auto"/>
        </w:rPr>
      </w:pPr>
    </w:p>
    <w:p>
      <w:pPr>
        <w:ind w:left="60" w:right="439" w:firstLine="648"/>
        <w:spacing w:after="0" w:line="281" w:lineRule="auto"/>
        <w:rPr>
          <w:sz w:val="20"/>
          <w:szCs w:val="20"/>
          <w:color w:val="auto"/>
        </w:rPr>
      </w:pPr>
      <w:r>
        <w:rPr>
          <w:rFonts w:ascii="Times New Roman" w:cs="Times New Roman" w:eastAsia="Times New Roman" w:hAnsi="Times New Roman"/>
          <w:sz w:val="17"/>
          <w:szCs w:val="17"/>
          <w:color w:val="auto"/>
        </w:rPr>
        <w:t>As of September 30, 2024, the Company expects to be in a taxable loss position for the calendar year ended December 31, 2024, and has recorded an income tax expense of $0.3 million and $0.6 million for the three and nine months ended September 30, 2024, respectively. The Company recorded an income tax provision despite forecasting a taxable loss due to state income tax and taxable income from the jurisdictions in which the Company is subject to tax.</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As of September 30, 2024, the Company did not have any gross unrecognized tax benefit.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9" w:lineRule="exact"/>
        <w:rPr>
          <w:sz w:val="20"/>
          <w:szCs w:val="20"/>
          <w:color w:val="auto"/>
        </w:rPr>
      </w:pPr>
    </w:p>
    <w:p>
      <w:pPr>
        <w:ind w:left="60" w:right="359" w:firstLine="648"/>
        <w:spacing w:after="0" w:line="254" w:lineRule="auto"/>
        <w:rPr>
          <w:sz w:val="20"/>
          <w:szCs w:val="20"/>
          <w:color w:val="auto"/>
        </w:rPr>
      </w:pPr>
      <w:r>
        <w:rPr>
          <w:rFonts w:ascii="Times New Roman" w:cs="Times New Roman" w:eastAsia="Times New Roman" w:hAnsi="Times New Roman"/>
          <w:sz w:val="18"/>
          <w:szCs w:val="18"/>
          <w:color w:val="auto"/>
        </w:rPr>
        <w:t>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September 30, 2024. The lease agreements do not contain residual value guarantees.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Lease costs for the three and nine months ended September 30, 2024 and 2023 were as follows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01"/>
        </w:trPr>
        <w:tc>
          <w:tcPr>
            <w:tcW w:w="5140" w:type="dxa"/>
            <w:vAlign w:val="bottom"/>
            <w:tcBorders>
              <w:bottom w:val="single" w:sz="8" w:color="auto"/>
            </w:tcBorders>
            <w:vMerge w:val="continue"/>
          </w:tcPr>
          <w:p>
            <w:pPr>
              <w:spacing w:after="0"/>
              <w:rPr>
                <w:sz w:val="17"/>
                <w:szCs w:val="17"/>
                <w:color w:val="auto"/>
              </w:rPr>
            </w:pPr>
          </w:p>
        </w:tc>
        <w:tc>
          <w:tcPr>
            <w:tcW w:w="7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17,268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September 30, 2024.</w:t>
      </w:r>
    </w:p>
    <w:p>
      <w:pPr>
        <w:spacing w:after="0" w:line="239" w:lineRule="exact"/>
        <w:rPr>
          <w:sz w:val="20"/>
          <w:szCs w:val="20"/>
          <w:color w:val="auto"/>
        </w:rPr>
      </w:pPr>
    </w:p>
    <w:p>
      <w:pPr>
        <w:ind w:left="60" w:right="219" w:firstLine="648"/>
        <w:spacing w:after="0" w:line="297"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September 30, 2024 and 2023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1"/>
        </w:trPr>
        <w:tc>
          <w:tcPr>
            <w:tcW w:w="6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9"/>
                <w:szCs w:val="19"/>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630"/>
        </w:trPr>
        <w:tc>
          <w:tcPr>
            <w:tcW w:w="8900" w:type="dxa"/>
            <w:vAlign w:val="bottom"/>
            <w:gridSpan w:val="7"/>
          </w:tcPr>
          <w:p>
            <w:pPr>
              <w:jc w:val="right"/>
              <w:ind w:right="314"/>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5"/>
        </w:trPr>
        <w:tc>
          <w:tcPr>
            <w:tcW w:w="65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Operating leases</w:t>
            </w: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Associated with Clinical and Commercial Supply Agreements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212529"/>
        </w:rPr>
        <w:t>In connection with the commercialization of AYVAKIT/AYVAKYT, the Company has negotiated manufacturing agreements with certain vendors that require the Company to meet minimum purchase obligations on an annual basis. The Company also has unconditional purchase obligations related to certain clinical manufacturing agreements. The aggregate amount of future unconditional purchase obligations under these manufacturing agreements over the period of next five years is approximately $4.0 million as of September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Legal Proceedings</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212529"/>
        </w:rPr>
        <w:t>In the normal course of business, the Company from time to time is named as a party to various legal claims, actions and complaints, which have included and may include matters involving securities, employment, intellectual property, arising from the use of therapeutics utilizing its technology, or others. The Company records a loss contingency reserve for a legal proceeding when it considers the potential loss probable and it can reasonably estimate the amount of the loss or determine a probable range of loss. The Company provides disclosure when it considers a loss reasonably possible or when it determines that a loss in excess of a reserve is reasonably possible.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212529"/>
        </w:rPr>
        <w:t>provides an estimate of such reasonably possible losses or an aggregate range of such reasonably possible losses, unless the Company believes that such an estimate cannot be made. The Company expenses the costs related to its legal proceedings as they are incurred. As of September 30, 2024, the Company has not recorded any material accruals for loss contingencies.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212529"/>
        </w:rPr>
        <w:t xml:space="preserve">On June 7, 2024, a purported stockholder filed a putative class action lawsuit against the Company in the Court of Chancery of the State of Delaware, with the caption Johnson v. Blueprint Medicines Corporation, Case No. 2024-0625. Plaintiff claims in the complaint that a “Proxy Access” provision in the Company’s Amended and Restated Bylaws, effective November 30, 2022, is invalid under Delaware law because it allegedly usurps the right of stockholders to select the members of the board of directors, and plaintiff seeks declaratory relief invalidating that provision, as well as attorneys’ fees and costs. On October 7, 2024, the lawsuit was consolidated with twelve other lawsuits against companies with similar bylaw provisions under the caption </w:t>
      </w:r>
      <w:r>
        <w:rPr>
          <w:rFonts w:ascii="Times New Roman" w:cs="Times New Roman" w:eastAsia="Times New Roman" w:hAnsi="Times New Roman"/>
          <w:sz w:val="18"/>
          <w:szCs w:val="18"/>
          <w:i w:val="1"/>
          <w:iCs w:val="1"/>
          <w:color w:val="212529"/>
        </w:rPr>
        <w:t>In re Irrevocable Resignation Bylaw Litigation</w:t>
      </w:r>
      <w:r>
        <w:rPr>
          <w:rFonts w:ascii="Times New Roman" w:cs="Times New Roman" w:eastAsia="Times New Roman" w:hAnsi="Times New Roman"/>
          <w:sz w:val="18"/>
          <w:szCs w:val="18"/>
          <w:color w:val="212529"/>
        </w:rPr>
        <w:t>, Consolidated C.A. No. 2024-0538-JTL. On October 11, 2024, the Company, together with the other companies in the consolidated action, filed an opening brief in support of a motion to dismiss the complaint. The Company does not believe the outcome of this matter will have a material effect on its financial position, results of operations, or liquidity.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Indemnification Agreements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212529"/>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September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1"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2023, filed with the Securities and Exchange Commission (the SEC) on February 15,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spacing w:after="0" w:line="191"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cell-mediated diseases, breast cancer and other solid tumors. Our focused business model integrates our research engine with robust clinical development and commercial capabilities in allergy/inflammation and solid tumors to create a sustainable cycle of innovation.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Mast Cell-Mediated Diseases — AYVAKIT®/AYVAKYT® (avapritinib), Elenestinib (BLU-263), and BLU-808</w:t>
      </w:r>
    </w:p>
    <w:p>
      <w:pPr>
        <w:spacing w:after="0" w:line="22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Over the past decade, we have gained insights and knowledge of the mast cell space, and we have reason to believe that mast cells play a much larger role in a broader range of allergic and inflammatory conditions than previously appreciated. Mast cells are the central effector cells in many allergic disorders. The ability to prevent mast cell activation and degranulation may have a major impact on the way we treat these disorders, including, but not limited to, SM, chronic urticaria, asthma, atopic dermatitis, food allergy, and eosinophilic esophagitis. These diseases impact large patient populations with medical needs, such that we believe multiple medicines can be supported by the market. Our understanding of the key characteristics of mast cells informs our research and development plans, and we are pursuing research and development approaches that aim to modulate mast cells directly, such as direct inhibition of KIT. AYVAKIT/AYVAKYT, elenestinib, and BLU-808 comprise our current portfolio of mast cell-targeted therapies, and the mast cell serves as the common thread for our expansion into additional monotherapy and combination therapy approaches and modalities.</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AYVAKIT/AYVAKYT (avapritinib)</w:t>
      </w:r>
    </w:p>
    <w:p>
      <w:pPr>
        <w:spacing w:after="0" w:line="22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commercializing avapritinib for the treatment of advanced SM and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 In June 2021, the FDA approved avapritinib under the brand name AYVAKIT for the treatment of adult patients with advanced SM, including aggressive SM (ASM), SM with an associated hematological neoplasm (SM-AHN), and mast cell leukemia (MCL) and, in May 2023, for adult patients with indolent SM. In March 2022, the European Commission approved the marketing authorization for AYVAKYT for the treatment of adult patients with ASM, SM-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0" w:lineRule="auto"/>
        <w:rPr>
          <w:sz w:val="20"/>
          <w:szCs w:val="20"/>
          <w:color w:val="auto"/>
        </w:rPr>
      </w:pPr>
      <w:r>
        <w:rPr>
          <w:rFonts w:ascii="Times New Roman" w:cs="Times New Roman" w:eastAsia="Times New Roman" w:hAnsi="Times New Roman"/>
          <w:sz w:val="18"/>
          <w:szCs w:val="18"/>
          <w:color w:val="auto"/>
        </w:rPr>
        <w:t>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Phase 1 clinical trial in advanced SM, which we refer to as our EXPLORER trial, and our ongoing Phase 2 clinical trial in advanced SM, which we refer to as our PATHFINDER trial. At the European Hematology Association 2024 (EHA24) Hybrid Congress, we presented long-term data from PATHFINDER, demonstrating that with a median follow-up of more than three years, the median overall survival for AYVAKIT had not been reached in patients with advanced SM. The FDA’s approval of AYVAKIT for the treatment of patients with indolent SM was supported by data from our ongoing Phase 2 clinical trial in indolent SM, which we refer to as the PIONEER trial. At the American Academy of Allergy, Asthma, and Immunology (AAAAI) Annual Meeting 2024, we presented long-term data from PIONEER, demonstrating that AYVAKIT had a durable symptom impact and a well-tolerated safety profile, supporting long-term treatment and consistent with real-world experience observed in the commercial setting. At the European Academy of Allergy and Clinical Immunology (EAACI) Congress 2024, we presented long-term data from PIONEER, demonstrating that with a median follow-up of more than two years, AYVAKIT showed durable efficacy and a favorable safety profile in patients with indolent SM, and that safety data were consistent for the small number of patients who dose escalated to 50 mg once daily.</w:t>
      </w:r>
    </w:p>
    <w:p>
      <w:pPr>
        <w:spacing w:after="0" w:line="23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166"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Avapritinib is also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(NMPA) approved AYVAKIT for the treatment of adults with unresectable or metastatic GIST harboring a PDGFRA exon 18 mutation, including PDGFRA D842V mutations. AYVAKIT also received accelerated approval from the Taiwan Food and Drug Administration (TFDA) and approval in Hong Kong, both for adults with unresectable or metastatic GIST harboring PDGFRA D842V mutations.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Elenestinib (BLU-263)</w:t>
      </w:r>
    </w:p>
    <w:p>
      <w:pPr>
        <w:spacing w:after="0" w:line="268"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We are developing elenestinib,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(CNS) relative to avapritinib based on preclinical data.</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are evaluating elenestinib in an ongoing Phase 2/3 clinical trial in indolent SM, which we refer to as our HARBOR trial. In December 2023, we presented HARBOR Part 1 trial data for elenestinib in indolent SM, demonstrating a compelling benefit-risk profile, at the 65th American Society of Hematology (ASH) Annual Meeting and Exposition. We plan to initiate the registration-enabling Part 2 of the HARBOR trial of elenestinib in indolent SM in the second half of 2024.</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BLU-808</w:t>
      </w:r>
    </w:p>
    <w:p>
      <w:pPr>
        <w:spacing w:after="0" w:line="22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the first half of 2023, we nominated the development candidate BLU-808 from our discovery programs, an oral, highly potent and selective wild-type KIT inhibitor. We plan to develop BLU-808 as a potential first- and best-in-class treatment for mast cell disorders, including chronic urticaria, as well as other potential related allergic-inflammatory indications. Chronic urticaria is a debilitating inflammatory skin disorder characterized by wheals (hives); sleep disruption, stress and anxiety due to severe itching are major contributors to the disease burden of chronic urticaria.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There are approximately 680,000 people living with chronic urticaria who are refractory to treatment with antihistamines visible in claims data across the U.S. and EU4 (France, Germany, Italy, Spain). Wild-type KIT inhibition has an established proof-of-concept in chronic urticaria, and BLU-808 represents a small molecule TKI approach with the opportunity to drive market expansion with an oral regimen.</w:t>
      </w:r>
    </w:p>
    <w:p>
      <w:pPr>
        <w:spacing w:after="0" w:line="22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February 2024, at the AAAAI Annual Meeting, we presented the preclinical attributes of BLU-808 that demonstrate its potency, selectivity, low potential for drug-drug interactions, and peripheral restriction. BLU-808 treatment led to dose-dependent inhibition and depletion of mast cells in multiple in vivo studies, and also improved lung function in an ovalbumin-induced asthma model. In June 2024, we submitted an Investigational New Drug (IND) application to FDA for BLU-808. We received FDA clearance to proceed with a Phase 1 study in healthy volunteers and initiated that study in the third quarter of 2024. We anticipate presenting healthy volunteer data in early 2025.</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Cell Cycle Inhibition — BLU-222, BLU-956 and additional research programs</w:t>
      </w:r>
    </w:p>
    <w:p>
      <w:pPr>
        <w:spacing w:after="0" w:line="270"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are advancing multiple therapeutic candidates and research programs targeting the cell cycle as potential treatments for patients with hormone-receptor-positive/human epidermal growth receptor 2 negative (HR+/HER2-) breast cancer and other solid tumors. Our lead therapy in this area, BLU-222, targets CDK2, a cell cycle regulator and an important cancer target, with relevance across multiple malignancies, including HR+/HER2- breast cancer and other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 Strategic partnership discussions are ongoing to maximize the potential of BLU-222 as a backbone combination therapy in HR+/HER2- breast cancer and other CDK2-vulnerable cancers. Our additional programs in this area include BLU-956, a next generation CDK2 inhibitor development candidate nominated in 2023, a CDK2 targeted protein degradation research program, and an additional undisclosed research program.</w:t>
      </w:r>
    </w:p>
    <w:p>
      <w:pPr>
        <w:spacing w:after="0" w:line="234"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have an ongoing Phase 1/2 trial of BLU-222 in cancers vulnerable to CDK2 inhibition, which we refer to as our VELA trial. BLU-222 is being developed as a monotherapy and in combination with other agents, including CDK4/6 inhibitors and estrogen receptors, antagonists, in HR+/HER2- breast cancer, and as a single agent and in combination in CCNE1-amplified tumor types. In June 2023, we presented initial clinical data from the VELA trial at the American Society of Clinical Oncology (ASCO) 2023 Annual Meeting, showing that BLU-222 was generally well-tolerated with evidence of cell cycle pathway modulation and a confirmed partial response in a monotherapy-treated patient with HR+/HER2- metastatic breast cancer who previously received five lines of therapy, including the CDK4/6 inhibitors palbociclib and abemaciclib. Treatment-related hematologic adverse events (AEs) commonly seen with CDK4/6 inhibitors were generally mild and primarily reported in patients with a history of low blood cell counts. No cardiac AEs or QTc prolongation were observed.</w:t>
      </w:r>
    </w:p>
    <w:p>
      <w:pPr>
        <w:spacing w:after="0" w:line="21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In 2023, we initiated dose escalation of BLU-222 in combination with the CDK4/6 inhibitor, ribociclib, and the estrogen receptor antagonist, fulvestrant, in patients with HR+/HER2- metastatic breast cancer. In June 2024, we presented tolerability data for BLU-222 in combination with ribociclib and fulvestrant in patients with HR+/HER2- breast cancer at the ASCO 2024 Annual Meeting, demonstrating that the combination of BLU-222, ribociclib, and fulvestrant was well-tolerated at all BLU-222 dose levels tested. No dose-limiting toxicities, treatment-related serious adverse events (SAEs), or BLU-222-related treatment discontinuations were reported. Treatment-related hematologic and gastrointestinal AEs were generally mild. Preliminary clinical activity showed compelling reductions in thymidine kinase 1 (TK1) and circulating tumor DNA (ctDNA), biomarkers that have been shown to be predictive of clinical benefit. All patients with evaluable ctDNA, a biomarker of tumor burden, treated with the BLU-222 400 mg BID combination dose regimen showed ctDNA reductions. These data highlight the impact of CDK2 inhibition when BLU-222 is combined with other therapies. We plan to complete Phase 1 combination dose escalation for BLU-222 in the second half of 2024 to inform our registration plans.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Solid Tumors: RET-Altered Cancers — GAVRETO® (pralsetinib</w:t>
      </w:r>
      <w:r>
        <w:rPr>
          <w:rFonts w:ascii="Times New Roman" w:cs="Times New Roman" w:eastAsia="Times New Roman" w:hAnsi="Times New Roman"/>
          <w:sz w:val="18"/>
          <w:szCs w:val="18"/>
          <w:i w:val="1"/>
          <w:iCs w:val="1"/>
          <w:color w:val="auto"/>
        </w:rPr>
        <w:t>)</w:t>
      </w:r>
    </w:p>
    <w:p>
      <w:pPr>
        <w:spacing w:after="0" w:line="270"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auto"/>
        </w:rPr>
        <w:t>activating mutations are implicated in advanced metastatic RET-mutant medullary thyroid cancer (MTC) (approximately 90 percent of patients), and RET fusions are implicated in several cancers, including papillary thyroid carcinoma (approximately 10-20 percent of patients) and non-small cell lung cancer (NSCLC) (1-2 percent of patients). In addition, oncogenic RET alterations are observed at low frequencies in colorectal, breast, pancreatic and other cancers, providing a</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therapeutic rationale for the use of RET inhibitors in multiple patient subpopulations.</w:t>
      </w:r>
    </w:p>
    <w:p>
      <w:pPr>
        <w:spacing w:after="0" w:line="374"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developed and commercialized pralsetinib for the treatment of RET fusion-positive NSCLC, and for the treatment of RET-altered thyroid carcinoma. We also developed pralsetinib for the treatment of other RET-altered solid tumors. We granted exclusive licenses to Roche and CStone to develop and commercialize pralsetinib in their respective territories. In February 2023, we received written notice from Roche of their election to terminate for convenience the Roche pralsetinib collaboration agreement (as defined below). The termination became effective on February 22, 2024, at which time we entered into a transition agreement with Roche for this collaboration, which we refer to as the Roche transition agreement.</w:t>
      </w:r>
    </w:p>
    <w:p>
      <w:pPr>
        <w:spacing w:after="0" w:line="187"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January 2024, we decided to discontinue global development and marketing of GAVRETO in territories excluding the U.S. and the CStone Territory, due to a lack of an alternate partner in these regions. As further described below, in February 2024, we entered into an Asset Purchase Agreement with Rigel Pharmaceuticals, Inc. (Rigel) for Rigel to purchase certain of our assets comprising the U.S. rights to research, develop, manufacture and commercialize GAVRETO. The transition of such GAVRETO assets to Rigel was completed in June 2024. See “—</w:t>
      </w:r>
      <w:r>
        <w:rPr>
          <w:rFonts w:ascii="Times New Roman" w:cs="Times New Roman" w:eastAsia="Times New Roman" w:hAnsi="Times New Roman"/>
          <w:sz w:val="18"/>
          <w:szCs w:val="18"/>
          <w:i w:val="1"/>
          <w:iCs w:val="1"/>
          <w:color w:val="auto"/>
        </w:rPr>
        <w:t>Collaborations,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Licenses and Other Agreements Summary</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continue to leverage our discovery platform to systematically and reproducibly identify kinases that are drivers of diseases in genomically defined patient populations, and craft drug candidates that potently and selectively target these kinases. 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targets.</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are currently pursuing two early degrader research programs under our targeted protein degradation collaboration with Proteovant, which was replaced in its entirety by the A&amp;R Agreement (as defined below) entered into with VantAI, Inc. (VantAI) and Proteovant in December 2023. Through the collaboration with VantAI, we plan to research and advance three novel protein degrader programs, with the option, at our discretion, to expand the collaboration to include a fourth novel protein degrader target program. See “—</w:t>
      </w:r>
      <w:r>
        <w:rPr>
          <w:rFonts w:ascii="Times New Roman" w:cs="Times New Roman" w:eastAsia="Times New Roman" w:hAnsi="Times New Roman"/>
          <w:sz w:val="18"/>
          <w:szCs w:val="18"/>
          <w:i w:val="1"/>
          <w:iCs w:val="1"/>
          <w:color w:val="auto"/>
        </w:rPr>
        <w:t>Collaborations, Licenses and Other Agreements Summary</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Licenses and Other Agreements Summary</w:t>
      </w:r>
    </w:p>
    <w:p>
      <w:pPr>
        <w:spacing w:after="0" w:line="22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Roche—Immunotherapy Collaboration. </w:t>
      </w:r>
      <w:r>
        <w:rPr>
          <w:rFonts w:ascii="Times New Roman" w:cs="Times New Roman" w:eastAsia="Times New Roman" w:hAnsi="Times New Roman"/>
          <w:sz w:val="18"/>
          <w:szCs w:val="18"/>
          <w:color w:val="auto"/>
        </w:rPr>
        <w:t>In March 2016, we entered into a collaboration with Roche,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as the Roche immunotherapy agreement, to discover, develop and commercialize small molecule therapeutics targeting specified kinases, including the kinase target MAP4K1. On April 30, 2023, we entered into a mutual termination agreement with Roche, pursuant to which the parties mutually agreed to terminate the Roche immunotherapy agreement and we retained the rights to any and all compounds developed under the collaboration. We are in the process of exploring opportunities to re-partner the asset for future development.</w:t>
      </w:r>
    </w:p>
    <w:p>
      <w:pPr>
        <w:spacing w:after="0" w:line="18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Roche—Pralsetinib Collaboration. </w:t>
      </w:r>
      <w:r>
        <w:rPr>
          <w:rFonts w:ascii="Times New Roman" w:cs="Times New Roman" w:eastAsia="Times New Roman" w:hAnsi="Times New Roman"/>
          <w:sz w:val="18"/>
          <w:szCs w:val="18"/>
          <w:color w:val="auto"/>
        </w:rPr>
        <w:t>In July 2020, we entered into a collaboration agreement with Roche,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the Roche transition agreement. In January 2024, we decided to discontinue global development and marketing of GAVRETO in territories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excluding the U.S. and CStone Territory, due to a lack of an alternate partner in these regions. We continue to work with Roche on the transition and wind-down activities contemplated in the Roche transition agreement.</w:t>
      </w:r>
    </w:p>
    <w:p>
      <w:pPr>
        <w:spacing w:after="0" w:line="160"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CStone. </w:t>
      </w:r>
      <w:r>
        <w:rPr>
          <w:rFonts w:ascii="Times New Roman" w:cs="Times New Roman" w:eastAsia="Times New Roman" w:hAnsi="Times New Roman"/>
          <w:sz w:val="18"/>
          <w:szCs w:val="18"/>
          <w:color w:val="auto"/>
        </w:rPr>
        <w:t>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as well as any back-up and other forms thereof, in the CStone Territory either as a monotherapy or as part of a combination therapy.</w:t>
      </w:r>
    </w:p>
    <w:p>
      <w:pPr>
        <w:spacing w:after="0" w:line="17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Clementia. </w:t>
      </w:r>
      <w:r>
        <w:rPr>
          <w:rFonts w:ascii="Times New Roman" w:cs="Times New Roman" w:eastAsia="Times New Roman" w:hAnsi="Times New Roman"/>
          <w:sz w:val="18"/>
          <w:szCs w:val="18"/>
          <w:color w:val="auto"/>
        </w:rPr>
        <w:t>In October 2019, we entered into a license agreement with Clementia, which we refer to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Clementia license agreement. Pursuant to the Clementia license agreement,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has an ongoing Phase 2 clinical trial of BLU-782, now referred to as fidrisertib.</w:t>
      </w:r>
    </w:p>
    <w:p>
      <w:pPr>
        <w:spacing w:after="0" w:line="174"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Zai Lab. </w:t>
      </w:r>
      <w:r>
        <w:rPr>
          <w:rFonts w:ascii="Times New Roman" w:cs="Times New Roman" w:eastAsia="Times New Roman" w:hAnsi="Times New Roman"/>
          <w:sz w:val="18"/>
          <w:szCs w:val="18"/>
          <w:color w:val="auto"/>
        </w:rPr>
        <w:t>In November 2021, we entered into a collaboration and license agreement with Zai Lab, which we refer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as the Zai collaboration agreement, to develop and commercialize certain licensed products for the treatment of EGFR-driven NSCLC in Greater China, including Mainland China, Hong Kong, Macau and Taiwan, which currently includes BLU-945 and BLU-525. In January 2024 at the J.P. Morgan Healthcare Conference, we announced that we are discontinuing further investment in early clinical-stage therapies for EGFR-mutant NSCLC globally; however, Zai Lab retains its rights to BLU-945 and BLU-525 under the Zai collaboration agreement.</w:t>
      </w:r>
    </w:p>
    <w:p>
      <w:pPr>
        <w:spacing w:after="0" w:line="18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VantAI. </w:t>
      </w:r>
      <w:r>
        <w:rPr>
          <w:rFonts w:ascii="Times New Roman" w:cs="Times New Roman" w:eastAsia="Times New Roman" w:hAnsi="Times New Roman"/>
          <w:sz w:val="18"/>
          <w:szCs w:val="18"/>
          <w:color w:val="auto"/>
        </w:rPr>
        <w:t>In February 2022, we entered into an exclusive collaboration agreement with Proteovant (the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to jointly research and advance certain protein degrader therapies into development candidates, with VantAI performing certain services on behalf of Proteovant under the agreement. </w:t>
      </w:r>
      <w:r>
        <w:rPr>
          <w:rFonts w:ascii="Times New Roman" w:cs="Times New Roman" w:eastAsia="Times New Roman" w:hAnsi="Times New Roman"/>
          <w:sz w:val="18"/>
          <w:szCs w:val="18"/>
          <w:color w:val="212529"/>
        </w:rPr>
        <w:t>In December 2023, we entered into an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Restated Collaboration and License Agreement (the A&amp;R Agreement) with VantAI and Proteovant, which replaced the 2022 Agreement</w:t>
      </w:r>
      <w:r>
        <w:rPr>
          <w:rFonts w:ascii="Times New Roman" w:cs="Times New Roman" w:eastAsia="Times New Roman" w:hAnsi="Times New Roman"/>
          <w:sz w:val="18"/>
          <w:szCs w:val="18"/>
          <w:color w:val="000000"/>
        </w:rPr>
        <w:t>. Under the A&amp;R Agreement, VantAI will directly provide us with expanded computational support,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including computational biology and expanded computational chemistry, to jointly research and advance three novel protein degrader programs, with the option, at our discretion, to expand the collaboration to include a fourth novel protein degrader target program. Additionally, under the A&amp;R Agreement, Proteovant ceased its role in the collaboration and transitioned its activities and any know-how and patent applications that it developed under the 2022 Agreement to us.</w:t>
      </w:r>
    </w:p>
    <w:p>
      <w:pPr>
        <w:spacing w:after="0" w:line="193"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IDRx. </w:t>
      </w:r>
      <w:r>
        <w:rPr>
          <w:rFonts w:ascii="Times New Roman" w:cs="Times New Roman" w:eastAsia="Times New Roman" w:hAnsi="Times New Roman"/>
          <w:sz w:val="18"/>
          <w:szCs w:val="18"/>
          <w:color w:val="auto"/>
        </w:rPr>
        <w:t>In August 2022, we entered into a license agreement with IDRx, Inc. (IDRx), which we refer to as the IDRx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Agreement. Pursuant to the IDRx License Agreement, we granted IDRx an exclusive, worldwide, royalty-bearing license to exploit our internally discovered development candidate-stage KIT exon 13 inhibitor, IDRX-73.</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and the eligibility to receive up to $217.5 million in contingent cash payments, including specified development, regulatory and sales-based milestone payments and tiered royalty payments. In July 2023, we received an additional 192,282 shares of Series A preferred stock pursuant to the anti-dilution provision in the IDRx Stock Purchase Agreement.</w:t>
      </w:r>
    </w:p>
    <w:p>
      <w:pPr>
        <w:spacing w:after="0" w:line="18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Rigel Pharmaceuticals. </w:t>
      </w:r>
      <w:r>
        <w:rPr>
          <w:rFonts w:ascii="Times New Roman" w:cs="Times New Roman" w:eastAsia="Times New Roman" w:hAnsi="Times New Roman"/>
          <w:sz w:val="18"/>
          <w:szCs w:val="18"/>
          <w:color w:val="auto"/>
        </w:rPr>
        <w:t>In February 2024, we entered into an Asset Purchase Agreement with Rigel for Rigel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certain of our assets comprising the U.S. rights to research, develop, manufacture and commercialize GAVRETO (pralsetinib). Simultaneously and in connection with entering into the Asset Purchase Agreement, the parties also entered into certain supporting agreements, including a customary transition agreement, with such agreements collectively referred to as the Rigel Agreement. Pursuant to the Rigel Agreement, we transitioned certain inventory, regulatory and distribution responsibilities for GAVRETO to Rigel in June 2024. Following the transition of such GAVRETO assets to Rigel, pursuant to the Rigel Agreement, we are eligible to receive contingent specified regulatory and commercial milestone payments, in addition to certain tiered percentage royalties on annual net sales of GAVRETO in the U.S.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59"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Collaborations and Other Agreements</w:t>
      </w:r>
      <w:r>
        <w:rPr>
          <w:rFonts w:ascii="Times New Roman" w:cs="Times New Roman" w:eastAsia="Times New Roman" w:hAnsi="Times New Roman"/>
          <w:sz w:val="18"/>
          <w:szCs w:val="18"/>
          <w:color w:val="auto"/>
        </w:rPr>
        <w:t>, to our unaudited condensed consolidated financial statements.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Summary</w:t>
      </w:r>
    </w:p>
    <w:p>
      <w:pPr>
        <w:spacing w:after="0" w:line="25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Royalty Purchase Agreement. </w:t>
      </w:r>
      <w:r>
        <w:rPr>
          <w:rFonts w:ascii="Times New Roman" w:cs="Times New Roman" w:eastAsia="Times New Roman" w:hAnsi="Times New Roman"/>
          <w:sz w:val="18"/>
          <w:szCs w:val="18"/>
          <w:color w:val="auto"/>
        </w:rPr>
        <w:t>In June 2022, we entered into a purchase and sale agreement with Royalty 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Royalty Purchase Agreement. Pursuant to this Royalty Purchase Agreement, we received an upfront cash payment of $175.0 million in exchange for all of our existing rights to receive royalty payments on the net sales of GAVRETO worldwide excluding the CStone Territory and U.S. territory under the terms of the Roche pralsetinib collaboration agreement. However, in February 2023, we received written notice from Roche of their election to terminate for convenience the Roche pralsetinib collaboration agreement. The termination became effective in February 2024 and we regained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In connection with and effective upon the termination of the Roche pralsetinib collaboration agreement, on February 22, 2024, we and Royalty Pharma agreed to terminate the Royalty Purchase Agreement, which we refer to as the Royalty Pharma Termination Agreement. Following the termination of the Royalty Purchase Agreement, we have no outstanding obligations under the Royalty Purchase Agreement, other than the remaining royalty payment obligation related to GAVRETO net sales through the termination effective date. As of September 30, 2024, we have no plans to enter into a new arrangement to commercialize GAVRETO outside of the U.S. and the CStone territory.</w:t>
      </w:r>
    </w:p>
    <w:p>
      <w:pPr>
        <w:spacing w:after="0" w:line="23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Synthetic Royalty Facility. </w:t>
      </w:r>
      <w:r>
        <w:rPr>
          <w:rFonts w:ascii="Times New Roman" w:cs="Times New Roman" w:eastAsia="Times New Roman" w:hAnsi="Times New Roman"/>
          <w:sz w:val="18"/>
          <w:szCs w:val="18"/>
          <w:color w:val="auto"/>
        </w:rPr>
        <w:t>In June 2022, we entered into a purchase and sale agreement with Sixth Street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Future Revenue Purchase Agreement. In July 2022, upon the closing of the transaction pursuant to the Future Revenue Purchase Agreement, we received gross proceeds of $250.0 million in exchange for future royalty payments at a rate of 9.75% on up to $900 million each year of (i) aggregate worldwide annual net product sales of AYVAKIT/AYVAKYT and (ii) if it is approved, aggregate worldwide annual net product sales of elenestinib,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spacing w:after="0" w:line="212"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Debt Facility. </w:t>
      </w:r>
      <w:r>
        <w:rPr>
          <w:rFonts w:ascii="Times New Roman" w:cs="Times New Roman" w:eastAsia="Times New Roman" w:hAnsi="Times New Roman"/>
          <w:sz w:val="18"/>
          <w:szCs w:val="18"/>
          <w:color w:val="auto"/>
        </w:rPr>
        <w:t>In June 2022, we entered into a financing agreement for up to $660.0 million with Sixth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we refer to as the Financing Agreement.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w:t>
      </w:r>
    </w:p>
    <w:p>
      <w:pPr>
        <w:spacing w:after="0" w:line="228" w:lineRule="exact"/>
        <w:rPr>
          <w:sz w:val="20"/>
          <w:szCs w:val="20"/>
          <w:color w:val="auto"/>
        </w:rPr>
      </w:pPr>
    </w:p>
    <w:p>
      <w:pPr>
        <w:ind w:left="60" w:right="639" w:firstLine="648"/>
        <w:spacing w:after="0" w:line="268" w:lineRule="auto"/>
        <w:rPr>
          <w:sz w:val="20"/>
          <w:szCs w:val="20"/>
          <w:color w:val="auto"/>
        </w:rPr>
      </w:pPr>
      <w:r>
        <w:rPr>
          <w:rFonts w:ascii="Times New Roman" w:cs="Times New Roman" w:eastAsia="Times New Roman" w:hAnsi="Times New Roman"/>
          <w:sz w:val="18"/>
          <w:szCs w:val="18"/>
          <w:color w:val="auto"/>
        </w:rPr>
        <w:t>For additional information, see Note 3</w:t>
      </w:r>
      <w:r>
        <w:rPr>
          <w:rFonts w:ascii="Times New Roman" w:cs="Times New Roman" w:eastAsia="Times New Roman" w:hAnsi="Times New Roman"/>
          <w:sz w:val="18"/>
          <w:szCs w:val="18"/>
          <w:i w:val="1"/>
          <w:iCs w:val="1"/>
          <w:color w:val="auto"/>
        </w:rPr>
        <w:t>, Financing Arrangements</w:t>
      </w:r>
      <w:r>
        <w:rPr>
          <w:rFonts w:ascii="Times New Roman" w:cs="Times New Roman" w:eastAsia="Times New Roman" w:hAnsi="Times New Roman"/>
          <w:sz w:val="18"/>
          <w:szCs w:val="18"/>
          <w:color w:val="auto"/>
        </w:rPr>
        <w:t>, to our unaudited condensed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70" w:lineRule="exact"/>
        <w:rPr>
          <w:sz w:val="20"/>
          <w:szCs w:val="20"/>
          <w:color w:val="auto"/>
        </w:rPr>
      </w:pPr>
    </w:p>
    <w:p>
      <w:pPr>
        <w:ind w:left="60" w:right="259" w:firstLine="648"/>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September 30, 2024, we have received an aggregate of $3.9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and milestone payments under our collaborations with CStone and Zai Lab, our now terminated collaborations with Roche, our license agreement with Clementia, our agreement with Rigel and our former collaboration with Alexion Pharma Holding (Alexion), and $400.0 million in gross proceeds from a term loan from Sixth Street Partners. In addition, since January 2020, we have also generated revenue through the sales of our approved drug products.</w:t>
      </w:r>
    </w:p>
    <w:p>
      <w:pPr>
        <w:spacing w:after="0" w:line="23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$17.1 million for the nine months ended September 30, 2024. Our net losses were $507.0 million and $557.5 million for the years ended December 31, 2023 and 2022, respectively. As of September 30, 2024, we had an accumulated deficit of $2,357.1 million. We expect to continue to incur significant expenses and additional operating losses over the next few years. We anticipate variability in our expenses in future periods in connection with our ongoing activities, particularly as we:</w:t>
      </w:r>
    </w:p>
    <w:p>
      <w:pPr>
        <w:spacing w:after="0" w:line="228" w:lineRule="exact"/>
        <w:rPr>
          <w:sz w:val="20"/>
          <w:szCs w:val="20"/>
          <w:color w:val="auto"/>
        </w:rPr>
      </w:pPr>
    </w:p>
    <w:p>
      <w:pPr>
        <w:ind w:left="1380" w:right="319" w:hanging="331"/>
        <w:spacing w:after="0" w:line="312" w:lineRule="auto"/>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expand our sales, marketing and distribution infrastructure to continue to commercialize avapritinib and any current or future drug candidates for which we may obtain marketing approval;</w:t>
      </w:r>
    </w:p>
    <w:p>
      <w:pPr>
        <w:spacing w:after="0" w:line="139"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avapritinib in additional geographies;</w:t>
      </w:r>
    </w:p>
    <w:p>
      <w:pPr>
        <w:spacing w:after="0" w:line="225" w:lineRule="exact"/>
        <w:rPr>
          <w:rFonts w:ascii="Times New Roman" w:cs="Times New Roman" w:eastAsia="Times New Roman" w:hAnsi="Times New Roman"/>
          <w:sz w:val="18"/>
          <w:szCs w:val="18"/>
          <w:color w:val="auto"/>
        </w:rPr>
      </w:pPr>
    </w:p>
    <w:p>
      <w:pPr>
        <w:ind w:left="1380" w:right="79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advance clinical development activities for other current or future drug candidates as monotherapies or in combination with other agents;</w:t>
      </w:r>
    </w:p>
    <w:p>
      <w:pPr>
        <w:spacing w:after="0" w:line="161"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elenestinib (BLU-263), BLU-222, BLU-808 and BLU-956;</w:t>
      </w:r>
    </w:p>
    <w:p>
      <w:pPr>
        <w:spacing w:after="0" w:line="161" w:lineRule="exact"/>
        <w:rPr>
          <w:rFonts w:ascii="Times New Roman" w:cs="Times New Roman" w:eastAsia="Times New Roman" w:hAnsi="Times New Roman"/>
          <w:sz w:val="18"/>
          <w:szCs w:val="18"/>
          <w:color w:val="auto"/>
        </w:rPr>
      </w:pPr>
    </w:p>
    <w:p>
      <w:pPr>
        <w:ind w:left="1380" w:right="299" w:hanging="331"/>
        <w:spacing w:after="0" w:line="255"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 and to purchase quantities of other agents for use in our clinical trials as we develop our drugs and drug candidates either as potential combination therapies or for use as comparator agents;</w:t>
      </w:r>
    </w:p>
    <w:p>
      <w:pPr>
        <w:spacing w:after="0" w:line="18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certain collaborations;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1" w:lineRule="exact"/>
        <w:rPr>
          <w:rFonts w:ascii="Times New Roman" w:cs="Times New Roman" w:eastAsia="Times New Roman" w:hAnsi="Times New Roman"/>
          <w:sz w:val="18"/>
          <w:szCs w:val="18"/>
          <w:color w:val="auto"/>
        </w:rPr>
      </w:pPr>
    </w:p>
    <w:p>
      <w:pPr>
        <w:ind w:left="1380" w:right="679" w:hanging="331"/>
        <w:spacing w:after="0" w:line="282"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for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1" w:lineRule="auto"/>
        <w:rPr>
          <w:sz w:val="20"/>
          <w:szCs w:val="20"/>
          <w:color w:val="auto"/>
        </w:rPr>
      </w:pPr>
      <w:r>
        <w:rPr>
          <w:rFonts w:ascii="Times New Roman" w:cs="Times New Roman" w:eastAsia="Times New Roman" w:hAnsi="Times New Roman"/>
          <w:sz w:val="17"/>
          <w:szCs w:val="17"/>
          <w:color w:val="auto"/>
        </w:rPr>
        <w:t>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w:t>
      </w:r>
    </w:p>
    <w:p>
      <w:pPr>
        <w:spacing w:after="0" w:line="2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For the nine months ended September 30, 2024, our revenue primarily consisted of product sales of</w:t>
      </w:r>
    </w:p>
    <w:p>
      <w:pPr>
        <w:spacing w:after="0" w:line="16" w:lineRule="exact"/>
        <w:rPr>
          <w:sz w:val="20"/>
          <w:szCs w:val="20"/>
          <w:color w:val="auto"/>
        </w:rPr>
      </w:pPr>
    </w:p>
    <w:p>
      <w:pPr>
        <w:ind w:left="60" w:right="519"/>
        <w:spacing w:after="0" w:line="258" w:lineRule="auto"/>
        <w:rPr>
          <w:sz w:val="20"/>
          <w:szCs w:val="20"/>
          <w:color w:val="auto"/>
        </w:rPr>
      </w:pPr>
      <w:r>
        <w:rPr>
          <w:rFonts w:ascii="Times New Roman" w:cs="Times New Roman" w:eastAsia="Times New Roman" w:hAnsi="Times New Roman"/>
          <w:sz w:val="18"/>
          <w:szCs w:val="18"/>
          <w:color w:val="auto"/>
        </w:rPr>
        <w:t>AYVAKIT/AYVAKYT as well as some collaboration, license and other revenue. Our collaboration, license and other revenue primarily included revenue related to the Rigel Agreement.</w:t>
      </w:r>
    </w:p>
    <w:p>
      <w:pPr>
        <w:spacing w:after="0" w:line="223"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and other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and other agreements, if any.</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nine months ended September 30, 2023. This pre-launch inventory was fully sold through during 2023 and as a result, it did not have an impact on the cost of goods sold for the nine months ended September 30, 2024. We estimate our costs of goods sold related to product sales to be within the low to mid-single digit percentage range. Cost of goods sold related to sales of drug products to our collaboration partners are at lower margins.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68" w:lineRule="exact"/>
        <w:rPr>
          <w:sz w:val="20"/>
          <w:szCs w:val="20"/>
          <w:color w:val="auto"/>
        </w:rPr>
      </w:pPr>
    </w:p>
    <w:p>
      <w:pPr>
        <w:ind w:left="60" w:right="319" w:firstLine="648"/>
        <w:spacing w:after="0" w:line="253" w:lineRule="auto"/>
        <w:rPr>
          <w:sz w:val="20"/>
          <w:szCs w:val="20"/>
          <w:color w:val="auto"/>
        </w:rPr>
      </w:pPr>
      <w:r>
        <w:rPr>
          <w:rFonts w:ascii="Times New Roman" w:cs="Times New Roman" w:eastAsia="Times New Roman" w:hAnsi="Times New Roman"/>
          <w:sz w:val="18"/>
          <w:szCs w:val="18"/>
          <w:color w:val="auto"/>
        </w:rPr>
        <w:t>Roche was the principal for recording GAVRETO product sales to customers in the U.S. under our Roche pralsetinib collaboration, and the Company recognized a portion of the profit as revenue and losses as collaboration loss sharing in its consolidated statements of operations and comprehensive income (loss). In February 2023, the Company received written notice from Roche of their election to terminate for convenience the Roche pralsetinib collaboration agreement and the termination became effective on February 22, 2024. We continued to share any profit or loss from GAVRETO sales in the U.S. until February 22, 2024. For additional information, see Note 10</w:t>
      </w:r>
      <w:r>
        <w:rPr>
          <w:rFonts w:ascii="Times New Roman" w:cs="Times New Roman" w:eastAsia="Times New Roman" w:hAnsi="Times New Roman"/>
          <w:sz w:val="18"/>
          <w:szCs w:val="18"/>
          <w:i w:val="1"/>
          <w:iCs w:val="1"/>
          <w:color w:val="auto"/>
        </w:rPr>
        <w:t>, Collaboration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to our unaudited condensed consolidated financial statements.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67" w:lineRule="exact"/>
        <w:rPr>
          <w:sz w:val="20"/>
          <w:szCs w:val="20"/>
          <w:color w:val="auto"/>
        </w:rPr>
      </w:pPr>
    </w:p>
    <w:p>
      <w:pPr>
        <w:ind w:left="1380" w:hanging="33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85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Times New Roman" w:cs="Times New Roman" w:eastAsia="Times New Roman" w:hAnsi="Times New Roman"/>
          <w:sz w:val="18"/>
          <w:szCs w:val="18"/>
          <w:color w:val="auto"/>
        </w:rPr>
      </w:pPr>
    </w:p>
    <w:p>
      <w:pPr>
        <w:ind w:left="1380" w:right="139" w:hanging="331"/>
        <w:spacing w:after="0" w:line="312" w:lineRule="auto"/>
        <w:tabs>
          <w:tab w:leader="none" w:pos="1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development activities under our now terminated collaboration for pralsetinib with Roche and research and development activities under our collaboration with VantAI;</w:t>
      </w:r>
    </w:p>
    <w:p>
      <w:pPr>
        <w:spacing w:after="0" w:line="139"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25" w:lineRule="exact"/>
        <w:rPr>
          <w:rFonts w:ascii="Times New Roman" w:cs="Times New Roman" w:eastAsia="Times New Roman" w:hAnsi="Times New Roman"/>
          <w:sz w:val="18"/>
          <w:szCs w:val="18"/>
          <w:color w:val="auto"/>
        </w:rPr>
      </w:pPr>
    </w:p>
    <w:p>
      <w:pPr>
        <w:ind w:left="1380" w:right="11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pre-validated commercial supply materials; and</w:t>
      </w:r>
    </w:p>
    <w:p>
      <w:pPr>
        <w:spacing w:after="0" w:line="161"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lease expenses and maintenance of facilities, insurance, and other operating costs in support of research and development activities.</w:t>
      </w:r>
    </w:p>
    <w:p>
      <w:pPr>
        <w:spacing w:after="0" w:line="21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210" w:lineRule="exact"/>
        <w:rPr>
          <w:sz w:val="20"/>
          <w:szCs w:val="20"/>
          <w:color w:val="auto"/>
        </w:rPr>
      </w:pPr>
    </w:p>
    <w:p>
      <w:pPr>
        <w:ind w:left="1380" w:hanging="331"/>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to ensure adequate clinical and commercial supply;</w:t>
      </w:r>
    </w:p>
    <w:p>
      <w:pPr>
        <w:spacing w:after="0" w:line="161" w:lineRule="exact"/>
        <w:rPr>
          <w:rFonts w:ascii="Times New Roman" w:cs="Times New Roman" w:eastAsia="Times New Roman" w:hAnsi="Times New Roman"/>
          <w:sz w:val="18"/>
          <w:szCs w:val="18"/>
          <w:color w:val="auto"/>
        </w:rPr>
      </w:pPr>
    </w:p>
    <w:p>
      <w:pPr>
        <w:ind w:left="1380" w:right="1139" w:hanging="331"/>
        <w:spacing w:after="0" w:line="282"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and our drug candidates;</w:t>
      </w:r>
    </w:p>
    <w:p>
      <w:pPr>
        <w:spacing w:after="0" w:line="161"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and our drug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and any future drug we may commercialize;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6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8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allocate our internal research and development expenses to specific drug candidate programs as they are deployed across multiple projects under development.</w:t>
      </w:r>
    </w:p>
    <w:p>
      <w:pPr>
        <w:spacing w:after="0" w:line="214" w:lineRule="exact"/>
        <w:rPr>
          <w:sz w:val="20"/>
          <w:szCs w:val="20"/>
          <w:color w:val="auto"/>
        </w:rPr>
      </w:pPr>
    </w:p>
    <w:p>
      <w:pPr>
        <w:ind w:left="60" w:right="29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tables summarize our research and development expenses by principal program for the three and nine months ended September 30, 2024 and 2023.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2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(7,602)</w:t>
            </w: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Elenestinib external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(4,066)</w:t>
            </w:r>
          </w:p>
        </w:tc>
        <w:tc>
          <w:tcPr>
            <w:tcW w:w="7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EGFR franchise (BLU-451/525/701/945) external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(9,848)</w:t>
            </w: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BLU-222 external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(8,679)</w:t>
            </w:r>
          </w:p>
        </w:tc>
        <w:tc>
          <w:tcPr>
            <w:tcW w:w="7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BLU-808 external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development and pre-development candidate expenses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unallocated expenses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110,252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24"/>
                <w:szCs w:val="24"/>
                <w:color w:val="auto"/>
              </w:rPr>
            </w:pPr>
          </w:p>
        </w:tc>
        <w:tc>
          <w:tcPr>
            <w:tcW w:w="10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6"/>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Avapritinib external expenses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Pralsetinib external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(15,941)</w:t>
            </w:r>
          </w:p>
        </w:tc>
        <w:tc>
          <w:tcPr>
            <w:tcW w:w="140" w:type="dxa"/>
            <w:vAlign w:val="bottom"/>
          </w:tcPr>
          <w:p>
            <w:pPr>
              <w:spacing w:after="0"/>
              <w:rPr>
                <w:sz w:val="18"/>
                <w:szCs w:val="18"/>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Elenestinib external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EGFR franchise (BLU-451/525/701/945) external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(37,812)</w:t>
            </w:r>
          </w:p>
        </w:tc>
        <w:tc>
          <w:tcPr>
            <w:tcW w:w="140" w:type="dxa"/>
            <w:vAlign w:val="bottom"/>
          </w:tcPr>
          <w:p>
            <w:pPr>
              <w:spacing w:after="0"/>
              <w:rPr>
                <w:sz w:val="18"/>
                <w:szCs w:val="18"/>
                <w:color w:val="auto"/>
              </w:rPr>
            </w:pPr>
          </w:p>
        </w:tc>
        <w:tc>
          <w:tcPr>
            <w:tcW w:w="7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BLU-222 external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BLU-808 external expenses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development and pre-development candidate expenses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unallocated expenses</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257,761</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330,184</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20" w:right="1059" w:hanging="322"/>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 expenses reimbursable to Roche under our now terminated collaboration for pralsetinib with Roche.</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expect variability in our research and development expenses in future periods as our drug candidate development programs progress. The costs related to the implementation and expansion of clinical trial sites and related patient enrollment, monitoring, program management and manufacturing expenses for active pharmaceutical ingredient (API), drug product and drug substance for current and future clinical trials will vary depending on clinical data results and our resource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8"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spacing w:after="0" w:line="21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5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Interest expense, net consists primarily of interest expense related to our financing arrangements with Sixth Street Partners. Interest expense on liabilities related to the sale of future revenues consists of the periodic interest calculated using the effective interest rate method over the future estimated royalty payments due to Sixth Street Partners over the life of the Future Revenue Purchase Agreement.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unaudited condensed consolidated financial statements.</w:t>
      </w:r>
    </w:p>
    <w:p>
      <w:pPr>
        <w:spacing w:after="0" w:line="192"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also includes income earned on cash equivalents and marketable securities. Our interest income may fluctuate depending on the movement of interest rates and our total amount of cash equivalents and marketable securities.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miscellaneous income and expenses unrelated to our core operations, including gains on our equity investment and the impacts of foreign currency exchange differences.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Extinguishment Gain</w:t>
      </w:r>
    </w:p>
    <w:p>
      <w:pPr>
        <w:spacing w:after="0" w:line="254"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Debt extinguishment gain consists of the gain recognized as a result of the Royalty Pharma Termination Agreement entered into on February 22, 2024.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unaudited condensed consolidated financial statements.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tax expense consists of U.S. state and foreign income taxes incurred.</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2023. There have been no significant changes to our critical accounting policies and estimates since December 31, 2023, with the exception of the below new policy.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Modification of Debt Instruments</w:t>
      </w:r>
    </w:p>
    <w:p>
      <w:pPr>
        <w:spacing w:after="0" w:line="268"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When a debt instrument in which we are the debtor is modified or exchanged, we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 together with the changes in those items in dollars and as a percentage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128,184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56,566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177,158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185,546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(8,388)</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(7,029)</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(2,493)</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(133,516)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77,513</w:t>
            </w: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(133,713)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77,437</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Revenues</w:t>
            </w: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 consist of the following (in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license and other revenue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Pr>
          <w:p>
            <w:pPr>
              <w:spacing w:after="0"/>
              <w:rPr>
                <w:sz w:val="19"/>
                <w:szCs w:val="19"/>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during the three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$ 49,121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64,012</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$ 54,228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73,956</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Product revenue, net increased during the three months ended September 30, 2024 as compared to the three months ended September 30, 2023 primarily driven by growth in the number of indolent SM and advanced SM patients 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License and Other Revenue</w:t>
      </w:r>
    </w:p>
    <w:p>
      <w:pPr>
        <w:spacing w:after="0" w:line="16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recognized from our collaboration, license and other agreements during the three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16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7"/>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5"/>
        </w:trPr>
        <w:tc>
          <w:tcPr>
            <w:tcW w:w="5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7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license and other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79" w:firstLine="648"/>
        <w:spacing w:after="0" w:line="254" w:lineRule="auto"/>
        <w:rPr>
          <w:sz w:val="20"/>
          <w:szCs w:val="20"/>
          <w:color w:val="auto"/>
        </w:rPr>
      </w:pPr>
      <w:r>
        <w:rPr>
          <w:rFonts w:ascii="Times New Roman" w:cs="Times New Roman" w:eastAsia="Times New Roman" w:hAnsi="Times New Roman"/>
          <w:sz w:val="18"/>
          <w:szCs w:val="18"/>
          <w:color w:val="auto"/>
        </w:rPr>
        <w:t>Revenue recognized from our collaboration, license and other agreements decreased during the three months ended September 30, 2024 as compared to the three months ended September 30, 2023 primarily due to a decrease in revenue from the CStone collaboration. The decrease in CStone-related revenue was primarily due to a decrease in manufacturing services related to CStone Territory-specific activities, and a reduction in revenue recorded as a result of considerations payable to CStone in connection with the commercial supply of pralsetinib for the CStone Territory.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cost of sales during the three months ended September 30, 2024 and 2023 (in thousands):</w:t>
      </w:r>
    </w:p>
    <w:tbl>
      <w:tblPr>
        <w:tblLayout w:type="fixed"/>
        <w:tblInd w:w="40" w:type="dxa"/>
        <w:tblCellMar>
          <w:top w:w="0" w:type="dxa"/>
          <w:left w:w="0" w:type="dxa"/>
          <w:bottom w:w="0" w:type="dxa"/>
          <w:right w:w="0" w:type="dxa"/>
        </w:tblCellMar>
      </w:tblPr>
      <w:tr>
        <w:trPr>
          <w:trHeight w:val="158"/>
        </w:trPr>
        <w:tc>
          <w:tcPr>
            <w:tcW w:w="5560" w:type="dxa"/>
            <w:vAlign w:val="bottom"/>
          </w:tcPr>
          <w:p>
            <w:pPr>
              <w:spacing w:after="0"/>
              <w:rPr>
                <w:sz w:val="13"/>
                <w:szCs w:val="13"/>
                <w:color w:val="auto"/>
              </w:rPr>
            </w:pPr>
          </w:p>
        </w:tc>
        <w:tc>
          <w:tcPr>
            <w:tcW w:w="1600" w:type="dxa"/>
            <w:vAlign w:val="bottom"/>
            <w:gridSpan w:val="6"/>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5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1"/>
        </w:trPr>
        <w:tc>
          <w:tcPr>
            <w:tcW w:w="5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collaboration and other agreement sales</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w:t>
            </w: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Cost of sales decreased during the three months ended September 30, 2024 as compared to the three months ended September 30, 2023 primarily driven by lower sales under the CStone collaboration agreement. The cost of product sales increased in the three months ended September 30, 2024 as compared to the three months September 30, 2023 primarily due to the increase in product sales volume.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2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no collaboration loss sharing was recognized under the Roche pralsetinib collaboration because the Roche pralsetinib collaboration was terminated on February 22, 2024. During the three months ended September 30, 2023, we recorded collaboration loss sharing of $1.8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18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7"/>
        </w:trPr>
        <w:tc>
          <w:tcPr>
            <w:tcW w:w="5280" w:type="dxa"/>
            <w:vAlign w:val="bottom"/>
          </w:tcPr>
          <w:p>
            <w:pPr>
              <w:spacing w:after="0"/>
              <w:rPr>
                <w:sz w:val="16"/>
                <w:szCs w:val="16"/>
                <w:color w:val="auto"/>
              </w:rPr>
            </w:pPr>
          </w:p>
        </w:tc>
        <w:tc>
          <w:tcPr>
            <w:tcW w:w="18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280" w:type="dxa"/>
            <w:vAlign w:val="bottom"/>
          </w:tcPr>
          <w:p>
            <w:pPr>
              <w:spacing w:after="0"/>
              <w:rPr>
                <w:sz w:val="16"/>
                <w:szCs w:val="16"/>
                <w:color w:val="auto"/>
              </w:rPr>
            </w:pPr>
          </w:p>
        </w:tc>
        <w:tc>
          <w:tcPr>
            <w:tcW w:w="7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$ 29,800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 drug discovery and platform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manufacturing related activities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$ 85,300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decreased for the three months ended September 30, 2024 as compared to the three months ended September 30, 2023 primarily due to a decrease of $29.3 million in clinical and manufacturing related activities due to our focused approach towards optimizing operational efficiency across our portfolio while executing across our top priority programs, as well as the timing of manufacturing of clinical trial materials.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sales, general and administrative expenses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7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7"/>
        </w:trPr>
        <w:tc>
          <w:tcPr>
            <w:tcW w:w="5400" w:type="dxa"/>
            <w:vAlign w:val="bottom"/>
          </w:tcPr>
          <w:p>
            <w:pPr>
              <w:spacing w:after="0"/>
              <w:rPr>
                <w:sz w:val="16"/>
                <w:szCs w:val="16"/>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400" w:type="dxa"/>
            <w:vAlign w:val="bottom"/>
          </w:tcPr>
          <w:p>
            <w:pPr>
              <w:spacing w:after="0"/>
              <w:rPr>
                <w:sz w:val="16"/>
                <w:szCs w:val="16"/>
                <w:color w:val="auto"/>
              </w:rPr>
            </w:pPr>
          </w:p>
        </w:tc>
        <w:tc>
          <w:tcPr>
            <w:tcW w:w="7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$ 31,320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$ 29,669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related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26,741</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r>
      <w:tr>
        <w:trPr>
          <w:trHeight w:val="210"/>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general and administrative expenses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$ 89,926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$ 70,741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months ended September 30, 2024 as compared to the three months ended September 30, 2023 primarily due to an increase of $13.7 million in commercial and related activities which was primarily driven by efforts to support the commercialization of AYVAKIT/AYVAKYT, and an increase in expenses to be reimbursed to Roche for the wind-down costs associated with the termination and transition activities related to GAVRETO, together with a reduction in GAVRETO’s commercial expenses shared by Roche under the Roche pralsetinib collaboration agreement.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net, during the three months ended September 30, 2024 and 2023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4"/>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8"/>
        </w:trPr>
        <w:tc>
          <w:tcPr>
            <w:tcW w:w="5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(18,766)</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(13,137)</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(5,629)</w:t>
            </w: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Interest expense, net, increased for the three months ended September 30, 2024 as compared to the three months ended September 30, 2023 primarily due to higher interest charges on the term loan with Sixth Street Partners, partially offset by higher interest income earned on our available-for-sale investments during the three months ended September 30, 2024 as compared to the three months ended September 30,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other income (expense), net,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13335</wp:posOffset>
            </wp:positionV>
            <wp:extent cx="8572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587</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bl>
    <w:p>
      <w:pPr>
        <w:spacing w:after="0" w:line="184"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increased for the three months ended September 30, 2024 as compared to the three months ended September 30, 2023 primarily due to the gain recorded associated with our equity investment in IDRx partially offset by an increase in foreign exchange losses.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12529"/>
        </w:rPr>
        <w:t>Debt extinguishment gain</w:t>
      </w:r>
    </w:p>
    <w:p>
      <w:pPr>
        <w:spacing w:after="0" w:line="227" w:lineRule="exact"/>
        <w:rPr>
          <w:sz w:val="20"/>
          <w:szCs w:val="20"/>
          <w:color w:val="auto"/>
        </w:rPr>
      </w:pPr>
    </w:p>
    <w:p>
      <w:pPr>
        <w:ind w:left="60" w:right="319" w:firstLine="648"/>
        <w:spacing w:after="0" w:line="254" w:lineRule="auto"/>
        <w:rPr>
          <w:sz w:val="20"/>
          <w:szCs w:val="20"/>
          <w:color w:val="auto"/>
        </w:rPr>
      </w:pPr>
      <w:r>
        <w:rPr>
          <w:rFonts w:ascii="Times New Roman" w:cs="Times New Roman" w:eastAsia="Times New Roman" w:hAnsi="Times New Roman"/>
          <w:sz w:val="18"/>
          <w:szCs w:val="18"/>
          <w:color w:val="212529"/>
        </w:rPr>
        <w:t>During the three months ended September 30, 2024, no debt extinguishment gain was recognized related to the Royalty Pharma Termination Agreement entered into on February 22, 2024. For additional information, see Note</w:t>
      </w:r>
    </w:p>
    <w:p>
      <w:pPr>
        <w:ind w:left="60"/>
        <w:spacing w:after="0"/>
        <w:rPr>
          <w:sz w:val="20"/>
          <w:szCs w:val="20"/>
          <w:color w:val="auto"/>
        </w:rPr>
      </w:pPr>
      <w:r>
        <w:rPr>
          <w:rFonts w:ascii="Times New Roman" w:cs="Times New Roman" w:eastAsia="Times New Roman" w:hAnsi="Times New Roman"/>
          <w:sz w:val="18"/>
          <w:szCs w:val="18"/>
          <w:color w:val="212529"/>
        </w:rPr>
        <w:t xml:space="preserve">3, </w:t>
      </w:r>
      <w:r>
        <w:rPr>
          <w:rFonts w:ascii="Times New Roman" w:cs="Times New Roman" w:eastAsia="Times New Roman" w:hAnsi="Times New Roman"/>
          <w:sz w:val="18"/>
          <w:szCs w:val="18"/>
          <w:i w:val="1"/>
          <w:iCs w:val="1"/>
          <w:color w:val="212529"/>
        </w:rPr>
        <w:t>Financing Arrangements</w:t>
      </w:r>
      <w:r>
        <w:rPr>
          <w:rFonts w:ascii="Times New Roman" w:cs="Times New Roman" w:eastAsia="Times New Roman" w:hAnsi="Times New Roman"/>
          <w:sz w:val="18"/>
          <w:szCs w:val="18"/>
          <w:color w:val="212529"/>
        </w:rPr>
        <w:t>, to our unaudited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income tax expense during the three months ended September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1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6985</wp:posOffset>
            </wp:positionV>
            <wp:extent cx="8572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5"/>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98" w:lineRule="exact"/>
        <w:rPr>
          <w:sz w:val="20"/>
          <w:szCs w:val="20"/>
          <w:color w:val="auto"/>
        </w:rPr>
      </w:pPr>
    </w:p>
    <w:p>
      <w:pPr>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Income tax expense increased for the three months ended September 30, 2024 as compared to the three months ended September 30, 2023 primarily due to the overall increase in forecasted profit before tax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 together with the changes in those items in dollars and as a percentage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4"/>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362,458</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177,423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533,299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558,591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(25,292)</w:t>
            </w: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(13,993)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168,255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(395,161)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378,582</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7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(396,068)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378,935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 consist of the following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334,825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license and other revenue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(16,617)</w:t>
            </w:r>
          </w:p>
        </w:tc>
        <w:tc>
          <w:tcPr>
            <w:tcW w:w="160" w:type="dxa"/>
            <w:vAlign w:val="bottom"/>
          </w:tcPr>
          <w:p>
            <w:pPr>
              <w:spacing w:after="0"/>
              <w:rPr>
                <w:sz w:val="19"/>
                <w:szCs w:val="19"/>
                <w:color w:val="auto"/>
              </w:rPr>
            </w:pPr>
          </w:p>
        </w:tc>
        <w:tc>
          <w:tcPr>
            <w:tcW w:w="7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362,458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recognized from sales of AYVAKIT/AYVAKYT during the nine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9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19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80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$ 297,731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179,376</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$ 334,825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201,652</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312" w:lineRule="auto"/>
        <w:rPr>
          <w:sz w:val="20"/>
          <w:szCs w:val="20"/>
          <w:color w:val="auto"/>
        </w:rPr>
      </w:pPr>
      <w:r>
        <w:rPr>
          <w:rFonts w:ascii="Times New Roman" w:cs="Times New Roman" w:eastAsia="Times New Roman" w:hAnsi="Times New Roman"/>
          <w:sz w:val="17"/>
          <w:szCs w:val="17"/>
          <w:color w:val="auto"/>
        </w:rPr>
        <w:t>Product revenue, net increased during the nine months ended September 30, 2024 as compared to the nine months ended September 30, 2023 primarily driven by growth in the number of indolent SM and advanced SM patients 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License and Other Revenue</w:t>
      </w:r>
    </w:p>
    <w:p>
      <w:pPr>
        <w:spacing w:after="0" w:line="227"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recognized from our collaboration, license and other agreements during the nine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7"/>
        </w:trPr>
        <w:tc>
          <w:tcPr>
            <w:tcW w:w="5380" w:type="dxa"/>
            <w:vAlign w:val="bottom"/>
          </w:tcPr>
          <w:p>
            <w:pPr>
              <w:spacing w:after="0"/>
              <w:rPr>
                <w:sz w:val="16"/>
                <w:szCs w:val="16"/>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5"/>
        </w:trPr>
        <w:tc>
          <w:tcPr>
            <w:tcW w:w="5380" w:type="dxa"/>
            <w:vAlign w:val="bottom"/>
          </w:tcPr>
          <w:p>
            <w:pPr>
              <w:spacing w:after="0"/>
              <w:rPr>
                <w:sz w:val="17"/>
                <w:szCs w:val="17"/>
                <w:color w:val="auto"/>
              </w:rPr>
            </w:pPr>
          </w:p>
        </w:tc>
        <w:tc>
          <w:tcPr>
            <w:tcW w:w="72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Rigel Agreement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$ 24,268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CStone collaboration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(15,437)</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 immunotherapy collaboration</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(25,706)</w:t>
            </w:r>
          </w:p>
        </w:tc>
        <w:tc>
          <w:tcPr>
            <w:tcW w:w="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collaboration, license and other revenue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$ 27,633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Revenue recognized from our collaboration, license and other agreements decreased during the nine months ended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as compared to nine months ended September 30, 2023 primarily due to:</w:t>
      </w:r>
    </w:p>
    <w:p>
      <w:pPr>
        <w:spacing w:after="0" w:line="207" w:lineRule="exact"/>
        <w:rPr>
          <w:sz w:val="20"/>
          <w:szCs w:val="20"/>
          <w:color w:val="auto"/>
        </w:rPr>
      </w:pPr>
    </w:p>
    <w:p>
      <w:pPr>
        <w:ind w:left="720" w:right="79" w:hanging="319"/>
        <w:spacing w:after="0" w:line="25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Roche immunotherapy collaboration effective in April 2023. As a result of the termination, the percentage of completion to fulfill the performance obligations under the Roche immunotherapy collaboration was increased, and therefore, a significant portion of the remaining transaction price associated with the agreement was recognized as collaboration, license and other revenue during the nine months ended September 30, 2023; and</w:t>
      </w:r>
    </w:p>
    <w:p>
      <w:pPr>
        <w:spacing w:after="0" w:line="187" w:lineRule="exact"/>
        <w:rPr>
          <w:rFonts w:ascii="Times New Roman" w:cs="Times New Roman" w:eastAsia="Times New Roman" w:hAnsi="Times New Roman"/>
          <w:sz w:val="18"/>
          <w:szCs w:val="18"/>
          <w:color w:val="auto"/>
        </w:rPr>
      </w:pPr>
    </w:p>
    <w:p>
      <w:pPr>
        <w:ind w:left="720" w:right="3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revenue under our CStone collaboration primarily due to a regulatory milestone of $9.0 million achieved during the nine months ended September 30, 2023, a decrease in manufacturing services related to CStone Territory-specific activities and a reduction in revenue recorded as a result of consideration payable to CStone in connection with commercial supply of pralsetinib for the CStone Territory.</w:t>
      </w:r>
    </w:p>
    <w:p>
      <w:pPr>
        <w:spacing w:after="0" w:line="187"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decrease in collaboration, license and other revenue was partially offset by the revenue recorded under the Rigel Agreement upon completion of the transition during the nine months ended September 30,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cost of sales during the nine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7"/>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5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4,671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collaboration and other agreement sales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3,609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124</w:t>
            </w:r>
          </w:p>
        </w:tc>
      </w:tr>
      <w:tr>
        <w:trPr>
          <w:trHeight w:val="21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8,280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Cost of sales increased during the nine months ended September 30, 2024 as compared to the nine months ended September 30, 2023 primarily due to an increase in the cost of collaboration and other agreement related sales which was driven primarily by GAVRETO product sales to Rigel. The decrease in cost of product sales was primarily due to lower inventory allowances as well as the sale of lower-cost dosages of AYVAKIT/AYVAKYT partially offset by the increase in product sales volume.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Loss Sharing</w:t>
      </w:r>
    </w:p>
    <w:p>
      <w:pPr>
        <w:spacing w:after="0" w:line="22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no collaboration loss sharing was recognized for the sales of GAVRETO to the customers in the U.S. because the commercialization activities of GAVRETO were profitable in the U.S. through its termination effective date of February 22, 2024 and generated profit sharing revenue of $1.4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which was recorded as Roche pralsetinib collaboration revenue. During the nine months ended September 30, 2023, we recorded collaboration loss sharing of $4.3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4"/>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 drug discovery and platform</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and manufacturing related activities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(79,412)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19"/>
                <w:szCs w:val="19"/>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257,761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330,184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(72,423)</w:t>
            </w:r>
          </w:p>
        </w:tc>
        <w:tc>
          <w:tcPr>
            <w:tcW w:w="16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decreased for the nine months ended September 30, 2024 as compared to the nine months ended September 30, 2023 primarily due to a decrease of $79.4 million in clinical and manufacturing related activities primarily due to our focused approach towards optimizing operational efficiency across our portfolio while executing across our top priority programs, as well as the timing of manufacturing of clinical trial materials.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sales, general and administrative expenses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8"/>
        </w:trPr>
        <w:tc>
          <w:tcPr>
            <w:tcW w:w="5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related</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31,890</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and IT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r>
      <w:tr>
        <w:trPr>
          <w:trHeight w:val="21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nine months ended September 30, 2024 as compared to the nine months ended September 30, 2023 primarily due to:</w:t>
      </w:r>
    </w:p>
    <w:p>
      <w:pPr>
        <w:spacing w:after="0" w:line="162" w:lineRule="exact"/>
        <w:rPr>
          <w:sz w:val="20"/>
          <w:szCs w:val="20"/>
          <w:color w:val="auto"/>
        </w:rPr>
      </w:pPr>
    </w:p>
    <w:p>
      <w:pPr>
        <w:ind w:left="800" w:right="539" w:hanging="318"/>
        <w:spacing w:after="0" w:line="282"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$31.9 million in commercial and related activities primarily driven by efforts to support the commercialization of AYVAKIT/AYVAKYT; and</w:t>
      </w:r>
    </w:p>
    <w:p>
      <w:pPr>
        <w:spacing w:after="0" w:line="161" w:lineRule="exact"/>
        <w:rPr>
          <w:rFonts w:ascii="Times New Roman" w:cs="Times New Roman" w:eastAsia="Times New Roman" w:hAnsi="Times New Roman"/>
          <w:sz w:val="18"/>
          <w:szCs w:val="18"/>
          <w:color w:val="auto"/>
        </w:rPr>
      </w:pPr>
    </w:p>
    <w:p>
      <w:pPr>
        <w:ind w:left="800" w:right="119" w:hanging="318"/>
        <w:spacing w:after="0" w:line="266"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$9.1 million in consulting and professional services expenses primarily related to supporting business development activities, which primarily resulted from the transitioning of the U.S. rights to GAVRETO to Rigel.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interest expense, net, during the nine months ended September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7"/>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1"/>
        </w:trPr>
        <w:tc>
          <w:tcPr>
            <w:tcW w:w="5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(50,638)</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(36,602)</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(14,036)</w:t>
            </w: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Interest expense, net, increased for the nine months ended September 30, 2024 as compared to the nine months ended September 30, 2023 primarily due to higher interest charges on the term loan with Sixth Street Partners, partially offset by higher interest income earned on our available-for-sale investments during the nine months ended September 30, 2024 as compared to the nine months ended September 30,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other income (expense), net, during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13335</wp:posOffset>
            </wp:positionV>
            <wp:extent cx="8572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bl>
    <w:p>
      <w:pPr>
        <w:spacing w:after="0" w:line="18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for the nine months ended September 30, 2024 as compared to the nine months ended September 30, 2023 primarily due to the gain recorded associated with our equity investment in IDRx.</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extinguishment gain</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2024, a debt extinguishment gain of $173.7 million was recognized as a result of the Royalty Pharma Termination Agreement entered into on February 22, 2024. For additional information,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unaudited condensed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27"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tax expense during the nine months ended September 30, 2024 and 2023 (in thousands):</w:t>
      </w:r>
    </w:p>
    <w:p>
      <w:pPr>
        <w:spacing w:after="0" w:line="18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6985</wp:posOffset>
            </wp:positionV>
            <wp:extent cx="8572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4"/>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907</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98"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decreased for the nine months ended September 30, 2024 as compared to the nine months ended September 30, 2023 primarily due to prior period discrete items not recurring during the nine months ended September 30,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and license agreements, future royalty and revenue monetization, and a term loan. Through September 30, 2024, we have received an aggregate of $3.9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payments and milestone payments under our collaborations with CStone and Zai Lab, our now terminated collaborations with Roche, our license agreement with Clementia, our agreement with Rigel and our former collaboration with Alexion, and $400.0 million in gross proceeds from a term loan from Sixth Street Partners. In addition, since January 2020, we have also generated revenue through the sales of our approved drug products.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$882.4 million.</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 and 2023:</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596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(357,919)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For the nine months ended September 30,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the $194.7 million decrease in net cash used in operating activities was primarily due to the decrease in net loss of $378.9 million. The decrease was partially offset by the non-cash adjustment for the debt extinguishment gain of $173.7 million.</w:t>
      </w:r>
    </w:p>
    <w:p>
      <w:pPr>
        <w:spacing w:after="0" w:line="156" w:lineRule="exact"/>
        <w:rPr>
          <w:sz w:val="20"/>
          <w:szCs w:val="20"/>
          <w:color w:val="auto"/>
        </w:rPr>
      </w:pPr>
    </w:p>
    <w:p>
      <w:pPr>
        <w:jc w:val="both"/>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For the nine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2023, the $276.5 million increase in net cash used in investing activities was primarily due to the $284.2 million increase in net purchases of available for sale investments.</w:t>
      </w:r>
    </w:p>
    <w:p>
      <w:pPr>
        <w:spacing w:after="0" w:line="14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nine months ended September 30,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the $159.7 million increase in net cash provided by financing activities was primarily due to the $48.9 million increase in proceeds received from the ATM Facility (as defined below), the $62.3 million increase in net proceeds received from stock option exercises and employee stock purchase plan, and the $49.0 million increase in net proceeds from the term loan facility.</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68"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In connection with and effective upon the termination of the Roche pralsetinib collaboration agreement, on February 22, 2024, we and Royalty Pharma agreed to terminate the Royalty Purchase Agreement. As of September 30, 2024, the net carrying value of liability related to this arrangement was $0.7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In July 2022, we closed a Future Revenue Purchase Agreement with Sixth Street Partners and received gross proceeds of $250.0 million in exchange for future royalty payments at a rate of 9.75% on up to $900 million each year of</w:t>
      </w:r>
    </w:p>
    <w:p>
      <w:pPr>
        <w:spacing w:after="0" w:line="1" w:lineRule="exact"/>
        <w:rPr>
          <w:sz w:val="20"/>
          <w:szCs w:val="20"/>
          <w:color w:val="auto"/>
        </w:rPr>
      </w:pPr>
    </w:p>
    <w:p>
      <w:pPr>
        <w:ind w:left="60" w:right="59" w:hanging="10"/>
        <w:spacing w:after="0" w:line="249"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September 30, 2024, the net carrying value of the liability related to this arrangement was $260.5 million.</w:t>
      </w:r>
    </w:p>
    <w:p>
      <w:pPr>
        <w:spacing w:after="0" w:line="193"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and in May 2024, we received the second tranche in the amount of $150.0 million in gross proceeds. In addition, we may at any time request an incremental term loan in an amount not to exceed $260.0 million on terms to be agreed and subject to the consent of the lenders providing such incremental term loan. As of September 30, 2024, the net carrying value of the term loan was $386.6 million.</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obligations under the Financing Agreement are secured, subject to certain exceptions, by security interests in substantially all of our assets and certain of our subsidiaries’ assets. The Financing Agreement contains customary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$80.0 million.</w:t>
      </w:r>
    </w:p>
    <w:p>
      <w:pPr>
        <w:spacing w:after="0" w:line="190" w:lineRule="exact"/>
        <w:rPr>
          <w:sz w:val="20"/>
          <w:szCs w:val="20"/>
          <w:color w:val="auto"/>
        </w:rPr>
      </w:pPr>
    </w:p>
    <w:p>
      <w:pPr>
        <w:ind w:left="60" w:right="639" w:firstLine="648"/>
        <w:spacing w:after="0" w:line="284" w:lineRule="auto"/>
        <w:rPr>
          <w:sz w:val="20"/>
          <w:szCs w:val="20"/>
          <w:color w:val="auto"/>
        </w:rPr>
      </w:pPr>
      <w:r>
        <w:rPr>
          <w:rFonts w:ascii="Times New Roman" w:cs="Times New Roman" w:eastAsia="Times New Roman" w:hAnsi="Times New Roman"/>
          <w:sz w:val="18"/>
          <w:szCs w:val="18"/>
          <w:color w:val="auto"/>
        </w:rPr>
        <w:t>For additional information, see Note 3</w:t>
      </w:r>
      <w:r>
        <w:rPr>
          <w:rFonts w:ascii="Times New Roman" w:cs="Times New Roman" w:eastAsia="Times New Roman" w:hAnsi="Times New Roman"/>
          <w:sz w:val="18"/>
          <w:szCs w:val="18"/>
          <w:i w:val="1"/>
          <w:iCs w:val="1"/>
          <w:color w:val="auto"/>
        </w:rPr>
        <w:t>, Financing Arrangements</w:t>
      </w:r>
      <w:r>
        <w:rPr>
          <w:rFonts w:ascii="Times New Roman" w:cs="Times New Roman" w:eastAsia="Times New Roman" w:hAnsi="Times New Roman"/>
          <w:sz w:val="18"/>
          <w:szCs w:val="18"/>
          <w:color w:val="auto"/>
        </w:rPr>
        <w:t>, to our unaudited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Agreement with Cowen</w:t>
      </w:r>
    </w:p>
    <w:p>
      <w:pPr>
        <w:spacing w:after="0" w:line="21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February 2022, we entered into an at-the-market (ATM) Facility with Cowen and Company, LLC (Cowen), pursuant to which we may offer and sell, from time to time at our sole discretion, shares of our common stock having an aggregate offering price of up to $300.0 million through Cowen as sales agent. We did not issue any shares under the ATM Facility during the three months ended September 30, 2024. During the nine months ended September 30, 2024, we issued and sold 544,719 shares of our common stock under the ATM Facility, at an average price of $91.88 per share, and received net proceeds of $48.9 million. We did not issue any shares under the ATM Facility during the three and nine months ended September 30, 2023. As of September 30, 2024, we had $250.0 million of remaining capacity available under the ATM Facility.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68"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 approved drugs or drug candidates or otherwise expand more rapidly than we presently anticipate. Accordingly, we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spacing w:after="0" w:line="216"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$882.4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and may increase as a result of many factors, including:</w:t>
      </w:r>
    </w:p>
    <w:p>
      <w:pPr>
        <w:spacing w:after="0" w:line="225" w:lineRule="exact"/>
        <w:rPr>
          <w:sz w:val="20"/>
          <w:szCs w:val="20"/>
          <w:color w:val="auto"/>
        </w:rPr>
      </w:pPr>
    </w:p>
    <w:p>
      <w:pPr>
        <w:ind w:left="1380" w:right="11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and market acceptance for AYVAKIT/AYVAKYT or any of our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80" w:right="339" w:hanging="331"/>
        <w:spacing w:after="0" w:line="258"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96" w:lineRule="exact"/>
        <w:rPr>
          <w:rFonts w:ascii="Times New Roman" w:cs="Times New Roman" w:eastAsia="Times New Roman" w:hAnsi="Times New Roman"/>
          <w:sz w:val="18"/>
          <w:szCs w:val="18"/>
          <w:color w:val="auto"/>
        </w:rPr>
      </w:pPr>
    </w:p>
    <w:p>
      <w:pPr>
        <w:ind w:left="1380" w:right="139" w:hanging="331"/>
        <w:spacing w:after="0" w:line="255"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p>
      <w:pPr>
        <w:spacing w:after="0" w:line="186"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61"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80" w:right="13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to the extent these expenses are not the responsibility of our collaboration partners;</w:t>
      </w:r>
    </w:p>
    <w:p>
      <w:pPr>
        <w:spacing w:after="0" w:line="161" w:lineRule="exact"/>
        <w:rPr>
          <w:rFonts w:ascii="Times New Roman" w:cs="Times New Roman" w:eastAsia="Times New Roman" w:hAnsi="Times New Roman"/>
          <w:sz w:val="18"/>
          <w:szCs w:val="18"/>
          <w:color w:val="auto"/>
        </w:rPr>
      </w:pPr>
    </w:p>
    <w:p>
      <w:pPr>
        <w:ind w:left="1380" w:right="299" w:hanging="331"/>
        <w:spacing w:after="0" w:line="258"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CStone and VantAI, our license agreements with Clementia and IDRx, our agreement with Rigel, as well as our ability to establish and maintain additional collaborations, partnerships or licenses on favorable terms, if at all;</w:t>
      </w:r>
    </w:p>
    <w:p>
      <w:pPr>
        <w:spacing w:after="0" w:line="196" w:lineRule="exact"/>
        <w:rPr>
          <w:rFonts w:ascii="Times New Roman" w:cs="Times New Roman" w:eastAsia="Times New Roman" w:hAnsi="Times New Roman"/>
          <w:sz w:val="18"/>
          <w:szCs w:val="18"/>
          <w:color w:val="auto"/>
        </w:rPr>
      </w:pPr>
    </w:p>
    <w:p>
      <w:pPr>
        <w:ind w:left="1380" w:right="459" w:hanging="331"/>
        <w:spacing w:after="0" w:line="258"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and other agreements, our financing arrangements, or any collaboration, partnership, financing or license agreements that we may enter into in the future;</w:t>
      </w:r>
    </w:p>
    <w:p>
      <w:pPr>
        <w:spacing w:after="0" w:line="196"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1" w:lineRule="exact"/>
        <w:rPr>
          <w:rFonts w:ascii="Times New Roman" w:cs="Times New Roman" w:eastAsia="Times New Roman" w:hAnsi="Times New Roman"/>
          <w:sz w:val="18"/>
          <w:szCs w:val="18"/>
          <w:color w:val="auto"/>
        </w:rPr>
      </w:pPr>
    </w:p>
    <w:p>
      <w:pPr>
        <w:ind w:left="1380" w:right="759" w:hanging="331"/>
        <w:spacing w:after="0" w:line="282"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5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89" w:lineRule="auto"/>
        <w:rPr>
          <w:sz w:val="20"/>
          <w:szCs w:val="20"/>
          <w:color w:val="auto"/>
        </w:rPr>
      </w:pPr>
      <w:r>
        <w:rPr>
          <w:rFonts w:ascii="Times New Roman" w:cs="Times New Roman" w:eastAsia="Times New Roman" w:hAnsi="Times New Roman"/>
          <w:sz w:val="17"/>
          <w:szCs w:val="17"/>
          <w:color w:val="auto"/>
        </w:rPr>
        <w:t>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spacing w:after="0" w:line="198"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 with CStone, the license agreements with Clementia and IDRx, the agreement with Rigel and the Financing Agreement with Sixth Street Partners, which are limited in scope and duration and subject to the achievement of milestones or royalties on sales of licensed products, if any. In addition, we may sell additional shares of our common stock pursuant to our ATM Facility with Cowen, as further discussed above.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spacing w:after="0" w:line="235"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7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contractual obligations primarily consist of our obligations under unconditional purchase obligations related to certain clinical and commercial manufacturing agreements, non-cancellable operating leases, term loan and defined benefit obligation.</w:t>
      </w:r>
    </w:p>
    <w:p>
      <w:pPr>
        <w:spacing w:after="0" w:line="20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May 2024, we received $150.0 million in gross proceeds of senior secured delayed draw term loan facility under our Financing Agreement with Sixth Street Partners. As of September 30, 2024, there have been no other material changes to our contractual obligations outside the ordinary course of business from those described under “Management’s Discussion and Analysis of Financial Condition and Results of Operations” included in the Annual Report on Form 10-K for the year ended December 31, 2023.</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we had cash, cash equivalents and marketable securities of $882.4 million and $767.2 million, respectively, consisting primarily of money market funds and investments in U.S. government agency and treasury obligations.</w:t>
      </w:r>
    </w:p>
    <w:p>
      <w:pPr>
        <w:spacing w:after="0" w:line="135"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in our fixed income portfolio, which is primarily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are also exposed to interest rate risk in connection with our borrowings under our senior secured term loan with Sixth Street Partners. As of September 30, 2024, we had $386.6 million of outstanding borrowings under the senior secured term loan. Pursuant to the Financing Agreement, outstanding indebtedness under the term loan bears interest at a rate equal to either the Secured Overnight Financing Rate (SOFR) plus 6.50% or the base rate plus 5.50%, subject to a floor of 1% and 2% with respect to the SOFR and base rate, respectively. The effective annual interest was 12.3% as of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September 30, 2024. We currently do not engage in any interest rate hedging activity, and we have no intention to do so in the foreseeable future. Based on the current interest rate of the term loan and the scheduled payments thereunder, we do not believe a 1.0% increase in interest rates would have a material impact on our financial condition or results of operations.</w:t>
      </w:r>
    </w:p>
    <w:p>
      <w:pPr>
        <w:spacing w:after="0" w:line="2" w:lineRule="exact"/>
        <w:rPr>
          <w:sz w:val="20"/>
          <w:szCs w:val="20"/>
          <w:color w:val="auto"/>
        </w:rPr>
      </w:pPr>
    </w:p>
    <w:p>
      <w:pPr>
        <w:ind w:left="60" w:right="719"/>
        <w:spacing w:after="0" w:line="260" w:lineRule="auto"/>
        <w:rPr>
          <w:sz w:val="20"/>
          <w:szCs w:val="20"/>
          <w:color w:val="auto"/>
        </w:rPr>
      </w:pPr>
      <w:r>
        <w:rPr>
          <w:rFonts w:ascii="Times New Roman" w:cs="Times New Roman" w:eastAsia="Times New Roman" w:hAnsi="Times New Roman"/>
          <w:sz w:val="18"/>
          <w:szCs w:val="18"/>
          <w:color w:val="auto"/>
        </w:rPr>
        <w:t xml:space="preserve">For more information regarding the Financing Agreement and the term loan with Sixth Street Partners, see Note 3, </w:t>
      </w:r>
      <w:r>
        <w:rPr>
          <w:rFonts w:ascii="Times New Roman" w:cs="Times New Roman" w:eastAsia="Times New Roman" w:hAnsi="Times New Roman"/>
          <w:sz w:val="18"/>
          <w:szCs w:val="18"/>
          <w:i w:val="1"/>
          <w:iCs w:val="1"/>
          <w:color w:val="auto"/>
        </w:rPr>
        <w:t>Financing Arrangements</w:t>
      </w:r>
      <w:r>
        <w:rPr>
          <w:rFonts w:ascii="Times New Roman" w:cs="Times New Roman" w:eastAsia="Times New Roman" w:hAnsi="Times New Roman"/>
          <w:sz w:val="18"/>
          <w:szCs w:val="18"/>
          <w:color w:val="auto"/>
        </w:rPr>
        <w:t>, to our unaudited condensed consolidated financial statements.</w:t>
      </w:r>
    </w:p>
    <w:p>
      <w:pPr>
        <w:spacing w:after="0" w:line="141" w:lineRule="exact"/>
        <w:rPr>
          <w:sz w:val="20"/>
          <w:szCs w:val="20"/>
          <w:color w:val="auto"/>
        </w:rPr>
      </w:pPr>
    </w:p>
    <w:p>
      <w:pPr>
        <w:ind w:left="60" w:right="679" w:firstLine="648"/>
        <w:spacing w:after="0" w:line="276" w:lineRule="auto"/>
        <w:rPr>
          <w:sz w:val="20"/>
          <w:szCs w:val="20"/>
          <w:color w:val="auto"/>
        </w:rPr>
      </w:pPr>
      <w:r>
        <w:rPr>
          <w:rFonts w:ascii="Times New Roman" w:cs="Times New Roman" w:eastAsia="Times New Roman" w:hAnsi="Times New Roman"/>
          <w:sz w:val="17"/>
          <w:szCs w:val="17"/>
          <w:color w:val="auto"/>
        </w:rPr>
        <w:t>We are also exposed to market risk related to changes in foreign currency exchange rates, including recent changes resulting from monetary policy from the U.S. and international central banks, inflationary pressures, and</w:t>
      </w:r>
    </w:p>
    <w:p>
      <w:pPr>
        <w:spacing w:after="0" w:line="1" w:lineRule="exact"/>
        <w:rPr>
          <w:sz w:val="20"/>
          <w:szCs w:val="20"/>
          <w:color w:val="auto"/>
        </w:rPr>
      </w:pPr>
    </w:p>
    <w:p>
      <w:pPr>
        <w:ind w:left="60" w:right="139"/>
        <w:spacing w:after="0" w:line="250" w:lineRule="auto"/>
        <w:rPr>
          <w:sz w:val="20"/>
          <w:szCs w:val="20"/>
          <w:color w:val="auto"/>
        </w:rPr>
      </w:pPr>
      <w:r>
        <w:rPr>
          <w:rFonts w:ascii="Times New Roman" w:cs="Times New Roman" w:eastAsia="Times New Roman" w:hAnsi="Times New Roman"/>
          <w:sz w:val="18"/>
          <w:szCs w:val="18"/>
          <w:color w:val="auto"/>
        </w:rPr>
        <w:t>geopolitical developments, or instability or volatility in the global markets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September 30, 2024 and December 31, 2023, we held limited funds and future obligations denominated in foreign currencies.</w:t>
      </w:r>
    </w:p>
    <w:p>
      <w:pPr>
        <w:spacing w:after="0" w:line="19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and indirectly increasing interest rates. We have not seen a significant impact from inflation on our business, financial condition or results of operations during the three and nine months ended September 30, 2024. However, a significant or prolonged period of high inflation could adversely impact our results if costs were to increase at a rate greater than the increase in the revenues we generate.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22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2024. Based upon such evaluation, our Chief Executive Officer and Chief Financial Officer have concluded that, as of September 30, 2024, our disclosure controls and procedures were effective at the reasonable assurance level.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22"/>
          <w:szCs w:val="22"/>
          <w:color w:val="auto"/>
        </w:rPr>
        <w:t>For a description of our material legal proceedings, please see the section titled “</w:t>
      </w:r>
      <w:r>
        <w:rPr>
          <w:rFonts w:ascii="Times New Roman" w:cs="Times New Roman" w:eastAsia="Times New Roman" w:hAnsi="Times New Roman"/>
          <w:sz w:val="22"/>
          <w:szCs w:val="22"/>
          <w:i w:val="1"/>
          <w:iCs w:val="1"/>
          <w:color w:val="auto"/>
        </w:rPr>
        <w:t>Legal Proceedings</w:t>
      </w:r>
      <w:r>
        <w:rPr>
          <w:rFonts w:ascii="Times New Roman" w:cs="Times New Roman" w:eastAsia="Times New Roman" w:hAnsi="Times New Roman"/>
          <w:sz w:val="22"/>
          <w:szCs w:val="22"/>
          <w:color w:val="auto"/>
        </w:rPr>
        <w:t xml:space="preserve">” in Note 16, </w:t>
      </w:r>
      <w:r>
        <w:rPr>
          <w:rFonts w:ascii="Times New Roman" w:cs="Times New Roman" w:eastAsia="Times New Roman" w:hAnsi="Times New Roman"/>
          <w:sz w:val="22"/>
          <w:szCs w:val="22"/>
          <w:i w:val="1"/>
          <w:iCs w:val="1"/>
          <w:color w:val="auto"/>
        </w:rPr>
        <w:t>Commitments and Contingencies</w:t>
      </w:r>
      <w:r>
        <w:rPr>
          <w:rFonts w:ascii="Times New Roman" w:cs="Times New Roman" w:eastAsia="Times New Roman" w:hAnsi="Times New Roman"/>
          <w:sz w:val="22"/>
          <w:szCs w:val="22"/>
          <w:color w:val="auto"/>
        </w:rPr>
        <w:t xml:space="preserve"> to our unaudited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89" w:lineRule="exact"/>
        <w:rPr>
          <w:sz w:val="20"/>
          <w:szCs w:val="20"/>
          <w:color w:val="auto"/>
        </w:rPr>
      </w:pPr>
    </w:p>
    <w:p>
      <w:pPr>
        <w:ind w:left="1380" w:right="319" w:hanging="331"/>
        <w:spacing w:after="0" w:line="312" w:lineRule="auto"/>
        <w:tabs>
          <w:tab w:leader="none" w:pos="1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 the process of growing as a commercial company and the marketing and sale of AYVAKIT/ AYVAKYT or any future approved drugs may be unsuccessful or less successful than anticipated.</w:t>
      </w:r>
    </w:p>
    <w:p>
      <w:pPr>
        <w:spacing w:after="0" w:line="139" w:lineRule="exact"/>
        <w:rPr>
          <w:rFonts w:ascii="Times New Roman" w:cs="Times New Roman" w:eastAsia="Times New Roman" w:hAnsi="Times New Roman"/>
          <w:sz w:val="17"/>
          <w:szCs w:val="17"/>
          <w:color w:val="auto"/>
        </w:rPr>
      </w:pPr>
    </w:p>
    <w:p>
      <w:pPr>
        <w:ind w:left="1380" w:right="799" w:hanging="331"/>
        <w:spacing w:after="0" w:line="312" w:lineRule="auto"/>
        <w:tabs>
          <w:tab w:leader="none" w:pos="1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9" w:lineRule="exact"/>
        <w:rPr>
          <w:rFonts w:ascii="Times New Roman" w:cs="Times New Roman" w:eastAsia="Times New Roman" w:hAnsi="Times New Roman"/>
          <w:sz w:val="17"/>
          <w:szCs w:val="17"/>
          <w:color w:val="auto"/>
        </w:rPr>
      </w:pPr>
    </w:p>
    <w:p>
      <w:pPr>
        <w:jc w:val="both"/>
        <w:ind w:left="1380" w:right="179" w:hanging="331"/>
        <w:spacing w:after="0" w:line="266"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p>
      <w:pPr>
        <w:spacing w:after="0" w:line="175"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our commercial opportunity being reduced or limited by others commercializing, developing or discovering drugs before or more successfully than we do.</w:t>
      </w:r>
    </w:p>
    <w:p>
      <w:pPr>
        <w:spacing w:after="0" w:line="175" w:lineRule="exact"/>
        <w:rPr>
          <w:rFonts w:ascii="Times New Roman" w:cs="Times New Roman" w:eastAsia="Times New Roman" w:hAnsi="Times New Roman"/>
          <w:sz w:val="18"/>
          <w:szCs w:val="18"/>
          <w:color w:val="auto"/>
        </w:rPr>
      </w:pPr>
    </w:p>
    <w:p>
      <w:pPr>
        <w:ind w:left="1380" w:right="739" w:hanging="331"/>
        <w:spacing w:after="0" w:line="282"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our drug candidates (including for avapritinib in additional geographies) and ultimately commercialize them, or experience significant delays in doing so, our business may be materially harmed.</w:t>
      </w:r>
    </w:p>
    <w:p>
      <w:pPr>
        <w:spacing w:after="0" w:line="175" w:lineRule="exact"/>
        <w:rPr>
          <w:rFonts w:ascii="Times New Roman" w:cs="Times New Roman" w:eastAsia="Times New Roman" w:hAnsi="Times New Roman"/>
          <w:sz w:val="18"/>
          <w:szCs w:val="18"/>
          <w:color w:val="auto"/>
        </w:rPr>
      </w:pPr>
    </w:p>
    <w:p>
      <w:pPr>
        <w:ind w:left="1380" w:right="639" w:hanging="331"/>
        <w:spacing w:after="0" w:line="282"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9"/>
        <w:spacing w:after="0" w:line="282" w:lineRule="auto"/>
        <w:rPr>
          <w:sz w:val="20"/>
          <w:szCs w:val="20"/>
          <w:color w:val="auto"/>
        </w:rPr>
      </w:pPr>
      <w:r>
        <w:rPr>
          <w:rFonts w:ascii="Times New Roman" w:cs="Times New Roman" w:eastAsia="Times New Roman" w:hAnsi="Times New Roman"/>
          <w:sz w:val="18"/>
          <w:szCs w:val="18"/>
          <w:color w:val="auto"/>
        </w:rPr>
        <w:t>drug candidates, we will not be able to commercialize, or may be delayed in commercializing, such drug candidates, and our ability to generate revenue will be materially impaired.</w:t>
      </w:r>
    </w:p>
    <w:p>
      <w:pPr>
        <w:spacing w:after="0" w:line="162" w:lineRule="exact"/>
        <w:rPr>
          <w:sz w:val="20"/>
          <w:szCs w:val="20"/>
          <w:color w:val="auto"/>
        </w:rPr>
      </w:pPr>
    </w:p>
    <w:p>
      <w:pPr>
        <w:ind w:left="1380" w:right="9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p>
      <w:pPr>
        <w:spacing w:after="0" w:line="175"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pacing w:after="0" w:line="225" w:lineRule="exact"/>
        <w:rPr>
          <w:rFonts w:ascii="Times New Roman" w:cs="Times New Roman" w:eastAsia="Times New Roman" w:hAnsi="Times New Roman"/>
          <w:sz w:val="18"/>
          <w:szCs w:val="18"/>
          <w:color w:val="auto"/>
        </w:rPr>
      </w:pPr>
    </w:p>
    <w:p>
      <w:pPr>
        <w:ind w:left="1380" w:right="359" w:hanging="331"/>
        <w:spacing w:after="0" w:line="258"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69"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since our inception and anticipate that we will incur continued losses for the foreseeable future.</w:t>
      </w:r>
    </w:p>
    <w:p>
      <w:pPr>
        <w:spacing w:after="0" w:line="161" w:lineRule="exact"/>
        <w:rPr>
          <w:rFonts w:ascii="Times New Roman" w:cs="Times New Roman" w:eastAsia="Times New Roman" w:hAnsi="Times New Roman"/>
          <w:sz w:val="18"/>
          <w:szCs w:val="18"/>
          <w:color w:val="auto"/>
        </w:rPr>
      </w:pPr>
    </w:p>
    <w:p>
      <w:pPr>
        <w:ind w:left="1380" w:right="319" w:hanging="331"/>
        <w:spacing w:after="0" w:line="261"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collaborations, licenses and other agreements with third parties for the development and commercialization of several of our drugs and drug candidates. If our collaborations are not successful, we may not be able to capitalize on the market potential of these drugs and drug candidates.</w:t>
      </w:r>
    </w:p>
    <w:p>
      <w:pPr>
        <w:spacing w:after="0" w:line="166" w:lineRule="exact"/>
        <w:rPr>
          <w:rFonts w:ascii="Times New Roman" w:cs="Times New Roman" w:eastAsia="Times New Roman" w:hAnsi="Times New Roman"/>
          <w:sz w:val="18"/>
          <w:szCs w:val="18"/>
          <w:color w:val="auto"/>
        </w:rPr>
      </w:pPr>
    </w:p>
    <w:p>
      <w:pPr>
        <w:ind w:left="1380" w:right="99" w:hanging="331"/>
        <w:spacing w:after="0" w:line="261"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66" w:lineRule="exact"/>
        <w:rPr>
          <w:rFonts w:ascii="Times New Roman" w:cs="Times New Roman" w:eastAsia="Times New Roman" w:hAnsi="Times New Roman"/>
          <w:sz w:val="18"/>
          <w:szCs w:val="18"/>
          <w:color w:val="auto"/>
        </w:rPr>
      </w:pPr>
    </w:p>
    <w:p>
      <w:pPr>
        <w:ind w:left="1380" w:right="159" w:hanging="331"/>
        <w:spacing w:after="0" w:line="281" w:lineRule="auto"/>
        <w:tabs>
          <w:tab w:leader="none" w:pos="1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0" w:lineRule="exact"/>
        <w:rPr>
          <w:rFonts w:ascii="Times New Roman" w:cs="Times New Roman" w:eastAsia="Times New Roman" w:hAnsi="Times New Roman"/>
          <w:sz w:val="17"/>
          <w:szCs w:val="17"/>
          <w:color w:val="auto"/>
        </w:rPr>
      </w:pPr>
    </w:p>
    <w:p>
      <w:pPr>
        <w:ind w:left="1380" w:right="339" w:hanging="331"/>
        <w:spacing w:after="0" w:line="258"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9"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5" w:lineRule="exact"/>
        <w:rPr>
          <w:rFonts w:ascii="Times New Roman" w:cs="Times New Roman" w:eastAsia="Times New Roman" w:hAnsi="Times New Roman"/>
          <w:sz w:val="18"/>
          <w:szCs w:val="18"/>
          <w:color w:val="auto"/>
        </w:rPr>
      </w:pPr>
    </w:p>
    <w:p>
      <w:pPr>
        <w:ind w:left="1380" w:right="79" w:hanging="331"/>
        <w:spacing w:after="0" w:line="289" w:lineRule="auto"/>
        <w:tabs>
          <w:tab w:leader="none" w:pos="1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57"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grow as a commercial company and the marketing and sale of AYVAKIT/AYVAKYT or any future approved drugs may be unsuccessful or less successful than anticipated.</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had two approved precision therapies, AYVAKIT/AYVAKYT and GAVRETO. While we have been commercializing AYVAKIT in the U.S. and AYVAKYT in Europe and, prior to the sale of the related assets to Rigel pursuant to the Rigel Agreement, co-commercializing GAVRETO with Roche in the U.S., we only became a commercial company in 2020, and our track record of demonstrating our ability to successfully overcome the many risks and uncertainties encountered by companies commercializing drugs in the biopharmaceutical industry is somewhat limited. To execute our business plan, in addition to successfully marketing and selling our approved drugs, we will need to successfully:</w:t>
      </w:r>
    </w:p>
    <w:p>
      <w:pPr>
        <w:spacing w:after="0" w:line="187" w:lineRule="exact"/>
        <w:rPr>
          <w:sz w:val="20"/>
          <w:szCs w:val="20"/>
          <w:color w:val="auto"/>
        </w:rPr>
      </w:pPr>
    </w:p>
    <w:p>
      <w:pPr>
        <w:ind w:left="1340" w:right="13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patients who may receive our drugs and any future drugs;</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and any future drugs;</w:t>
      </w:r>
    </w:p>
    <w:p>
      <w:pPr>
        <w:spacing w:after="0" w:line="148"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key collaborations;</w:t>
      </w:r>
    </w:p>
    <w:p>
      <w:pPr>
        <w:spacing w:after="0" w:line="225" w:lineRule="exact"/>
        <w:rPr>
          <w:rFonts w:ascii="Times New Roman" w:cs="Times New Roman" w:eastAsia="Times New Roman" w:hAnsi="Times New Roman"/>
          <w:sz w:val="18"/>
          <w:szCs w:val="18"/>
          <w:color w:val="auto"/>
        </w:rPr>
      </w:pPr>
    </w:p>
    <w:p>
      <w:pPr>
        <w:ind w:left="1340" w:right="41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61" w:lineRule="exact"/>
        <w:rPr>
          <w:rFonts w:ascii="Times New Roman" w:cs="Times New Roman" w:eastAsia="Times New Roman" w:hAnsi="Times New Roman"/>
          <w:sz w:val="18"/>
          <w:szCs w:val="18"/>
          <w:color w:val="auto"/>
        </w:rPr>
      </w:pPr>
    </w:p>
    <w:p>
      <w:pPr>
        <w:ind w:left="1340" w:right="519" w:hanging="318"/>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4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2" w:lineRule="exact"/>
        <w:rPr>
          <w:sz w:val="20"/>
          <w:szCs w:val="20"/>
          <w:color w:val="auto"/>
        </w:rPr>
      </w:pPr>
    </w:p>
    <w:p>
      <w:pPr>
        <w:jc w:val="both"/>
        <w:ind w:left="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as well as any other drugs that we may bring to the market, will depend upon the degree of market acceptance by physicians, patients, third-party payors and others in the medical community.</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AYVAKIT/AYVAKYT,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p>
      <w:pPr>
        <w:spacing w:after="0" w:line="187" w:lineRule="exact"/>
        <w:rPr>
          <w:sz w:val="20"/>
          <w:szCs w:val="20"/>
          <w:color w:val="auto"/>
        </w:rPr>
      </w:pPr>
    </w:p>
    <w:p>
      <w:pPr>
        <w:ind w:left="1380" w:hanging="331"/>
        <w:spacing w:after="0"/>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82" w:lineRule="auto"/>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619" w:hanging="318"/>
        <w:spacing w:after="0" w:line="282" w:lineRule="auto"/>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2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5"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5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25" w:lineRule="exact"/>
        <w:rPr>
          <w:sz w:val="20"/>
          <w:szCs w:val="20"/>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25"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48" w:lineRule="exact"/>
        <w:rPr>
          <w:rFonts w:ascii="Times New Roman" w:cs="Times New Roman" w:eastAsia="Times New Roman" w:hAnsi="Times New Roman"/>
          <w:sz w:val="18"/>
          <w:szCs w:val="18"/>
          <w:color w:val="auto"/>
        </w:rPr>
      </w:pPr>
    </w:p>
    <w:p>
      <w:pPr>
        <w:ind w:left="1340" w:right="819" w:hanging="318"/>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w:t>
      </w:r>
    </w:p>
    <w:p>
      <w:pPr>
        <w:spacing w:after="0" w:line="225"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72"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precise incidence and/or prevalence for SM, chronic urticaria and other mast cell disorders,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6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5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 of focus, including allergy/inflammation and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8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Allakos Inc., Alys Pharmaceuticals Inc., Celldex Therapeutics, Inc., Cogent Biosciences, Inc., Hoth Therapeutics, Inc., Invea Therapeutics Inc., and Telios Pharma Inc.</w:t>
      </w:r>
    </w:p>
    <w:p>
      <w:pPr>
        <w:spacing w:after="0" w:line="18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w:t>
      </w:r>
    </w:p>
    <w:p>
      <w:pPr>
        <w:spacing w:after="0" w:line="187"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are developing BLU-222 for cancers vulnerable to CDK2 inhibition, including CCNE1-aberrant cancers, which, if approved, will face competition from indication-specific therapies such as AstraZeneca’s capivasertib, AstraZeneca and Merck’s olaparib, AstraZeneca and Daiichi Sankyo’s trastuzumab deruxtecan,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Avenzo Therapeutics, Bayer, BeiGene, BioTheryX, Inc., Cedilla Therapeutics, Inc., Cyclacel Pharmaceuticals Inc., Eli Lilly and Company, Ensem Therapeutics, Exelixis, Gilead Sciences, Inc., Iambic Therapeutics, Inc., IMPACT Therapeutics, Inc., Incyclix Bio, LLC, Incyte Corporation, Monte Rosa Therapeutics, Inc., Nikang Therapeutics, Inc., Pfizer Inc., Plexium, Inc., Regor Therapeutics Inc., Relay Therapeutics, Inc., Repare Therapeutics, Inc., Satya Pharma Innovations Pvt. Ltd., and Zentalis Pharmaceuticals,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developing BLU-808 for chronic urticaria and other allergy/inflammation disorders, which, if approved, will face competition from omalizumab developed by Genentech, Inc. and Novartis AG. In addition, BLU-808 may face competition from drug candidates in development for chronic urticaria, including those developed by Alivexis Inc., Allakos Inc., Alys Pharmaceuticals Inc., Amgen Inc., AstraZeneca plc, Celldex Therapeutics, Inc., Enanta Pharmaceuticals, Inc. Evommune, Inc., Hangshou Highlightll Pharmaceutical Co., Ltd., Hangzhou Biosun Pharmaceutical, Incyte Corporation, InflaRx N.V., Jasper Therapeutics, Inc., Jiangsu Qyuns Therapeutics Co., KeifeRx, Leo Pharma A/S, LongBio Pharma, Novartis AG, Regeneron Pharmaceuticals, Inc., Sanofi S.A., Santa Ana Bio, Inc., Taiho Pharmaceutical Co., Ltd., Third Harmonic Bio, Inc., and United Biopharma Inc.</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9" w:lineRule="exact"/>
        <w:rPr>
          <w:sz w:val="20"/>
          <w:szCs w:val="20"/>
          <w:color w:val="auto"/>
        </w:rPr>
      </w:pPr>
    </w:p>
    <w:p>
      <w:pPr>
        <w:ind w:left="60" w:right="399"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87" w:lineRule="exact"/>
        <w:rPr>
          <w:sz w:val="20"/>
          <w:szCs w:val="20"/>
          <w:color w:val="auto"/>
        </w:rPr>
      </w:pPr>
    </w:p>
    <w:p>
      <w:pPr>
        <w:ind w:left="1380" w:right="899" w:hanging="331"/>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25"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demand for compassionate use of our drug candidates could negatively affect our reputation and harm our business.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7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184" w:lineRule="exact"/>
        <w:rPr>
          <w:sz w:val="20"/>
          <w:szCs w:val="20"/>
          <w:color w:val="auto"/>
        </w:rPr>
      </w:pPr>
    </w:p>
    <w:p>
      <w:pPr>
        <w:ind w:left="60" w:right="8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or a new indication for a drug product for which we establish marketing capabilities is delayed or does not occur for any reason, we would have prematurely or unnecessarily incurred these commercialization expenses, which may be costly.</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5"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spacing w:after="0" w:line="189" w:lineRule="exact"/>
        <w:rPr>
          <w:sz w:val="20"/>
          <w:szCs w:val="20"/>
          <w:color w:val="auto"/>
        </w:rPr>
      </w:pPr>
    </w:p>
    <w:p>
      <w:pPr>
        <w:ind w:left="1340" w:right="139" w:hanging="318"/>
        <w:spacing w:after="0" w:line="266"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 as monotherapies and in combination with other agents;</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11" w:lineRule="exact"/>
        <w:rPr>
          <w:rFonts w:ascii="Times New Roman" w:cs="Times New Roman" w:eastAsia="Times New Roman" w:hAnsi="Times New Roman"/>
          <w:sz w:val="18"/>
          <w:szCs w:val="18"/>
          <w:color w:val="auto"/>
        </w:rPr>
      </w:pPr>
    </w:p>
    <w:p>
      <w:pPr>
        <w:ind w:left="1340" w:right="279" w:hanging="318"/>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and transitioning any conditional marketing authorizations to full approvals;</w:t>
      </w:r>
    </w:p>
    <w:p>
      <w:pPr>
        <w:spacing w:after="0" w:line="161" w:lineRule="exact"/>
        <w:rPr>
          <w:rFonts w:ascii="Times New Roman" w:cs="Times New Roman" w:eastAsia="Times New Roman" w:hAnsi="Times New Roman"/>
          <w:sz w:val="18"/>
          <w:szCs w:val="18"/>
          <w:color w:val="auto"/>
        </w:rPr>
      </w:pPr>
    </w:p>
    <w:p>
      <w:pPr>
        <w:ind w:left="1340" w:right="79" w:hanging="318"/>
        <w:spacing w:after="0" w:line="289" w:lineRule="auto"/>
        <w:tabs>
          <w:tab w:leader="none" w:pos="1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57" w:lineRule="exact"/>
        <w:rPr>
          <w:rFonts w:ascii="Times New Roman" w:cs="Times New Roman" w:eastAsia="Times New Roman" w:hAnsi="Times New Roman"/>
          <w:sz w:val="17"/>
          <w:szCs w:val="17"/>
          <w:color w:val="auto"/>
        </w:rPr>
      </w:pPr>
    </w:p>
    <w:p>
      <w:pPr>
        <w:ind w:left="1340" w:right="239" w:hanging="318"/>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1"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pacing w:after="0" w:line="175" w:lineRule="exact"/>
        <w:rPr>
          <w:rFonts w:ascii="Times New Roman" w:cs="Times New Roman" w:eastAsia="Times New Roman" w:hAnsi="Times New Roman"/>
          <w:sz w:val="18"/>
          <w:szCs w:val="18"/>
          <w:color w:val="auto"/>
        </w:rPr>
      </w:pPr>
    </w:p>
    <w:p>
      <w:pPr>
        <w:ind w:left="1340" w:right="299" w:hanging="318"/>
        <w:spacing w:after="0" w:line="282"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12" w:lineRule="exact"/>
        <w:rPr>
          <w:sz w:val="20"/>
          <w:szCs w:val="20"/>
          <w:color w:val="auto"/>
        </w:rPr>
      </w:pPr>
    </w:p>
    <w:p>
      <w:pPr>
        <w:ind w:left="60" w:right="119" w:firstLine="648"/>
        <w:spacing w:after="0" w:line="289"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54"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left="60" w:right="319" w:firstLine="648"/>
        <w:spacing w:after="0" w:line="280"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spacing w:after="0" w:line="17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71"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spacing w:after="0" w:line="175"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w:t>
      </w:r>
    </w:p>
    <w:p>
      <w:pPr>
        <w:spacing w:after="0" w:line="17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to rely on third-party contract research organizations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interpretations or agency discretion during the development period, changes in or the enactment of additional statutes or regulations, or changes in regulatory review for each submitted new drug application (NDA), for a drug candidate, may cause delays in the approval or rejection of an application.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Additionally,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94"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62" w:lineRule="exact"/>
        <w:rPr>
          <w:sz w:val="20"/>
          <w:szCs w:val="20"/>
          <w:color w:val="auto"/>
        </w:rPr>
      </w:pPr>
    </w:p>
    <w:p>
      <w:pPr>
        <w:ind w:left="1380" w:right="7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380" w:right="61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380" w:right="47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380" w:right="25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1380" w:right="379" w:hanging="331"/>
        <w:spacing w:after="0" w:line="312" w:lineRule="auto"/>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9" w:lineRule="exact"/>
        <w:rPr>
          <w:rFonts w:ascii="Times New Roman" w:cs="Times New Roman" w:eastAsia="Times New Roman" w:hAnsi="Times New Roman"/>
          <w:sz w:val="17"/>
          <w:szCs w:val="17"/>
          <w:color w:val="auto"/>
        </w:rPr>
      </w:pPr>
    </w:p>
    <w:p>
      <w:pPr>
        <w:ind w:left="1380" w:right="27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75" w:lineRule="exact"/>
        <w:rPr>
          <w:rFonts w:ascii="Times New Roman" w:cs="Times New Roman" w:eastAsia="Times New Roman" w:hAnsi="Times New Roman"/>
          <w:sz w:val="18"/>
          <w:szCs w:val="18"/>
          <w:color w:val="auto"/>
        </w:rPr>
      </w:pPr>
    </w:p>
    <w:p>
      <w:pPr>
        <w:ind w:left="1380" w:right="659" w:hanging="331"/>
        <w:spacing w:after="0" w:line="282"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the commercial prospects for our approved drugs or drug candidates may be harmed and our ability to generate revenues will be materially impaired.</w:t>
      </w:r>
    </w:p>
    <w:p>
      <w:pPr>
        <w:spacing w:after="0" w:line="17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0"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93" w:lineRule="exact"/>
        <w:rPr>
          <w:sz w:val="20"/>
          <w:szCs w:val="20"/>
          <w:color w:val="auto"/>
        </w:rPr>
      </w:pPr>
    </w:p>
    <w:p>
      <w:pPr>
        <w:ind w:left="1380" w:right="119" w:hanging="331"/>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75" w:lineRule="exact"/>
        <w:rPr>
          <w:rFonts w:ascii="Times New Roman" w:cs="Times New Roman" w:eastAsia="Times New Roman" w:hAnsi="Times New Roman"/>
          <w:sz w:val="18"/>
          <w:szCs w:val="18"/>
          <w:color w:val="auto"/>
        </w:rPr>
      </w:pPr>
    </w:p>
    <w:p>
      <w:pPr>
        <w:ind w:left="1380" w:right="43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25" w:lineRule="exact"/>
        <w:rPr>
          <w:rFonts w:ascii="Times New Roman" w:cs="Times New Roman" w:eastAsia="Times New Roman" w:hAnsi="Times New Roman"/>
          <w:sz w:val="18"/>
          <w:szCs w:val="18"/>
          <w:color w:val="auto"/>
        </w:rPr>
      </w:pPr>
    </w:p>
    <w:p>
      <w:pPr>
        <w:ind w:left="1380" w:right="29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61" w:lineRule="exact"/>
        <w:rPr>
          <w:rFonts w:ascii="Times New Roman" w:cs="Times New Roman" w:eastAsia="Times New Roman" w:hAnsi="Times New Roman"/>
          <w:sz w:val="18"/>
          <w:szCs w:val="18"/>
          <w:color w:val="auto"/>
        </w:rPr>
      </w:pPr>
    </w:p>
    <w:p>
      <w:pPr>
        <w:ind w:left="1380" w:right="279" w:hanging="331"/>
        <w:spacing w:after="0" w:line="282"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6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have later been found to cause side effects that prevented further development of the compound.</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83" w:lineRule="exact"/>
        <w:rPr>
          <w:sz w:val="20"/>
          <w:szCs w:val="20"/>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25"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89" w:lineRule="exact"/>
        <w:rPr>
          <w:rFonts w:ascii="Times New Roman" w:cs="Times New Roman" w:eastAsia="Times New Roman" w:hAnsi="Times New Roman"/>
          <w:sz w:val="18"/>
          <w:szCs w:val="18"/>
          <w:color w:val="auto"/>
        </w:rPr>
      </w:pPr>
    </w:p>
    <w:p>
      <w:pPr>
        <w:ind w:left="1380" w:right="239" w:hanging="331"/>
        <w:spacing w:after="0" w:line="266"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89" w:lineRule="exact"/>
        <w:rPr>
          <w:rFonts w:ascii="Times New Roman" w:cs="Times New Roman" w:eastAsia="Times New Roman" w:hAnsi="Times New Roman"/>
          <w:sz w:val="18"/>
          <w:szCs w:val="18"/>
          <w:color w:val="auto"/>
        </w:rPr>
      </w:pPr>
    </w:p>
    <w:p>
      <w:pPr>
        <w:ind w:left="1380" w:right="559" w:hanging="331"/>
        <w:spacing w:after="0" w:line="266"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89" w:lineRule="exact"/>
        <w:rPr>
          <w:rFonts w:ascii="Times New Roman" w:cs="Times New Roman" w:eastAsia="Times New Roman" w:hAnsi="Times New Roman"/>
          <w:sz w:val="18"/>
          <w:szCs w:val="18"/>
          <w:color w:val="auto"/>
        </w:rPr>
      </w:pPr>
    </w:p>
    <w:p>
      <w:pPr>
        <w:ind w:left="1380" w:right="99" w:hanging="331"/>
        <w:spacing w:after="0" w:line="258"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7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discovery platform as a designated platform technology, but we might not receive such designation, and even if we do, such designation may not lead to faster drug development or a faster regulatory review or approval process.</w:t>
      </w:r>
    </w:p>
    <w:p>
      <w:pPr>
        <w:spacing w:after="0" w:line="17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spacing w:after="0" w:line="19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granted fast track designation to BLU-782 for the treatment of FOP. In addition, the FDA previously granted breakthrough therapy designation to AYVAKIT for the treatment of certain patients with GIST, advanced SM, and moderate to severe indolent SM and to GAVRETO for RET-altered cancers.</w:t>
      </w:r>
    </w:p>
    <w:p>
      <w:pPr>
        <w:spacing w:after="0" w:line="1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Designation as a fast track or breakthrough therapy is within the discretion of the FDA. Accordingly, even if we believe one of our drug candidates meets the criteria for designation as a fast track or breakthrough therapy, the FDA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w:t>
      </w:r>
    </w:p>
    <w:p>
      <w:pPr>
        <w:spacing w:after="0" w:line="184" w:lineRule="exact"/>
        <w:rPr>
          <w:sz w:val="20"/>
          <w:szCs w:val="20"/>
          <w:color w:val="auto"/>
        </w:rPr>
      </w:pPr>
    </w:p>
    <w:p>
      <w:pPr>
        <w:ind w:left="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Similarly, in the EU, the European Commission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spacing w:after="0" w:line="187" w:lineRule="exact"/>
        <w:rPr>
          <w:sz w:val="20"/>
          <w:szCs w:val="20"/>
          <w:color w:val="auto"/>
        </w:rPr>
      </w:pPr>
    </w:p>
    <w:p>
      <w:pPr>
        <w:ind w:left="60" w:right="279" w:firstLine="648"/>
        <w:spacing w:after="0" w:line="281"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6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transactions.</w:t>
      </w:r>
    </w:p>
    <w:p>
      <w:pPr>
        <w:spacing w:after="0" w:line="18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intend to develop drug candidates in combination with other therapies, which exposes us to additional risks.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intend to develop, launch and commercialize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w:t>
      </w:r>
    </w:p>
    <w:p>
      <w:pPr>
        <w:spacing w:after="0" w:line="187" w:lineRule="exact"/>
        <w:rPr>
          <w:sz w:val="20"/>
          <w:szCs w:val="20"/>
          <w:color w:val="auto"/>
        </w:rPr>
      </w:pPr>
    </w:p>
    <w:p>
      <w:pPr>
        <w:jc w:val="both"/>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25" w:lineRule="exact"/>
        <w:rPr>
          <w:sz w:val="20"/>
          <w:szCs w:val="20"/>
          <w:color w:val="auto"/>
        </w:rPr>
      </w:pPr>
    </w:p>
    <w:p>
      <w:pPr>
        <w:ind w:left="6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or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8" w:lineRule="exact"/>
        <w:rPr>
          <w:sz w:val="20"/>
          <w:szCs w:val="20"/>
          <w:color w:val="auto"/>
        </w:rPr>
      </w:pPr>
    </w:p>
    <w:p>
      <w:pPr>
        <w:ind w:left="1380" w:right="479" w:hanging="331"/>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9" w:hanging="331"/>
        <w:spacing w:after="0" w:line="282"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spacing w:after="0" w:line="188"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may have obtained approvals for certain of our products, such drug or drug candidate may become subject to unfavorable pricing regulations or third-party coverage and reimbursement policies, which would harm our business.</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 included in our Annual Report on Form 10-K for the year ended December 31, 2023.</w:t>
      </w:r>
    </w:p>
    <w:p>
      <w:pPr>
        <w:spacing w:after="0" w:line="19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w:t>
      </w:r>
    </w:p>
    <w:p>
      <w:pPr>
        <w:spacing w:after="0" w:line="17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U.S.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section entitled “</w:t>
      </w:r>
      <w:r>
        <w:rPr>
          <w:rFonts w:ascii="Times New Roman" w:cs="Times New Roman" w:eastAsia="Times New Roman" w:hAnsi="Times New Roman"/>
          <w:sz w:val="18"/>
          <w:szCs w:val="18"/>
          <w:i w:val="1"/>
          <w:iCs w:val="1"/>
          <w:color w:val="auto"/>
        </w:rPr>
        <w:t>Business –Healthcare Reform</w:t>
      </w:r>
      <w:r>
        <w:rPr>
          <w:rFonts w:ascii="Times New Roman" w:cs="Times New Roman" w:eastAsia="Times New Roman" w:hAnsi="Times New Roman"/>
          <w:sz w:val="18"/>
          <w:szCs w:val="18"/>
          <w:color w:val="auto"/>
        </w:rPr>
        <w:t>” included in our Annual Report on Form 10-K for the year ended December 31, 2023.</w:t>
      </w:r>
    </w:p>
    <w:p>
      <w:pPr>
        <w:spacing w:after="0" w:line="192" w:lineRule="exact"/>
        <w:rPr>
          <w:sz w:val="20"/>
          <w:szCs w:val="20"/>
          <w:color w:val="auto"/>
        </w:rPr>
      </w:pPr>
    </w:p>
    <w:p>
      <w:pPr>
        <w:ind w:left="60" w:right="439" w:firstLine="648"/>
        <w:spacing w:after="0" w:line="25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the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w:t>
      </w:r>
    </w:p>
    <w:p>
      <w:pPr>
        <w:spacing w:after="0" w:line="183"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187" w:lineRule="exact"/>
        <w:rPr>
          <w:sz w:val="20"/>
          <w:szCs w:val="20"/>
          <w:color w:val="auto"/>
        </w:rPr>
      </w:pPr>
    </w:p>
    <w:p>
      <w:pPr>
        <w:jc w:val="both"/>
        <w:ind w:left="60" w:right="439"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3" w:lineRule="exact"/>
        <w:rPr>
          <w:sz w:val="20"/>
          <w:szCs w:val="20"/>
          <w:color w:val="auto"/>
        </w:rPr>
      </w:pPr>
    </w:p>
    <w:p>
      <w:pPr>
        <w:ind w:left="1380" w:right="279" w:hanging="331"/>
        <w:spacing w:after="0" w:line="282"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AYVAKIT and any current and future drug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8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83" w:lineRule="exact"/>
        <w:rPr>
          <w:sz w:val="20"/>
          <w:szCs w:val="20"/>
          <w:color w:val="auto"/>
        </w:rPr>
      </w:pPr>
    </w:p>
    <w:p>
      <w:pPr>
        <w:ind w:left="60" w:right="1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the Physician Payment Sunshine Act,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 included in our Annual Report on Form 10-K for the year ended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7"/>
          <w:szCs w:val="17"/>
          <w:color w:val="auto"/>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39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spacing w:after="0" w:line="174"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75"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94"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Health Resources and Services Administration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spacing w:after="0" w:line="19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9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the VA, U.S. Department of Defense (DOD), Public Health Service, and the U.S. Coast Guard. The FCP is based on the Non-Federal Average Manufacturer Price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7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78" w:lineRule="exact"/>
        <w:rPr>
          <w:sz w:val="20"/>
          <w:szCs w:val="20"/>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11" w:lineRule="exact"/>
        <w:rPr>
          <w:rFonts w:ascii="Times New Roman" w:cs="Times New Roman" w:eastAsia="Times New Roman" w:hAnsi="Times New Roman"/>
          <w:sz w:val="18"/>
          <w:szCs w:val="18"/>
          <w:color w:val="auto"/>
        </w:rPr>
      </w:pPr>
    </w:p>
    <w:p>
      <w:pPr>
        <w:jc w:val="both"/>
        <w:ind w:left="1340" w:right="579" w:hanging="318"/>
        <w:spacing w:after="0" w:line="266" w:lineRule="auto"/>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for example, the European General Data Protection Regulation 2016/679, commonly referred to as GDPR;</w:t>
      </w:r>
    </w:p>
    <w:p>
      <w:pPr>
        <w:spacing w:after="0" w:line="17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in the process of growing our operations. We have incurred significant operating losses since our inception and anticipate that we will incur continued losses for the foreseeable future.</w:t>
      </w:r>
    </w:p>
    <w:p>
      <w:pPr>
        <w:spacing w:after="0" w:line="159"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API, drug substance and drug product material for use in preclinical studies and clinical trials for our drug candidates and commercial sale of our approved drugs.</w:t>
      </w:r>
    </w:p>
    <w:p>
      <w:pPr>
        <w:spacing w:after="0" w:line="187"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To date, we have financed our operations primarily through public offerings of our common stock, private placements of our convertible preferred and common stock, collaboration and license agreements, future royalty and revenue monetization, and a term loan. Through September 30, 2024, we have received an aggregate of $3.9 billion from such transactions, including $1.9 billion in aggregate gross proceeds from the sale of common stock in our initial public</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$1.1 billion in upfront payments and milestone payments under our collaborations with CStone and Zai Lab, our now terminated collaborations with Roche, our license agreement with Clementia, our agreement with Rigel, and our former collaboration with Alexion and $400.0 million in gross proceeds from a term loan from Sixth Street Partners. In addition, since January 2020, we also have generated revenue through sales of our drug products.</w:t>
      </w:r>
    </w:p>
    <w:p>
      <w:pPr>
        <w:spacing w:after="0" w:line="19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$17.1 million for the nine months ended September 30, 2024. Our net losses were $507.0 million and $557.5 million for the years ended December 31, 2023 and 2022, respectively. As of September 30, 2024, we had an accumulated deficit of $2,357.1 million.</w:t>
      </w:r>
    </w:p>
    <w:p>
      <w:pPr>
        <w:spacing w:after="0" w:line="17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Our ability to generate substantial revenue depends on a number of factors, including, but not limited to, our ability to:</w:t>
      </w:r>
    </w:p>
    <w:p>
      <w:pPr>
        <w:spacing w:after="0" w:line="162" w:lineRule="exact"/>
        <w:rPr>
          <w:sz w:val="20"/>
          <w:szCs w:val="20"/>
          <w:color w:val="auto"/>
        </w:rPr>
      </w:pPr>
    </w:p>
    <w:p>
      <w:pPr>
        <w:ind w:left="1340" w:hanging="318"/>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25" w:lineRule="exact"/>
        <w:rPr>
          <w:rFonts w:ascii="Times New Roman" w:cs="Times New Roman" w:eastAsia="Times New Roman" w:hAnsi="Times New Roman"/>
          <w:sz w:val="18"/>
          <w:szCs w:val="18"/>
          <w:color w:val="auto"/>
        </w:rPr>
      </w:pPr>
    </w:p>
    <w:p>
      <w:pPr>
        <w:ind w:left="1340" w:right="659" w:hanging="318"/>
        <w:spacing w:after="0" w:line="282"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in additional geographies;</w:t>
      </w:r>
    </w:p>
    <w:p>
      <w:pPr>
        <w:spacing w:after="0" w:line="148" w:lineRule="exact"/>
        <w:rPr>
          <w:rFonts w:ascii="Times New Roman" w:cs="Times New Roman" w:eastAsia="Times New Roman" w:hAnsi="Times New Roman"/>
          <w:sz w:val="18"/>
          <w:szCs w:val="18"/>
          <w:color w:val="auto"/>
        </w:rPr>
      </w:pPr>
    </w:p>
    <w:p>
      <w:pPr>
        <w:ind w:left="1340" w:right="459" w:hanging="318"/>
        <w:spacing w:after="0" w:line="282"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to ensure clinical supply and commercial manufacturing;</w:t>
      </w:r>
    </w:p>
    <w:p>
      <w:pPr>
        <w:spacing w:after="0" w:line="161" w:lineRule="exact"/>
        <w:rPr>
          <w:rFonts w:ascii="Times New Roman" w:cs="Times New Roman" w:eastAsia="Times New Roman" w:hAnsi="Times New Roman"/>
          <w:sz w:val="18"/>
          <w:szCs w:val="18"/>
          <w:color w:val="auto"/>
        </w:rPr>
      </w:pPr>
    </w:p>
    <w:p>
      <w:pPr>
        <w:ind w:left="1340" w:right="379" w:hanging="318"/>
        <w:spacing w:after="0" w:line="266"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and any current or future drug candidates for which we obtain marketing approval;</w:t>
      </w:r>
    </w:p>
    <w:p>
      <w:pPr>
        <w:spacing w:after="0" w:line="175" w:lineRule="exact"/>
        <w:rPr>
          <w:rFonts w:ascii="Times New Roman" w:cs="Times New Roman" w:eastAsia="Times New Roman" w:hAnsi="Times New Roman"/>
          <w:sz w:val="18"/>
          <w:szCs w:val="18"/>
          <w:color w:val="auto"/>
        </w:rPr>
      </w:pPr>
    </w:p>
    <w:p>
      <w:pPr>
        <w:ind w:left="1340" w:right="639" w:hanging="318"/>
        <w:spacing w:after="0" w:line="258"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and any current or future drug candidates for which we receive marketing approval; and</w:t>
      </w:r>
    </w:p>
    <w:p>
      <w:pPr>
        <w:spacing w:after="0" w:line="182" w:lineRule="exact"/>
        <w:rPr>
          <w:rFonts w:ascii="Times New Roman" w:cs="Times New Roman" w:eastAsia="Times New Roman" w:hAnsi="Times New Roman"/>
          <w:sz w:val="18"/>
          <w:szCs w:val="18"/>
          <w:color w:val="auto"/>
        </w:rPr>
      </w:pPr>
    </w:p>
    <w:p>
      <w:pPr>
        <w:ind w:left="1340" w:right="119" w:hanging="318"/>
        <w:spacing w:after="0" w:line="266"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with companies that may have significantly greater financial resources and expertise in research and development, manufacturing, preclinical testing, conducting clinical trials, obtaining regulatory approvals and marketing approved drugs.</w:t>
      </w:r>
    </w:p>
    <w:p>
      <w:pPr>
        <w:spacing w:after="0" w:line="176" w:lineRule="exact"/>
        <w:rPr>
          <w:sz w:val="20"/>
          <w:szCs w:val="20"/>
          <w:color w:val="auto"/>
        </w:rPr>
      </w:pPr>
    </w:p>
    <w:p>
      <w:pPr>
        <w:ind w:left="60" w:right="259" w:firstLine="648"/>
        <w:spacing w:after="0" w:line="271" w:lineRule="auto"/>
        <w:rPr>
          <w:sz w:val="20"/>
          <w:szCs w:val="20"/>
          <w:color w:val="auto"/>
        </w:rPr>
      </w:pPr>
      <w:r>
        <w:rPr>
          <w:rFonts w:ascii="Times New Roman" w:cs="Times New Roman" w:eastAsia="Times New Roman" w:hAnsi="Times New Roman"/>
          <w:sz w:val="17"/>
          <w:szCs w:val="17"/>
          <w:color w:val="auto"/>
        </w:rPr>
        <w:t>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and may increase as a result of many factors, including:</w:t>
      </w:r>
    </w:p>
    <w:p>
      <w:pPr>
        <w:spacing w:after="0" w:line="225" w:lineRule="exact"/>
        <w:rPr>
          <w:sz w:val="20"/>
          <w:szCs w:val="20"/>
          <w:color w:val="auto"/>
        </w:rPr>
      </w:pPr>
    </w:p>
    <w:p>
      <w:pPr>
        <w:ind w:left="1340" w:right="13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 and market acceptance for AYVAKIT/AYVAKYT or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75"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75" w:lineRule="exact"/>
        <w:rPr>
          <w:rFonts w:ascii="Times New Roman" w:cs="Times New Roman" w:eastAsia="Times New Roman" w:hAnsi="Times New Roman"/>
          <w:sz w:val="18"/>
          <w:szCs w:val="18"/>
          <w:color w:val="auto"/>
        </w:rPr>
      </w:pPr>
    </w:p>
    <w:p>
      <w:pPr>
        <w:ind w:left="1340" w:right="29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purchasing quantities of agents for use in our clinical trials in connection with our efforts to develop our drugs and drug candidates, including for development as combination therapies;</w:t>
      </w:r>
    </w:p>
    <w:p>
      <w:pPr>
        <w:spacing w:after="0" w:line="175" w:lineRule="exact"/>
        <w:rPr>
          <w:rFonts w:ascii="Times New Roman" w:cs="Times New Roman" w:eastAsia="Times New Roman" w:hAnsi="Times New Roman"/>
          <w:sz w:val="18"/>
          <w:szCs w:val="18"/>
          <w:color w:val="auto"/>
        </w:rPr>
      </w:pPr>
    </w:p>
    <w:p>
      <w:pPr>
        <w:ind w:left="1340" w:right="23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1" w:lineRule="exact"/>
        <w:rPr>
          <w:rFonts w:ascii="Times New Roman" w:cs="Times New Roman" w:eastAsia="Times New Roman" w:hAnsi="Times New Roman"/>
          <w:sz w:val="18"/>
          <w:szCs w:val="18"/>
          <w:color w:val="auto"/>
        </w:rPr>
      </w:pPr>
    </w:p>
    <w:p>
      <w:pPr>
        <w:ind w:left="1340" w:right="35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in additional geographies;</w:t>
      </w:r>
    </w:p>
    <w:p>
      <w:pPr>
        <w:spacing w:after="0" w:line="161" w:lineRule="exact"/>
        <w:rPr>
          <w:rFonts w:ascii="Times New Roman" w:cs="Times New Roman" w:eastAsia="Times New Roman" w:hAnsi="Times New Roman"/>
          <w:sz w:val="18"/>
          <w:szCs w:val="18"/>
          <w:color w:val="auto"/>
        </w:rPr>
      </w:pPr>
    </w:p>
    <w:p>
      <w:pPr>
        <w:ind w:left="1340" w:right="319" w:hanging="318"/>
        <w:spacing w:after="0" w:line="258"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CStone and VantAI, our license agreements with Clementia and IDRx, our agreement with Rigel, as well as our ability to establish and maintain additional collaborations, partnerships or licenses on favorable terms, if at all;</w:t>
      </w:r>
    </w:p>
    <w:p>
      <w:pPr>
        <w:spacing w:after="0" w:line="182" w:lineRule="exact"/>
        <w:rPr>
          <w:rFonts w:ascii="Times New Roman" w:cs="Times New Roman" w:eastAsia="Times New Roman" w:hAnsi="Times New Roman"/>
          <w:sz w:val="18"/>
          <w:szCs w:val="18"/>
          <w:color w:val="auto"/>
        </w:rPr>
      </w:pPr>
    </w:p>
    <w:p>
      <w:pPr>
        <w:ind w:left="1340" w:right="9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spacing w:after="0" w:line="175" w:lineRule="exact"/>
        <w:rPr>
          <w:rFonts w:ascii="Times New Roman" w:cs="Times New Roman" w:eastAsia="Times New Roman" w:hAnsi="Times New Roman"/>
          <w:sz w:val="18"/>
          <w:szCs w:val="18"/>
          <w:color w:val="auto"/>
        </w:rPr>
      </w:pPr>
    </w:p>
    <w:p>
      <w:pPr>
        <w:ind w:left="1340" w:right="79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1" w:lineRule="exact"/>
        <w:rPr>
          <w:rFonts w:ascii="Times New Roman" w:cs="Times New Roman" w:eastAsia="Times New Roman" w:hAnsi="Times New Roman"/>
          <w:sz w:val="18"/>
          <w:szCs w:val="18"/>
          <w:color w:val="auto"/>
        </w:rPr>
      </w:pPr>
    </w:p>
    <w:p>
      <w:pPr>
        <w:ind w:left="1340" w:right="279" w:hanging="318"/>
        <w:spacing w:after="0" w:line="266"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75" w:lineRule="exact"/>
        <w:rPr>
          <w:rFonts w:ascii="Times New Roman" w:cs="Times New Roman" w:eastAsia="Times New Roman" w:hAnsi="Times New Roman"/>
          <w:sz w:val="18"/>
          <w:szCs w:val="18"/>
          <w:color w:val="auto"/>
        </w:rPr>
      </w:pPr>
    </w:p>
    <w:p>
      <w:pPr>
        <w:ind w:left="1340" w:right="779" w:hanging="318"/>
        <w:spacing w:after="0" w:line="282"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93"/>
        <w:spacing w:after="0" w:line="252"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9"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If we are unable to obtain funding when needed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47"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 with CStone and the license agreements with Clementia and IDRx, the Financing Agreement with Sixth Street Partners, and the Rigel Agreement, which are limited in scope and duration and subject to the achievement of milestones or royalties on sales of licensed products, if any. In addition, we may sell additional shares of our common stock pursuant to our ATM Facility with Cowen.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9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w:t>
      </w:r>
    </w:p>
    <w:p>
      <w:pPr>
        <w:spacing w:after="0" w:line="183"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In August 2023, we received tranche A of the senior secured delayed draw term loan facility in the amount of $100.0 million in gross proceeds. In May 2024, we received tranche B of the senior secured delayed draw term loan facility in the amount of $150.0 million in gross proceeds. We may also at any time request an incremental term loan in an amount not to exceed $260.0 million on terms to be agreed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and subject to the consent of the lenders providing such incremental term loan. As borrowings under the facility bear interest at a variable rate, we are exposed to market risk for changes in interest rates.</w:t>
      </w:r>
    </w:p>
    <w:p>
      <w:pPr>
        <w:spacing w:after="0" w:line="162"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7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left="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licenses and other agreements with third parties for the development and commercialization of several of our drugs and drug candidates. If such collaborations or arrangements are not successful, we may not be able to capitalize on the market potential of these drugs and drug candidates.</w:t>
      </w:r>
    </w:p>
    <w:p>
      <w:pPr>
        <w:spacing w:after="0" w:line="17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have entered into collaborations, licenses and other agreements with CStone, Zai Lab, VantAI, Clementia, IDRx and Rigel for the development and commercialization of several of our drugs and drug candidates, and may enter into additional collaborations, licenses and other arrangements with other third parties in the future. The success of these arrangements will depend heavily on the efforts and activities of our collaborators, licensing partners and other contracting parties. Collaborators and other contracting parties generally have significant discretion in determining the efforts and resources that they will apply to these arrangements.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or other arrangement regarding clinical development and commercialization matters can lead to delays in the development process or commercializing the applicable drug or drug candidate and, in some cases, termination of the collaboration or other arrangement or result in litigation or arbitration, which would be time-consuming and expensive. Licensors generally have sole discretion in determining the efforts and resources that they will apply to the licensed products.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Any termination or expiration of our collaboration or license agreements with CStone, Zai Lab, VantAI, Clementia or IDRx,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The termination was effective on February 22,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2"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9" w:lineRule="exact"/>
        <w:rPr>
          <w:sz w:val="20"/>
          <w:szCs w:val="20"/>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88" w:lineRule="exact"/>
        <w:rPr>
          <w:sz w:val="20"/>
          <w:szCs w:val="20"/>
          <w:color w:val="auto"/>
        </w:rPr>
      </w:pPr>
    </w:p>
    <w:p>
      <w:pPr>
        <w:ind w:left="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8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7"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8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83" w:lineRule="exact"/>
        <w:rPr>
          <w:sz w:val="20"/>
          <w:szCs w:val="20"/>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25"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1340" w:right="159" w:hanging="318"/>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1" w:lineRule="exact"/>
        <w:rPr>
          <w:rFonts w:ascii="Times New Roman" w:cs="Times New Roman" w:eastAsia="Times New Roman" w:hAnsi="Times New Roman"/>
          <w:sz w:val="18"/>
          <w:szCs w:val="18"/>
          <w:color w:val="auto"/>
        </w:rPr>
      </w:pPr>
    </w:p>
    <w:p>
      <w:pPr>
        <w:ind w:left="1340" w:right="499" w:hanging="318"/>
        <w:spacing w:after="0" w:line="282"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48"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17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74"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76"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are our sole source of supply, and the loss of any of these suppliers could significantly harm our business.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We do not currently own or operate manufacturing facilities for the production of our drugs or any drug candidates that may be approved in the future. As a result, we primarily rely on single-source third-party suppliers to manufacture and supply our drugs, which may not be able to produce sufficient inventory to meet commercial demand in a timely manner, or at all.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 Therefore, there can be no assurances that we will be able to obtain sufficient quantities of our drugs or any other drug candidates that may be approved in the future, which could have a material adverse effect on our business as a whole.</w:t>
      </w:r>
    </w:p>
    <w:p>
      <w:pPr>
        <w:spacing w:after="0" w:line="192"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2025.</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8"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67"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or pending legislative proposals in the U.S., if enacted, that significantly impact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6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65"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3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6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6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(USPTO), have been significantly narrowed by the time they issue, if at all. It is also possible that we will fail to identify patentable aspects of our research and development output before it is too late to obtain patent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5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w:t>
      </w:r>
    </w:p>
    <w:p>
      <w:pPr>
        <w:spacing w:after="0" w:line="1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65"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8" w:lineRule="exact"/>
        <w:rPr>
          <w:sz w:val="20"/>
          <w:szCs w:val="20"/>
          <w:color w:val="auto"/>
        </w:rPr>
      </w:pPr>
    </w:p>
    <w:p>
      <w:pPr>
        <w:ind w:left="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3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8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9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6"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9"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including against abbreviated new drug application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9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4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1" w:lineRule="exact"/>
        <w:rPr>
          <w:sz w:val="20"/>
          <w:szCs w:val="20"/>
          <w:color w:val="auto"/>
        </w:rPr>
      </w:pPr>
    </w:p>
    <w:p>
      <w:pPr>
        <w:ind w:left="60" w:right="259" w:firstLine="648"/>
        <w:spacing w:after="0" w:line="274"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5"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in applicable cases maintain, patent term extension or non-patent exclusivity in the U.S. under the Hatch-Waxman Act and in foreign countries under similar legislation, thereby potentially extending the marketing exclusivity term of our products or product candidates, our business may be materially harmed.</w:t>
      </w:r>
    </w:p>
    <w:p>
      <w:pPr>
        <w:spacing w:after="0" w:line="175" w:lineRule="exact"/>
        <w:rPr>
          <w:sz w:val="20"/>
          <w:szCs w:val="20"/>
          <w:color w:val="auto"/>
        </w:rPr>
      </w:pPr>
    </w:p>
    <w:p>
      <w:pPr>
        <w:ind w:left="60" w:right="79" w:firstLine="500"/>
        <w:spacing w:after="0" w:line="250"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or product candidates, one of the U.S. patents covering each of such products or product candidates or the use thereof may be 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94" w:lineRule="exact"/>
        <w:rPr>
          <w:sz w:val="20"/>
          <w:szCs w:val="20"/>
          <w:color w:val="auto"/>
        </w:rPr>
      </w:pPr>
    </w:p>
    <w:p>
      <w:pPr>
        <w:ind w:left="60" w:right="79" w:firstLine="500"/>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w:t>
      </w:r>
    </w:p>
    <w:p>
      <w:pPr>
        <w:spacing w:after="0" w:line="180" w:lineRule="exact"/>
        <w:rPr>
          <w:sz w:val="20"/>
          <w:szCs w:val="20"/>
          <w:color w:val="auto"/>
        </w:rPr>
      </w:pPr>
    </w:p>
    <w:p>
      <w:pPr>
        <w:ind w:left="60" w:right="79" w:firstLine="500"/>
        <w:spacing w:after="0" w:line="253"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500"/>
        <w:spacing w:after="0" w:line="255" w:lineRule="auto"/>
        <w:rPr>
          <w:sz w:val="20"/>
          <w:szCs w:val="20"/>
          <w:color w:val="auto"/>
        </w:rPr>
      </w:pPr>
      <w:r>
        <w:rPr>
          <w:rFonts w:ascii="Times New Roman" w:cs="Times New Roman" w:eastAsia="Times New Roman" w:hAnsi="Times New Roman"/>
          <w:sz w:val="18"/>
          <w:szCs w:val="18"/>
          <w:color w:val="auto"/>
        </w:rPr>
        <w:t>Also, there are detailed rules and requirements regarding the patents that may be submitted to the FDA for listing in the Approved Drug Products with Therapeutic Equivalence Evaluations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ANDA filed with the FDA to obtain permission to sell a generic version of such product.</w:t>
      </w:r>
    </w:p>
    <w:p>
      <w:pPr>
        <w:spacing w:after="0" w:line="175" w:lineRule="exact"/>
        <w:rPr>
          <w:sz w:val="20"/>
          <w:szCs w:val="20"/>
          <w:color w:val="auto"/>
        </w:rPr>
      </w:pPr>
    </w:p>
    <w:p>
      <w:pPr>
        <w:ind w:left="60" w:right="99" w:firstLine="500"/>
        <w:spacing w:after="0" w:line="256" w:lineRule="auto"/>
        <w:rPr>
          <w:sz w:val="20"/>
          <w:szCs w:val="20"/>
          <w:color w:val="auto"/>
        </w:rPr>
      </w:pPr>
      <w:r>
        <w:rPr>
          <w:rFonts w:ascii="Times New Roman" w:cs="Times New Roman" w:eastAsia="Times New Roman" w:hAnsi="Times New Roman"/>
          <w:sz w:val="18"/>
          <w:szCs w:val="18"/>
          <w:color w:val="auto"/>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spacing w:after="0" w:line="170"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1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95"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5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76"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45" w:lineRule="exact"/>
        <w:rPr>
          <w:sz w:val="20"/>
          <w:szCs w:val="20"/>
          <w:color w:val="auto"/>
        </w:rPr>
      </w:pPr>
    </w:p>
    <w:p>
      <w:pPr>
        <w:ind w:left="60" w:right="199" w:firstLine="648"/>
        <w:spacing w:after="0" w:line="251"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9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9"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4" w:lineRule="exact"/>
        <w:rPr>
          <w:sz w:val="20"/>
          <w:szCs w:val="20"/>
          <w:color w:val="auto"/>
        </w:rPr>
      </w:pPr>
    </w:p>
    <w:p>
      <w:pPr>
        <w:ind w:left="60" w:right="199" w:firstLine="648"/>
        <w:spacing w:after="0" w:line="270"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94"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8"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ind w:left="60" w:right="139" w:firstLine="648"/>
        <w:spacing w:after="0" w:line="249"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25"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commercial, business development, financial and legal expertise of our executive officers, as well as the other principal members of our management,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9"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As of October 15, 2024, we had 638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increased inflation,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2" w:lineRule="exact"/>
        <w:rPr>
          <w:sz w:val="20"/>
          <w:szCs w:val="20"/>
          <w:color w:val="auto"/>
        </w:rPr>
      </w:pPr>
    </w:p>
    <w:p>
      <w:pPr>
        <w:ind w:left="60" w:right="319" w:firstLine="648"/>
        <w:spacing w:after="0" w:line="277" w:lineRule="auto"/>
        <w:rPr>
          <w:sz w:val="20"/>
          <w:szCs w:val="20"/>
          <w:color w:val="auto"/>
        </w:rPr>
      </w:pPr>
      <w:r>
        <w:rPr>
          <w:rFonts w:ascii="Times New Roman" w:cs="Times New Roman" w:eastAsia="Times New Roman" w:hAnsi="Times New Roman"/>
          <w:sz w:val="17"/>
          <w:szCs w:val="17"/>
          <w:color w:val="auto"/>
        </w:rPr>
        <w:t>The future geopolitical landscape also remains particularly uncertain given the upcoming U.S. presidential election in November 2024. Any resulting changes in international relations, legislation and regulations, including those related to taxation and importation, or economic and monetary policies, or volatility and disruptions in capital or credit markets, or heightened diplomatic tensions or political and civil unrest, among other potential impacts, could adversely</w:t>
      </w:r>
    </w:p>
    <w:p>
      <w:pPr>
        <w:spacing w:after="0" w:line="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impact the global economy and our operating results. 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spacing w:after="0" w:line="185"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Rising inflation rates could negatively impact our revenues and profitability if increases in the prices of our products or a decrease in 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U.S. Federal Reserve has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 fluctuations could have an adverse impact on our operating results.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contract with vendors that are located in Asia and Europe, which are denominated in foreign currencies. 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spacing w:after="0" w:line="18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cybersecurity incidents or breaches, which could result in a material disruption of our drugs’ and drug candidates’ development programs and have a material adverse effect on our reputation, business, financial condition or results of operations.</w:t>
      </w:r>
    </w:p>
    <w:p>
      <w:pPr>
        <w:spacing w:after="0" w:line="184"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and could include the use of artificial intelligence (AI), and machine learning to launch more automated, targeted and coordinated attacks on targets. The prevalent use of mobile devices also increases the risk of data security incidents. Although our business strategy, results of operations, and financial condition have not, to date, been materially affected by risks from cybersecurity threats, we have, from time to time, experienced threats and security incidents, including phishing attacks. Such events could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cybersecurity incident or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cybersecurity incidents, breaches, cyberattacks and other related security events.</w:t>
      </w:r>
    </w:p>
    <w:p>
      <w:pPr>
        <w:spacing w:after="0" w:line="200" w:lineRule="exact"/>
        <w:rPr>
          <w:sz w:val="20"/>
          <w:szCs w:val="20"/>
          <w:color w:val="auto"/>
        </w:rPr>
      </w:pPr>
    </w:p>
    <w:p>
      <w:pPr>
        <w:spacing w:after="0" w:line="21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cybersecurity incidents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cybersecurity incidents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7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Similarly, the increasing use of AI, and machine learning technology in the biopharmaceutical industry presents new risks and challenges. The use of AI 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victims of a cybersecurity incident or are breached, and unauthorized access is obtained to our data or our information technology systems, we may incur significant legal and financial exposure and liabilities.</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83"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215"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disclosures about how personal information is to be used, having a valid legal basis to process personal data, maintaining records 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spacing w:after="0" w:line="223"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(EC). This may lead to additional compliance costs and could increase our overall risk. The respective provisions and enforcement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of the EU GDPR and UK GDPR may further diverge in the future and create additional regulatory challenges and uncertainties.</w:t>
      </w:r>
    </w:p>
    <w:p>
      <w:pPr>
        <w:spacing w:after="0" w:line="20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Further, European data protection laws also regulates the transfer of personal data from the EEA, the UK and Switzerland to third countries that are not considered to provide adequate protections to personal data. On June 4, 2021, the EC issued new Standard Contractual Clauses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cost. Where relying on the SCCs or UK IDTA for data transfers, we may also be required to carry out transfer impact assessments to assess whether the recipient is subject to local laws which allow public authority access to personal data.</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uncertain. The previous data transfer mechanisms providing adequacy to enable cross-border transfers between the US and the EEA have been invalidated, and the Data Privacy Framework has already been challenged in several 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w:t>
      </w:r>
    </w:p>
    <w:p>
      <w:pPr>
        <w:spacing w:after="0" w:line="23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subject to Swiss data protection laws, including the Federal Act on Data Protection (FADP). While the FADP provides broad protections to personal data, the Swiss federal Parliament enacted a revised version of the FADP, which became effective in September 2023. The new version of the FADP aligns Swiss data protection law with the GDPR. We have updated our agreements to reflect the new requirements per the FADP, but further modifications or changes may require revisiting these agreements.</w:t>
      </w:r>
    </w:p>
    <w:p>
      <w:pPr>
        <w:spacing w:after="0" w:line="22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It is unclear whether and/or when the Draft Regulation will enter into force.</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21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addition to European data protection requirements, we are subject to the California Consumer Privacy Act (CCPA), which took effect on January 1, 2020 and imposed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was amended by the California Privacy Rights Act (CPRA) which became effective on January 1, 2023. The CPRA imposed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w:t>
      </w:r>
    </w:p>
    <w:p>
      <w:pPr>
        <w:spacing w:after="0" w:line="233"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CCPA, new privacy and data security laws have been enacted in numerous other states and have been proposed in even more states as well as in the U.S. Congress, reflecting a trend toward more stringent privacy legislation in the U.S., which may accelerate.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Furthermore, a smaller number of states have passed or are considering laws that are specifically focused upon health privacy, such as Washington’s My Health My Data Act which regulate the collection and sharing of health information. This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w:t>
      </w:r>
    </w:p>
    <w:p>
      <w:pPr>
        <w:spacing w:after="0" w:line="235"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These various privacy and security laws may impact our business activities, including our identification of research subjects, relationships with business partners and ultimately the marketing and distribution of our products. The effects of the CCPA and other state and federal privacy laws are significant and may require us to modify our data processing practices and policies and to incur substantial costs and potential liability in an effort to comply with such legislation. State laws are changing rapidly and there is discussion in the U.S. Congress of a new comprehensive federal data privacy law to which we may become subject, if enacted.</w:t>
      </w:r>
    </w:p>
    <w:p>
      <w:pPr>
        <w:spacing w:after="0" w:line="21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has focused enforcement actions in the healthcare space. Multiple enforcement actions around how healthcare companies collect, notice and share personal data have provided important signals on points of emphasis for us to focus our compliance efforts. We have taken necessary steps to comply with guidance to date, however guidance and enforcement actions may require additional investment of resources in compliance programs and/or changes in business practices and policies.</w:t>
      </w:r>
    </w:p>
    <w:p>
      <w:pPr>
        <w:spacing w:after="0" w:line="21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October 30, 2023, President Biden issued an Executive Order on Safe, Secure, and Trustworthy Artificial Intelligence which provided a framework for and a call for Congress to enact laws establishing the appropriate development and use of AI. The widespread use of generative AI and natural language processing tools have significant risk when used in the healthcare space. We are exposed to risks associated with employees utilizing generative AI in methods and ways that are contrary to the framework laid out by the Executive Order or the subsequent complementary laws. We will need to invest resources to ensure appropriate development and use of any generative AI, or like-technology, and to develop internal compliance policies and procedures addressing this use.</w:t>
      </w:r>
    </w:p>
    <w:p>
      <w:pPr>
        <w:spacing w:after="0" w:line="21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Cybersecurity presents an ongoing risk vector for our company. A cybersecurity incident or breach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or breach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 or breaches.</w:t>
      </w:r>
    </w:p>
    <w:p>
      <w:pPr>
        <w:spacing w:after="0" w:line="21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79"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8"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The inability to deduct research and development expenditures in their entirety will continue to have a material impact on the carryover of taxable losses used to offset future taxable income, and in turn will impact our cash flows in future years.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29"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October 28, 2024. As a result of this volatility, our stockholders could incur substantial losses.</w:t>
      </w:r>
    </w:p>
    <w:p>
      <w:pPr>
        <w:spacing w:after="0" w:line="180"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75" w:lineRule="exact"/>
        <w:rPr>
          <w:sz w:val="20"/>
          <w:szCs w:val="20"/>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25" w:lineRule="exact"/>
        <w:rPr>
          <w:rFonts w:ascii="Times New Roman" w:cs="Times New Roman" w:eastAsia="Times New Roman" w:hAnsi="Times New Roman"/>
          <w:sz w:val="18"/>
          <w:szCs w:val="18"/>
          <w:color w:val="auto"/>
        </w:rPr>
      </w:pPr>
    </w:p>
    <w:p>
      <w:pPr>
        <w:ind w:left="1380" w:right="1179" w:hanging="331"/>
        <w:spacing w:after="0" w:line="282" w:lineRule="auto"/>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1380" w:right="399" w:hanging="331"/>
        <w:spacing w:after="0" w:line="282"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trade wars, political unrest or other similar events;</w:t>
      </w:r>
    </w:p>
    <w:p>
      <w:pPr>
        <w:spacing w:after="0" w:line="16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or developments in, any litigation matters; and</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In February 2022, we entered into the Sales Agreement with Cowen through which we may, from time to time, issue and sell shares of our common stock having an aggregate offering price of up to $300.0 million, subject to the terms and conditions of the Sales Agreement. Through September 30, 2024, we sold 544,719 shares of common stock pursuant to the Sales Agreement, at an average price of $91.88 per share, with aggregate net proceeds of $48.9 million. If we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9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In addition, we are, and may from time-to-time become, involved in lawsuits and other disputes that could have a material impact on us. See the section titled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in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our unaudited condensed consolidated financial statements included in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10-Q for information regarding currently pending litigation. It is possible that we may not prevail in any such lawsuits and disputes even after expending significant amounts of money and company resources in defending our positions in such lawsuits and disputes. The outcome of such lawsuits and disputes is inherently uncertain and may have a negative impact on our business, financial condition and results of operations.</w:t>
      </w:r>
    </w:p>
    <w:p>
      <w:pPr>
        <w:spacing w:after="0" w:line="188"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Facility. Decreases in these sales could affect the cost or availability of equity capital, which could in turn have an adverse effect on our business, including current operations, future growth, revenues, net income and the market prices of our common shares.</w:t>
      </w:r>
    </w:p>
    <w:p>
      <w:pPr>
        <w:spacing w:after="0" w:line="18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February 2022, we commenced a new ATM Facility to raise capital. Under our ATM Facility, we entered into the Sales Agreement, pursuant to which we can sell common shares, up to a maximum aggregate market value of $300.0 million, through one or more at-the-market offerings. Through September 30, 2024, we sold 544,719 shares of common stock pursuant to the Sales Agreement, at an average price of $91.88 per share, with aggregate net proceeds of $48.9 million. Given volatility in the capital markets, we may not be willing or able to continue to raise equity capital through our ATM program. We may, therefore, need to turn to other sources of funding that may have terms that are not favorable to us, or reduce our business operations, if we need additional capital.</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subsidiary, which would adversely affect the rights of holders of both the Company’s equity securities and its debt and debt securities.</w:t>
      </w:r>
    </w:p>
    <w:p>
      <w:pPr>
        <w:spacing w:after="0" w:line="16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any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183"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9"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2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25" w:lineRule="exact"/>
        <w:rPr>
          <w:rFonts w:ascii="Times New Roman" w:cs="Times New Roman" w:eastAsia="Times New Roman" w:hAnsi="Times New Roman"/>
          <w:sz w:val="18"/>
          <w:szCs w:val="18"/>
          <w:color w:val="auto"/>
        </w:rPr>
      </w:pPr>
    </w:p>
    <w:p>
      <w:pPr>
        <w:ind w:left="1380" w:right="99" w:hanging="331"/>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Our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Exchange Act or the Securities Act of 1933, as amended (Securities Act). Our bylaws further provide that, unless we consent in writing to an alternative forum, the federal district courts of the U.S. will be the exclusive forum for resolving any complaint asserting a cause of action arising under the Securities Act, which we refer to as the federal forum provision. We have chosen the federal district courts of the U.S.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1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any person or entity purchasing or otherwise acquiring any interest in shares of our common stock is deemed to have notice of and consented to the Delaware forum provision and the federal forum provision.</w:t>
      </w:r>
    </w:p>
    <w:p>
      <w:pPr>
        <w:spacing w:after="0" w:line="21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left="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5"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3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establishment and maintenance of effective disclosure and financial controls and corporate governance practices.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76"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70" w:lineRule="exact"/>
        <w:rPr>
          <w:sz w:val="20"/>
          <w:szCs w:val="20"/>
          <w:color w:val="auto"/>
        </w:rPr>
      </w:pPr>
    </w:p>
    <w:p>
      <w:pPr>
        <w:ind w:left="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jc w:val="both"/>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In addition, the terms of the Financing Agreement preclude us, and the terms of any future debt agreements may preclude us, from paying cash dividends. As a result, capital appreciation, if any, of our common stock will be the sole source of gain for our stockholders for the foreseeable future.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our capital stock may be subject to additional tax.</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part of the Inflation Reduction Act of 2022, for tax years beginning on or after December 31, 2022, U.S. Congress enacted a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$808.6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 In April 2022, the Company completed an update to the prior Section 382 study dated February 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percentage point ownership change. The previous Section 382 model, through December 31, 2021, was updated for reported transactions among the Company’s 5% owners. The analysis concluded that there was no additional Company equity activity through December 31, 2022 that would rise to the level of a greater than 50 percentage point ownership change. The Company has not performed an analysis through December 31, 2023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one of the Company’s directors and three of the Company’s executives each adopted a “Rule 10b5-1 trading arrangement,” as the term is defined in Item 408(a) of Regulation S-K. We describe the material terms of the Rule 10b5-1 trading arrangement below.</w:t>
      </w:r>
    </w:p>
    <w:p>
      <w:pPr>
        <w:spacing w:after="0" w:line="201" w:lineRule="exact"/>
        <w:rPr>
          <w:sz w:val="20"/>
          <w:szCs w:val="20"/>
          <w:color w:val="auto"/>
        </w:rPr>
      </w:pPr>
    </w:p>
    <w:tbl>
      <w:tblPr>
        <w:tblLayout w:type="fixed"/>
        <w:tblInd w:w="50" w:type="dxa"/>
        <w:tblCellMar>
          <w:top w:w="0" w:type="dxa"/>
          <w:left w:w="0" w:type="dxa"/>
          <w:bottom w:w="0" w:type="dxa"/>
          <w:right w:w="0" w:type="dxa"/>
        </w:tblCellMar>
      </w:tblPr>
      <w:tr>
        <w:trPr>
          <w:trHeight w:val="261"/>
        </w:trPr>
        <w:tc>
          <w:tcPr>
            <w:tcW w:w="15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4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Nature of Trading</w:t>
            </w:r>
          </w:p>
        </w:tc>
        <w:tc>
          <w:tcPr>
            <w:tcW w:w="1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of Trading</w:t>
            </w:r>
          </w:p>
        </w:tc>
        <w:tc>
          <w:tcPr>
            <w:tcW w:w="14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520" w:type="dxa"/>
            <w:vAlign w:val="bottom"/>
            <w:tcBorders>
              <w:left w:val="single" w:sz="8" w:color="auto"/>
              <w:right w:val="single" w:sz="8" w:color="auto"/>
            </w:tcBorders>
            <w:shd w:val="clear" w:color="auto" w:fill="D9D9D9"/>
          </w:tcPr>
          <w:p>
            <w:pPr>
              <w:spacing w:after="0"/>
              <w:rPr>
                <w:sz w:val="18"/>
                <w:szCs w:val="18"/>
                <w:color w:val="auto"/>
              </w:rPr>
            </w:pPr>
          </w:p>
        </w:tc>
        <w:tc>
          <w:tcPr>
            <w:tcW w:w="1560" w:type="dxa"/>
            <w:vAlign w:val="bottom"/>
            <w:tcBorders>
              <w:right w:val="single" w:sz="8" w:color="auto"/>
            </w:tcBorders>
            <w:shd w:val="clear" w:color="auto" w:fill="D9D9D9"/>
          </w:tcPr>
          <w:p>
            <w:pPr>
              <w:spacing w:after="0"/>
              <w:rPr>
                <w:sz w:val="18"/>
                <w:szCs w:val="18"/>
                <w:color w:val="auto"/>
              </w:rPr>
            </w:pP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5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97"/>
        </w:trPr>
        <w:tc>
          <w:tcPr>
            <w:tcW w:w="15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560" w:type="dxa"/>
            <w:vAlign w:val="bottom"/>
            <w:tcBorders>
              <w:bottom w:val="single" w:sz="8" w:color="D9D9D9"/>
              <w:right w:val="single" w:sz="8" w:color="auto"/>
            </w:tcBorders>
            <w:shd w:val="clear" w:color="auto" w:fill="D9D9D9"/>
          </w:tcPr>
          <w:p>
            <w:pPr>
              <w:spacing w:after="0"/>
              <w:rPr>
                <w:sz w:val="24"/>
                <w:szCs w:val="24"/>
                <w:color w:val="auto"/>
              </w:rPr>
            </w:pPr>
          </w:p>
        </w:tc>
        <w:tc>
          <w:tcPr>
            <w:tcW w:w="1400" w:type="dxa"/>
            <w:vAlign w:val="bottom"/>
            <w:tcBorders>
              <w:bottom w:val="single" w:sz="8" w:color="D9D9D9"/>
              <w:right w:val="single" w:sz="8" w:color="auto"/>
            </w:tcBorders>
            <w:shd w:val="clear" w:color="auto" w:fill="D9D9D9"/>
          </w:tcPr>
          <w:p>
            <w:pPr>
              <w:spacing w:after="0"/>
              <w:rPr>
                <w:sz w:val="24"/>
                <w:szCs w:val="24"/>
                <w:color w:val="auto"/>
              </w:rPr>
            </w:pPr>
          </w:p>
        </w:tc>
        <w:tc>
          <w:tcPr>
            <w:tcW w:w="1480" w:type="dxa"/>
            <w:vAlign w:val="bottom"/>
            <w:tcBorders>
              <w:bottom w:val="single" w:sz="8" w:color="D9D9D9"/>
              <w:right w:val="single" w:sz="8" w:color="auto"/>
            </w:tcBorders>
            <w:shd w:val="clear" w:color="auto" w:fill="D9D9D9"/>
          </w:tcPr>
          <w:p>
            <w:pPr>
              <w:spacing w:after="0"/>
              <w:rPr>
                <w:sz w:val="24"/>
                <w:szCs w:val="24"/>
                <w:color w:val="auto"/>
              </w:rPr>
            </w:pPr>
          </w:p>
        </w:tc>
        <w:tc>
          <w:tcPr>
            <w:tcW w:w="1580" w:type="dxa"/>
            <w:vAlign w:val="bottom"/>
            <w:tcBorders>
              <w:bottom w:val="single" w:sz="8" w:color="D9D9D9"/>
              <w:right w:val="single" w:sz="8" w:color="auto"/>
            </w:tcBorders>
            <w:shd w:val="clear" w:color="auto" w:fill="D9D9D9"/>
          </w:tcPr>
          <w:p>
            <w:pPr>
              <w:spacing w:after="0"/>
              <w:rPr>
                <w:sz w:val="24"/>
                <w:szCs w:val="24"/>
                <w:color w:val="auto"/>
              </w:rPr>
            </w:pPr>
          </w:p>
        </w:tc>
        <w:tc>
          <w:tcPr>
            <w:tcW w:w="14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45"/>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Lonnel Coates</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plan</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Sale of the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21, 2024 –</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19,824</w:t>
            </w: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(Director)</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intended to satisfy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Company’s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18, 2025</w:t>
            </w:r>
          </w:p>
        </w:tc>
        <w:tc>
          <w:tcPr>
            <w:tcW w:w="1400" w:type="dxa"/>
            <w:vAlign w:val="bottom"/>
            <w:tcBorders>
              <w:right w:val="single" w:sz="8" w:color="auto"/>
            </w:tcBorders>
          </w:tcPr>
          <w:p>
            <w:pPr>
              <w:spacing w:after="0"/>
              <w:rPr>
                <w:sz w:val="20"/>
                <w:szCs w:val="20"/>
                <w:color w:val="auto"/>
              </w:rPr>
            </w:pPr>
          </w:p>
        </w:tc>
      </w:tr>
      <w:tr>
        <w:trPr>
          <w:trHeight w:val="184"/>
        </w:trPr>
        <w:tc>
          <w:tcPr>
            <w:tcW w:w="152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affirmative</w:t>
            </w:r>
          </w:p>
        </w:tc>
        <w:tc>
          <w:tcPr>
            <w:tcW w:w="14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common stock</w:t>
            </w: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defense conditions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pursuant to the</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Securities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terms of the trading</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Exchange Act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14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Kathryn 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plan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Sale of the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30, 2024 –</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13,515</w:t>
            </w: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Haviland</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30, 2024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intended to satisfy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Company’s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400" w:type="dxa"/>
            <w:vAlign w:val="bottom"/>
            <w:tcBorders>
              <w:right w:val="single" w:sz="8" w:color="auto"/>
            </w:tcBorders>
          </w:tcPr>
          <w:p>
            <w:pPr>
              <w:spacing w:after="0"/>
              <w:rPr>
                <w:sz w:val="20"/>
                <w:szCs w:val="20"/>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Chief Executive</w:t>
            </w: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affirmative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03"/>
        </w:trPr>
        <w:tc>
          <w:tcPr>
            <w:tcW w:w="152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i w:val="1"/>
                <w:iCs w:val="1"/>
                <w:color w:val="auto"/>
                <w:w w:val="96"/>
              </w:rPr>
              <w:t>Officer, Director</w:t>
            </w:r>
            <w:r>
              <w:rPr>
                <w:rFonts w:ascii="Times New Roman" w:cs="Times New Roman" w:eastAsia="Times New Roman" w:hAnsi="Times New Roman"/>
                <w:sz w:val="18"/>
                <w:szCs w:val="18"/>
                <w:color w:val="auto"/>
                <w:w w:val="96"/>
              </w:rPr>
              <w:t>)</w:t>
            </w:r>
          </w:p>
        </w:tc>
        <w:tc>
          <w:tcPr>
            <w:tcW w:w="15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defense conditions</w:t>
            </w:r>
          </w:p>
        </w:tc>
        <w:tc>
          <w:tcPr>
            <w:tcW w:w="14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pursuant to the</w:t>
            </w:r>
          </w:p>
        </w:tc>
        <w:tc>
          <w:tcPr>
            <w:tcW w:w="15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198"/>
        </w:trPr>
        <w:tc>
          <w:tcPr>
            <w:tcW w:w="1520" w:type="dxa"/>
            <w:vAlign w:val="bottom"/>
            <w:tcBorders>
              <w:left w:val="single" w:sz="8" w:color="auto"/>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of Securities</w:t>
            </w:r>
          </w:p>
        </w:tc>
        <w:tc>
          <w:tcPr>
            <w:tcW w:w="1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terms of the trading</w:t>
            </w:r>
          </w:p>
        </w:tc>
        <w:tc>
          <w:tcPr>
            <w:tcW w:w="15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Exchange Act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14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Ariel Hurley</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plan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Sale of the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 12, 2024 –</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15,215</w:t>
            </w: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Senior Vice</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12, 2024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intended to satisfy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Company’s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15, 2025</w:t>
            </w:r>
          </w:p>
        </w:tc>
        <w:tc>
          <w:tcPr>
            <w:tcW w:w="1400" w:type="dxa"/>
            <w:vAlign w:val="bottom"/>
            <w:tcBorders>
              <w:right w:val="single" w:sz="8" w:color="auto"/>
            </w:tcBorders>
          </w:tcPr>
          <w:p>
            <w:pPr>
              <w:spacing w:after="0"/>
              <w:rPr>
                <w:sz w:val="20"/>
                <w:szCs w:val="20"/>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Finance</w:t>
            </w: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affirmative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03"/>
        </w:trPr>
        <w:tc>
          <w:tcPr>
            <w:tcW w:w="152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i w:val="1"/>
                <w:iCs w:val="1"/>
                <w:color w:val="auto"/>
              </w:rPr>
              <w:t>&amp; Principal</w:t>
            </w:r>
          </w:p>
        </w:tc>
        <w:tc>
          <w:tcPr>
            <w:tcW w:w="15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defense conditions</w:t>
            </w:r>
          </w:p>
        </w:tc>
        <w:tc>
          <w:tcPr>
            <w:tcW w:w="14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pursuant to the</w:t>
            </w:r>
          </w:p>
        </w:tc>
        <w:tc>
          <w:tcPr>
            <w:tcW w:w="15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Securities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terms of the trading</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198"/>
        </w:trPr>
        <w:tc>
          <w:tcPr>
            <w:tcW w:w="1520" w:type="dxa"/>
            <w:vAlign w:val="bottom"/>
            <w:tcBorders>
              <w:left w:val="single" w:sz="8" w:color="auto"/>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Exchange Act</w:t>
            </w:r>
          </w:p>
        </w:tc>
        <w:tc>
          <w:tcPr>
            <w:tcW w:w="1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plan</w:t>
            </w:r>
          </w:p>
        </w:tc>
        <w:tc>
          <w:tcPr>
            <w:tcW w:w="15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14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Christopher Murray</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plan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Sale of the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20, 2024 –</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16,500</w:t>
            </w: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Technical</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20, 2024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intended to satisfy</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Company’s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15, 2025</w:t>
            </w:r>
          </w:p>
        </w:tc>
        <w:tc>
          <w:tcPr>
            <w:tcW w:w="1400" w:type="dxa"/>
            <w:vAlign w:val="bottom"/>
            <w:tcBorders>
              <w:right w:val="single" w:sz="8" w:color="auto"/>
            </w:tcBorders>
          </w:tcPr>
          <w:p>
            <w:pPr>
              <w:spacing w:after="0"/>
              <w:rPr>
                <w:sz w:val="20"/>
                <w:szCs w:val="20"/>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Operations &amp;</w:t>
            </w: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affirmative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03"/>
        </w:trPr>
        <w:tc>
          <w:tcPr>
            <w:tcW w:w="152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i w:val="1"/>
                <w:iCs w:val="1"/>
                <w:color w:val="auto"/>
              </w:rPr>
              <w:t>Quality Officer)</w:t>
            </w:r>
          </w:p>
        </w:tc>
        <w:tc>
          <w:tcPr>
            <w:tcW w:w="15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defense conditions</w:t>
            </w:r>
          </w:p>
        </w:tc>
        <w:tc>
          <w:tcPr>
            <w:tcW w:w="14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pursuant to the</w:t>
            </w:r>
          </w:p>
        </w:tc>
        <w:tc>
          <w:tcPr>
            <w:tcW w:w="15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198"/>
        </w:trPr>
        <w:tc>
          <w:tcPr>
            <w:tcW w:w="1520" w:type="dxa"/>
            <w:vAlign w:val="bottom"/>
            <w:tcBorders>
              <w:left w:val="single" w:sz="8" w:color="auto"/>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of Securities</w:t>
            </w:r>
          </w:p>
        </w:tc>
        <w:tc>
          <w:tcPr>
            <w:tcW w:w="14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terms of the trading</w:t>
            </w:r>
          </w:p>
        </w:tc>
        <w:tc>
          <w:tcPr>
            <w:tcW w:w="15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Exchange Act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w:t>
            </w:r>
          </w:p>
        </w:tc>
        <w:tc>
          <w:tcPr>
            <w:tcW w:w="15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10b5-1(c)</w:t>
            </w:r>
          </w:p>
        </w:tc>
        <w:tc>
          <w:tcPr>
            <w:tcW w:w="14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Frequency of Future Non-Binding Stockholder Advisory Votes on Executive Compensation</w:t>
      </w:r>
    </w:p>
    <w:p>
      <w:pPr>
        <w:spacing w:after="0" w:line="216" w:lineRule="exact"/>
        <w:rPr>
          <w:sz w:val="20"/>
          <w:szCs w:val="20"/>
          <w:color w:val="auto"/>
        </w:rPr>
      </w:pPr>
    </w:p>
    <w:p>
      <w:pPr>
        <w:jc w:val="both"/>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in a Current Report on Form 8-K filed on June 14, 2024, at the Company’s 2024 Annual Meeting of Stockholders held on June 12, 2024, the Company’s stockholders approved, on a non-binding advisory basis, the holding of a non-binding stockholder advisory vote on executive compensation annually. Based on this voting result, among other factors, the Company will include a non-binding stockholder advisory vote on executive compensation in its proxy materials annually until the next required stockholder vote on the frequency of such non-binding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486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486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486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31.2*</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32.1+</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101.INS</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101.SCH*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101.CAL*</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101.LAB*</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48" w:lineRule="exact"/>
        <w:rPr>
          <w:sz w:val="20"/>
          <w:szCs w:val="20"/>
          <w:color w:val="auto"/>
        </w:rPr>
      </w:pPr>
    </w:p>
    <w:p>
      <w:pPr>
        <w:ind w:right="399"/>
        <w:spacing w:after="0" w:line="297" w:lineRule="auto"/>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Fifth Amended and Restated Certificate of Incorporation of the Registrant (incorporated by reference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Exhibit 3.1 to the Quarterly Report on Form 10-Q, filed by the Registrant on November 9,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4946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35" w:lineRule="exact"/>
        <w:rPr>
          <w:sz w:val="20"/>
          <w:szCs w:val="20"/>
          <w:color w:val="auto"/>
        </w:rPr>
      </w:pPr>
    </w:p>
    <w:p>
      <w:pPr>
        <w:ind w:right="199"/>
        <w:spacing w:after="0" w:line="297" w:lineRule="auto"/>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Amended and Restated Bylaws, as amended on November 30, 2022, of the Registrant (incorporated by</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reference to Exhibit 3.1 to the Current Report on Form 8-K, filed by the Registrant on December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4946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35" w:lineRule="exact"/>
        <w:rPr>
          <w:sz w:val="20"/>
          <w:szCs w:val="20"/>
          <w:color w:val="auto"/>
        </w:rPr>
      </w:pPr>
    </w:p>
    <w:p>
      <w:pPr>
        <w:ind w:right="219"/>
        <w:spacing w:after="0" w:line="282" w:lineRule="auto"/>
        <w:rPr>
          <w:sz w:val="20"/>
          <w:szCs w:val="20"/>
          <w:color w:val="auto"/>
        </w:rPr>
      </w:pPr>
      <w:r>
        <w:rPr>
          <w:rFonts w:ascii="Times New Roman" w:cs="Times New Roman" w:eastAsia="Times New Roman" w:hAnsi="Times New Roman"/>
          <w:sz w:val="18"/>
          <w:szCs w:val="18"/>
          <w:u w:val="single" w:color="auto"/>
          <w:color w:val="0000EE"/>
        </w:rPr>
        <w:t>Certification of Principal Executive Officer pursuant to Rule 13a-14(a) or Rule 15d-14(a) of the Exchange Act,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4946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7"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u w:val="single" w:color="auto"/>
          <w:color w:val="0000EE"/>
        </w:rPr>
        <w:t>Certification of Principal Financial Officer pursuant to Rule 13a-14(a) or Rule 15d-14(a) of the Exchange Act, as adopted pursuant to Section 302 of the Sarbanes-Oxley Act of 2002</w:t>
      </w:r>
    </w:p>
    <w:p>
      <w:pPr>
        <w:spacing w:after="0" w:line="27" w:lineRule="exact"/>
        <w:rPr>
          <w:sz w:val="20"/>
          <w:szCs w:val="20"/>
          <w:color w:val="auto"/>
        </w:rPr>
      </w:pPr>
    </w:p>
    <w:p>
      <w:pPr>
        <w:ind w:right="199"/>
        <w:spacing w:after="0" w:line="297" w:lineRule="auto"/>
        <w:rPr>
          <w:sz w:val="20"/>
          <w:szCs w:val="20"/>
          <w:color w:val="auto"/>
        </w:rPr>
      </w:pPr>
      <w:r>
        <w:rPr>
          <w:rFonts w:ascii="Times New Roman" w:cs="Times New Roman" w:eastAsia="Times New Roman" w:hAnsi="Times New Roman"/>
          <w:sz w:val="18"/>
          <w:szCs w:val="18"/>
          <w:u w:val="single" w:color="auto"/>
          <w:color w:val="0000EE"/>
        </w:rPr>
        <w:t>Certifications of Principal Executive Officer and Principal Financial Officer pursuant to 18 U.S.C. Section 1350, as adopted pursuant to Section 906 of the Sarbanes-Oxley Act of 2002</w:t>
      </w:r>
    </w:p>
    <w:p>
      <w:pPr>
        <w:spacing w:after="0" w:line="41" w:lineRule="exact"/>
        <w:rPr>
          <w:sz w:val="20"/>
          <w:szCs w:val="20"/>
          <w:color w:val="auto"/>
        </w:rPr>
      </w:pPr>
    </w:p>
    <w:p>
      <w:pPr>
        <w:ind w:right="539"/>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17" w:lineRule="exact"/>
        <w:rPr>
          <w:sz w:val="20"/>
          <w:szCs w:val="20"/>
          <w:color w:val="auto"/>
        </w:rPr>
      </w:pPr>
    </w:p>
    <w:p>
      <w:pPr>
        <w:ind w:right="339"/>
        <w:spacing w:after="0" w:line="297" w:lineRule="auto"/>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260985</wp:posOffset>
            </wp:positionV>
            <wp:extent cx="1414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 w:space="340"/>
            <w:col w:w="7859"/>
          </w:cols>
          <w:pgMar w:left="1440" w:top="513" w:right="1440" w:bottom="1440" w:gutter="0" w:footer="0" w:header="0"/>
          <w:type w:val="continuous"/>
        </w:sectPr>
      </w:pPr>
    </w:p>
    <w:p>
      <w:pPr>
        <w:spacing w:after="0" w:line="314" w:lineRule="exact"/>
        <w:rPr>
          <w:sz w:val="20"/>
          <w:szCs w:val="20"/>
          <w:color w:val="auto"/>
        </w:rPr>
      </w:pPr>
    </w:p>
    <w:p>
      <w:pPr>
        <w:ind w:left="6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41" w:lineRule="exact"/>
        <w:rPr>
          <w:sz w:val="20"/>
          <w:szCs w:val="20"/>
          <w:color w:val="auto"/>
        </w:rPr>
      </w:pPr>
    </w:p>
    <w:p>
      <w:pPr>
        <w:ind w:left="300" w:right="119" w:hanging="250"/>
        <w:spacing w:after="0" w:line="255"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left="60" w:right="27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tab/>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68"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Kathryn Haviland, certify that:</w:t>
      </w:r>
    </w:p>
    <w:p>
      <w:pPr>
        <w:spacing w:after="0" w:line="225" w:lineRule="exact"/>
        <w:rPr>
          <w:sz w:val="20"/>
          <w:szCs w:val="20"/>
          <w:color w:val="auto"/>
        </w:rPr>
      </w:pPr>
    </w:p>
    <w:p>
      <w:pPr>
        <w:ind w:left="1500" w:hanging="643"/>
        <w:spacing w:after="0"/>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By:/s/ Kathryn Haviland</w:t>
            </w: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4" w:name="page115"/>
    <w:bookmarkEnd w:id="11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25" w:lineRule="exact"/>
        <w:rPr>
          <w:sz w:val="20"/>
          <w:szCs w:val="20"/>
          <w:color w:val="auto"/>
        </w:rPr>
      </w:pPr>
    </w:p>
    <w:p>
      <w:pPr>
        <w:ind w:left="1500" w:hanging="643"/>
        <w:spacing w:after="0"/>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58"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200" w:right="459" w:firstLine="657"/>
        <w:spacing w:after="0" w:line="266"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459" w:firstLine="657"/>
        <w:spacing w:after="0" w:line="258"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860" w:right="279" w:firstLine="645"/>
        <w:spacing w:after="0" w:line="261"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860" w:right="259" w:firstLine="645"/>
        <w:spacing w:after="0" w:line="255"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60" w:right="399" w:firstLine="645"/>
        <w:spacing w:after="0" w:line="266"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60" w:right="379" w:firstLine="645"/>
        <w:spacing w:after="0" w:line="255"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200" w:right="259" w:firstLine="657"/>
        <w:spacing w:after="0" w:line="266" w:lineRule="auto"/>
        <w:tabs>
          <w:tab w:leader="none" w:pos="14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60" w:right="439" w:firstLine="645"/>
        <w:spacing w:after="0" w:line="266"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860" w:right="599" w:firstLine="645"/>
        <w:spacing w:after="0" w:line="282" w:lineRule="auto"/>
        <w:tabs>
          <w:tab w:leader="none" w:pos="215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6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By:/s/ Michael Landsittel</w:t>
            </w:r>
          </w:p>
        </w:tc>
      </w:tr>
      <w:tr>
        <w:trPr>
          <w:trHeight w:val="191"/>
        </w:trPr>
        <w:tc>
          <w:tcPr>
            <w:tcW w:w="2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Landsittel</w:t>
            </w:r>
          </w:p>
        </w:tc>
      </w:tr>
      <w:tr>
        <w:trPr>
          <w:trHeight w:val="216"/>
        </w:trPr>
        <w:tc>
          <w:tcPr>
            <w:tcW w:w="2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9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left="200" w:right="23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Blueprint Medicines Corporation (the “Company”) for the period ended September 30, 2024 as filed with the Securities and Exchange Commission on the date hereof (the “Report”), each of the undersigned officers of the Company hereby certifies, pursuant to 18 U.S.C. Section 1350, that to his knowledge:</w:t>
      </w:r>
    </w:p>
    <w:p>
      <w:pPr>
        <w:spacing w:after="0" w:line="187" w:lineRule="exact"/>
        <w:rPr>
          <w:sz w:val="20"/>
          <w:szCs w:val="20"/>
          <w:color w:val="auto"/>
        </w:rPr>
      </w:pPr>
    </w:p>
    <w:p>
      <w:pPr>
        <w:ind w:left="1500" w:right="259" w:hanging="562"/>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500" w:right="899" w:hanging="562"/>
        <w:spacing w:after="0" w:line="282" w:lineRule="auto"/>
        <w:tabs>
          <w:tab w:leader="none" w:pos="1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114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Kathryn Haviland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25114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614680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Roman"/>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lowerRoman"/>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4"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23" Type="http://schemas.openxmlformats.org/officeDocument/2006/relationships/hyperlink" Target="https://www.sec.gov/Archives/edgar/data/1597264/000155837015002529/bpmc-20150930ex3100367a3.htm" TargetMode="External"/><Relationship Id="rId125" Type="http://schemas.openxmlformats.org/officeDocument/2006/relationships/hyperlink" Target="https://www.sec.gov/Archives/edgar/data/1597264/000110465922124884/tm2231954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2024-10-30T15:59:58Z</dcterms:created>
  <dcterms:modified xsi:type="dcterms:W3CDTF">2024-10-30T15:59:58Z</dcterms:modified>
</cp:coreProperties>
</file>