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333-236424</w:t>
      </w:r>
    </w:p>
    <w:p>
      <w:pPr>
        <w:spacing w:after="0" w:line="37"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CALCULATION OF REGISTRATION FEE</w:t>
      </w:r>
    </w:p>
    <w:p>
      <w:pPr>
        <w:spacing w:after="0" w:line="29"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7160" w:type="dxa"/>
            <w:vAlign w:val="bottom"/>
            <w:tcBorders>
              <w:top w:val="single" w:sz="8" w:color="auto"/>
              <w:bottom w:val="single" w:sz="8" w:color="auto"/>
              <w:right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48"/>
        </w:trPr>
        <w:tc>
          <w:tcPr>
            <w:tcW w:w="71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right="4"/>
              <w:spacing w:after="0" w:line="149" w:lineRule="exact"/>
              <w:rPr>
                <w:sz w:val="20"/>
                <w:szCs w:val="20"/>
                <w:color w:val="auto"/>
              </w:rPr>
            </w:pPr>
            <w:r>
              <w:rPr>
                <w:rFonts w:ascii="Arial" w:cs="Arial" w:eastAsia="Arial" w:hAnsi="Arial"/>
                <w:sz w:val="14"/>
                <w:szCs w:val="14"/>
                <w:b w:val="1"/>
                <w:bCs w:val="1"/>
                <w:color w:val="auto"/>
              </w:rPr>
              <w:t>Proposed</w:t>
            </w:r>
          </w:p>
        </w:tc>
        <w:tc>
          <w:tcPr>
            <w:tcW w:w="1300" w:type="dxa"/>
            <w:vAlign w:val="bottom"/>
          </w:tcPr>
          <w:p>
            <w:pPr>
              <w:spacing w:after="0"/>
              <w:rPr>
                <w:sz w:val="12"/>
                <w:szCs w:val="12"/>
                <w:color w:val="auto"/>
              </w:rPr>
            </w:pPr>
          </w:p>
        </w:tc>
      </w:tr>
      <w:tr>
        <w:trPr>
          <w:trHeight w:val="162"/>
        </w:trPr>
        <w:tc>
          <w:tcPr>
            <w:tcW w:w="71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Maximum</w:t>
            </w:r>
          </w:p>
        </w:tc>
        <w:tc>
          <w:tcPr>
            <w:tcW w:w="1300" w:type="dxa"/>
            <w:vAlign w:val="bottom"/>
          </w:tcPr>
          <w:p>
            <w:pPr>
              <w:spacing w:after="0"/>
              <w:rPr>
                <w:sz w:val="14"/>
                <w:szCs w:val="14"/>
                <w:color w:val="auto"/>
              </w:rPr>
            </w:pPr>
          </w:p>
        </w:tc>
      </w:tr>
      <w:tr>
        <w:trPr>
          <w:trHeight w:val="162"/>
        </w:trPr>
        <w:tc>
          <w:tcPr>
            <w:tcW w:w="71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300" w:type="dxa"/>
            <w:vAlign w:val="bottom"/>
          </w:tcPr>
          <w:p>
            <w:pPr>
              <w:jc w:val="center"/>
              <w:ind w:left="22"/>
              <w:spacing w:after="0"/>
              <w:rPr>
                <w:sz w:val="20"/>
                <w:szCs w:val="20"/>
                <w:color w:val="auto"/>
              </w:rPr>
            </w:pPr>
            <w:r>
              <w:rPr>
                <w:rFonts w:ascii="Arial" w:cs="Arial" w:eastAsia="Arial" w:hAnsi="Arial"/>
                <w:sz w:val="14"/>
                <w:szCs w:val="14"/>
                <w:b w:val="1"/>
                <w:bCs w:val="1"/>
                <w:color w:val="auto"/>
              </w:rPr>
              <w:t>Amount of</w:t>
            </w:r>
          </w:p>
        </w:tc>
      </w:tr>
      <w:tr>
        <w:trPr>
          <w:trHeight w:val="196"/>
        </w:trPr>
        <w:tc>
          <w:tcPr>
            <w:tcW w:w="7160" w:type="dxa"/>
            <w:vAlign w:val="bottom"/>
            <w:tcBorders>
              <w:bottom w:val="single" w:sz="8" w:color="auto"/>
              <w:right w:val="single" w:sz="8" w:color="auto"/>
            </w:tcBorders>
          </w:tcPr>
          <w:p>
            <w:pPr>
              <w:ind w:left="19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6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offering price(1)</w:t>
            </w:r>
          </w:p>
        </w:tc>
        <w:tc>
          <w:tcPr>
            <w:tcW w:w="13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registration fee(2)</w:t>
            </w:r>
          </w:p>
        </w:tc>
      </w:tr>
      <w:tr>
        <w:trPr>
          <w:trHeight w:val="263"/>
        </w:trPr>
        <w:tc>
          <w:tcPr>
            <w:tcW w:w="7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26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8"/>
                <w:szCs w:val="18"/>
                <w:color w:val="auto"/>
                <w:w w:val="99"/>
              </w:rPr>
              <w:t>$250,000,000</w:t>
            </w:r>
          </w:p>
        </w:tc>
        <w:tc>
          <w:tcPr>
            <w:tcW w:w="130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98"/>
              </w:rPr>
              <w:t>$32,450</w:t>
            </w:r>
          </w:p>
        </w:tc>
      </w:tr>
      <w:tr>
        <w:trPr>
          <w:trHeight w:val="20"/>
        </w:trPr>
        <w:tc>
          <w:tcPr>
            <w:tcW w:w="71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4"/>
          <w:szCs w:val="24"/>
          <w:color w:val="auto"/>
        </w:rPr>
      </w:pPr>
    </w:p>
    <w:p>
      <w:pPr>
        <w:ind w:left="860" w:right="520" w:hanging="366"/>
        <w:spacing w:after="0" w:line="261"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is being used to calculate the registration fee pursuant to Rule 457(o) under the Securities Act of 1933, as amended.</w:t>
      </w:r>
    </w:p>
    <w:p>
      <w:pPr>
        <w:spacing w:after="0" w:line="49" w:lineRule="exact"/>
        <w:rPr>
          <w:rFonts w:ascii="Arial" w:cs="Arial" w:eastAsia="Arial" w:hAnsi="Arial"/>
          <w:sz w:val="18"/>
          <w:szCs w:val="18"/>
          <w:color w:val="auto"/>
        </w:rPr>
      </w:pPr>
    </w:p>
    <w:p>
      <w:pPr>
        <w:ind w:left="860" w:right="340" w:hanging="366"/>
        <w:spacing w:after="0" w:line="254"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456(b) and Rule 457(r) of the Securities Act of 1933, as amended. This “Calculation of Registration Fee” table shall be deemed to update the “Calculation of Registration Fee” table in the registrant’s registration statement on Form S-3ASR filed with the Securities and Exchange Commission on February 13, 2020 (File No. 333-236424).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1784350</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line="55" w:lineRule="exact"/>
        <w:rPr>
          <w:sz w:val="20"/>
          <w:szCs w:val="20"/>
          <w:color w:val="auto"/>
        </w:rPr>
      </w:pPr>
    </w:p>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PROSPECTUS SUPPLEMENT to Prospectus dated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2085975</wp:posOffset>
            </wp:positionV>
            <wp:extent cx="6189345" cy="2091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20916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62865</wp:posOffset>
            </wp:positionV>
            <wp:extent cx="618934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UP TO $250,000,000</w:t>
      </w:r>
    </w:p>
    <w:p>
      <w:pPr>
        <w:spacing w:after="0" w:line="320" w:lineRule="exact"/>
        <w:rPr>
          <w:sz w:val="20"/>
          <w:szCs w:val="20"/>
          <w:color w:val="auto"/>
        </w:rPr>
      </w:pPr>
    </w:p>
    <w:p>
      <w:pPr>
        <w:ind w:left="4300"/>
        <w:spacing w:after="0"/>
        <w:rPr>
          <w:sz w:val="20"/>
          <w:szCs w:val="20"/>
          <w:color w:val="auto"/>
        </w:rPr>
      </w:pPr>
      <w:r>
        <w:rPr>
          <w:rFonts w:ascii="Arial" w:cs="Arial" w:eastAsia="Arial" w:hAnsi="Arial"/>
          <w:sz w:val="25"/>
          <w:szCs w:val="25"/>
          <w:b w:val="1"/>
          <w:bCs w:val="1"/>
          <w:color w:val="auto"/>
        </w:rPr>
        <w:t>COMMON STOCK</w:t>
      </w:r>
    </w:p>
    <w:p>
      <w:pPr>
        <w:spacing w:after="0" w:line="350" w:lineRule="exact"/>
        <w:rPr>
          <w:sz w:val="20"/>
          <w:szCs w:val="20"/>
          <w:color w:val="auto"/>
        </w:rPr>
      </w:pPr>
    </w:p>
    <w:p>
      <w:pPr>
        <w:ind w:left="500" w:right="280"/>
        <w:spacing w:after="0" w:line="238" w:lineRule="auto"/>
        <w:rPr>
          <w:sz w:val="20"/>
          <w:szCs w:val="20"/>
          <w:color w:val="auto"/>
        </w:rPr>
      </w:pPr>
      <w:r>
        <w:rPr>
          <w:rFonts w:ascii="Arial" w:cs="Arial" w:eastAsia="Arial" w:hAnsi="Arial"/>
          <w:sz w:val="18"/>
          <w:szCs w:val="18"/>
          <w:color w:val="auto"/>
        </w:rPr>
        <w:t>We have entered into a Sales Agreement with Cowen and Company, LLC, or Cowen, relating to shares of our common stock, par value $0.001 per share, offered by this prospectus supplement and the accompanying prospectus. In accordance with the terms of the Sales Agreement, we may offer and sell shares of our common stock having an aggregate offering price of up to $250,000,000 from time to time through Cowen, acting as sales agent or principal.</w:t>
      </w:r>
    </w:p>
    <w:p>
      <w:pPr>
        <w:spacing w:after="0" w:line="137" w:lineRule="exact"/>
        <w:rPr>
          <w:sz w:val="20"/>
          <w:szCs w:val="20"/>
          <w:color w:val="auto"/>
        </w:rPr>
      </w:pPr>
    </w:p>
    <w:p>
      <w:pPr>
        <w:ind w:left="500" w:right="140"/>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sales price of our common stock on the Nasdaq Global Select Market on July 29, 2020 was $73.75 per share.</w:t>
      </w:r>
    </w:p>
    <w:p>
      <w:pPr>
        <w:spacing w:after="0" w:line="94" w:lineRule="exact"/>
        <w:rPr>
          <w:sz w:val="20"/>
          <w:szCs w:val="20"/>
          <w:color w:val="auto"/>
        </w:rPr>
      </w:pPr>
    </w:p>
    <w:p>
      <w:pPr>
        <w:ind w:left="500" w:right="180"/>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See “Risk Factors” beginning on page </w:t>
      </w:r>
      <w:hyperlink w:anchor="page11">
        <w:r>
          <w:rPr>
            <w:rFonts w:ascii="Arial" w:cs="Arial" w:eastAsia="Arial" w:hAnsi="Arial"/>
            <w:sz w:val="18"/>
            <w:szCs w:val="18"/>
            <w:b w:val="1"/>
            <w:bCs w:val="1"/>
            <w:u w:val="single" w:color="auto"/>
            <w:color w:val="0000EE"/>
          </w:rPr>
          <w:t>S-8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28" w:lineRule="exact"/>
        <w:rPr>
          <w:sz w:val="20"/>
          <w:szCs w:val="20"/>
          <w:color w:val="auto"/>
        </w:rPr>
      </w:pPr>
    </w:p>
    <w:p>
      <w:pPr>
        <w:ind w:left="500"/>
        <w:spacing w:after="0" w:line="237" w:lineRule="auto"/>
        <w:rPr>
          <w:sz w:val="20"/>
          <w:szCs w:val="20"/>
          <w:color w:val="auto"/>
        </w:rPr>
      </w:pPr>
      <w:r>
        <w:rPr>
          <w:rFonts w:ascii="Arial" w:cs="Arial" w:eastAsia="Arial" w:hAnsi="Arial"/>
          <w:sz w:val="18"/>
          <w:szCs w:val="18"/>
          <w:color w:val="auto"/>
        </w:rPr>
        <w:t>Sales of our common stock, if any, under this prospectus supplement and the accompanying prospectus may be made in sales deemed to be an “at the market offering” as defined in Rule 415(a)(4) promulgated under the Securities Act of 1933, as amended, or the Securities Act. Cowen is not required to sell any specific number or dollar amount of securities, but will act as a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37" w:lineRule="exact"/>
        <w:rPr>
          <w:sz w:val="20"/>
          <w:szCs w:val="20"/>
          <w:color w:val="auto"/>
        </w:rPr>
      </w:pPr>
    </w:p>
    <w:p>
      <w:pPr>
        <w:ind w:left="500" w:right="140"/>
        <w:spacing w:after="0" w:line="261" w:lineRule="auto"/>
        <w:rPr>
          <w:sz w:val="20"/>
          <w:szCs w:val="20"/>
          <w:color w:val="auto"/>
        </w:rPr>
      </w:pPr>
      <w:r>
        <w:rPr>
          <w:rFonts w:ascii="Arial" w:cs="Arial" w:eastAsia="Arial" w:hAnsi="Arial"/>
          <w:sz w:val="17"/>
          <w:szCs w:val="17"/>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ectPr>
          <w:pgSz w:w="11900" w:h="16893" w:orient="portrait"/>
          <w:cols w:equalWidth="0" w:num="1">
            <w:col w:w="10220"/>
          </w:cols>
          <w:pgMar w:left="320" w:top="131" w:right="1359" w:bottom="0" w:gutter="0" w:footer="0" w:header="0"/>
        </w:sectPr>
      </w:pPr>
    </w:p>
    <w:bookmarkStart w:id="2" w:name="page3"/>
    <w:bookmarkEnd w:id="2"/>
    <w:p>
      <w:pPr>
        <w:spacing w:after="0" w:line="237" w:lineRule="auto"/>
        <w:rPr>
          <w:rFonts w:ascii="Arial" w:cs="Arial" w:eastAsia="Arial" w:hAnsi="Arial"/>
          <w:sz w:val="18"/>
          <w:szCs w:val="18"/>
          <w:color w:val="0000EE"/>
        </w:rPr>
      </w:pPr>
      <w:r>
        <w:rPr>
          <w:rFonts w:ascii="Arial" w:cs="Arial" w:eastAsia="Arial" w:hAnsi="Arial"/>
          <w:sz w:val="18"/>
          <w:szCs w:val="18"/>
          <w:color w:val="auto"/>
        </w:rPr>
        <w:t xml:space="preserve">The compensation to Cowen for sales of common stock sold pursuant to the Sales Agreement will be up to 3.0% of the gross proceeds of any shares of common stock sold under the Sales Agreement. In connection with the sale of the common stock on our behalf, Cowen will be deemed to be an “underwriter” within the meaning of the Securities Act, and the compensation to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section titled “Plan of Distribution” on page </w:t>
      </w:r>
      <w:hyperlink w:anchor="page17">
        <w:r>
          <w:rPr>
            <w:rFonts w:ascii="Arial" w:cs="Arial" w:eastAsia="Arial" w:hAnsi="Arial"/>
            <w:sz w:val="18"/>
            <w:szCs w:val="18"/>
            <w:u w:val="single" w:color="auto"/>
            <w:color w:val="0000EE"/>
          </w:rPr>
          <w:t>S-14</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this prospectus supplement.</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224790</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242570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supplement is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254635</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00"/>
          </w:cols>
          <w:pgMar w:left="820" w:top="140" w:right="1379"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Page</w:t>
            </w: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Prospectus Supplement</w:t>
            </w:r>
          </w:p>
        </w:tc>
        <w:tc>
          <w:tcPr>
            <w:tcW w:w="1080" w:type="dxa"/>
            <w:vAlign w:val="bottom"/>
          </w:tcPr>
          <w:p>
            <w:pPr>
              <w:spacing w:after="0"/>
              <w:rPr>
                <w:sz w:val="22"/>
                <w:szCs w:val="22"/>
                <w:color w:val="auto"/>
              </w:rPr>
            </w:pPr>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S-1</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10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S-2</w:t>
              </w:r>
            </w:hyperlink>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INCORPORATION OF CERTAIN INFORMATION BY REFERENCE</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S-2</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CAUTIONARY STATEMENT REGARDING FORWARD-LOOKING STATEMENTS</w:t>
              </w:r>
            </w:hyperlink>
          </w:p>
        </w:tc>
        <w:tc>
          <w:tcPr>
            <w:tcW w:w="10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S-4</w:t>
              </w:r>
            </w:hyperlink>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 SUPPLEMENT SUMMARY</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S-6</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THE OFFERING</w:t>
              </w:r>
            </w:hyperlink>
          </w:p>
        </w:tc>
        <w:tc>
          <w:tcPr>
            <w:tcW w:w="108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S-7</w:t>
              </w:r>
            </w:hyperlink>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S-8</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108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S-11</w:t>
              </w:r>
            </w:hyperlink>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DILUTION</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S-12</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PLAN OF DISTRIBUTION</w:t>
              </w:r>
            </w:hyperlink>
          </w:p>
        </w:tc>
        <w:tc>
          <w:tcPr>
            <w:tcW w:w="108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S-14</w:t>
              </w:r>
            </w:hyperlink>
          </w:p>
        </w:tc>
      </w:tr>
      <w:tr>
        <w:trPr>
          <w:trHeight w:val="270"/>
        </w:trPr>
        <w:tc>
          <w:tcPr>
            <w:tcW w:w="714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LEGAL MATTERS</w:t>
              </w:r>
            </w:hyperlink>
          </w:p>
        </w:tc>
        <w:tc>
          <w:tcPr>
            <w:tcW w:w="108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S-16</w:t>
              </w:r>
            </w:hyperlink>
          </w:p>
        </w:tc>
      </w:tr>
      <w:tr>
        <w:trPr>
          <w:trHeight w:val="270"/>
        </w:trPr>
        <w:tc>
          <w:tcPr>
            <w:tcW w:w="71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EXPERTS</w:t>
              </w:r>
            </w:hyperlink>
          </w:p>
        </w:tc>
        <w:tc>
          <w:tcPr>
            <w:tcW w:w="108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S-16</w:t>
              </w:r>
            </w:hyperlink>
          </w:p>
        </w:tc>
      </w:tr>
    </w:tbl>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Page</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Prospectus</w:t>
            </w:r>
          </w:p>
        </w:tc>
        <w:tc>
          <w:tcPr>
            <w:tcW w:w="1420" w:type="dxa"/>
            <w:vAlign w:val="bottom"/>
          </w:tcPr>
          <w:p>
            <w:pPr>
              <w:spacing w:after="0"/>
              <w:rPr>
                <w:sz w:val="22"/>
                <w:szCs w:val="22"/>
                <w:color w:val="auto"/>
              </w:rPr>
            </w:pPr>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ABOUT THIS PROSPECTUS</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14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WHERE YOU CAN FIND MORE INFORMATION</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BY REFERENCE</w:t>
              </w:r>
            </w:hyperlink>
          </w:p>
        </w:tc>
        <w:tc>
          <w:tcPr>
            <w:tcW w:w="14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FORWARD-LOOKING STATEMENTS</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4</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BLUEPRINT MEDICINES CORPORATION</w:t>
              </w:r>
            </w:hyperlink>
          </w:p>
        </w:tc>
        <w:tc>
          <w:tcPr>
            <w:tcW w:w="14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5</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6</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DILUTION</w:t>
              </w:r>
            </w:hyperlink>
          </w:p>
        </w:tc>
        <w:tc>
          <w:tcPr>
            <w:tcW w:w="142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7</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CAPITAL STOCK</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8</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142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15</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PURCHASE CONTRACTS AND PURCHASE UNITS</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23</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WARRANTS</w:t>
              </w:r>
            </w:hyperlink>
          </w:p>
        </w:tc>
        <w:tc>
          <w:tcPr>
            <w:tcW w:w="14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24</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25</w:t>
              </w:r>
            </w:hyperlink>
          </w:p>
        </w:tc>
      </w:tr>
      <w:tr>
        <w:trPr>
          <w:trHeight w:val="270"/>
        </w:trPr>
        <w:tc>
          <w:tcPr>
            <w:tcW w:w="680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142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28</w:t>
              </w:r>
            </w:hyperlink>
          </w:p>
        </w:tc>
      </w:tr>
      <w:tr>
        <w:trPr>
          <w:trHeight w:val="270"/>
        </w:trPr>
        <w:tc>
          <w:tcPr>
            <w:tcW w:w="680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1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28</w:t>
              </w:r>
            </w:hyperlink>
          </w:p>
        </w:tc>
      </w:tr>
    </w:tbl>
    <w:p>
      <w:pPr>
        <w:spacing w:after="0" w:line="11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b w:val="1"/>
          <w:bCs w:val="1"/>
          <w:color w:val="auto"/>
        </w:rPr>
        <w:t>We are responsible for the information contained and incorporated by reference in this prospectus supplement, in any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ABOUT THIS PROSPECTUS SUPPLEMENT</w:t>
      </w:r>
    </w:p>
    <w:p>
      <w:pPr>
        <w:spacing w:after="0" w:line="355"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This prospectus supplement is part of an automatic shelf registration statement on Form S-3ASR (File No. 333-236424) that we filed with the Securities and Exchange Commission, or SEC, as a “well-known seasoned issuer” as defined in Rule 405 under the Securities Act, using a “shelf” registration process. Under this shelf registration process, we may, from time to time, sell any combination of the securities described in the above-referenced registration statement. This prospectus supplement, together with the accompanying prospectus and the documents incorporated by reference therein and herein, includes all material information relating to this offering.</w:t>
      </w:r>
    </w:p>
    <w:p>
      <w:pPr>
        <w:spacing w:after="0" w:line="122" w:lineRule="exact"/>
        <w:rPr>
          <w:sz w:val="20"/>
          <w:szCs w:val="20"/>
          <w:color w:val="auto"/>
        </w:rPr>
      </w:pPr>
    </w:p>
    <w:p>
      <w:pPr>
        <w:ind w:left="1260" w:right="739" w:firstLine="360"/>
        <w:spacing w:after="0" w:line="236" w:lineRule="auto"/>
        <w:rPr>
          <w:sz w:val="20"/>
          <w:szCs w:val="20"/>
          <w:color w:val="auto"/>
        </w:rPr>
      </w:pPr>
      <w:r>
        <w:rPr>
          <w:rFonts w:ascii="Arial" w:cs="Arial" w:eastAsia="Arial" w:hAnsi="Arial"/>
          <w:sz w:val="18"/>
          <w:szCs w:val="18"/>
          <w:color w:val="auto"/>
        </w:rPr>
        <w:t>This prospectus supplement relates to the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and any accompanying prospectus or free writing prospectus that we have authorized for use in connection with this offering. These documents contain important information that you should consider when making your investment decision. This Sales Agreement prospectus is deemed a prospectus supplement to the base prospectus contained in the registration statement of which this Sales Agreement prospectus forms a part.</w:t>
      </w:r>
    </w:p>
    <w:p>
      <w:pPr>
        <w:spacing w:after="0" w:line="139"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This prospectus supplement describes the terms of this offering of common stock and also adds to and updates information contained in the documents incorporated by reference into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138"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We have not, and Cowen has not, authorized anyone to provide you with information in addition to or different from that contained in this prospectus supplement, the accompanying prospectus and any related free writing prospectus. We and Cowen take no responsibility for, and can provide no assurances as to the reliability of, any information not contained in this prospectus supplement, the accompanying prospectus or any related free writing prospectus that we may authorize to be provided to you. This prospectus supplement is an offer to sell only the securities offered hereby, but only under circumstances and in jurisdictions where it is lawful to do so. You should assume that the information in this prospectus supplement, the accompanying prospectus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supplement, the accompanying prospectus or any related free writing prospectus, or any sale of a security.</w:t>
      </w:r>
    </w:p>
    <w:p>
      <w:pPr>
        <w:spacing w:after="0" w:line="123"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9" w:lineRule="exact"/>
        <w:rPr>
          <w:sz w:val="20"/>
          <w:szCs w:val="20"/>
          <w:color w:val="auto"/>
        </w:rPr>
      </w:pPr>
    </w:p>
    <w:p>
      <w:pPr>
        <w:ind w:left="1260" w:right="779" w:firstLine="360"/>
        <w:spacing w:after="0"/>
        <w:rPr>
          <w:sz w:val="20"/>
          <w:szCs w:val="20"/>
          <w:color w:val="auto"/>
        </w:rPr>
      </w:pPr>
      <w:r>
        <w:rPr>
          <w:rFonts w:ascii="Arial" w:cs="Arial" w:eastAsia="Arial" w:hAnsi="Arial"/>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38" w:lineRule="auto"/>
        <w:rPr>
          <w:sz w:val="20"/>
          <w:szCs w:val="20"/>
          <w:color w:val="auto"/>
        </w:rPr>
      </w:pPr>
      <w:r>
        <w:rPr>
          <w:rFonts w:ascii="Arial" w:cs="Arial" w:eastAsia="Arial" w:hAnsi="Arial"/>
          <w:sz w:val="18"/>
          <w:szCs w:val="18"/>
          <w:color w:val="auto"/>
        </w:rPr>
        <w:t>documents referred to herein have been filed, will be filed or will be incorporated by reference as exhibits to the registration statement of which this prospectus supplement and the accompanying prospectus are a part, and you may obtain copies of those documents as described below under the heading “Where You Can Find More Information”.</w:t>
      </w:r>
    </w:p>
    <w:p>
      <w:pPr>
        <w:spacing w:after="0" w:line="106" w:lineRule="exact"/>
        <w:rPr>
          <w:sz w:val="20"/>
          <w:szCs w:val="20"/>
          <w:color w:val="auto"/>
        </w:rPr>
      </w:pPr>
    </w:p>
    <w:p>
      <w:pPr>
        <w:ind w:left="1260" w:right="1059" w:firstLine="360"/>
        <w:spacing w:after="0" w:line="245"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17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135"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55"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27" w:lineRule="exact"/>
        <w:rPr>
          <w:sz w:val="20"/>
          <w:szCs w:val="20"/>
          <w:color w:val="auto"/>
        </w:rPr>
      </w:pPr>
    </w:p>
    <w:p>
      <w:pPr>
        <w:ind w:left="1620" w:right="939" w:hanging="358"/>
        <w:spacing w:after="0" w:line="261" w:lineRule="auto"/>
        <w:tabs>
          <w:tab w:leader="none" w:pos="1620" w:val="left"/>
        </w:tabs>
        <w:numPr>
          <w:ilvl w:val="0"/>
          <w:numId w:val="2"/>
        </w:numPr>
        <w:rPr>
          <w:rFonts w:ascii="Arial" w:cs="Arial" w:eastAsia="Arial" w:hAnsi="Arial"/>
          <w:sz w:val="18"/>
          <w:szCs w:val="18"/>
          <w:color w:val="0000EE"/>
        </w:rPr>
      </w:pPr>
      <w:hyperlink r:id="rId16">
        <w:r>
          <w:rPr>
            <w:rFonts w:ascii="Arial" w:cs="Arial" w:eastAsia="Arial" w:hAnsi="Arial"/>
            <w:sz w:val="18"/>
            <w:szCs w:val="18"/>
            <w:u w:val="single" w:color="auto"/>
            <w:color w:val="0000EE"/>
          </w:rPr>
          <w:t>Annual Report on Form 10-K for the fiscal year ended December 31,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which was filed with</w:t>
      </w:r>
      <w:r>
        <w:rPr>
          <w:rFonts w:ascii="Arial" w:cs="Arial" w:eastAsia="Arial" w:hAnsi="Arial"/>
          <w:sz w:val="18"/>
          <w:szCs w:val="18"/>
          <w:color w:val="0000EE"/>
        </w:rPr>
        <w:t xml:space="preserve"> </w:t>
      </w:r>
      <w:r>
        <w:rPr>
          <w:rFonts w:ascii="Arial" w:cs="Arial" w:eastAsia="Arial" w:hAnsi="Arial"/>
          <w:sz w:val="18"/>
          <w:szCs w:val="18"/>
          <w:color w:val="000000"/>
        </w:rPr>
        <w:t>the SEC on February 13, 2020;</w:t>
      </w:r>
    </w:p>
    <w:p>
      <w:pPr>
        <w:spacing w:after="0" w:line="8" w:lineRule="exact"/>
        <w:rPr>
          <w:rFonts w:ascii="Arial" w:cs="Arial" w:eastAsia="Arial" w:hAnsi="Arial"/>
          <w:sz w:val="18"/>
          <w:szCs w:val="18"/>
          <w:color w:val="0000EE"/>
        </w:rPr>
      </w:pPr>
    </w:p>
    <w:p>
      <w:pPr>
        <w:ind w:left="1620" w:right="679" w:hanging="358"/>
        <w:spacing w:after="0" w:line="254" w:lineRule="auto"/>
        <w:tabs>
          <w:tab w:leader="none" w:pos="1620" w:val="left"/>
        </w:tabs>
        <w:numPr>
          <w:ilvl w:val="0"/>
          <w:numId w:val="2"/>
        </w:numPr>
        <w:rPr>
          <w:rFonts w:ascii="Arial" w:cs="Arial" w:eastAsia="Arial" w:hAnsi="Arial"/>
          <w:sz w:val="18"/>
          <w:szCs w:val="18"/>
          <w:color w:val="0000EE"/>
        </w:rPr>
      </w:pPr>
      <w:hyperlink r:id="rId16">
        <w:r>
          <w:rPr>
            <w:rFonts w:ascii="Arial" w:cs="Arial" w:eastAsia="Arial" w:hAnsi="Arial"/>
            <w:sz w:val="18"/>
            <w:szCs w:val="18"/>
            <w:u w:val="single" w:color="auto"/>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u w:val="single" w:color="auto"/>
          <w:color w:val="auto"/>
        </w:rPr>
        <w:t xml:space="preserve"> </w:t>
      </w:r>
      <w:hyperlink r:id="rId17">
        <w:r>
          <w:rPr>
            <w:rFonts w:ascii="Arial" w:cs="Arial" w:eastAsia="Arial" w:hAnsi="Arial"/>
            <w:sz w:val="18"/>
            <w:szCs w:val="18"/>
            <w:u w:val="single" w:color="auto"/>
            <w:color w:val="0000EE"/>
          </w:rPr>
          <w:t xml:space="preserve">fiscal year ended December 31, 2019 </w:t>
        </w:r>
        <w:r>
          <w:rPr>
            <w:rFonts w:ascii="Arial" w:cs="Arial" w:eastAsia="Arial" w:hAnsi="Arial"/>
            <w:sz w:val="18"/>
            <w:szCs w:val="18"/>
            <w:u w:val="single" w:color="auto"/>
            <w:color w:val="000000"/>
          </w:rPr>
          <w:t>from our</w:t>
        </w:r>
        <w:r>
          <w:rPr>
            <w:rFonts w:ascii="Arial" w:cs="Arial" w:eastAsia="Arial" w:hAnsi="Arial"/>
            <w:sz w:val="18"/>
            <w:szCs w:val="18"/>
            <w:u w:val="single" w:color="auto"/>
            <w:color w:val="0000EE"/>
          </w:rPr>
          <w:t xml:space="preserve"> definitive proxy statement (other than information</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furnished rather than filed) for the 2020 Annual Meeting of Stockholders, which was filed with the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SEC on April 29, 2020</w:t>
        </w:r>
        <w:r>
          <w:rPr>
            <w:rFonts w:ascii="Arial" w:cs="Arial" w:eastAsia="Arial" w:hAnsi="Arial"/>
            <w:sz w:val="18"/>
            <w:szCs w:val="18"/>
            <w:color w:val="000000"/>
          </w:rPr>
          <w:t>;</w:t>
        </w:r>
      </w:hyperlink>
    </w:p>
    <w:p>
      <w:pPr>
        <w:spacing w:after="0" w:line="28" w:lineRule="exact"/>
        <w:rPr>
          <w:rFonts w:ascii="Arial" w:cs="Arial" w:eastAsia="Arial" w:hAnsi="Arial"/>
          <w:sz w:val="18"/>
          <w:szCs w:val="18"/>
          <w:color w:val="0000EE"/>
        </w:rPr>
      </w:pPr>
    </w:p>
    <w:p>
      <w:pPr>
        <w:ind w:left="1620" w:right="979" w:hanging="358"/>
        <w:spacing w:after="0" w:line="261"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Reports on Form 10-Q filed with the SEC for the quarters ended March 31, 2020 and June 30, 2020, filed with the SEC on </w:t>
      </w:r>
      <w:hyperlink r:id="rId18">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July 30, 2020</w:t>
        </w:r>
      </w:hyperlink>
      <w:r>
        <w:rPr>
          <w:rFonts w:ascii="Arial" w:cs="Arial" w:eastAsia="Arial" w:hAnsi="Arial"/>
          <w:sz w:val="18"/>
          <w:szCs w:val="18"/>
          <w:color w:val="auto"/>
        </w:rPr>
        <w:t>, respectively;</w:t>
      </w:r>
    </w:p>
    <w:p>
      <w:pPr>
        <w:spacing w:after="0" w:line="8" w:lineRule="exact"/>
        <w:rPr>
          <w:rFonts w:ascii="Arial" w:cs="Arial" w:eastAsia="Arial" w:hAnsi="Arial"/>
          <w:sz w:val="18"/>
          <w:szCs w:val="18"/>
          <w:color w:val="auto"/>
        </w:rPr>
      </w:pPr>
    </w:p>
    <w:p>
      <w:pPr>
        <w:ind w:left="1620" w:right="679" w:hanging="358"/>
        <w:spacing w:after="0" w:line="252" w:lineRule="auto"/>
        <w:tabs>
          <w:tab w:leader="none" w:pos="162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20">
        <w:r>
          <w:rPr>
            <w:rFonts w:ascii="Arial" w:cs="Arial" w:eastAsia="Arial" w:hAnsi="Arial"/>
            <w:sz w:val="18"/>
            <w:szCs w:val="18"/>
            <w:u w:val="single" w:color="auto"/>
            <w:color w:val="0000EE"/>
          </w:rPr>
          <w:t>January 8, 2020</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January 9, 2020</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to Item 8.01 and the information included in Exhibit 99.2), </w:t>
      </w:r>
      <w:hyperlink r:id="rId23">
        <w:r>
          <w:rPr>
            <w:rFonts w:ascii="Arial" w:cs="Arial" w:eastAsia="Arial" w:hAnsi="Arial"/>
            <w:sz w:val="18"/>
            <w:szCs w:val="18"/>
            <w:u w:val="single" w:color="auto"/>
            <w:color w:val="0000EE"/>
          </w:rPr>
          <w:t>January 21,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to Item 8.01), </w:t>
      </w:r>
      <w:hyperlink r:id="rId24">
        <w:r>
          <w:rPr>
            <w:rFonts w:ascii="Arial" w:cs="Arial" w:eastAsia="Arial" w:hAnsi="Arial"/>
            <w:sz w:val="18"/>
            <w:szCs w:val="18"/>
            <w:u w:val="single" w:color="auto"/>
            <w:color w:val="0000EE"/>
          </w:rPr>
          <w:t>January 23, 2020</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February 6, 2020</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March 16,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to Item 8.01 and the information included in Exhibit 99.2), </w:t>
      </w:r>
      <w:hyperlink r:id="rId27">
        <w:r>
          <w:rPr>
            <w:rFonts w:ascii="Arial" w:cs="Arial" w:eastAsia="Arial" w:hAnsi="Arial"/>
            <w:sz w:val="18"/>
            <w:szCs w:val="18"/>
            <w:u w:val="single" w:color="auto"/>
            <w:color w:val="0000EE"/>
          </w:rPr>
          <w:t>April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respect </w:t>
      </w:r>
      <w:hyperlink r:id="rId28">
        <w:r>
          <w:rPr>
            <w:rFonts w:ascii="Arial" w:cs="Arial" w:eastAsia="Arial" w:hAnsi="Arial"/>
            <w:sz w:val="18"/>
            <w:szCs w:val="18"/>
            <w:color w:val="auto"/>
          </w:rPr>
          <w:t xml:space="preserve">to Item 8.01 and the information included in Exhibit 99.2), </w:t>
        </w:r>
        <w:r>
          <w:rPr>
            <w:rFonts w:ascii="Arial" w:cs="Arial" w:eastAsia="Arial" w:hAnsi="Arial"/>
            <w:sz w:val="18"/>
            <w:szCs w:val="18"/>
            <w:u w:val="single" w:color="auto"/>
            <w:color w:val="0000EE"/>
          </w:rPr>
          <w:t>April 28,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ectPr>
          <w:pgSz w:w="11900" w:h="16838" w:orient="portrait"/>
          <w:cols w:equalWidth="0" w:num="1">
            <w:col w:w="10139"/>
          </w:cols>
          <w:pgMar w:left="320" w:top="131" w:right="1440" w:bottom="1440" w:gutter="0" w:footer="0" w:header="0"/>
        </w:sectPr>
      </w:pPr>
    </w:p>
    <w:p>
      <w:pPr>
        <w:spacing w:after="0" w:line="383"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7"/>
          <w:szCs w:val="17"/>
          <w:color w:val="auto"/>
        </w:rPr>
        <w:t>S-2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879"/>
        <w:spacing w:after="0" w:line="256" w:lineRule="auto"/>
        <w:rPr>
          <w:rFonts w:ascii="Arial" w:cs="Arial" w:eastAsia="Arial" w:hAnsi="Arial"/>
          <w:sz w:val="18"/>
          <w:szCs w:val="18"/>
          <w:color w:val="000000"/>
        </w:rPr>
      </w:pPr>
      <w:hyperlink r:id="rId30">
        <w:r>
          <w:rPr>
            <w:rFonts w:ascii="Arial" w:cs="Arial" w:eastAsia="Arial" w:hAnsi="Arial"/>
            <w:sz w:val="18"/>
            <w:szCs w:val="18"/>
            <w:u w:val="single" w:color="auto"/>
            <w:color w:val="0000EE"/>
          </w:rPr>
          <w:t>May 29,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Item 8.01 and the information included in Exhibit 99.2),</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June 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June 26,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July 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July 14, 2020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Items 1.01, 3.02</w:t>
      </w:r>
      <w:r>
        <w:rPr>
          <w:rFonts w:ascii="Arial" w:cs="Arial" w:eastAsia="Arial" w:hAnsi="Arial"/>
          <w:sz w:val="18"/>
          <w:szCs w:val="18"/>
          <w:color w:val="0000EE"/>
        </w:rPr>
        <w:t xml:space="preserve"> </w:t>
      </w:r>
      <w:r>
        <w:rPr>
          <w:rFonts w:ascii="Arial" w:cs="Arial" w:eastAsia="Arial" w:hAnsi="Arial"/>
          <w:sz w:val="18"/>
          <w:szCs w:val="18"/>
          <w:color w:val="000000"/>
        </w:rPr>
        <w:t xml:space="preserve">and 8.01) and </w:t>
      </w:r>
      <w:hyperlink r:id="rId35">
        <w:r>
          <w:rPr>
            <w:rFonts w:ascii="Arial" w:cs="Arial" w:eastAsia="Arial" w:hAnsi="Arial"/>
            <w:sz w:val="18"/>
            <w:szCs w:val="18"/>
            <w:u w:val="single" w:color="auto"/>
            <w:color w:val="0000EE"/>
          </w:rPr>
          <w:t>July 24, 2020</w:t>
        </w:r>
      </w:hyperlink>
      <w:r>
        <w:rPr>
          <w:rFonts w:ascii="Arial" w:cs="Arial" w:eastAsia="Arial" w:hAnsi="Arial"/>
          <w:sz w:val="18"/>
          <w:szCs w:val="18"/>
          <w:color w:val="000000"/>
        </w:rPr>
        <w:t>; and</w:t>
      </w:r>
    </w:p>
    <w:p>
      <w:pPr>
        <w:spacing w:after="0" w:line="13" w:lineRule="exact"/>
        <w:rPr>
          <w:rFonts w:ascii="Arial" w:cs="Arial" w:eastAsia="Arial" w:hAnsi="Arial"/>
          <w:sz w:val="18"/>
          <w:szCs w:val="18"/>
          <w:color w:val="0000EE"/>
        </w:rPr>
      </w:pPr>
    </w:p>
    <w:p>
      <w:pPr>
        <w:ind w:left="1620" w:right="679" w:hanging="358"/>
        <w:spacing w:after="0" w:line="256" w:lineRule="auto"/>
        <w:tabs>
          <w:tab w:leader="none" w:pos="1620" w:val="left"/>
        </w:tabs>
        <w:numPr>
          <w:ilvl w:val="0"/>
          <w:numId w:val="3"/>
        </w:numPr>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The description of our common stock contained in our Registration Statement on Form 8-A filed on</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April 27, 2015, including any amendments or reports filed for the purpose of updating such</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description.</w:t>
        </w:r>
      </w:hyperlink>
    </w:p>
    <w:p>
      <w:pPr>
        <w:spacing w:after="0" w:line="134" w:lineRule="exact"/>
        <w:rPr>
          <w:rFonts w:ascii="Arial" w:cs="Arial" w:eastAsia="Arial" w:hAnsi="Arial"/>
          <w:sz w:val="18"/>
          <w:szCs w:val="18"/>
          <w:u w:val="single" w:color="auto"/>
          <w:color w:val="0000EE"/>
        </w:rPr>
      </w:pPr>
    </w:p>
    <w:p>
      <w:pPr>
        <w:ind w:left="1260" w:right="919"/>
        <w:spacing w:after="0" w:line="261" w:lineRule="auto"/>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130"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Blueprint Medicines Corporation</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45 Sidney Street</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Phone: (617) 714-6674</w:t>
      </w:r>
    </w:p>
    <w:p>
      <w:pPr>
        <w:spacing w:after="0" w:line="9" w:lineRule="exact"/>
        <w:rPr>
          <w:rFonts w:ascii="Arial" w:cs="Arial" w:eastAsia="Arial" w:hAnsi="Arial"/>
          <w:sz w:val="18"/>
          <w:szCs w:val="18"/>
          <w:u w:val="single" w:color="auto"/>
          <w:color w:val="0000EE"/>
        </w:rPr>
      </w:pPr>
    </w:p>
    <w:p>
      <w:pPr>
        <w:jc w:val="center"/>
        <w:ind w:right="-580"/>
        <w:spacing w:after="0"/>
        <w:rPr>
          <w:sz w:val="20"/>
          <w:szCs w:val="20"/>
          <w:color w:val="auto"/>
        </w:rPr>
      </w:pPr>
      <w:r>
        <w:rPr>
          <w:rFonts w:ascii="Arial" w:cs="Arial" w:eastAsia="Arial" w:hAnsi="Arial"/>
          <w:sz w:val="18"/>
          <w:szCs w:val="18"/>
          <w:color w:val="auto"/>
        </w:rPr>
        <w:t>E-mail: ir@blueprintmedicines.com</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1" w:lineRule="exact"/>
        <w:rPr>
          <w:rFonts w:ascii="Arial" w:cs="Arial" w:eastAsia="Arial" w:hAnsi="Arial"/>
          <w:sz w:val="18"/>
          <w:szCs w:val="18"/>
          <w:u w:val="single" w:color="auto"/>
          <w:color w:val="0000EE"/>
        </w:rPr>
      </w:pPr>
    </w:p>
    <w:p>
      <w:pPr>
        <w:ind w:left="5220"/>
        <w:spacing w:after="0"/>
        <w:rPr>
          <w:sz w:val="20"/>
          <w:szCs w:val="20"/>
          <w:color w:val="auto"/>
        </w:rPr>
      </w:pPr>
      <w:r>
        <w:rPr>
          <w:rFonts w:ascii="Arial" w:cs="Arial" w:eastAsia="Arial" w:hAnsi="Arial"/>
          <w:sz w:val="18"/>
          <w:szCs w:val="18"/>
          <w:color w:val="auto"/>
        </w:rPr>
        <w:t>S-3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55"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17" w:lineRule="exact"/>
        <w:rPr>
          <w:sz w:val="20"/>
          <w:szCs w:val="20"/>
          <w:color w:val="auto"/>
        </w:rPr>
      </w:pPr>
    </w:p>
    <w:p>
      <w:pPr>
        <w:ind w:left="1620" w:hanging="35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any net proceeds from this offering;</w:t>
      </w:r>
    </w:p>
    <w:p>
      <w:pPr>
        <w:spacing w:after="0" w:line="36" w:lineRule="exact"/>
        <w:rPr>
          <w:rFonts w:ascii="Arial" w:cs="Arial" w:eastAsia="Arial" w:hAnsi="Arial"/>
          <w:sz w:val="18"/>
          <w:szCs w:val="18"/>
          <w:color w:val="auto"/>
        </w:rPr>
      </w:pPr>
    </w:p>
    <w:p>
      <w:pPr>
        <w:ind w:left="1620" w:right="739" w:hanging="358"/>
        <w:spacing w:after="0" w:line="278"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or likelihood of regulatory actions, filings and approvals for our current and future drug candidates, including our ability to obtain marketing approval for avapritinib for additional indications or in additional geographies and our ability to obtain marketing approval for pralsetinib;</w:t>
      </w:r>
    </w:p>
    <w:p>
      <w:pPr>
        <w:spacing w:after="0" w:line="9" w:lineRule="exact"/>
        <w:rPr>
          <w:rFonts w:ascii="Arial" w:cs="Arial" w:eastAsia="Arial" w:hAnsi="Arial"/>
          <w:sz w:val="17"/>
          <w:szCs w:val="17"/>
          <w:color w:val="auto"/>
        </w:rPr>
      </w:pPr>
    </w:p>
    <w:p>
      <w:pPr>
        <w:ind w:left="1620" w:right="1179" w:hanging="358"/>
        <w:spacing w:after="0" w:line="25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and any current and future drug candidates for which we receive marketing approval;</w:t>
      </w:r>
    </w:p>
    <w:p>
      <w:pPr>
        <w:spacing w:after="0" w:line="12" w:lineRule="exact"/>
        <w:rPr>
          <w:rFonts w:ascii="Arial" w:cs="Arial" w:eastAsia="Arial" w:hAnsi="Arial"/>
          <w:sz w:val="18"/>
          <w:szCs w:val="18"/>
          <w:color w:val="auto"/>
        </w:rPr>
      </w:pPr>
    </w:p>
    <w:p>
      <w:pPr>
        <w:ind w:left="1620" w:right="69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 and any current and future drug candidates for which we receive marketing approval;</w:t>
      </w:r>
    </w:p>
    <w:p>
      <w:pPr>
        <w:spacing w:after="0" w:line="22" w:lineRule="exact"/>
        <w:rPr>
          <w:rFonts w:ascii="Arial" w:cs="Arial" w:eastAsia="Arial" w:hAnsi="Arial"/>
          <w:sz w:val="18"/>
          <w:szCs w:val="18"/>
          <w:color w:val="auto"/>
        </w:rPr>
      </w:pPr>
    </w:p>
    <w:p>
      <w:pPr>
        <w:ind w:left="1620" w:right="83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AYVAKIT and any current and future drug candidates for which we receive marketing approval;</w:t>
      </w:r>
    </w:p>
    <w:p>
      <w:pPr>
        <w:spacing w:after="0" w:line="8" w:lineRule="exact"/>
        <w:rPr>
          <w:rFonts w:ascii="Arial" w:cs="Arial" w:eastAsia="Arial" w:hAnsi="Arial"/>
          <w:sz w:val="18"/>
          <w:szCs w:val="18"/>
          <w:color w:val="auto"/>
        </w:rPr>
      </w:pPr>
    </w:p>
    <w:p>
      <w:pPr>
        <w:ind w:left="1620" w:right="719" w:hanging="358"/>
        <w:spacing w:after="0" w:line="25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fisogatinib, BLU-263, and our research and development programs;</w:t>
      </w:r>
    </w:p>
    <w:p>
      <w:pPr>
        <w:spacing w:after="0" w:line="12" w:lineRule="exact"/>
        <w:rPr>
          <w:rFonts w:ascii="Arial" w:cs="Arial" w:eastAsia="Arial" w:hAnsi="Arial"/>
          <w:sz w:val="18"/>
          <w:szCs w:val="18"/>
          <w:color w:val="auto"/>
        </w:rPr>
      </w:pPr>
    </w:p>
    <w:p>
      <w:pPr>
        <w:ind w:left="1620" w:hanging="35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49" w:lineRule="exact"/>
        <w:rPr>
          <w:rFonts w:ascii="Arial" w:cs="Arial" w:eastAsia="Arial" w:hAnsi="Arial"/>
          <w:sz w:val="18"/>
          <w:szCs w:val="18"/>
          <w:color w:val="auto"/>
        </w:rPr>
      </w:pPr>
    </w:p>
    <w:p>
      <w:pPr>
        <w:ind w:left="1620" w:right="759" w:hanging="358"/>
        <w:spacing w:after="0" w:line="254"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actual or potential benefits of designations granted by the U.S. Food and Drug Administration, or FDA, such as orphan drug, fast track and breakthrough therapy designation or priority review, and the review of current or future NDA’s under the FDA’s Oncology Center of Excellence Real-Time Oncology Review pilot program or the FDA’s Project Orbis initiative;</w:t>
      </w:r>
    </w:p>
    <w:p>
      <w:pPr>
        <w:spacing w:after="0" w:line="14" w:lineRule="exact"/>
        <w:rPr>
          <w:rFonts w:ascii="Arial" w:cs="Arial" w:eastAsia="Arial" w:hAnsi="Arial"/>
          <w:sz w:val="18"/>
          <w:szCs w:val="18"/>
          <w:color w:val="auto"/>
        </w:rPr>
      </w:pPr>
    </w:p>
    <w:p>
      <w:pPr>
        <w:ind w:left="1620" w:right="1099" w:hanging="358"/>
        <w:spacing w:after="0" w:line="25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AYVAKIT and any current and future drug candidates and secure manufacturing, packaging and labeling arrangements for development activities and commercial production;</w:t>
      </w:r>
    </w:p>
    <w:p>
      <w:pPr>
        <w:spacing w:after="0" w:line="12" w:lineRule="exact"/>
        <w:rPr>
          <w:rFonts w:ascii="Arial" w:cs="Arial" w:eastAsia="Arial" w:hAnsi="Arial"/>
          <w:sz w:val="18"/>
          <w:szCs w:val="18"/>
          <w:color w:val="auto"/>
        </w:rPr>
      </w:pPr>
    </w:p>
    <w:p>
      <w:pPr>
        <w:ind w:left="1620" w:right="107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and drug candidates and technology;</w:t>
      </w:r>
    </w:p>
    <w:p>
      <w:pPr>
        <w:spacing w:after="0" w:line="22" w:lineRule="exact"/>
        <w:rPr>
          <w:rFonts w:ascii="Arial" w:cs="Arial" w:eastAsia="Arial" w:hAnsi="Arial"/>
          <w:sz w:val="18"/>
          <w:szCs w:val="18"/>
          <w:color w:val="auto"/>
        </w:rPr>
      </w:pPr>
    </w:p>
    <w:p>
      <w:pPr>
        <w:ind w:left="1620" w:right="131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AYVAKIT, our current and future drug candidates and technology;</w:t>
      </w:r>
    </w:p>
    <w:p>
      <w:pPr>
        <w:spacing w:after="0" w:line="8" w:lineRule="exact"/>
        <w:rPr>
          <w:rFonts w:ascii="Arial" w:cs="Arial" w:eastAsia="Arial" w:hAnsi="Arial"/>
          <w:sz w:val="18"/>
          <w:szCs w:val="18"/>
          <w:color w:val="auto"/>
        </w:rPr>
      </w:pPr>
    </w:p>
    <w:p>
      <w:pPr>
        <w:ind w:left="1620" w:right="879" w:hanging="358"/>
        <w:spacing w:after="0" w:line="252"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cancer immunotherapy collaboration with F. Hoffmann-La Roche Ltd and Hoffmann-La Roche Inc., our collaboration with F. Hoffmann-La Roche Ltd and Genentech, Inc. to development and commercialize pralsetinib globally (excluding Greater China), and our collaboration with CStone Pharmaceuticals to develop and commercialize avapritinib, pralsetinib and fisogatinib in Greater China, as well as our ability to maintain these collaborations and establish other strategic collaborations;</w:t>
      </w:r>
    </w:p>
    <w:p>
      <w:pPr>
        <w:spacing w:after="0" w:line="32" w:lineRule="exact"/>
        <w:rPr>
          <w:rFonts w:ascii="Arial" w:cs="Arial" w:eastAsia="Arial" w:hAnsi="Arial"/>
          <w:sz w:val="18"/>
          <w:szCs w:val="18"/>
          <w:color w:val="auto"/>
        </w:rPr>
      </w:pPr>
    </w:p>
    <w:p>
      <w:pPr>
        <w:ind w:left="1620" w:right="83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 to develop and commercialize BLU-782 for fibrodysplasia ossificans progressiva;</w:t>
      </w:r>
    </w:p>
    <w:p>
      <w:pPr>
        <w:spacing w:after="0" w:line="8" w:lineRule="exact"/>
        <w:rPr>
          <w:rFonts w:ascii="Arial" w:cs="Arial" w:eastAsia="Arial" w:hAnsi="Arial"/>
          <w:sz w:val="18"/>
          <w:szCs w:val="18"/>
          <w:color w:val="auto"/>
        </w:rPr>
      </w:pPr>
    </w:p>
    <w:p>
      <w:pPr>
        <w:ind w:left="1620" w:right="839" w:hanging="358"/>
        <w:spacing w:after="0" w:line="281"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a companion diagnostic test for AYVAKIT to identify patients with a PDGFRA D842V mutation or companion diagnostic tests for our current or future drug candidates;</w:t>
      </w:r>
    </w:p>
    <w:p>
      <w:pPr>
        <w:spacing w:after="0" w:line="1" w:lineRule="exact"/>
        <w:rPr>
          <w:rFonts w:ascii="Arial" w:cs="Arial" w:eastAsia="Arial" w:hAnsi="Arial"/>
          <w:sz w:val="17"/>
          <w:szCs w:val="17"/>
          <w:color w:val="auto"/>
        </w:rPr>
      </w:pPr>
    </w:p>
    <w:p>
      <w:pPr>
        <w:jc w:val="both"/>
        <w:ind w:left="1620" w:right="85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estimates of our expenses, future revenues, capital requirements and our needs for future financing, including our ability to achieve a self-sustainable financial profile;</w:t>
      </w:r>
    </w:p>
    <w:p>
      <w:pPr>
        <w:spacing w:after="0" w:line="22" w:lineRule="exact"/>
        <w:rPr>
          <w:rFonts w:ascii="Arial" w:cs="Arial" w:eastAsia="Arial" w:hAnsi="Arial"/>
          <w:sz w:val="18"/>
          <w:szCs w:val="18"/>
          <w:color w:val="auto"/>
        </w:rPr>
      </w:pPr>
    </w:p>
    <w:p>
      <w:pPr>
        <w:ind w:left="1620" w:hanging="35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36" w:lineRule="exact"/>
        <w:rPr>
          <w:rFonts w:ascii="Arial" w:cs="Arial" w:eastAsia="Arial" w:hAnsi="Arial"/>
          <w:sz w:val="18"/>
          <w:szCs w:val="18"/>
          <w:color w:val="auto"/>
        </w:rPr>
      </w:pPr>
    </w:p>
    <w:p>
      <w:pPr>
        <w:ind w:left="1620" w:right="739" w:hanging="358"/>
        <w:spacing w:after="0" w:line="26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and scope of the COVID-19 pandemic on our business, operations, strategy, goals and anticipated milestones, including our ongoing and planned research and discovery activities,</w:t>
      </w:r>
    </w:p>
    <w:p>
      <w:pPr>
        <w:sectPr>
          <w:pgSz w:w="11900" w:h="16838" w:orient="portrait"/>
          <w:cols w:equalWidth="0" w:num="1">
            <w:col w:w="10139"/>
          </w:cols>
          <w:pgMar w:left="320" w:top="131"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line="254" w:lineRule="auto"/>
        <w:rPr>
          <w:sz w:val="20"/>
          <w:szCs w:val="20"/>
          <w:color w:val="auto"/>
        </w:rPr>
      </w:pPr>
      <w:r>
        <w:rPr>
          <w:rFonts w:ascii="Arial" w:cs="Arial" w:eastAsia="Arial" w:hAnsi="Arial"/>
          <w:sz w:val="18"/>
          <w:szCs w:val="18"/>
          <w:color w:val="auto"/>
        </w:rPr>
        <w:t>ability to conduct ongoing and planned clinical trials, clinical supply of current or future drug candidates, commercial supply of AYVAKIT and any current or future drug candidates for which we receive marketing approval, and the launch, marketing and sale of AYVAKIT and any current and future drug candidates for which we receive marketing approval.</w:t>
      </w:r>
    </w:p>
    <w:p>
      <w:pPr>
        <w:spacing w:after="0" w:line="123" w:lineRule="exact"/>
        <w:rPr>
          <w:sz w:val="20"/>
          <w:szCs w:val="20"/>
          <w:color w:val="auto"/>
        </w:rPr>
      </w:pPr>
    </w:p>
    <w:p>
      <w:pPr>
        <w:ind w:left="1260" w:right="679" w:firstLine="360"/>
        <w:spacing w:after="0" w:line="251" w:lineRule="auto"/>
        <w:rPr>
          <w:rFonts w:ascii="Arial" w:cs="Arial" w:eastAsia="Arial" w:hAnsi="Arial"/>
          <w:sz w:val="18"/>
          <w:szCs w:val="18"/>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beginning on page S-</w:t>
      </w:r>
      <w:hyperlink w:anchor="page11">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on page 43 of our Annual Report on Form 10-K for the fiscal year ended December 31, 2019, as filed with the SEC on February 13, 2020,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143"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25"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PROSPECTUS SUPPLEMENT SUMMARY</w:t>
      </w:r>
    </w:p>
    <w:p>
      <w:pPr>
        <w:spacing w:after="0" w:line="337" w:lineRule="exact"/>
        <w:rPr>
          <w:sz w:val="20"/>
          <w:szCs w:val="20"/>
          <w:color w:val="auto"/>
        </w:rPr>
      </w:pPr>
    </w:p>
    <w:p>
      <w:pPr>
        <w:ind w:left="1280" w:right="719" w:firstLine="360"/>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including the information incorporated by reference in this prospectus supplement, and the information included in the accompanying prospectus or any free writing prospectus that we have authorized for use in connection with this offering, including the information under the heading “Risk Factors” in this prospectus supplement on page </w:t>
      </w:r>
      <w:hyperlink w:anchor="page11">
        <w:r>
          <w:rPr>
            <w:rFonts w:ascii="Arial" w:cs="Arial" w:eastAsia="Arial" w:hAnsi="Arial"/>
            <w:sz w:val="18"/>
            <w:szCs w:val="18"/>
            <w:i w:val="1"/>
            <w:iCs w:val="1"/>
            <w:u w:val="single" w:color="auto"/>
            <w:color w:val="0000EE"/>
          </w:rPr>
          <w:t>S-8</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and in the documents incorporated by reference into this prospectus supplement.</w:t>
      </w:r>
    </w:p>
    <w:p>
      <w:pPr>
        <w:spacing w:after="0" w:line="18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left="1280" w:right="659" w:firstLine="360"/>
        <w:spacing w:after="0" w:line="252"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38" w:lineRule="exact"/>
        <w:rPr>
          <w:sz w:val="20"/>
          <w:szCs w:val="20"/>
          <w:color w:val="auto"/>
        </w:rPr>
      </w:pPr>
    </w:p>
    <w:p>
      <w:pPr>
        <w:ind w:left="1280" w:right="779" w:firstLine="360"/>
        <w:spacing w:after="0" w:line="254" w:lineRule="auto"/>
        <w:rPr>
          <w:sz w:val="20"/>
          <w:szCs w:val="20"/>
          <w:color w:val="auto"/>
        </w:rPr>
      </w:pPr>
      <w:r>
        <w:rPr>
          <w:rFonts w:ascii="Arial" w:cs="Arial" w:eastAsia="Arial" w:hAnsi="Arial"/>
          <w:sz w:val="18"/>
          <w:szCs w:val="18"/>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w:t>
      </w:r>
    </w:p>
    <w:p>
      <w:pPr>
        <w:spacing w:after="0" w:line="18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COMPANY INFORMATION</w:t>
      </w:r>
    </w:p>
    <w:p>
      <w:pPr>
        <w:spacing w:after="0" w:line="139" w:lineRule="exact"/>
        <w:rPr>
          <w:sz w:val="20"/>
          <w:szCs w:val="20"/>
          <w:color w:val="auto"/>
        </w:rPr>
      </w:pPr>
    </w:p>
    <w:p>
      <w:pPr>
        <w:ind w:left="1280" w:right="659" w:firstLine="360"/>
        <w:spacing w:after="0" w:line="250"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w:t>
      </w:r>
    </w:p>
    <w:p>
      <w:pPr>
        <w:spacing w:after="0" w:line="1" w:lineRule="exact"/>
        <w:rPr>
          <w:sz w:val="20"/>
          <w:szCs w:val="20"/>
          <w:color w:val="auto"/>
        </w:rPr>
      </w:pPr>
    </w:p>
    <w:p>
      <w:pPr>
        <w:ind w:left="1280" w:right="659"/>
        <w:spacing w:after="0" w:line="253" w:lineRule="auto"/>
        <w:rPr>
          <w:sz w:val="20"/>
          <w:szCs w:val="20"/>
          <w:color w:val="auto"/>
        </w:rPr>
      </w:pPr>
      <w:r>
        <w:rPr>
          <w:rFonts w:ascii="Arial" w:cs="Arial" w:eastAsia="Arial" w:hAnsi="Arial"/>
          <w:sz w:val="18"/>
          <w:szCs w:val="18"/>
          <w:color w:val="auto"/>
        </w:rPr>
        <w:t>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38" w:lineRule="exact"/>
        <w:rPr>
          <w:sz w:val="20"/>
          <w:szCs w:val="20"/>
          <w:color w:val="auto"/>
        </w:rPr>
      </w:pPr>
    </w:p>
    <w:p>
      <w:pPr>
        <w:ind w:left="1280" w:right="659" w:firstLine="360"/>
        <w:spacing w:after="0" w:line="233" w:lineRule="auto"/>
        <w:rPr>
          <w:sz w:val="20"/>
          <w:szCs w:val="20"/>
          <w:color w:val="auto"/>
        </w:rPr>
      </w:pPr>
      <w:r>
        <w:rPr>
          <w:rFonts w:ascii="Arial" w:cs="Arial" w:eastAsia="Arial" w:hAnsi="Arial"/>
          <w:sz w:val="18"/>
          <w:szCs w:val="18"/>
          <w:color w:val="auto"/>
        </w:rPr>
        <w:t xml:space="preserve">The trademarks, trade names and services marks appearing in this prospectus supplement and the accompanying prospectus are the property of their respective owners. Solely for convenience, the trademarks and trade names in this prospectus may be referred to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801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Common stock offered by us  </w:t>
      </w:r>
      <w:r>
        <w:rPr>
          <w:rFonts w:ascii="Arial" w:cs="Arial" w:eastAsia="Arial" w:hAnsi="Arial"/>
          <w:sz w:val="18"/>
          <w:szCs w:val="18"/>
          <w:color w:val="auto"/>
        </w:rPr>
        <w:t>Shares of our common stock having an aggregate offering price of up</w:t>
      </w:r>
    </w:p>
    <w:p>
      <w:pPr>
        <w:spacing w:after="0" w:line="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to $250.0 million.</w:t>
      </w:r>
    </w:p>
    <w:p>
      <w:pPr>
        <w:spacing w:after="0" w:line="9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to be</w:t>
      </w:r>
    </w:p>
    <w:p>
      <w:pPr>
        <w:spacing w:after="0" w:line="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outstanding following this</w:t>
      </w:r>
    </w:p>
    <w:p>
      <w:pPr>
        <w:spacing w:after="0" w:line="9" w:lineRule="exact"/>
        <w:rPr>
          <w:sz w:val="20"/>
          <w:szCs w:val="20"/>
          <w:color w:val="auto"/>
        </w:rPr>
      </w:pPr>
    </w:p>
    <w:p>
      <w:pPr>
        <w:ind w:left="1460"/>
        <w:spacing w:after="0"/>
        <w:tabs>
          <w:tab w:leader="none" w:pos="3860" w:val="left"/>
        </w:tabs>
        <w:rPr>
          <w:sz w:val="20"/>
          <w:szCs w:val="20"/>
          <w:color w:val="auto"/>
        </w:rPr>
      </w:pPr>
      <w:r>
        <w:rPr>
          <w:rFonts w:ascii="Arial" w:cs="Arial" w:eastAsia="Arial" w:hAnsi="Arial"/>
          <w:sz w:val="18"/>
          <w:szCs w:val="18"/>
          <w:b w:val="1"/>
          <w:bCs w:val="1"/>
          <w:color w:val="auto"/>
        </w:rPr>
        <w:t>offering</w:t>
      </w:r>
      <w:r>
        <w:rPr>
          <w:sz w:val="20"/>
          <w:szCs w:val="20"/>
          <w:color w:val="auto"/>
        </w:rPr>
        <w:tab/>
      </w:r>
      <w:r>
        <w:rPr>
          <w:rFonts w:ascii="Arial" w:cs="Arial" w:eastAsia="Arial" w:hAnsi="Arial"/>
          <w:sz w:val="18"/>
          <w:szCs w:val="18"/>
          <w:color w:val="auto"/>
        </w:rPr>
        <w:t>Up to 57,674,331 shares (as more fully described in the notes</w:t>
      </w:r>
    </w:p>
    <w:p>
      <w:pPr>
        <w:spacing w:after="0" w:line="9" w:lineRule="exact"/>
        <w:rPr>
          <w:sz w:val="20"/>
          <w:szCs w:val="20"/>
          <w:color w:val="auto"/>
        </w:rPr>
      </w:pPr>
    </w:p>
    <w:p>
      <w:pPr>
        <w:ind w:left="3880" w:right="659"/>
        <w:spacing w:after="0" w:line="252" w:lineRule="auto"/>
        <w:rPr>
          <w:sz w:val="20"/>
          <w:szCs w:val="20"/>
          <w:color w:val="auto"/>
        </w:rPr>
      </w:pPr>
      <w:r>
        <w:rPr>
          <w:rFonts w:ascii="Arial" w:cs="Arial" w:eastAsia="Arial" w:hAnsi="Arial"/>
          <w:sz w:val="18"/>
          <w:szCs w:val="18"/>
          <w:color w:val="auto"/>
        </w:rPr>
        <w:t>following this table), assuming sales of 3,389,830 shares of our common stock in this offering at an assumed offering price of $73.75 per share, which was the last reported sale price of our common stock on the Nasdaq Global Select Market on July 29, 2020. The actual number of shares issued will vary depending on the sales price under this offering.</w:t>
      </w:r>
    </w:p>
    <w:p>
      <w:pPr>
        <w:spacing w:after="0" w:line="78"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b w:val="1"/>
          <w:bCs w:val="1"/>
          <w:color w:val="auto"/>
        </w:rPr>
        <w:t>Manner of offering</w:t>
      </w:r>
      <w:r>
        <w:rPr>
          <w:sz w:val="20"/>
          <w:szCs w:val="20"/>
          <w:color w:val="auto"/>
        </w:rPr>
        <w:tab/>
      </w:r>
      <w:r>
        <w:rPr>
          <w:rFonts w:ascii="Arial" w:cs="Arial" w:eastAsia="Arial" w:hAnsi="Arial"/>
          <w:sz w:val="18"/>
          <w:szCs w:val="18"/>
          <w:color w:val="auto"/>
        </w:rPr>
        <w:t>“At the market offering” that may be made from time to time on the</w:t>
      </w:r>
    </w:p>
    <w:p>
      <w:pPr>
        <w:spacing w:after="0" w:line="31" w:lineRule="exact"/>
        <w:rPr>
          <w:sz w:val="20"/>
          <w:szCs w:val="20"/>
          <w:color w:val="auto"/>
        </w:rPr>
      </w:pPr>
    </w:p>
    <w:p>
      <w:pPr>
        <w:ind w:left="3880" w:right="799"/>
        <w:spacing w:after="0" w:line="256" w:lineRule="auto"/>
        <w:rPr>
          <w:rFonts w:ascii="Arial" w:cs="Arial" w:eastAsia="Arial" w:hAnsi="Arial"/>
          <w:sz w:val="18"/>
          <w:szCs w:val="18"/>
          <w:color w:val="auto"/>
        </w:rPr>
      </w:pPr>
      <w:r>
        <w:rPr>
          <w:rFonts w:ascii="Arial" w:cs="Arial" w:eastAsia="Arial" w:hAnsi="Arial"/>
          <w:sz w:val="18"/>
          <w:szCs w:val="18"/>
          <w:color w:val="auto"/>
        </w:rPr>
        <w:t>Nasdaq Global Select Market or other existing trading market for our common stock through our sales agent, Cowen. See “Plan of Distribution” on page S-</w:t>
      </w:r>
      <w:hyperlink w:anchor="page17">
        <w:r>
          <w:rPr>
            <w:rFonts w:ascii="Arial" w:cs="Arial" w:eastAsia="Arial" w:hAnsi="Arial"/>
            <w:sz w:val="18"/>
            <w:szCs w:val="18"/>
            <w:u w:val="single" w:color="auto"/>
            <w:color w:val="0000EE"/>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w:t>
      </w:r>
    </w:p>
    <w:p>
      <w:pPr>
        <w:spacing w:after="0" w:line="72"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8"/>
          <w:szCs w:val="18"/>
          <w:color w:val="auto"/>
        </w:rPr>
        <w:t>We intend to use the net proceeds from the sale of securities offered</w:t>
      </w:r>
    </w:p>
    <w:p>
      <w:pPr>
        <w:spacing w:after="0" w:line="31" w:lineRule="exact"/>
        <w:rPr>
          <w:sz w:val="20"/>
          <w:szCs w:val="20"/>
          <w:color w:val="auto"/>
        </w:rPr>
      </w:pPr>
    </w:p>
    <w:p>
      <w:pPr>
        <w:ind w:left="3880" w:right="7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under this prospectus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 See “Use of Proceeds” on page </w:t>
      </w:r>
      <w:hyperlink w:anchor="page14">
        <w:r>
          <w:rPr>
            <w:rFonts w:ascii="Arial" w:cs="Arial" w:eastAsia="Arial" w:hAnsi="Arial"/>
            <w:sz w:val="18"/>
            <w:szCs w:val="18"/>
            <w:u w:val="single" w:color="auto"/>
            <w:color w:val="0000EE"/>
          </w:rPr>
          <w:t>S-11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for additional information.</w:t>
      </w:r>
    </w:p>
    <w:p>
      <w:pPr>
        <w:spacing w:after="0" w:line="7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Investing in our common stock involves risks. See “Risk Factors”</w:t>
      </w:r>
    </w:p>
    <w:p>
      <w:pPr>
        <w:spacing w:after="0" w:line="31" w:lineRule="exact"/>
        <w:rPr>
          <w:sz w:val="20"/>
          <w:szCs w:val="20"/>
          <w:color w:val="auto"/>
        </w:rPr>
      </w:pPr>
    </w:p>
    <w:p>
      <w:pPr>
        <w:ind w:left="3880" w:right="719"/>
        <w:spacing w:after="0" w:line="253" w:lineRule="auto"/>
        <w:rPr>
          <w:rFonts w:ascii="Arial" w:cs="Arial" w:eastAsia="Arial" w:hAnsi="Arial"/>
          <w:sz w:val="18"/>
          <w:szCs w:val="18"/>
          <w:color w:val="auto"/>
        </w:rPr>
      </w:pPr>
      <w:r>
        <w:rPr>
          <w:rFonts w:ascii="Arial" w:cs="Arial" w:eastAsia="Arial" w:hAnsi="Arial"/>
          <w:sz w:val="18"/>
          <w:szCs w:val="18"/>
          <w:color w:val="auto"/>
        </w:rPr>
        <w:t>beginning on page S-</w:t>
      </w:r>
      <w:hyperlink w:anchor="page11">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Nasdaq Global Select Market</w:t>
      </w:r>
    </w:p>
    <w:p>
      <w:pPr>
        <w:spacing w:after="0" w:line="31" w:lineRule="exact"/>
        <w:rPr>
          <w:sz w:val="20"/>
          <w:szCs w:val="20"/>
          <w:color w:val="auto"/>
        </w:rPr>
      </w:pPr>
    </w:p>
    <w:p>
      <w:pPr>
        <w:ind w:left="1460"/>
        <w:spacing w:after="0"/>
        <w:tabs>
          <w:tab w:leader="none" w:pos="3860" w:val="left"/>
        </w:tabs>
        <w:rPr>
          <w:sz w:val="20"/>
          <w:szCs w:val="20"/>
          <w:color w:val="auto"/>
        </w:rPr>
      </w:pPr>
      <w:r>
        <w:rPr>
          <w:rFonts w:ascii="Arial" w:cs="Arial" w:eastAsia="Arial" w:hAnsi="Arial"/>
          <w:sz w:val="18"/>
          <w:szCs w:val="18"/>
          <w:b w:val="1"/>
          <w:bCs w:val="1"/>
          <w:color w:val="auto"/>
        </w:rPr>
        <w:t>symbol</w:t>
      </w:r>
      <w:r>
        <w:rPr>
          <w:sz w:val="20"/>
          <w:szCs w:val="20"/>
          <w:color w:val="auto"/>
        </w:rPr>
        <w:tab/>
      </w:r>
      <w:r>
        <w:rPr>
          <w:rFonts w:ascii="Arial" w:cs="Arial" w:eastAsia="Arial" w:hAnsi="Arial"/>
          <w:sz w:val="18"/>
          <w:szCs w:val="18"/>
          <w:color w:val="auto"/>
        </w:rPr>
        <w:t>“BPMC”</w:t>
      </w:r>
    </w:p>
    <w:p>
      <w:pPr>
        <w:spacing w:after="0" w:line="117" w:lineRule="exact"/>
        <w:rPr>
          <w:sz w:val="20"/>
          <w:szCs w:val="20"/>
          <w:color w:val="auto"/>
        </w:rPr>
      </w:pPr>
    </w:p>
    <w:p>
      <w:pPr>
        <w:ind w:left="1280" w:right="679" w:firstLine="360"/>
        <w:spacing w:after="0" w:line="261"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54,284,501 shares outstanding as of June 30, 2020, and excludes as of that date:</w:t>
      </w:r>
    </w:p>
    <w:p>
      <w:pPr>
        <w:spacing w:after="0" w:line="90" w:lineRule="exact"/>
        <w:rPr>
          <w:sz w:val="20"/>
          <w:szCs w:val="20"/>
          <w:color w:val="auto"/>
        </w:rPr>
      </w:pPr>
    </w:p>
    <w:p>
      <w:pPr>
        <w:ind w:left="2000" w:right="879" w:hanging="360"/>
        <w:spacing w:after="0" w:line="261"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6,660,990 shares of common stock issuable upon the exercise of stock options outstanding as of June 30, 2020, at a weighted average exercise price of $59.37 per share;</w:t>
      </w:r>
    </w:p>
    <w:p>
      <w:pPr>
        <w:spacing w:after="0" w:line="35" w:lineRule="exact"/>
        <w:rPr>
          <w:rFonts w:ascii="Arial" w:cs="Arial" w:eastAsia="Arial" w:hAnsi="Arial"/>
          <w:sz w:val="18"/>
          <w:szCs w:val="18"/>
          <w:color w:val="auto"/>
        </w:rPr>
      </w:pPr>
    </w:p>
    <w:p>
      <w:pPr>
        <w:ind w:left="2000" w:right="1039" w:hanging="360"/>
        <w:spacing w:after="0" w:line="261"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1,151,411 shares of common stock issuable upon the vesting and settlement of restricted stock units outstanding as of June 30, 2020;</w:t>
      </w:r>
    </w:p>
    <w:p>
      <w:pPr>
        <w:spacing w:after="0" w:line="35" w:lineRule="exact"/>
        <w:rPr>
          <w:rFonts w:ascii="Arial" w:cs="Arial" w:eastAsia="Arial" w:hAnsi="Arial"/>
          <w:sz w:val="18"/>
          <w:szCs w:val="18"/>
          <w:color w:val="auto"/>
        </w:rPr>
      </w:pPr>
    </w:p>
    <w:p>
      <w:pPr>
        <w:ind w:left="2000" w:right="699" w:hanging="360"/>
        <w:spacing w:after="0" w:line="254"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2,453,214 shares of common stock reserved for future issuance under our 2015 Stock Option and Incentive Plan, or the 2015 Plan, as of June 30, 2020, plus any future increases in the number of shares of common stock reserved for issuance under the 2015 Plan pursuant to the evergreen provision of the 2015 Plan;</w:t>
      </w:r>
    </w:p>
    <w:p>
      <w:pPr>
        <w:spacing w:after="0" w:line="41" w:lineRule="exact"/>
        <w:rPr>
          <w:rFonts w:ascii="Arial" w:cs="Arial" w:eastAsia="Arial" w:hAnsi="Arial"/>
          <w:sz w:val="18"/>
          <w:szCs w:val="18"/>
          <w:color w:val="auto"/>
        </w:rPr>
      </w:pPr>
    </w:p>
    <w:p>
      <w:pPr>
        <w:ind w:left="2000" w:right="939" w:hanging="360"/>
        <w:spacing w:after="0" w:line="261"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931,274 shares of common stock reserved for future issuance under our 2020 Inducement Plan as of June 30, 2020; and</w:t>
      </w:r>
    </w:p>
    <w:p>
      <w:pPr>
        <w:spacing w:after="0" w:line="35" w:lineRule="exact"/>
        <w:rPr>
          <w:rFonts w:ascii="Arial" w:cs="Arial" w:eastAsia="Arial" w:hAnsi="Arial"/>
          <w:sz w:val="18"/>
          <w:szCs w:val="18"/>
          <w:color w:val="auto"/>
        </w:rPr>
      </w:pPr>
    </w:p>
    <w:p>
      <w:pPr>
        <w:ind w:left="2000" w:right="939" w:hanging="360"/>
        <w:spacing w:after="0" w:line="261"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2,123,780 shares of common stock reserved for future issuance under our 2015 Employee Stock Purchase Plan as of June 30, 2020.</w:t>
      </w:r>
    </w:p>
    <w:p>
      <w:pPr>
        <w:spacing w:after="0" w:line="49" w:lineRule="exact"/>
        <w:rPr>
          <w:sz w:val="20"/>
          <w:szCs w:val="20"/>
          <w:color w:val="auto"/>
        </w:rPr>
      </w:pPr>
    </w:p>
    <w:p>
      <w:pPr>
        <w:ind w:left="1280" w:right="939" w:firstLine="360"/>
        <w:spacing w:after="0" w:line="261" w:lineRule="auto"/>
        <w:rPr>
          <w:sz w:val="20"/>
          <w:szCs w:val="20"/>
          <w:color w:val="auto"/>
        </w:rPr>
      </w:pPr>
      <w:r>
        <w:rPr>
          <w:rFonts w:ascii="Arial" w:cs="Arial" w:eastAsia="Arial" w:hAnsi="Arial"/>
          <w:sz w:val="18"/>
          <w:szCs w:val="18"/>
          <w:color w:val="auto"/>
        </w:rPr>
        <w:t>In addition, unless we specifically state otherwise, all information in this prospectus supplement assumes:</w:t>
      </w:r>
    </w:p>
    <w:p>
      <w:pPr>
        <w:spacing w:after="0" w:line="36" w:lineRule="exact"/>
        <w:rPr>
          <w:sz w:val="20"/>
          <w:szCs w:val="20"/>
          <w:color w:val="auto"/>
        </w:rPr>
      </w:pPr>
    </w:p>
    <w:p>
      <w:pPr>
        <w:ind w:left="2000" w:hanging="360"/>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outstanding stock options after June 30, 2020; and</w:t>
      </w:r>
    </w:p>
    <w:p>
      <w:pPr>
        <w:spacing w:after="0" w:line="63" w:lineRule="exact"/>
        <w:rPr>
          <w:rFonts w:ascii="Arial" w:cs="Arial" w:eastAsia="Arial" w:hAnsi="Arial"/>
          <w:sz w:val="18"/>
          <w:szCs w:val="18"/>
          <w:color w:val="auto"/>
        </w:rPr>
      </w:pPr>
    </w:p>
    <w:p>
      <w:pPr>
        <w:ind w:left="2000" w:hanging="360"/>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vesting of restricted stock units after June 30, 2020.</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7"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Quarterly Report on Form 10-Q for the fiscal quarter ended June 30, 2020, filed with the SEC on July 30, 2020,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77" w:lineRule="exact"/>
        <w:rPr>
          <w:sz w:val="20"/>
          <w:szCs w:val="20"/>
          <w:color w:val="auto"/>
        </w:rPr>
      </w:pPr>
    </w:p>
    <w:p>
      <w:pPr>
        <w:ind w:left="1260" w:right="919"/>
        <w:spacing w:after="0" w:line="286" w:lineRule="auto"/>
        <w:rPr>
          <w:sz w:val="20"/>
          <w:szCs w:val="20"/>
          <w:color w:val="auto"/>
        </w:rPr>
      </w:pPr>
      <w:r>
        <w:rPr>
          <w:rFonts w:ascii="Arial" w:cs="Arial" w:eastAsia="Arial" w:hAnsi="Arial"/>
          <w:sz w:val="17"/>
          <w:szCs w:val="17"/>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2" w:lineRule="exact"/>
        <w:rPr>
          <w:sz w:val="20"/>
          <w:szCs w:val="20"/>
          <w:color w:val="auto"/>
        </w:rPr>
      </w:pPr>
    </w:p>
    <w:p>
      <w:pPr>
        <w:ind w:left="1260" w:right="739" w:firstLine="360"/>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$ 109.00 and a low price of $13.04 per share for the period beginning on April 30, 2015, our first day of trading on the Nasdaq Global Select Market, through July 29, 2020. As a result of this volatility, our stockholders could incur substantial losses. In addition, the market price for our common stock may be influenced by many factors, including:</w:t>
      </w:r>
    </w:p>
    <w:p>
      <w:pPr>
        <w:spacing w:after="0" w:line="19" w:lineRule="exact"/>
        <w:rPr>
          <w:sz w:val="20"/>
          <w:szCs w:val="20"/>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36"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49"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36" w:lineRule="exact"/>
        <w:rPr>
          <w:rFonts w:ascii="Arial" w:cs="Arial" w:eastAsia="Arial" w:hAnsi="Arial"/>
          <w:sz w:val="18"/>
          <w:szCs w:val="18"/>
          <w:color w:val="auto"/>
        </w:rPr>
      </w:pPr>
    </w:p>
    <w:p>
      <w:pPr>
        <w:ind w:left="1980" w:right="779" w:hanging="358"/>
        <w:spacing w:after="0" w:line="261"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8"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49"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36" w:lineRule="exact"/>
        <w:rPr>
          <w:rFonts w:ascii="Arial" w:cs="Arial" w:eastAsia="Arial" w:hAnsi="Arial"/>
          <w:sz w:val="18"/>
          <w:szCs w:val="18"/>
          <w:color w:val="auto"/>
        </w:rPr>
      </w:pPr>
    </w:p>
    <w:p>
      <w:pPr>
        <w:ind w:left="1980" w:right="779" w:hanging="358"/>
        <w:spacing w:after="0" w:line="261"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2" w:lineRule="exact"/>
        <w:rPr>
          <w:rFonts w:ascii="Arial" w:cs="Arial" w:eastAsia="Arial" w:hAnsi="Arial"/>
          <w:sz w:val="18"/>
          <w:szCs w:val="18"/>
          <w:color w:val="auto"/>
        </w:rPr>
      </w:pPr>
    </w:p>
    <w:p>
      <w:pPr>
        <w:ind w:left="1980" w:right="979" w:hanging="358"/>
        <w:spacing w:after="0" w:line="261"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36"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49"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36"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49" w:lineRule="exact"/>
        <w:rPr>
          <w:rFonts w:ascii="Arial" w:cs="Arial" w:eastAsia="Arial" w:hAnsi="Arial"/>
          <w:sz w:val="18"/>
          <w:szCs w:val="18"/>
          <w:color w:val="auto"/>
        </w:rPr>
      </w:pPr>
    </w:p>
    <w:p>
      <w:pPr>
        <w:ind w:left="1980" w:hanging="358"/>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144" w:lineRule="exact"/>
        <w:rPr>
          <w:sz w:val="20"/>
          <w:szCs w:val="20"/>
          <w:color w:val="auto"/>
        </w:rPr>
      </w:pPr>
    </w:p>
    <w:p>
      <w:pPr>
        <w:ind w:left="1260" w:right="679" w:firstLine="360"/>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37" w:lineRule="exact"/>
        <w:rPr>
          <w:sz w:val="20"/>
          <w:szCs w:val="20"/>
          <w:color w:val="auto"/>
        </w:rPr>
      </w:pPr>
    </w:p>
    <w:p>
      <w:pPr>
        <w:jc w:val="both"/>
        <w:ind w:left="1260" w:right="859"/>
        <w:spacing w:after="0" w:line="253"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will have considerable discretion in the application of the net proceeds of this offering,</w:t>
      </w:r>
    </w:p>
    <w:p>
      <w:pPr>
        <w:jc w:val="center"/>
        <w:ind w:right="-260"/>
        <w:spacing w:after="0"/>
        <w:rPr>
          <w:sz w:val="20"/>
          <w:szCs w:val="20"/>
          <w:color w:val="auto"/>
        </w:rPr>
      </w:pPr>
      <w:r>
        <w:rPr>
          <w:rFonts w:ascii="Arial" w:cs="Arial" w:eastAsia="Arial" w:hAnsi="Arial"/>
          <w:sz w:val="18"/>
          <w:szCs w:val="18"/>
          <w:color w:val="auto"/>
        </w:rPr>
        <w:t>including for any of the purposes described in the section entitled “Use of Proceeds,” as well as our</w:t>
      </w:r>
    </w:p>
    <w:p>
      <w:pPr>
        <w:sectPr>
          <w:pgSz w:w="11900" w:h="16838" w:orient="portrait"/>
          <w:cols w:equalWidth="0" w:num="1">
            <w:col w:w="10139"/>
          </w:cols>
          <w:pgMar w:left="320" w:top="132"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36" w:lineRule="auto"/>
        <w:rPr>
          <w:sz w:val="20"/>
          <w:szCs w:val="20"/>
          <w:color w:val="auto"/>
        </w:rPr>
      </w:pPr>
      <w:r>
        <w:rPr>
          <w:rFonts w:ascii="Arial" w:cs="Arial" w:eastAsia="Arial" w:hAnsi="Arial"/>
          <w:sz w:val="18"/>
          <w:szCs w:val="18"/>
          <w:color w:val="auto"/>
        </w:rPr>
        <w:t>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37" w:lineRule="exact"/>
        <w:rPr>
          <w:sz w:val="20"/>
          <w:szCs w:val="20"/>
          <w:color w:val="auto"/>
        </w:rPr>
      </w:pPr>
    </w:p>
    <w:p>
      <w:pPr>
        <w:jc w:val="both"/>
        <w:ind w:left="1260" w:right="839"/>
        <w:spacing w:after="0" w:line="253"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 w:lineRule="exact"/>
        <w:rPr>
          <w:sz w:val="20"/>
          <w:szCs w:val="20"/>
          <w:color w:val="auto"/>
        </w:rPr>
      </w:pPr>
    </w:p>
    <w:p>
      <w:pPr>
        <w:ind w:left="1260" w:right="779" w:firstLine="360"/>
        <w:spacing w:after="0" w:line="252" w:lineRule="auto"/>
        <w:rPr>
          <w:sz w:val="20"/>
          <w:szCs w:val="20"/>
          <w:color w:val="auto"/>
        </w:rPr>
      </w:pPr>
      <w:r>
        <w:rPr>
          <w:rFonts w:ascii="Arial" w:cs="Arial" w:eastAsia="Arial" w:hAnsi="Arial"/>
          <w:sz w:val="18"/>
          <w:szCs w:val="18"/>
          <w:color w:val="auto"/>
        </w:rPr>
        <w:t>Our executive officer, directors and stockholders who own more than 5% off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24"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2" w:lineRule="exact"/>
        <w:rPr>
          <w:sz w:val="20"/>
          <w:szCs w:val="20"/>
          <w:color w:val="auto"/>
        </w:rPr>
      </w:pPr>
    </w:p>
    <w:p>
      <w:pPr>
        <w:ind w:left="1980" w:hanging="358"/>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49" w:lineRule="exact"/>
        <w:rPr>
          <w:rFonts w:ascii="Arial" w:cs="Arial" w:eastAsia="Arial" w:hAnsi="Arial"/>
          <w:sz w:val="18"/>
          <w:szCs w:val="18"/>
          <w:color w:val="auto"/>
        </w:rPr>
      </w:pPr>
    </w:p>
    <w:p>
      <w:pPr>
        <w:ind w:left="1980" w:hanging="358"/>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36" w:lineRule="exact"/>
        <w:rPr>
          <w:rFonts w:ascii="Arial" w:cs="Arial" w:eastAsia="Arial" w:hAnsi="Arial"/>
          <w:sz w:val="18"/>
          <w:szCs w:val="18"/>
          <w:color w:val="auto"/>
        </w:rPr>
      </w:pPr>
    </w:p>
    <w:p>
      <w:pPr>
        <w:ind w:left="1980" w:right="739" w:hanging="358"/>
        <w:spacing w:after="0" w:line="261"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41" w:lineRule="exact"/>
        <w:rPr>
          <w:sz w:val="20"/>
          <w:szCs w:val="20"/>
          <w:color w:val="auto"/>
        </w:rPr>
      </w:pPr>
    </w:p>
    <w:p>
      <w:pPr>
        <w:ind w:left="1260" w:right="1039"/>
        <w:spacing w:after="0" w:line="278"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The offering price per share in this offering may exceed the as adjusted net tangible book value per share of our common stock outstanding prior to this offering. Assuming that an aggregate of 3,389,830 shares of our common stock are sold at a price of $73.75 per share, the last reported sale price of our common stock on the Nasdaq Global Select Market on July 29, 2020, for aggregate gross proceeds of $ 250.0 million, and after deducting commissions and estimated offering expenses payable by us, you will experience immediate dilution of $59.47 per share based on the difference between our as adjusted net tangible book value per share as of June 30, 2020 after giving effect to this offering and the assumed offering price.</w:t>
      </w:r>
    </w:p>
    <w:p>
      <w:pPr>
        <w:spacing w:after="0" w:line="138"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assumed price offered to the public in this offering, and the exercise of stock options granted to our employees. In addition, as of June 30, 2020, options to purchase 6,660,990 shares of our common stock at a weighted average exercise price of $59.37 per share were outstanding, and 1,151,411 shares of our common stock would become issuable upon the vesting and settlement of restricted stock units outstanding as of such date.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assumed purchase price paid in this offering, if anything, in the event of our liquidation. Further, because we may seek to raise additional capital to fund our future activities, we may in the future sell substantial amounts of common stock or securities convertible into or exchangeable for common stock.</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These future issuances of common stock or common stock-related securities, together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vesting and exercise of outstanding options, the vesting and settlement of outstanding restricted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units and any additional shares issued in connection with acquisitions, if any, may result in further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dilution. For a further description of the dilution that you will experience immediately after this offering,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see “Dilution.”</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75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36"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June 30, 2020, 54,284,501 shares of our common stock were outstanding, excluding options to purchase 6,660,990 shares of our common stock, of which 3,136,170 were exercisable as of that date, and 1,151,411 shares of our common stock issuable upon the vesting and settlement of restricted stock units outstanding as of that date. The sale or the availability for sale of a large number of shares of our common stock in the public market could cause the price of our common stock to decline.</w:t>
      </w:r>
    </w:p>
    <w:p>
      <w:pPr>
        <w:spacing w:after="0" w:line="38" w:lineRule="exact"/>
        <w:rPr>
          <w:sz w:val="20"/>
          <w:szCs w:val="20"/>
          <w:color w:val="auto"/>
        </w:rPr>
      </w:pPr>
    </w:p>
    <w:p>
      <w:pPr>
        <w:ind w:left="1260" w:right="1059"/>
        <w:spacing w:after="0" w:line="286" w:lineRule="auto"/>
        <w:rPr>
          <w:sz w:val="20"/>
          <w:szCs w:val="20"/>
          <w:color w:val="auto"/>
        </w:rPr>
      </w:pPr>
      <w:r>
        <w:rPr>
          <w:rFonts w:ascii="Arial" w:cs="Arial" w:eastAsia="Arial" w:hAnsi="Arial"/>
          <w:sz w:val="18"/>
          <w:szCs w:val="18"/>
          <w:b w:val="1"/>
          <w:bCs w:val="1"/>
          <w:i w:val="1"/>
          <w:iCs w:val="1"/>
          <w:color w:val="auto"/>
        </w:rPr>
        <w:t>The actual number of shares we will issue under the Sales Agreement, at any one time or in total, is uncertain.</w:t>
      </w:r>
    </w:p>
    <w:p>
      <w:pPr>
        <w:spacing w:after="0" w:line="1"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shares of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36" w:lineRule="exact"/>
        <w:rPr>
          <w:sz w:val="20"/>
          <w:szCs w:val="20"/>
          <w:color w:val="auto"/>
        </w:rPr>
      </w:pPr>
    </w:p>
    <w:p>
      <w:pPr>
        <w:ind w:left="1260" w:right="859"/>
        <w:spacing w:after="0" w:line="286"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55" w:lineRule="exact"/>
        <w:rPr>
          <w:sz w:val="20"/>
          <w:szCs w:val="20"/>
          <w:color w:val="auto"/>
        </w:rPr>
      </w:pPr>
    </w:p>
    <w:p>
      <w:pPr>
        <w:ind w:left="1260" w:right="839" w:firstLine="360"/>
        <w:spacing w:after="0" w:line="254" w:lineRule="auto"/>
        <w:rPr>
          <w:sz w:val="20"/>
          <w:szCs w:val="20"/>
          <w:color w:val="auto"/>
        </w:rPr>
      </w:pPr>
      <w:r>
        <w:rPr>
          <w:rFonts w:ascii="Arial" w:cs="Arial" w:eastAsia="Arial" w:hAnsi="Arial"/>
          <w:sz w:val="18"/>
          <w:szCs w:val="18"/>
          <w:color w:val="auto"/>
        </w:rPr>
        <w:t>We may offer and sell shares of our common stock having aggregate gross sales proceeds of up to $250,000,000 (before deducting sales agent commissions and expenses). Because there is no minimum offering amount required as a condition to close this offering, the actual total public offering amount, commissions and proceeds to us, if any, are not determinable at this time.</w:t>
      </w:r>
    </w:p>
    <w:p>
      <w:pPr>
        <w:spacing w:after="0" w:line="123" w:lineRule="exact"/>
        <w:rPr>
          <w:sz w:val="20"/>
          <w:szCs w:val="20"/>
          <w:color w:val="auto"/>
        </w:rPr>
      </w:pPr>
    </w:p>
    <w:p>
      <w:pPr>
        <w:ind w:left="1260" w:right="839" w:firstLine="360"/>
        <w:spacing w:after="0" w:line="253" w:lineRule="auto"/>
        <w:rPr>
          <w:sz w:val="20"/>
          <w:szCs w:val="20"/>
          <w:color w:val="auto"/>
        </w:rPr>
      </w:pPr>
      <w:r>
        <w:rPr>
          <w:rFonts w:ascii="Arial" w:cs="Arial" w:eastAsia="Arial" w:hAnsi="Arial"/>
          <w:sz w:val="18"/>
          <w:szCs w:val="18"/>
          <w:color w:val="auto"/>
        </w:rPr>
        <w:t>We anticipate that we will use the net proceeds to us from this offering to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w:t>
      </w:r>
    </w:p>
    <w:p>
      <w:pPr>
        <w:spacing w:after="0" w:line="13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the nature and scope of our commercial launch activities for AYVAKIT and future products, the success of our current or future collaborations, partnerships and license arrangements, and any unforeseen cash needs. As a result, our management will retain broad discretion over the allocation of the net proceeds from this offering.</w:t>
      </w:r>
    </w:p>
    <w:p>
      <w:pPr>
        <w:spacing w:after="0" w:line="144" w:lineRule="exact"/>
        <w:rPr>
          <w:sz w:val="20"/>
          <w:szCs w:val="20"/>
          <w:color w:val="auto"/>
        </w:rPr>
      </w:pPr>
    </w:p>
    <w:p>
      <w:pPr>
        <w:jc w:val="both"/>
        <w:ind w:left="1260" w:right="899" w:firstLine="360"/>
        <w:spacing w:after="0" w:line="256"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55" w:lineRule="exact"/>
        <w:rPr>
          <w:sz w:val="20"/>
          <w:szCs w:val="20"/>
          <w:color w:val="auto"/>
        </w:rPr>
      </w:pPr>
    </w:p>
    <w:p>
      <w:pPr>
        <w:jc w:val="both"/>
        <w:ind w:left="1260" w:right="999" w:firstLine="360"/>
        <w:spacing w:after="0" w:line="256"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121"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color w:val="auto"/>
        </w:rPr>
        <w:t>As of June 30, 2020, we had net tangible book value of approximately $581.4 million, or $10.71 per share of our common stock, based upon 54,284,501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39" w:lineRule="exact"/>
        <w:rPr>
          <w:sz w:val="20"/>
          <w:szCs w:val="20"/>
          <w:color w:val="auto"/>
        </w:rPr>
      </w:pPr>
    </w:p>
    <w:p>
      <w:pPr>
        <w:ind w:left="1260" w:right="799" w:firstLine="360"/>
        <w:spacing w:after="0" w:line="252" w:lineRule="auto"/>
        <w:rPr>
          <w:sz w:val="20"/>
          <w:szCs w:val="20"/>
          <w:color w:val="auto"/>
        </w:rPr>
      </w:pPr>
      <w:r>
        <w:rPr>
          <w:rFonts w:ascii="Arial" w:cs="Arial" w:eastAsia="Arial" w:hAnsi="Arial"/>
          <w:sz w:val="18"/>
          <w:szCs w:val="18"/>
          <w:color w:val="auto"/>
        </w:rPr>
        <w:t>After giving effect to the assumed sale of 3,389,830 shares of common stock in this offering at an assumed offering price of $73.75 per share, the last reported sale price of our common stock on the Nasdaq Global Select Market on July 29, 2020, and after deducting commissions and estimated offering expenses payable by us, our as adjusted net tangible book value as of June 30, 2020 would have been approximately $823.7 million, or approximately $14.28 per share of common stock. This represents an immediate increase in as adjusted net tangible book value of $3.57 per share to our existing stockholders and an immediate dilution of $59.47 per share to investors participating in this offering.</w:t>
      </w:r>
    </w:p>
    <w:p>
      <w:pPr>
        <w:spacing w:after="0" w:line="138"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offering price per share paid by new investors. The following table illustrates this per share dilution:</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$ 73.75</w:t>
            </w:r>
          </w:p>
        </w:tc>
      </w:tr>
      <w:tr>
        <w:trPr>
          <w:trHeight w:val="216"/>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Historical net tangible book value per share as of June 30, 2020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10.71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2"/>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$ 14.28</w:t>
            </w:r>
          </w:p>
        </w:tc>
      </w:tr>
      <w:tr>
        <w:trPr>
          <w:trHeight w:val="23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-161925</wp:posOffset>
            </wp:positionV>
            <wp:extent cx="4766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-325120</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2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The as adjusted information is illustrative only and will adjust based on the actual offering price, the actual number of shares sold and other terms of the offering determined at the time shares of our common stock are sold pursuant to this prospectus. The as adjusted information assumes that all of our common stock in the aggregate amount of $250.0 million is sold at the assumed offering price of $73.75 per share, the last reported sale price of our common stock on The Nasdaq Global Select Market on July 29, 2020. The shares sold in this offering, if any, will be sold from time to time at various prices.</w:t>
      </w:r>
    </w:p>
    <w:p>
      <w:pPr>
        <w:spacing w:after="0" w:line="139"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foregoing table and discussion is based on 54,284,501 shares of common stock outstanding as of June 30, 2020, and excludes:</w:t>
      </w:r>
    </w:p>
    <w:p>
      <w:pPr>
        <w:spacing w:after="0" w:line="9" w:lineRule="exact"/>
        <w:rPr>
          <w:sz w:val="20"/>
          <w:szCs w:val="20"/>
          <w:color w:val="auto"/>
        </w:rPr>
      </w:pPr>
    </w:p>
    <w:p>
      <w:pPr>
        <w:ind w:left="1980" w:right="899" w:hanging="358"/>
        <w:spacing w:after="0" w:line="261"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6,660,990 shares of common stock issuable upon the exercise of stock options outstanding as of June 30, 2020, at a weighted average exercise price of $59.37 per share;</w:t>
      </w:r>
    </w:p>
    <w:p>
      <w:pPr>
        <w:spacing w:after="0" w:line="22" w:lineRule="exact"/>
        <w:rPr>
          <w:rFonts w:ascii="Arial" w:cs="Arial" w:eastAsia="Arial" w:hAnsi="Arial"/>
          <w:sz w:val="18"/>
          <w:szCs w:val="18"/>
          <w:color w:val="auto"/>
        </w:rPr>
      </w:pPr>
    </w:p>
    <w:p>
      <w:pPr>
        <w:ind w:left="1980" w:right="1059" w:hanging="358"/>
        <w:spacing w:after="0" w:line="261"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1,151,411 shares of common stock issuable upon the vesting and settlement of restricted stock units outstanding as of June 30, 2020;</w:t>
      </w:r>
    </w:p>
    <w:p>
      <w:pPr>
        <w:spacing w:after="0" w:line="22" w:lineRule="exact"/>
        <w:rPr>
          <w:rFonts w:ascii="Arial" w:cs="Arial" w:eastAsia="Arial" w:hAnsi="Arial"/>
          <w:sz w:val="18"/>
          <w:szCs w:val="18"/>
          <w:color w:val="auto"/>
        </w:rPr>
      </w:pPr>
    </w:p>
    <w:p>
      <w:pPr>
        <w:ind w:left="1980" w:right="959" w:hanging="358"/>
        <w:spacing w:after="0" w:line="261"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2,543,214 shares of common stock reserved for future issuance under our 2015 Plan as of June 30, 2020;</w:t>
      </w:r>
    </w:p>
    <w:p>
      <w:pPr>
        <w:spacing w:after="0" w:line="22" w:lineRule="exact"/>
        <w:rPr>
          <w:rFonts w:ascii="Arial" w:cs="Arial" w:eastAsia="Arial" w:hAnsi="Arial"/>
          <w:sz w:val="18"/>
          <w:szCs w:val="18"/>
          <w:color w:val="auto"/>
        </w:rPr>
      </w:pPr>
    </w:p>
    <w:p>
      <w:pPr>
        <w:ind w:left="1980" w:right="959" w:hanging="358"/>
        <w:spacing w:after="0" w:line="261"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931,274 shares of common stock reserved for future issuance under our 2020 Inducement Plan as of June 30, 2020; and</w:t>
      </w:r>
    </w:p>
    <w:p>
      <w:pPr>
        <w:spacing w:after="0" w:line="22" w:lineRule="exact"/>
        <w:rPr>
          <w:rFonts w:ascii="Arial" w:cs="Arial" w:eastAsia="Arial" w:hAnsi="Arial"/>
          <w:sz w:val="18"/>
          <w:szCs w:val="18"/>
          <w:color w:val="auto"/>
        </w:rPr>
      </w:pPr>
    </w:p>
    <w:p>
      <w:pPr>
        <w:ind w:left="1980" w:right="959" w:hanging="358"/>
        <w:spacing w:after="0" w:line="261"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2,123,780 shares of common stock reserved for future issuance under our 2015 Employee Stock Purchase Plan as of June 30, 2020.</w:t>
      </w:r>
    </w:p>
    <w:p>
      <w:pPr>
        <w:spacing w:after="0" w:line="130"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table above assumes for illustrative purposes that an aggregate of 3,389,830 shares of our common stock are sold during the term of the sales agreement with Cowen at a price of $73.75 per</w:t>
      </w:r>
    </w:p>
    <w:p>
      <w:pPr>
        <w:sectPr>
          <w:pgSz w:w="11900" w:h="16838" w:orient="portrait"/>
          <w:cols w:equalWidth="0" w:num="1">
            <w:col w:w="10139"/>
          </w:cols>
          <w:pgMar w:left="320" w:top="132" w:right="1440" w:bottom="1440" w:gutter="0" w:footer="0" w:header="0"/>
        </w:sectPr>
      </w:pP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99"/>
        <w:spacing w:after="0" w:line="261" w:lineRule="auto"/>
        <w:rPr>
          <w:sz w:val="20"/>
          <w:szCs w:val="20"/>
          <w:color w:val="auto"/>
        </w:rPr>
      </w:pPr>
      <w:r>
        <w:rPr>
          <w:rFonts w:ascii="Arial" w:cs="Arial" w:eastAsia="Arial" w:hAnsi="Arial"/>
          <w:sz w:val="18"/>
          <w:szCs w:val="18"/>
          <w:color w:val="auto"/>
        </w:rPr>
        <w:t>share, the last reported sale price of our common stock on the Nasdaq Global Select Market on July 29, 2020, for aggregate gross proceeds of approximately $250.0 million.</w:t>
      </w:r>
    </w:p>
    <w:p>
      <w:pPr>
        <w:spacing w:after="0" w:line="11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136"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PLAN OF DISTRIBUTION</w:t>
      </w:r>
    </w:p>
    <w:p>
      <w:pPr>
        <w:spacing w:after="0" w:line="355" w:lineRule="exact"/>
        <w:rPr>
          <w:sz w:val="20"/>
          <w:szCs w:val="20"/>
          <w:color w:val="auto"/>
        </w:rPr>
      </w:pPr>
    </w:p>
    <w:p>
      <w:pPr>
        <w:ind w:left="1260" w:right="1019" w:firstLine="360"/>
        <w:spacing w:after="0" w:line="254" w:lineRule="auto"/>
        <w:rPr>
          <w:sz w:val="20"/>
          <w:szCs w:val="20"/>
          <w:color w:val="auto"/>
        </w:rPr>
      </w:pPr>
      <w:r>
        <w:rPr>
          <w:rFonts w:ascii="Arial" w:cs="Arial" w:eastAsia="Arial" w:hAnsi="Arial"/>
          <w:sz w:val="18"/>
          <w:szCs w:val="18"/>
          <w:color w:val="auto"/>
        </w:rPr>
        <w:t>We have entered into a sales agreement with Cowen, under which we may issue and sell from time to time up to $250,000,000 of our common stock through or to Cowen as our sales agent or principal. Sales of our common stock, if any, will be made at market prices by any method that is deemed to be an “at the market offering” as defined in Rule 415 under the Securities Act.</w:t>
      </w:r>
    </w:p>
    <w:p>
      <w:pPr>
        <w:spacing w:after="0" w:line="123"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14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aggregate compensation payable to Cowen as sales agent equals up to 3.0% of the gross sales price of the shares sold through it pursuant to the sales agreement. We have also agreed to reimburse Cowen up to $50,000 of Cowen’s actual outside legal expenses incurred by Cowen in connection with this offering. We estimate that the total expenses of the offering payable by us, excluding commissions payable to Cowen under the sales agreement, will be approximately $125,000.</w:t>
      </w:r>
    </w:p>
    <w:p>
      <w:pPr>
        <w:spacing w:after="0" w:line="138" w:lineRule="exact"/>
        <w:rPr>
          <w:sz w:val="20"/>
          <w:szCs w:val="20"/>
          <w:color w:val="auto"/>
        </w:rPr>
      </w:pPr>
    </w:p>
    <w:p>
      <w:pPr>
        <w:jc w:val="both"/>
        <w:ind w:left="1260" w:right="879" w:firstLine="360"/>
        <w:spacing w:after="0" w:line="256"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21" w:lineRule="exact"/>
        <w:rPr>
          <w:sz w:val="20"/>
          <w:szCs w:val="20"/>
          <w:color w:val="auto"/>
        </w:rPr>
      </w:pPr>
    </w:p>
    <w:p>
      <w:pPr>
        <w:ind w:left="1260" w:right="799" w:firstLine="360"/>
        <w:spacing w:after="0" w:line="253"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38"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34" w:lineRule="exact"/>
        <w:rPr>
          <w:sz w:val="20"/>
          <w:szCs w:val="20"/>
          <w:color w:val="auto"/>
        </w:rPr>
      </w:pPr>
    </w:p>
    <w:p>
      <w:pPr>
        <w:ind w:left="1260" w:right="939" w:firstLine="360"/>
        <w:spacing w:after="0" w:line="254" w:lineRule="auto"/>
        <w:rPr>
          <w:sz w:val="20"/>
          <w:szCs w:val="20"/>
          <w:color w:val="auto"/>
        </w:rPr>
      </w:pPr>
      <w:r>
        <w:rPr>
          <w:rFonts w:ascii="Arial" w:cs="Arial" w:eastAsia="Arial" w:hAnsi="Arial"/>
          <w:sz w:val="18"/>
          <w:szCs w:val="18"/>
          <w:color w:val="auto"/>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23" w:lineRule="exact"/>
        <w:rPr>
          <w:sz w:val="20"/>
          <w:szCs w:val="20"/>
          <w:color w:val="auto"/>
        </w:rPr>
      </w:pPr>
    </w:p>
    <w:p>
      <w:pPr>
        <w:ind w:left="1260" w:right="899" w:firstLine="360"/>
        <w:spacing w:after="0" w:line="254" w:lineRule="auto"/>
        <w:rPr>
          <w:sz w:val="20"/>
          <w:szCs w:val="20"/>
          <w:color w:val="auto"/>
        </w:rPr>
      </w:pPr>
      <w:r>
        <w:rPr>
          <w:rFonts w:ascii="Arial" w:cs="Arial" w:eastAsia="Arial" w:hAnsi="Arial"/>
          <w:sz w:val="18"/>
          <w:szCs w:val="18"/>
          <w:color w:val="auto"/>
        </w:rPr>
        <w:t>Under the sales agreement, we may also sell shares of common stock to Cowen as principal for its own account, at a price to be agreed upon at the time of sale. If we sell shares to a Cowen as principal, we will enter into a separate terms agreement with Cowen, and we will describe the agreement in a separate prospectus supplement or pricing supplement.</w:t>
      </w:r>
    </w:p>
    <w:p>
      <w:pPr>
        <w:spacing w:after="0" w:line="136" w:lineRule="exact"/>
        <w:rPr>
          <w:sz w:val="20"/>
          <w:szCs w:val="20"/>
          <w:color w:val="auto"/>
        </w:rPr>
      </w:pPr>
    </w:p>
    <w:p>
      <w:pPr>
        <w:ind w:left="1260" w:right="879" w:firstLine="360"/>
        <w:spacing w:after="0" w:line="252"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140"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Our common stock is listed on The Nasdaq Global Select Market and trades under the symbol “BPMC.” The transfer agent of our common stock is Computershare Trust Company, N.A.</w:t>
      </w: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55" w:lineRule="exact"/>
        <w:rPr>
          <w:sz w:val="20"/>
          <w:szCs w:val="20"/>
          <w:color w:val="auto"/>
        </w:rPr>
      </w:pPr>
    </w:p>
    <w:p>
      <w:pPr>
        <w:ind w:left="1260" w:right="739" w:firstLine="360"/>
        <w:spacing w:after="0" w:line="256"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Cowen is being represented in this offering by Latham &amp; Watkins LLP.</w:t>
      </w:r>
    </w:p>
    <w:p>
      <w:pPr>
        <w:spacing w:after="0" w:line="18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55" w:lineRule="exact"/>
        <w:rPr>
          <w:sz w:val="20"/>
          <w:szCs w:val="20"/>
          <w:color w:val="auto"/>
        </w:rPr>
      </w:pPr>
    </w:p>
    <w:p>
      <w:pPr>
        <w:ind w:left="1260" w:right="819" w:firstLine="3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Blueprint Medicines Corporation appearing in Blueprint Medicines Corporation’s </w:t>
      </w:r>
      <w:hyperlink r:id="rId16">
        <w:r>
          <w:rPr>
            <w:rFonts w:ascii="Arial" w:cs="Arial" w:eastAsia="Arial" w:hAnsi="Arial"/>
            <w:sz w:val="18"/>
            <w:szCs w:val="18"/>
            <w:u w:val="single" w:color="auto"/>
            <w:color w:val="0000EE"/>
          </w:rPr>
          <w:t>Annual Report on Form 10-K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effectiveness of Blueprint Medicines Corporation’s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Blueprint Medicines Corporation</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Preferred Stock</w:t>
      </w:r>
    </w:p>
    <w:p>
      <w:pPr>
        <w:ind w:left="4560"/>
        <w:spacing w:after="0" w:line="236" w:lineRule="auto"/>
        <w:rPr>
          <w:sz w:val="20"/>
          <w:szCs w:val="20"/>
          <w:color w:val="auto"/>
        </w:rPr>
      </w:pPr>
      <w:r>
        <w:rPr>
          <w:rFonts w:ascii="Arial" w:cs="Arial" w:eastAsia="Arial" w:hAnsi="Arial"/>
          <w:sz w:val="25"/>
          <w:szCs w:val="25"/>
          <w:b w:val="1"/>
          <w:bCs w:val="1"/>
          <w:color w:val="auto"/>
        </w:rPr>
        <w:t>Debt Securities</w:t>
      </w:r>
    </w:p>
    <w:p>
      <w:pPr>
        <w:ind w:left="4320"/>
        <w:spacing w:after="0" w:line="237" w:lineRule="auto"/>
        <w:rPr>
          <w:sz w:val="20"/>
          <w:szCs w:val="20"/>
          <w:color w:val="auto"/>
        </w:rPr>
      </w:pPr>
      <w:r>
        <w:rPr>
          <w:rFonts w:ascii="Arial" w:cs="Arial" w:eastAsia="Arial" w:hAnsi="Arial"/>
          <w:sz w:val="25"/>
          <w:szCs w:val="25"/>
          <w:b w:val="1"/>
          <w:bCs w:val="1"/>
          <w:color w:val="auto"/>
        </w:rPr>
        <w:t>Purchase Contracts</w:t>
      </w:r>
    </w:p>
    <w:p>
      <w:pPr>
        <w:ind w:left="4560"/>
        <w:spacing w:after="0" w:line="237" w:lineRule="auto"/>
        <w:rPr>
          <w:sz w:val="20"/>
          <w:szCs w:val="20"/>
          <w:color w:val="auto"/>
        </w:rPr>
      </w:pPr>
      <w:r>
        <w:rPr>
          <w:rFonts w:ascii="Arial" w:cs="Arial" w:eastAsia="Arial" w:hAnsi="Arial"/>
          <w:sz w:val="25"/>
          <w:szCs w:val="25"/>
          <w:b w:val="1"/>
          <w:bCs w:val="1"/>
          <w:color w:val="auto"/>
        </w:rPr>
        <w:t>Purchase Units</w:t>
      </w:r>
    </w:p>
    <w:p>
      <w:pPr>
        <w:ind w:left="4860"/>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122555</wp:posOffset>
            </wp:positionV>
            <wp:extent cx="1371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8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27"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229235</wp:posOffset>
            </wp:positionV>
            <wp:extent cx="1371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22"/>
          <w:szCs w:val="22"/>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217805</wp:posOffset>
            </wp:positionV>
            <wp:extent cx="1371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60" w:right="75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200660</wp:posOffset>
            </wp:positionV>
            <wp:extent cx="1371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The date of this prospectus is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6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6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ABOUT THIS PROSPECTUS</w:t>
              </w:r>
            </w:hyperlink>
          </w:p>
        </w:tc>
        <w:tc>
          <w:tcPr>
            <w:tcW w:w="134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310"/>
        </w:trPr>
        <w:tc>
          <w:tcPr>
            <w:tcW w:w="688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134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WHERE YOU CAN FIND MORE INFORMATION</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310"/>
        </w:trPr>
        <w:tc>
          <w:tcPr>
            <w:tcW w:w="688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BY REFERENCE</w:t>
              </w:r>
            </w:hyperlink>
          </w:p>
        </w:tc>
        <w:tc>
          <w:tcPr>
            <w:tcW w:w="134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FORWARD-LOOKING STATEMENTS</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BLUEPRINT MEDICINES CORPORATION</w:t>
              </w:r>
            </w:hyperlink>
          </w:p>
        </w:tc>
        <w:tc>
          <w:tcPr>
            <w:tcW w:w="134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DILUTION</w:t>
              </w:r>
            </w:hyperlink>
          </w:p>
        </w:tc>
        <w:tc>
          <w:tcPr>
            <w:tcW w:w="134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CAPITAL STOCK</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134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PURCHASE CONTRACTS AND PURCHASE UNITS</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23</w:t>
              </w:r>
            </w:hyperlink>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WARRANTS</w:t>
              </w:r>
            </w:hyperlink>
          </w:p>
        </w:tc>
        <w:tc>
          <w:tcPr>
            <w:tcW w:w="134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24</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13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25</w:t>
              </w:r>
            </w:hyperlink>
          </w:p>
        </w:tc>
        <w:tc>
          <w:tcPr>
            <w:tcW w:w="0" w:type="dxa"/>
            <w:vAlign w:val="bottom"/>
          </w:tcPr>
          <w:p>
            <w:pPr>
              <w:spacing w:after="0"/>
              <w:rPr>
                <w:sz w:val="1"/>
                <w:szCs w:val="1"/>
                <w:color w:val="auto"/>
              </w:rPr>
            </w:pPr>
          </w:p>
        </w:tc>
      </w:tr>
      <w:tr>
        <w:trPr>
          <w:trHeight w:val="311"/>
        </w:trPr>
        <w:tc>
          <w:tcPr>
            <w:tcW w:w="688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134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28</w:t>
              </w:r>
            </w:hyperlink>
          </w:p>
        </w:tc>
        <w:tc>
          <w:tcPr>
            <w:tcW w:w="0" w:type="dxa"/>
            <w:vAlign w:val="bottom"/>
          </w:tcPr>
          <w:p>
            <w:pPr>
              <w:spacing w:after="0"/>
              <w:rPr>
                <w:sz w:val="1"/>
                <w:szCs w:val="1"/>
                <w:color w:val="auto"/>
              </w:rPr>
            </w:pPr>
          </w:p>
        </w:tc>
      </w:tr>
      <w:tr>
        <w:trPr>
          <w:trHeight w:val="27"/>
        </w:trPr>
        <w:tc>
          <w:tcPr>
            <w:tcW w:w="68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686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134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28</w:t>
              </w:r>
            </w:hyperlink>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20" w:lineRule="exact"/>
        <w:rPr>
          <w:sz w:val="20"/>
          <w:szCs w:val="20"/>
          <w:color w:val="auto"/>
        </w:rPr>
      </w:pPr>
    </w:p>
    <w:p>
      <w:pPr>
        <w:ind w:left="1260" w:right="899" w:firstLine="3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w:t>
      </w:r>
      <w:hyperlink w:anchor="page23">
        <w:r>
          <w:rPr>
            <w:rFonts w:ascii="Arial" w:cs="Arial" w:eastAsia="Arial" w:hAnsi="Arial"/>
            <w:sz w:val="18"/>
            <w:szCs w:val="18"/>
            <w:u w:val="single" w:color="auto"/>
            <w:color w:val="0000EE"/>
          </w:rPr>
          <w:t>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w:t>
      </w:r>
    </w:p>
    <w:p>
      <w:pPr>
        <w:spacing w:after="0" w:line="125"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04"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 xml:space="preserve">We use “AYVAKIT” and “Blueprint Medicines” as trademarks in the United States and other countries.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28"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Unless otherwise stated, all references in this prospectus, any applicable prospectus supplement and any related free writing prospectus to “us,” “our,” “Blueprint,” “Blueprint Medicines,” “we,” the “Company” and similar designations refer, collectively, to Blueprint Medicines Corporation,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799" w:firstLine="3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16">
        <w:r>
          <w:rPr>
            <w:rFonts w:ascii="Arial" w:cs="Arial" w:eastAsia="Arial" w:hAnsi="Arial"/>
            <w:sz w:val="18"/>
            <w:szCs w:val="18"/>
            <w:u w:val="single" w:color="auto"/>
            <w:color w:val="0000EE"/>
          </w:rPr>
          <w:t>Annual Report on Form 10-K for the fiscal year ended December 31, 2019</w:t>
        </w:r>
      </w:hyperlink>
      <w:r>
        <w:rPr>
          <w:rFonts w:ascii="Arial" w:cs="Arial" w:eastAsia="Arial" w:hAnsi="Arial"/>
          <w:sz w:val="18"/>
          <w:szCs w:val="18"/>
          <w:color w:val="auto"/>
        </w:rPr>
        <w:t>, which is on file with the SEC and is incorporated herein by reference, and any of our subsequent filings with the SEC, before making an investment decision pursuant to this prospectus and any accompanying prospectus supplement relating to a specific offering.</w:t>
      </w:r>
    </w:p>
    <w:p>
      <w:pPr>
        <w:spacing w:after="0" w:line="123"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7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107"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SEC allows us to incorporate by reference much of the information we file with the SEC,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means that we can disclose important information to you by referring you to those publicly available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documents. The information that we incorporate by reference in this prospectus is considered to be part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prospectus. Because we are incorporating by reference future filings with the SEC, this prospectus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continually updated and those future filings may modify or supersede some of the information included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incorporated in this prospectus. This means that you must look at all of the SEC filings that we incorporate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reference to determine if any of the statements in this prospectus or in any document previously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incorporated by reference have been modified or superseded. This prospectus incorporates by reference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documents listed below (File No. 001-37359) and any future filings we make with the SEC under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Sections 13(a), 13(c), 14 or 15(d) of the Securities Exchange Act of 1934, as amended, or the Exchange Act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each case, other than those documents or the portions of those documents not deemed to be filed) until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offering of the securities under the registration statement is terminated or completed:</w:t>
      </w:r>
    </w:p>
    <w:p>
      <w:pPr>
        <w:spacing w:after="0" w:line="103" w:lineRule="exact"/>
        <w:rPr>
          <w:sz w:val="20"/>
          <w:szCs w:val="20"/>
          <w:color w:val="auto"/>
        </w:rPr>
      </w:pPr>
    </w:p>
    <w:p>
      <w:pPr>
        <w:ind w:left="1800" w:right="759" w:hanging="178"/>
        <w:spacing w:after="0" w:line="277" w:lineRule="auto"/>
        <w:tabs>
          <w:tab w:leader="none" w:pos="1800" w:val="left"/>
        </w:tabs>
        <w:numPr>
          <w:ilvl w:val="0"/>
          <w:numId w:val="10"/>
        </w:numPr>
        <w:rPr>
          <w:rFonts w:ascii="Arial" w:cs="Arial" w:eastAsia="Arial" w:hAnsi="Arial"/>
          <w:sz w:val="18"/>
          <w:szCs w:val="18"/>
          <w:color w:val="0000EE"/>
        </w:rPr>
      </w:pPr>
      <w:hyperlink r:id="rId16">
        <w:r>
          <w:rPr>
            <w:rFonts w:ascii="Arial" w:cs="Arial" w:eastAsia="Arial" w:hAnsi="Arial"/>
            <w:sz w:val="18"/>
            <w:szCs w:val="18"/>
            <w:u w:val="single" w:color="auto"/>
            <w:color w:val="0000EE"/>
          </w:rPr>
          <w:t>Annual Report on Form 10-K for the fiscal year ended December 31, 2019, which was filed with the</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SEC on February 13, 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800" w:right="739" w:hanging="178"/>
        <w:spacing w:after="0" w:line="259" w:lineRule="auto"/>
        <w:tabs>
          <w:tab w:leader="none" w:pos="1800" w:val="left"/>
        </w:tabs>
        <w:numPr>
          <w:ilvl w:val="0"/>
          <w:numId w:val="10"/>
        </w:numPr>
        <w:rPr>
          <w:rFonts w:ascii="Arial" w:cs="Arial" w:eastAsia="Arial" w:hAnsi="Arial"/>
          <w:sz w:val="18"/>
          <w:szCs w:val="18"/>
          <w:color w:val="0000EE"/>
        </w:rPr>
      </w:pPr>
      <w:hyperlink r:id="rId62">
        <w:r>
          <w:rPr>
            <w:rFonts w:ascii="Arial" w:cs="Arial" w:eastAsia="Arial" w:hAnsi="Arial"/>
            <w:sz w:val="18"/>
            <w:szCs w:val="18"/>
            <w:u w:val="single" w:color="auto"/>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u w:val="single" w:color="auto"/>
          <w:color w:val="auto"/>
        </w:rPr>
        <w:t xml:space="preserve"> </w:t>
      </w:r>
      <w:hyperlink r:id="rId63">
        <w:r>
          <w:rPr>
            <w:rFonts w:ascii="Arial" w:cs="Arial" w:eastAsia="Arial" w:hAnsi="Arial"/>
            <w:sz w:val="18"/>
            <w:szCs w:val="18"/>
            <w:u w:val="single" w:color="auto"/>
            <w:color w:val="0000EE"/>
          </w:rPr>
          <w:t xml:space="preserve">fiscal year ended December 31, 2018 </w:t>
        </w:r>
        <w:r>
          <w:rPr>
            <w:rFonts w:ascii="Arial" w:cs="Arial" w:eastAsia="Arial" w:hAnsi="Arial"/>
            <w:sz w:val="18"/>
            <w:szCs w:val="18"/>
            <w:u w:val="single" w:color="auto"/>
            <w:color w:val="000000"/>
          </w:rPr>
          <w:t>from our</w:t>
        </w:r>
        <w:r>
          <w:rPr>
            <w:rFonts w:ascii="Arial" w:cs="Arial" w:eastAsia="Arial" w:hAnsi="Arial"/>
            <w:sz w:val="18"/>
            <w:szCs w:val="18"/>
            <w:u w:val="single" w:color="auto"/>
            <w:color w:val="0000EE"/>
          </w:rPr>
          <w:t xml:space="preserve"> definitive proxy statement (other than information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furnished rather than filed) for the 2019 Annual Meeting of Stockholders, which was filed with the</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SEC on April 29, 2019</w:t>
        </w:r>
        <w:r>
          <w:rPr>
            <w:rFonts w:ascii="Arial" w:cs="Arial" w:eastAsia="Arial" w:hAnsi="Arial"/>
            <w:sz w:val="18"/>
            <w:szCs w:val="18"/>
            <w:color w:val="000000"/>
          </w:rPr>
          <w:t>; and</w:t>
        </w:r>
      </w:hyperlink>
    </w:p>
    <w:p>
      <w:pPr>
        <w:spacing w:after="0" w:line="78" w:lineRule="exact"/>
        <w:rPr>
          <w:rFonts w:ascii="Arial" w:cs="Arial" w:eastAsia="Arial" w:hAnsi="Arial"/>
          <w:sz w:val="18"/>
          <w:szCs w:val="18"/>
          <w:color w:val="0000EE"/>
        </w:rPr>
      </w:pPr>
    </w:p>
    <w:p>
      <w:pPr>
        <w:ind w:left="1800" w:right="799" w:hanging="178"/>
        <w:spacing w:after="0" w:line="263" w:lineRule="auto"/>
        <w:tabs>
          <w:tab w:leader="none" w:pos="1800" w:val="left"/>
        </w:tabs>
        <w:numPr>
          <w:ilvl w:val="0"/>
          <w:numId w:val="10"/>
        </w:numPr>
        <w:rPr>
          <w:rFonts w:ascii="Arial" w:cs="Arial" w:eastAsia="Arial" w:hAnsi="Arial"/>
          <w:sz w:val="18"/>
          <w:szCs w:val="18"/>
          <w:color w:val="0000EE"/>
        </w:rPr>
      </w:pPr>
      <w:hyperlink r:id="rId36">
        <w:r>
          <w:rPr>
            <w:rFonts w:ascii="Arial" w:cs="Arial" w:eastAsia="Arial" w:hAnsi="Arial"/>
            <w:sz w:val="18"/>
            <w:szCs w:val="18"/>
            <w:color w:val="auto"/>
          </w:rPr>
          <w:t xml:space="preserve">The description of our common stock contained in our </w:t>
        </w:r>
        <w:r>
          <w:rPr>
            <w:rFonts w:ascii="Arial" w:cs="Arial" w:eastAsia="Arial" w:hAnsi="Arial"/>
            <w:sz w:val="18"/>
            <w:szCs w:val="18"/>
            <w:u w:val="single" w:color="auto"/>
            <w:color w:val="0000EE"/>
          </w:rPr>
          <w:t>Registration Statement on Form 8-A filed on</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April 27, 2015</w:t>
        </w:r>
        <w:r>
          <w:rPr>
            <w:rFonts w:ascii="Arial" w:cs="Arial" w:eastAsia="Arial" w:hAnsi="Arial"/>
            <w:sz w:val="18"/>
            <w:szCs w:val="18"/>
            <w:color w:val="000000"/>
          </w:rPr>
          <w:t>, including any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16" w:lineRule="exact"/>
        <w:rPr>
          <w:rFonts w:ascii="Arial" w:cs="Arial" w:eastAsia="Arial" w:hAnsi="Arial"/>
          <w:sz w:val="18"/>
          <w:szCs w:val="18"/>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ectPr>
          <w:pgSz w:w="11900" w:h="16838" w:orient="portrait"/>
          <w:cols w:equalWidth="0" w:num="1">
            <w:col w:w="10139"/>
          </w:cols>
          <w:pgMar w:left="320" w:top="131" w:right="1440" w:bottom="1440" w:gutter="0" w:footer="0" w:header="0"/>
        </w:sectPr>
      </w:pPr>
    </w:p>
    <w:p>
      <w:pPr>
        <w:spacing w:after="0" w:line="346"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E-mail: ir@blueprintmedicines.com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Arial" w:cs="Arial" w:eastAsia="Arial" w:hAnsi="Arial"/>
          <w:sz w:val="17"/>
          <w:szCs w:val="17"/>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ongoing clinical trials and any planned clinical trials for avapritinib, pralsetinib, fisogatinib and BLU-263, and our research and development programs; our ability to advance drug candidates into, and successfully complete, clinical trials; the timing or likelihood of regulatory actions, filings and approvals for our drug candidates and our ability to successfully expand the indication for avapritinib, obtain marketing approval for avapritinib in additional jurisdictions and obtain marketing approval for pralsetinib; our ability and plans in continuing to build out our commercial infrastructure and successfully launching, marketing and selling AYVAKIT™ (avapritinib) and any future drug candidate for which we receive marketing approval in the U.S. and Europe; the rate and degree of market acceptance of AYVAKIT and any current and future drug candidates for which we receive marketing approval; the pricing and reimbursement of AYVAKIT and any future drugs for which we receive marketing approval; our ability to successfully develop manufacturing processes for our drug and drug candidates and secure manufacturing, packaging and labeling arrangements for development activities and commercial production; the implementation of our business model and strategic plans for our business, drug and drug candidates and technology; the scope of protection we are able to establish and maintain for intellectual property rights covering our drug, drug candidates and technology; the potential benefits of our collaborations with F. Hoffmann-La Roche Ltd and Hoffmann-La Roche Inc. and CStone Pharmaceuticals, as well as our ability to maintain these collaborations and establish other strategic collaborations; the potential benefits of our exclusive license agreement with Clementia Pharmaceuticals, Inc.; the development of a companion diagnostic test for AYVAKIT to identify patients with a PDGFRA D842V mutation or companion diagnostic tests for our current or future drug candidates; our financial performance and estimates of our expenses, future revenues, capital requirements and our needs for future financing; and developments relating to our competitors and our industry.</w:t>
      </w:r>
    </w:p>
    <w:p>
      <w:pPr>
        <w:spacing w:after="0" w:line="345"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BLUEPRINT MEDICINES CORPORATION</w:t>
      </w:r>
    </w:p>
    <w:p>
      <w:pPr>
        <w:spacing w:after="0" w:line="14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2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were incorporated in Delaware on October 14, 2008. Our mailing address and principal executive offices are located at 45 Sidney Street, Cambridge, Massachusetts 02139, and our telephone number is (617) 714-6674. We maintain an Internet website at the following address: www.blueprintmedicines.com. The information on, or that can be accessed through, our website does not constitute part of this prospectus, and you should not rely on any such information in making the decision whether to purchase our common stock. Our common stock trades on the Nasdaq Global Select Market under the symbol “BPMC.”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of our drug candidates and to discover additional drug candidates, commercialization cost for any approved drugs, the acquisition or licensing of other drugs or drug candidates, business or technologies,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DILUTION</w:t>
      </w:r>
    </w:p>
    <w:p>
      <w:pPr>
        <w:spacing w:after="0" w:line="144"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8"/>
          <w:szCs w:val="18"/>
          <w:b w:val="1"/>
          <w:bCs w:val="1"/>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79" w:lineRule="exact"/>
        <w:rPr>
          <w:sz w:val="20"/>
          <w:szCs w:val="20"/>
          <w:color w:val="auto"/>
        </w:rPr>
      </w:pPr>
    </w:p>
    <w:p>
      <w:pPr>
        <w:ind w:left="1800" w:right="99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62" w:lineRule="exact"/>
        <w:rPr>
          <w:rFonts w:ascii="Arial" w:cs="Arial" w:eastAsia="Arial" w:hAnsi="Arial"/>
          <w:sz w:val="18"/>
          <w:szCs w:val="18"/>
          <w:color w:val="auto"/>
        </w:rPr>
      </w:pPr>
    </w:p>
    <w:p>
      <w:pPr>
        <w:ind w:left="1800" w:right="1039" w:hanging="178"/>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THE INCREASE IN SUCH NET TANGIBLE BOOK VALUE PER SHARE ATTRIBUTABLE TO THE CASH PAYMENTS MADE BY THE PURCHASERS IN THE OFFERING; AND</w:t>
      </w:r>
    </w:p>
    <w:p>
      <w:pPr>
        <w:spacing w:after="0" w:line="75"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1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one vote for each share held on all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to be voted upon by stockholders.</w:t>
      </w:r>
    </w:p>
    <w:p>
      <w:pPr>
        <w:spacing w:after="0" w:line="89"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common stock, after any preferences of holders of any preferred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when and if declared by the board of directors out of legally available funds.</w:t>
      </w:r>
    </w:p>
    <w:p>
      <w:pPr>
        <w:spacing w:after="0" w:line="7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If we are liquidated or dissolved, the holders of the common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20" w:lineRule="exact"/>
        <w:rPr>
          <w:sz w:val="20"/>
          <w:szCs w:val="20"/>
          <w:color w:val="auto"/>
        </w:rPr>
      </w:pPr>
    </w:p>
    <w:p>
      <w:pPr>
        <w:jc w:val="both"/>
        <w:ind w:left="1260" w:right="779" w:firstLine="360"/>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the common stock have no right to convert the stock into any other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stock 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06"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i w:val="1"/>
          <w:iCs w:val="1"/>
          <w:color w:val="auto"/>
        </w:rPr>
        <w:t xml:space="preserve">Nasdaq Global Select Market. </w:t>
      </w:r>
      <w:r>
        <w:rPr>
          <w:rFonts w:ascii="Arial" w:cs="Arial" w:eastAsia="Arial" w:hAnsi="Arial"/>
          <w:sz w:val="18"/>
          <w:szCs w:val="18"/>
          <w:color w:val="auto"/>
        </w:rPr>
        <w:t>Our common stock is listed on the Nasdaq Global Select Market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trading symbol “BPMC.”</w:t>
      </w:r>
    </w:p>
    <w:p>
      <w:pPr>
        <w:spacing w:after="0" w:line="10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Computershare Trust Company, N.A. is the transfer agent and registrar</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ectPr>
          <w:pgSz w:w="11900" w:h="16838" w:orient="portrait"/>
          <w:cols w:equalWidth="0" w:num="1">
            <w:col w:w="10139"/>
          </w:cols>
          <w:pgMar w:left="320" w:top="131" w:right="1440" w:bottom="1440" w:gutter="0" w:footer="0" w:header="0"/>
        </w:sect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3" w:lineRule="exact"/>
        <w:rPr>
          <w:sz w:val="20"/>
          <w:szCs w:val="20"/>
          <w:color w:val="auto"/>
        </w:rPr>
      </w:pPr>
    </w:p>
    <w:p>
      <w:pPr>
        <w:ind w:left="1260" w:right="1039" w:firstLine="360"/>
        <w:spacing w:after="0" w:line="270" w:lineRule="auto"/>
        <w:rPr>
          <w:sz w:val="20"/>
          <w:szCs w:val="20"/>
          <w:color w:val="auto"/>
        </w:rPr>
      </w:pPr>
      <w:r>
        <w:rPr>
          <w:rFonts w:ascii="Arial" w:cs="Arial" w:eastAsia="Arial" w:hAnsi="Arial"/>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56" w:lineRule="exact"/>
        <w:rPr>
          <w:sz w:val="20"/>
          <w:szCs w:val="20"/>
          <w:color w:val="auto"/>
        </w:rPr>
      </w:pPr>
    </w:p>
    <w:p>
      <w:pPr>
        <w:ind w:left="1800" w:hanging="178"/>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designation and stated value per share of the preferred stock and the number of shares offered;</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17"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17" w:lineRule="exact"/>
        <w:rPr>
          <w:rFonts w:ascii="Arial" w:cs="Arial" w:eastAsia="Arial" w:hAnsi="Arial"/>
          <w:sz w:val="18"/>
          <w:szCs w:val="18"/>
          <w:color w:val="auto"/>
        </w:rPr>
      </w:pPr>
    </w:p>
    <w:p>
      <w:pPr>
        <w:ind w:left="1800" w:right="1059" w:hanging="178"/>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provisions;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158" w:lineRule="exact"/>
        <w:rPr>
          <w:sz w:val="20"/>
          <w:szCs w:val="20"/>
          <w:color w:val="auto"/>
        </w:rPr>
      </w:pPr>
    </w:p>
    <w:p>
      <w:pPr>
        <w:ind w:left="1260" w:right="799" w:firstLine="360"/>
        <w:spacing w:after="0" w:line="262" w:lineRule="auto"/>
        <w:rPr>
          <w:sz w:val="20"/>
          <w:szCs w:val="20"/>
          <w:color w:val="auto"/>
        </w:rPr>
      </w:pPr>
      <w:r>
        <w:rPr>
          <w:rFonts w:ascii="Arial" w:cs="Arial" w:eastAsia="Arial" w:hAnsi="Arial"/>
          <w:sz w:val="17"/>
          <w:szCs w:val="17"/>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91" w:lineRule="exact"/>
        <w:rPr>
          <w:sz w:val="20"/>
          <w:szCs w:val="20"/>
          <w:color w:val="auto"/>
        </w:rPr>
      </w:pPr>
    </w:p>
    <w:p>
      <w:pPr>
        <w:ind w:left="1260" w:right="959" w:firstLine="360"/>
        <w:spacing w:after="0" w:line="248"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provided in the applicable prospectus supplement, the preferred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dividend rights and rights upon our liquidation, dissolution or winding up of our affairs, rank:</w:t>
      </w:r>
    </w:p>
    <w:p>
      <w:pPr>
        <w:spacing w:after="0" w:line="74" w:lineRule="exact"/>
        <w:rPr>
          <w:sz w:val="20"/>
          <w:szCs w:val="20"/>
          <w:color w:val="auto"/>
        </w:rPr>
      </w:pPr>
    </w:p>
    <w:p>
      <w:pPr>
        <w:ind w:left="1800" w:right="919" w:hanging="178"/>
        <w:spacing w:after="0" w:line="308"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senior to our common stock and to all equity securities ranking junior to such preferred stock with respect to dividend rights or rights upon our liquidation, dissolution or winding up of our affairs;</w:t>
      </w:r>
    </w:p>
    <w:p>
      <w:pPr>
        <w:spacing w:after="0" w:line="38" w:lineRule="exact"/>
        <w:rPr>
          <w:rFonts w:ascii="Arial" w:cs="Arial" w:eastAsia="Arial" w:hAnsi="Arial"/>
          <w:sz w:val="17"/>
          <w:szCs w:val="17"/>
          <w:color w:val="auto"/>
        </w:rPr>
      </w:pPr>
    </w:p>
    <w:p>
      <w:pPr>
        <w:ind w:left="1800" w:right="87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2"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44"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22"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Dividends on any series of preferred stock may be cumulative or noncumulative, as described in the applicable prospectus supplement. If our board of directors does not declare a dividend payable on a</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11"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16"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19" w:lineRule="exact"/>
        <w:rPr>
          <w:sz w:val="20"/>
          <w:szCs w:val="20"/>
          <w:color w:val="auto"/>
        </w:rPr>
      </w:pPr>
    </w:p>
    <w:p>
      <w:pPr>
        <w:ind w:left="1260" w:right="699" w:firstLine="360"/>
        <w:spacing w:after="0" w:line="267"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w:t>
      </w:r>
      <w:r>
        <w:rPr>
          <w:rFonts w:ascii="Arial" w:cs="Arial" w:eastAsia="Arial" w:hAnsi="Arial"/>
          <w:sz w:val="17"/>
          <w:szCs w:val="17"/>
          <w:i w:val="1"/>
          <w:iCs w:val="1"/>
          <w:color w:val="auto"/>
        </w:rPr>
        <w:t xml:space="preserve"> </w:t>
      </w:r>
      <w:r>
        <w:rPr>
          <w:rFonts w:ascii="Arial" w:cs="Arial" w:eastAsia="Arial" w:hAnsi="Arial"/>
          <w:sz w:val="17"/>
          <w:szCs w:val="17"/>
          <w:color w:val="auto"/>
        </w:rPr>
        <w:t>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1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27"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If so provided in the applicable prospectus supplement, the preferred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mandatory redemption or redemption at our option, as a whole or in part, in each case upon the terms, at the times and at the redemption prices set forth in such prospectus supplement.</w:t>
      </w:r>
    </w:p>
    <w:p>
      <w:pPr>
        <w:spacing w:after="0" w:line="116"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w:t>
      </w:r>
    </w:p>
    <w:p>
      <w:pPr>
        <w:sectPr>
          <w:pgSz w:w="11900" w:h="16838" w:orient="portrait"/>
          <w:cols w:equalWidth="0" w:num="1">
            <w:col w:w="10139"/>
          </w:cols>
          <w:pgMar w:left="32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stock pursuant to conversion provisions specified in the applicable prospectus supplement. Notwithstanding the foregoing, we will not redeem any preferred stock of a series unless:</w:t>
      </w:r>
    </w:p>
    <w:p>
      <w:pPr>
        <w:spacing w:after="0" w:line="49" w:lineRule="exact"/>
        <w:rPr>
          <w:sz w:val="20"/>
          <w:szCs w:val="20"/>
          <w:color w:val="auto"/>
        </w:rPr>
      </w:pPr>
    </w:p>
    <w:p>
      <w:pPr>
        <w:ind w:left="1800" w:right="1259" w:hanging="178"/>
        <w:spacing w:after="0" w:line="286"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57" w:lineRule="exact"/>
        <w:rPr>
          <w:rFonts w:ascii="Arial" w:cs="Arial" w:eastAsia="Arial" w:hAnsi="Arial"/>
          <w:sz w:val="17"/>
          <w:szCs w:val="17"/>
          <w:color w:val="auto"/>
        </w:rPr>
      </w:pPr>
    </w:p>
    <w:p>
      <w:pPr>
        <w:ind w:left="1800" w:right="85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04" w:lineRule="exact"/>
        <w:rPr>
          <w:sz w:val="20"/>
          <w:szCs w:val="20"/>
          <w:color w:val="auto"/>
        </w:rPr>
      </w:pPr>
    </w:p>
    <w:p>
      <w:pPr>
        <w:ind w:left="1800" w:right="739" w:hanging="178"/>
        <w:spacing w:after="0" w:line="259"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78" w:lineRule="exact"/>
        <w:rPr>
          <w:rFonts w:ascii="Arial" w:cs="Arial" w:eastAsia="Arial" w:hAnsi="Arial"/>
          <w:sz w:val="18"/>
          <w:szCs w:val="18"/>
          <w:color w:val="auto"/>
        </w:rPr>
      </w:pPr>
    </w:p>
    <w:p>
      <w:pPr>
        <w:ind w:left="1800" w:right="75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16"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20" w:lineRule="exact"/>
        <w:rPr>
          <w:sz w:val="20"/>
          <w:szCs w:val="20"/>
          <w:color w:val="auto"/>
        </w:rPr>
      </w:pPr>
    </w:p>
    <w:p>
      <w:pPr>
        <w:jc w:val="both"/>
        <w:ind w:left="1260" w:right="759" w:firstLine="360"/>
        <w:spacing w:after="0" w:line="241" w:lineRule="auto"/>
        <w:rPr>
          <w:sz w:val="20"/>
          <w:szCs w:val="20"/>
          <w:color w:val="auto"/>
        </w:rPr>
      </w:pPr>
      <w:r>
        <w:rPr>
          <w:rFonts w:ascii="Arial" w:cs="Arial" w:eastAsia="Arial" w:hAnsi="Arial"/>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08" w:lineRule="exact"/>
        <w:rPr>
          <w:sz w:val="20"/>
          <w:szCs w:val="20"/>
          <w:color w:val="auto"/>
        </w:rPr>
      </w:pPr>
    </w:p>
    <w:p>
      <w:pPr>
        <w:jc w:val="both"/>
        <w:ind w:left="1260" w:right="779" w:firstLine="360"/>
        <w:spacing w:after="0" w:line="270" w:lineRule="auto"/>
        <w:rPr>
          <w:sz w:val="20"/>
          <w:szCs w:val="20"/>
          <w:color w:val="auto"/>
        </w:rPr>
      </w:pPr>
      <w:r>
        <w:rPr>
          <w:rFonts w:ascii="Arial" w:cs="Arial" w:eastAsia="Arial" w:hAnsi="Arial"/>
          <w:sz w:val="17"/>
          <w:szCs w:val="17"/>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56" w:lineRule="exact"/>
        <w:rPr>
          <w:sz w:val="20"/>
          <w:szCs w:val="20"/>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03"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0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20"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w:t>
      </w:r>
      <w:r>
        <w:rPr>
          <w:rFonts w:ascii="Arial" w:cs="Arial" w:eastAsia="Arial" w:hAnsi="Arial"/>
          <w:sz w:val="18"/>
          <w:szCs w:val="18"/>
          <w:i w:val="1"/>
          <w:iCs w:val="1"/>
          <w:color w:val="auto"/>
        </w:rPr>
        <w:t xml:space="preserve"> </w:t>
      </w:r>
      <w:r>
        <w:rPr>
          <w:rFonts w:ascii="Arial" w:cs="Arial" w:eastAsia="Arial" w:hAnsi="Arial"/>
          <w:sz w:val="18"/>
          <w:szCs w:val="18"/>
          <w:color w:val="auto"/>
        </w:rPr>
        <w:t>as indicated in the applicable prospectus supplement.</w:t>
      </w:r>
    </w:p>
    <w:p>
      <w:pPr>
        <w:spacing w:after="0" w:line="90" w:lineRule="exact"/>
        <w:rPr>
          <w:sz w:val="20"/>
          <w:szCs w:val="20"/>
          <w:color w:val="auto"/>
        </w:rPr>
      </w:pPr>
    </w:p>
    <w:p>
      <w:pPr>
        <w:jc w:val="both"/>
        <w:ind w:left="1260" w:right="939" w:firstLine="360"/>
        <w:spacing w:after="0" w:line="270" w:lineRule="auto"/>
        <w:rPr>
          <w:sz w:val="20"/>
          <w:szCs w:val="20"/>
          <w:color w:val="auto"/>
        </w:rPr>
      </w:pPr>
      <w:r>
        <w:rPr>
          <w:rFonts w:ascii="Arial" w:cs="Arial" w:eastAsia="Arial" w:hAnsi="Arial"/>
          <w:sz w:val="17"/>
          <w:szCs w:val="17"/>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w:t>
      </w:r>
    </w:p>
    <w:p>
      <w:pPr>
        <w:spacing w:after="0" w:line="3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3" w:lineRule="auto"/>
        <w:rPr>
          <w:sz w:val="20"/>
          <w:szCs w:val="20"/>
          <w:color w:val="auto"/>
        </w:rPr>
      </w:pPr>
      <w:r>
        <w:rPr>
          <w:rFonts w:ascii="Arial" w:cs="Arial" w:eastAsia="Arial" w:hAnsi="Arial"/>
          <w:sz w:val="18"/>
          <w:szCs w:val="18"/>
          <w:color w:val="auto"/>
        </w:rPr>
        <w:t>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3"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2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preferred stock will be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applicable prospectus supplement.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w:t>
      </w:r>
    </w:p>
    <w:p>
      <w:pPr>
        <w:spacing w:after="0" w:line="1" w:lineRule="exact"/>
        <w:rPr>
          <w:sz w:val="20"/>
          <w:szCs w:val="20"/>
          <w:color w:val="auto"/>
        </w:rPr>
      </w:pPr>
    </w:p>
    <w:p>
      <w:pPr>
        <w:jc w:val="both"/>
        <w:ind w:left="1260" w:right="679"/>
        <w:spacing w:after="0" w:line="255" w:lineRule="auto"/>
        <w:rPr>
          <w:sz w:val="20"/>
          <w:szCs w:val="20"/>
          <w:color w:val="auto"/>
        </w:rPr>
      </w:pPr>
      <w:r>
        <w:rPr>
          <w:rFonts w:ascii="Arial" w:cs="Arial" w:eastAsia="Arial" w:hAnsi="Arial"/>
          <w:sz w:val="18"/>
          <w:szCs w:val="18"/>
          <w:color w:val="auto"/>
        </w:rPr>
        <w:t>90 days following any offering of our securities. The registration rights will terminate upon the earlier of the date on which all registrable shares have been sold and the date the registration rights terminate pursuant to the terms of the Investors’ Rights Agreement.</w:t>
      </w:r>
    </w:p>
    <w:p>
      <w:pPr>
        <w:spacing w:after="0" w:line="122"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us to file a registration statement under the Securities Act on a Form S-1 or Form S-3, if available, at our expense with respect to the resale of their registrable shares, and we are required to use our best efforts to effect the registration.</w:t>
      </w:r>
    </w:p>
    <w:p>
      <w:pPr>
        <w:spacing w:after="0" w:line="119" w:lineRule="exact"/>
        <w:rPr>
          <w:sz w:val="20"/>
          <w:szCs w:val="20"/>
          <w:color w:val="auto"/>
        </w:rPr>
      </w:pPr>
    </w:p>
    <w:p>
      <w:pPr>
        <w:ind w:left="1260" w:right="719" w:firstLine="360"/>
        <w:spacing w:after="0" w:line="279"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we propose to register any of our securities under the 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own 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90"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any demand or piggyback registration. The Investors’ Rights Agreement contains customary cross-indemnification provisions pursuant to which we are obligated to indemnify the selling stockholders in the</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spacing w:after="0" w:line="291" w:lineRule="auto"/>
        <w:rPr>
          <w:sz w:val="20"/>
          <w:szCs w:val="20"/>
          <w:color w:val="auto"/>
        </w:rPr>
      </w:pPr>
      <w:r>
        <w:rPr>
          <w:rFonts w:ascii="Arial" w:cs="Arial" w:eastAsia="Arial" w:hAnsi="Arial"/>
          <w:sz w:val="17"/>
          <w:szCs w:val="17"/>
          <w:color w:val="auto"/>
        </w:rPr>
        <w:t>event of misstatements or omissions in the registration statement attributable to us except in the event of fraud and they are obligated to indemnify us for misstatements or omissions attributable to them.</w:t>
      </w:r>
    </w:p>
    <w:p>
      <w:pPr>
        <w:spacing w:after="0" w:line="143" w:lineRule="exact"/>
        <w:rPr>
          <w:sz w:val="20"/>
          <w:szCs w:val="20"/>
          <w:color w:val="auto"/>
        </w:rPr>
      </w:pPr>
    </w:p>
    <w:p>
      <w:pPr>
        <w:ind w:left="1260" w:right="959"/>
        <w:spacing w:after="0" w:line="266" w:lineRule="auto"/>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85"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20"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is divided 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23" w:lineRule="exact"/>
        <w:rPr>
          <w:sz w:val="20"/>
          <w:szCs w:val="20"/>
          <w:color w:val="auto"/>
        </w:rPr>
      </w:pPr>
    </w:p>
    <w:p>
      <w:pPr>
        <w:ind w:left="1260" w:right="1059" w:firstLine="360"/>
        <w:spacing w:after="0" w:line="248"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certificate of incorporation provides that all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are required to be taken by a vote of the stockholders at an annual or special meeting, and that stockholders may not take any action by written consent in lieu of a meeting.</w:t>
      </w:r>
    </w:p>
    <w:p>
      <w:pPr>
        <w:spacing w:after="0" w:line="101" w:lineRule="exact"/>
        <w:rPr>
          <w:sz w:val="20"/>
          <w:szCs w:val="20"/>
          <w:color w:val="auto"/>
        </w:rPr>
      </w:pPr>
    </w:p>
    <w:p>
      <w:pPr>
        <w:ind w:left="1260" w:right="1039" w:firstLine="360"/>
        <w:spacing w:after="0" w:line="241"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bylaws provide that only a majority of the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22"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Our bylaws establish advance notice procedures with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8" w:lineRule="exact"/>
        <w:rPr>
          <w:sz w:val="20"/>
          <w:szCs w:val="20"/>
          <w:color w:val="auto"/>
        </w:rPr>
      </w:pPr>
    </w:p>
    <w:p>
      <w:pPr>
        <w:ind w:left="1620"/>
        <w:spacing w:after="0"/>
        <w:tabs>
          <w:tab w:leader="none" w:pos="5940" w:val="left"/>
        </w:tabs>
        <w:rPr>
          <w:sz w:val="20"/>
          <w:szCs w:val="20"/>
          <w:color w:val="auto"/>
        </w:rPr>
      </w:pPr>
      <w:r>
        <w:rPr>
          <w:rFonts w:ascii="Arial" w:cs="Arial" w:eastAsia="Arial" w:hAnsi="Arial"/>
          <w:sz w:val="18"/>
          <w:szCs w:val="18"/>
          <w:i w:val="1"/>
          <w:iCs w:val="1"/>
          <w:color w:val="auto"/>
        </w:rPr>
        <w:t>Amendment to Certificate of Incorporation and Bylaws.</w:t>
      </w:r>
      <w:r>
        <w:rPr>
          <w:sz w:val="20"/>
          <w:szCs w:val="20"/>
          <w:color w:val="auto"/>
        </w:rPr>
        <w:tab/>
      </w:r>
      <w:r>
        <w:rPr>
          <w:rFonts w:ascii="Arial" w:cs="Arial" w:eastAsia="Arial" w:hAnsi="Arial"/>
          <w:sz w:val="17"/>
          <w:szCs w:val="17"/>
          <w:color w:val="auto"/>
        </w:rPr>
        <w:t>As required by the Delaware General</w:t>
      </w:r>
    </w:p>
    <w:p>
      <w:pPr>
        <w:spacing w:after="0" w:line="23"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15"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i w:val="1"/>
          <w:iCs w:val="1"/>
          <w:color w:val="auto"/>
        </w:rPr>
        <w:t xml:space="preserve">Blank Check Preferred Stock. </w:t>
      </w:r>
      <w:r>
        <w:rPr>
          <w:rFonts w:ascii="Arial" w:cs="Arial" w:eastAsia="Arial" w:hAnsi="Arial"/>
          <w:sz w:val="17"/>
          <w:szCs w:val="17"/>
          <w:color w:val="auto"/>
        </w:rPr>
        <w:t>Our certificate of incorporation provides for 5,000,000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preferred stock. The existence of authorized but unissued shares of preferred stock may enable our board of directors to render more difficult or to discourage an attempt to obtain control of us by means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04" w:lineRule="exact"/>
        <w:rPr>
          <w:sz w:val="20"/>
          <w:szCs w:val="20"/>
          <w:color w:val="auto"/>
        </w:rPr>
      </w:pPr>
    </w:p>
    <w:p>
      <w:pPr>
        <w:ind w:left="1260" w:right="1019" w:firstLine="360"/>
        <w:spacing w:after="0" w:line="257" w:lineRule="auto"/>
        <w:rPr>
          <w:sz w:val="20"/>
          <w:szCs w:val="20"/>
          <w:color w:val="auto"/>
        </w:rPr>
      </w:pPr>
      <w:r>
        <w:rPr>
          <w:rFonts w:ascii="Arial" w:cs="Arial" w:eastAsia="Arial" w:hAnsi="Arial"/>
          <w:sz w:val="18"/>
          <w:szCs w:val="18"/>
          <w:i w:val="1"/>
          <w:iCs w:val="1"/>
          <w:color w:val="auto"/>
        </w:rPr>
        <w:t xml:space="preserve">Section 203 of the Delaware General Corporation Law. </w:t>
      </w:r>
      <w:r>
        <w:rPr>
          <w:rFonts w:ascii="Arial" w:cs="Arial" w:eastAsia="Arial" w:hAnsi="Arial"/>
          <w:sz w:val="18"/>
          <w:szCs w:val="18"/>
          <w:color w:val="auto"/>
        </w:rPr>
        <w:t>We are subject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20" w:lineRule="exact"/>
        <w:rPr>
          <w:sz w:val="20"/>
          <w:szCs w:val="20"/>
          <w:color w:val="auto"/>
        </w:rPr>
      </w:pPr>
    </w:p>
    <w:p>
      <w:pPr>
        <w:ind w:left="1260" w:right="1039" w:firstLine="360"/>
        <w:spacing w:after="0" w:line="255" w:lineRule="auto"/>
        <w:rPr>
          <w:sz w:val="20"/>
          <w:szCs w:val="20"/>
          <w:color w:val="auto"/>
        </w:rPr>
      </w:pPr>
      <w:r>
        <w:rPr>
          <w:rFonts w:ascii="Arial" w:cs="Arial" w:eastAsia="Arial" w:hAnsi="Arial"/>
          <w:sz w:val="18"/>
          <w:szCs w:val="18"/>
          <w:color w:val="auto"/>
        </w:rPr>
        <w:t>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84" w:lineRule="exact"/>
        <w:rPr>
          <w:sz w:val="20"/>
          <w:szCs w:val="20"/>
          <w:color w:val="auto"/>
        </w:rPr>
      </w:pPr>
    </w:p>
    <w:p>
      <w:pPr>
        <w:ind w:left="1800" w:right="699" w:hanging="178"/>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38" w:lineRule="exact"/>
        <w:rPr>
          <w:rFonts w:ascii="Arial" w:cs="Arial" w:eastAsia="Arial" w:hAnsi="Arial"/>
          <w:sz w:val="17"/>
          <w:szCs w:val="17"/>
          <w:color w:val="auto"/>
        </w:rPr>
      </w:pPr>
    </w:p>
    <w:p>
      <w:pPr>
        <w:ind w:left="1800" w:right="699" w:hanging="178"/>
        <w:spacing w:after="0" w:line="25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9" w:lineRule="exact"/>
        <w:rPr>
          <w:rFonts w:ascii="Arial" w:cs="Arial" w:eastAsia="Arial" w:hAnsi="Arial"/>
          <w:sz w:val="18"/>
          <w:szCs w:val="18"/>
          <w:color w:val="auto"/>
        </w:rPr>
      </w:pPr>
    </w:p>
    <w:p>
      <w:pPr>
        <w:ind w:left="1800" w:right="719" w:hanging="178"/>
        <w:spacing w:after="0" w:line="259"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19"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07"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i w:val="1"/>
          <w:iCs w:val="1"/>
          <w:color w:val="auto"/>
        </w:rPr>
        <w:t>Exclusive Jurisdiction of Certain Actions</w:t>
      </w:r>
      <w:r>
        <w:rPr>
          <w:rFonts w:ascii="Arial" w:cs="Arial" w:eastAsia="Arial" w:hAnsi="Arial"/>
          <w:sz w:val="18"/>
          <w:szCs w:val="18"/>
          <w:color w:val="auto"/>
        </w:rPr>
        <w:t>. Our certificate of incorporation requires, to the fullest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7"/>
          <w:szCs w:val="17"/>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08"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indentures:</w:t>
      </w:r>
    </w:p>
    <w:p>
      <w:pPr>
        <w:spacing w:after="0" w:line="104" w:lineRule="exact"/>
        <w:rPr>
          <w:sz w:val="20"/>
          <w:szCs w:val="20"/>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117"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us to reopen a series to issue substantially identical additional debt securities without the consent of the holders of the debt securities of such series.</w:t>
      </w:r>
    </w:p>
    <w:p>
      <w:pPr>
        <w:spacing w:after="0" w:line="103"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 Subordination” and in the applicable prospectus supplement.</w:t>
      </w:r>
    </w:p>
    <w:p>
      <w:pPr>
        <w:spacing w:after="0" w:line="10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17" w:lineRule="exact"/>
        <w:rPr>
          <w:sz w:val="20"/>
          <w:szCs w:val="20"/>
          <w:color w:val="auto"/>
        </w:rPr>
      </w:pPr>
    </w:p>
    <w:p>
      <w:pPr>
        <w:ind w:left="1800" w:hanging="178"/>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17" w:lineRule="exact"/>
        <w:rPr>
          <w:rFonts w:ascii="Arial" w:cs="Arial" w:eastAsia="Arial" w:hAnsi="Arial"/>
          <w:sz w:val="18"/>
          <w:szCs w:val="18"/>
          <w:color w:val="auto"/>
        </w:rPr>
      </w:pPr>
    </w:p>
    <w:p>
      <w:pPr>
        <w:jc w:val="both"/>
        <w:ind w:left="1800" w:right="679" w:hanging="178"/>
        <w:spacing w:after="0" w:line="28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78"/>
        <w:spacing w:after="0" w:line="25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66" w:lineRule="exact"/>
        <w:rPr>
          <w:rFonts w:ascii="Arial" w:cs="Arial" w:eastAsia="Arial" w:hAnsi="Arial"/>
          <w:sz w:val="18"/>
          <w:szCs w:val="18"/>
          <w:color w:val="auto"/>
        </w:rPr>
      </w:pPr>
    </w:p>
    <w:p>
      <w:pPr>
        <w:ind w:left="1800" w:right="67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48"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or dates, or the method for determining the date or dates, from which interest will accrue;</w:t>
      </w:r>
    </w:p>
    <w:p>
      <w:pPr>
        <w:spacing w:after="0" w:line="115" w:lineRule="exact"/>
        <w:rPr>
          <w:rFonts w:ascii="Arial" w:cs="Arial" w:eastAsia="Arial" w:hAnsi="Arial"/>
          <w:sz w:val="17"/>
          <w:szCs w:val="17"/>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record dates for interest payment dates, or the method by which such dates will be determined;</w:t>
      </w:r>
    </w:p>
    <w:p>
      <w:pPr>
        <w:spacing w:after="0" w:line="115" w:lineRule="exact"/>
        <w:rPr>
          <w:rFonts w:ascii="Arial" w:cs="Arial" w:eastAsia="Arial" w:hAnsi="Arial"/>
          <w:sz w:val="17"/>
          <w:szCs w:val="17"/>
          <w:color w:val="auto"/>
        </w:rPr>
      </w:pPr>
    </w:p>
    <w:p>
      <w:pPr>
        <w:ind w:left="1800" w:hanging="178"/>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03"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where the debt securities may be surrendered for registration of transfer or conversion or exchange;</w:t>
      </w:r>
    </w:p>
    <w:p>
      <w:pPr>
        <w:spacing w:after="0" w:line="115" w:lineRule="exact"/>
        <w:rPr>
          <w:rFonts w:ascii="Arial" w:cs="Arial" w:eastAsia="Arial" w:hAnsi="Arial"/>
          <w:sz w:val="17"/>
          <w:szCs w:val="17"/>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times, prices and other terms and conditions upon which we may redeem the debt securities;</w:t>
      </w:r>
    </w:p>
    <w:p>
      <w:pPr>
        <w:spacing w:after="0" w:line="115" w:lineRule="exact"/>
        <w:rPr>
          <w:rFonts w:ascii="Arial" w:cs="Arial" w:eastAsia="Arial" w:hAnsi="Arial"/>
          <w:sz w:val="17"/>
          <w:szCs w:val="17"/>
          <w:color w:val="auto"/>
        </w:rPr>
      </w:pPr>
    </w:p>
    <w:p>
      <w:pPr>
        <w:ind w:left="1800" w:right="979" w:hanging="178"/>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65" w:lineRule="exact"/>
        <w:rPr>
          <w:rFonts w:ascii="Arial" w:cs="Arial" w:eastAsia="Arial" w:hAnsi="Arial"/>
          <w:sz w:val="18"/>
          <w:szCs w:val="18"/>
          <w:color w:val="auto"/>
        </w:rPr>
      </w:pPr>
    </w:p>
    <w:p>
      <w:pPr>
        <w:ind w:left="1800" w:right="759" w:hanging="178"/>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65" w:lineRule="exact"/>
        <w:rPr>
          <w:rFonts w:ascii="Arial" w:cs="Arial" w:eastAsia="Arial" w:hAnsi="Arial"/>
          <w:sz w:val="18"/>
          <w:szCs w:val="18"/>
          <w:color w:val="auto"/>
        </w:rPr>
      </w:pPr>
    </w:p>
    <w:p>
      <w:pPr>
        <w:ind w:left="1800" w:right="779" w:hanging="178"/>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65" w:lineRule="exact"/>
        <w:rPr>
          <w:rFonts w:ascii="Arial" w:cs="Arial" w:eastAsia="Arial" w:hAnsi="Arial"/>
          <w:sz w:val="18"/>
          <w:szCs w:val="18"/>
          <w:color w:val="auto"/>
        </w:rPr>
      </w:pPr>
    </w:p>
    <w:p>
      <w:pPr>
        <w:ind w:left="1800" w:right="819" w:hanging="178"/>
        <w:spacing w:after="0" w:line="275"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54" w:lineRule="exact"/>
        <w:rPr>
          <w:rFonts w:ascii="Arial" w:cs="Arial" w:eastAsia="Arial" w:hAnsi="Arial"/>
          <w:sz w:val="17"/>
          <w:szCs w:val="17"/>
          <w:color w:val="auto"/>
        </w:rPr>
      </w:pPr>
    </w:p>
    <w:p>
      <w:pPr>
        <w:ind w:left="1800" w:right="71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62" w:lineRule="exact"/>
        <w:rPr>
          <w:rFonts w:ascii="Arial" w:cs="Arial" w:eastAsia="Arial" w:hAnsi="Arial"/>
          <w:sz w:val="18"/>
          <w:szCs w:val="18"/>
          <w:color w:val="auto"/>
        </w:rPr>
      </w:pPr>
    </w:p>
    <w:p>
      <w:pPr>
        <w:ind w:left="1800" w:right="679" w:hanging="178"/>
        <w:spacing w:after="0" w:line="25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66"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48"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3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89" w:lineRule="exact"/>
        <w:rPr>
          <w:rFonts w:ascii="Arial" w:cs="Arial" w:eastAsia="Arial" w:hAnsi="Arial"/>
          <w:sz w:val="18"/>
          <w:szCs w:val="18"/>
          <w:color w:val="auto"/>
        </w:rPr>
      </w:pPr>
    </w:p>
    <w:p>
      <w:pPr>
        <w:jc w:val="both"/>
        <w:ind w:left="1800" w:right="919" w:hanging="178"/>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102" w:lineRule="exact"/>
        <w:rPr>
          <w:rFonts w:ascii="Arial" w:cs="Arial" w:eastAsia="Arial" w:hAnsi="Arial"/>
          <w:sz w:val="18"/>
          <w:szCs w:val="18"/>
          <w:color w:val="auto"/>
        </w:rPr>
      </w:pPr>
    </w:p>
    <w:p>
      <w:pPr>
        <w:ind w:left="1800" w:right="1379" w:hanging="178"/>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89"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20"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Except as described under “—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1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07" w:lineRule="exact"/>
        <w:rPr>
          <w:sz w:val="20"/>
          <w:szCs w:val="20"/>
          <w:color w:val="auto"/>
        </w:rPr>
      </w:pPr>
    </w:p>
    <w:p>
      <w:pPr>
        <w:ind w:left="1260" w:right="1079" w:firstLine="360"/>
        <w:spacing w:after="0" w:line="286" w:lineRule="auto"/>
        <w:rPr>
          <w:sz w:val="20"/>
          <w:szCs w:val="20"/>
          <w:color w:val="auto"/>
        </w:rPr>
      </w:pPr>
      <w:r>
        <w:rPr>
          <w:rFonts w:ascii="Arial" w:cs="Arial" w:eastAsia="Arial" w:hAnsi="Arial"/>
          <w:sz w:val="17"/>
          <w:szCs w:val="17"/>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w:t>
      </w:r>
    </w:p>
    <w:p>
      <w:pPr>
        <w:spacing w:after="0" w:line="162"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7"/>
          <w:szCs w:val="17"/>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during which we hold the funds.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4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 Unless otherwise provided in the applicable prospectus supplement, interest on the debt securities shall be computed on the basis of a 360-day year composed of twelve 30-day months.</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firstLine="360"/>
        <w:spacing w:after="0" w:line="263" w:lineRule="auto"/>
        <w:rPr>
          <w:sz w:val="20"/>
          <w:szCs w:val="20"/>
          <w:color w:val="auto"/>
        </w:rPr>
      </w:pPr>
      <w:r>
        <w:rPr>
          <w:rFonts w:ascii="Arial" w:cs="Arial" w:eastAsia="Arial" w:hAnsi="Arial"/>
          <w:sz w:val="18"/>
          <w:szCs w:val="18"/>
          <w:color w:val="auto"/>
        </w:rPr>
        <w:t>Subject to the limitations imposed upon debt securities that are evidenced by book entry in the records of a depository company rather than by physical delivery of a note, a holder of debt securities of any series may:</w:t>
      </w:r>
    </w:p>
    <w:p>
      <w:pPr>
        <w:spacing w:after="0" w:line="76" w:lineRule="exact"/>
        <w:rPr>
          <w:sz w:val="20"/>
          <w:szCs w:val="20"/>
          <w:color w:val="auto"/>
        </w:rPr>
      </w:pPr>
    </w:p>
    <w:p>
      <w:pPr>
        <w:ind w:left="1800" w:right="719" w:hanging="178"/>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78"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03"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Neither we, nor any trustee, will be required to:</w:t>
      </w:r>
    </w:p>
    <w:p>
      <w:pPr>
        <w:spacing w:after="0" w:line="117" w:lineRule="exact"/>
        <w:rPr>
          <w:sz w:val="20"/>
          <w:szCs w:val="20"/>
          <w:color w:val="auto"/>
        </w:rPr>
      </w:pPr>
    </w:p>
    <w:p>
      <w:pPr>
        <w:jc w:val="both"/>
        <w:ind w:left="1800" w:right="899" w:hanging="178"/>
        <w:spacing w:after="0" w:line="311"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40" w:lineRule="exact"/>
        <w:rPr>
          <w:rFonts w:ascii="Arial" w:cs="Arial" w:eastAsia="Arial" w:hAnsi="Arial"/>
          <w:sz w:val="16"/>
          <w:szCs w:val="16"/>
          <w:color w:val="auto"/>
        </w:rPr>
      </w:pPr>
    </w:p>
    <w:p>
      <w:pPr>
        <w:jc w:val="both"/>
        <w:ind w:left="1800" w:right="799" w:hanging="178"/>
        <w:spacing w:after="0" w:line="308"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security, or portion thereof, so selected for redemption, in whole or in part, except the unredeemed portion of any debt security being redeemed in part; and</w:t>
      </w:r>
    </w:p>
    <w:p>
      <w:pPr>
        <w:spacing w:after="0" w:line="51" w:lineRule="exact"/>
        <w:rPr>
          <w:rFonts w:ascii="Arial" w:cs="Arial" w:eastAsia="Arial" w:hAnsi="Arial"/>
          <w:sz w:val="17"/>
          <w:szCs w:val="17"/>
          <w:color w:val="auto"/>
        </w:rPr>
      </w:pPr>
    </w:p>
    <w:p>
      <w:pPr>
        <w:ind w:left="1800" w:right="799" w:hanging="178"/>
        <w:spacing w:after="0" w:line="342" w:lineRule="auto"/>
        <w:tabs>
          <w:tab w:leader="none" w:pos="1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that has been surrendered for repayment at the option of the holder, except the portion, if any, of such debt security not to be so repaid.</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4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800" w:hanging="178"/>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either we are the continuing entity, or the successor entity, if other than us, assumes the obligations</w:t>
      </w:r>
    </w:p>
    <w:p>
      <w:pPr>
        <w:spacing w:after="0" w:line="34" w:lineRule="exact"/>
        <w:rPr>
          <w:rFonts w:ascii="Arial" w:cs="Arial" w:eastAsia="Arial" w:hAnsi="Arial"/>
          <w:sz w:val="17"/>
          <w:szCs w:val="17"/>
          <w:color w:val="auto"/>
        </w:rPr>
      </w:pPr>
    </w:p>
    <w:p>
      <w:pPr>
        <w:ind w:left="1800" w:right="859"/>
        <w:spacing w:after="0" w:line="255" w:lineRule="auto"/>
        <w:rPr>
          <w:rFonts w:ascii="Arial" w:cs="Arial" w:eastAsia="Arial" w:hAnsi="Arial"/>
          <w:sz w:val="17"/>
          <w:szCs w:val="17"/>
          <w:color w:val="auto"/>
        </w:rPr>
      </w:pPr>
      <w:r>
        <w:rPr>
          <w:rFonts w:ascii="Arial" w:cs="Arial" w:eastAsia="Arial" w:hAnsi="Arial"/>
          <w:sz w:val="18"/>
          <w:szCs w:val="18"/>
          <w:color w:val="auto"/>
        </w:rPr>
        <w:t>(a) to pay the principal of, and any premium or make-whole amount, and interest on, all of the debt securities and (b) to duly perform and observe all of the covenants and conditions contained in the applicable indenture;</w:t>
      </w:r>
    </w:p>
    <w:p>
      <w:pPr>
        <w:spacing w:after="0" w:line="81" w:lineRule="exact"/>
        <w:rPr>
          <w:rFonts w:ascii="Arial" w:cs="Arial" w:eastAsia="Arial" w:hAnsi="Arial"/>
          <w:sz w:val="17"/>
          <w:szCs w:val="17"/>
          <w:color w:val="auto"/>
        </w:rPr>
      </w:pPr>
    </w:p>
    <w:p>
      <w:pPr>
        <w:ind w:left="1800" w:right="77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6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62" w:lineRule="exact"/>
        <w:rPr>
          <w:sz w:val="20"/>
          <w:szCs w:val="20"/>
          <w:color w:val="auto"/>
        </w:rPr>
      </w:pPr>
    </w:p>
    <w:p>
      <w:pPr>
        <w:ind w:left="1800" w:right="91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62" w:lineRule="exact"/>
        <w:rPr>
          <w:rFonts w:ascii="Arial" w:cs="Arial" w:eastAsia="Arial" w:hAnsi="Arial"/>
          <w:sz w:val="18"/>
          <w:szCs w:val="18"/>
          <w:color w:val="auto"/>
        </w:rPr>
      </w:pPr>
    </w:p>
    <w:p>
      <w:pPr>
        <w:ind w:left="1800" w:right="799" w:hanging="178"/>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default in the payment of principal of, or any premium or make-whole amount on, any debt security of such series when due and payable unless such date has been extended or deferred;</w:t>
      </w:r>
    </w:p>
    <w:p>
      <w:pPr>
        <w:spacing w:after="0" w:line="38" w:lineRule="exact"/>
        <w:rPr>
          <w:rFonts w:ascii="Arial" w:cs="Arial" w:eastAsia="Arial" w:hAnsi="Arial"/>
          <w:sz w:val="17"/>
          <w:szCs w:val="17"/>
          <w:color w:val="auto"/>
        </w:rPr>
      </w:pPr>
    </w:p>
    <w:p>
      <w:pPr>
        <w:ind w:left="1800" w:right="111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78"/>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800" w:right="719" w:hanging="178"/>
        <w:spacing w:after="0" w:line="28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70" w:lineRule="exact"/>
        <w:rPr>
          <w:rFonts w:ascii="Arial" w:cs="Arial" w:eastAsia="Arial" w:hAnsi="Arial"/>
          <w:sz w:val="17"/>
          <w:szCs w:val="17"/>
          <w:color w:val="auto"/>
        </w:rPr>
      </w:pPr>
    </w:p>
    <w:p>
      <w:pPr>
        <w:ind w:left="1800" w:right="1139" w:hanging="178"/>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89" w:lineRule="exact"/>
        <w:rPr>
          <w:sz w:val="20"/>
          <w:szCs w:val="20"/>
          <w:color w:val="auto"/>
        </w:rPr>
      </w:pPr>
    </w:p>
    <w:p>
      <w:pPr>
        <w:jc w:val="both"/>
        <w:ind w:left="1260" w:right="919" w:firstLine="360"/>
        <w:spacing w:after="0" w:line="257"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20"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2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70" w:lineRule="exact"/>
        <w:rPr>
          <w:sz w:val="20"/>
          <w:szCs w:val="20"/>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may be unduly prejudicial to the holders of debt securities of the series not joining the proceeding.</w:t>
      </w:r>
    </w:p>
    <w:p>
      <w:pPr>
        <w:spacing w:after="0" w:line="169"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Indentures</w:t>
      </w:r>
    </w:p>
    <w:p>
      <w:pPr>
        <w:spacing w:after="0" w:line="148"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in that series issued under that indenture.</w:t>
      </w:r>
    </w:p>
    <w:p>
      <w:pPr>
        <w:spacing w:after="0" w:line="114"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63" w:lineRule="exact"/>
        <w:rPr>
          <w:sz w:val="20"/>
          <w:szCs w:val="20"/>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right="117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17" w:lineRule="exact"/>
        <w:rPr>
          <w:rFonts w:ascii="Arial" w:cs="Arial" w:eastAsia="Arial" w:hAnsi="Arial"/>
          <w:sz w:val="18"/>
          <w:szCs w:val="18"/>
          <w:color w:val="auto"/>
        </w:rPr>
      </w:pPr>
    </w:p>
    <w:p>
      <w:pPr>
        <w:ind w:left="1800" w:right="1319" w:hanging="178"/>
        <w:spacing w:after="0" w:line="30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w:t>
      </w:r>
    </w:p>
    <w:p>
      <w:pPr>
        <w:spacing w:after="0" w:line="38" w:lineRule="exact"/>
        <w:rPr>
          <w:rFonts w:ascii="Arial" w:cs="Arial" w:eastAsia="Arial" w:hAnsi="Arial"/>
          <w:sz w:val="17"/>
          <w:szCs w:val="17"/>
          <w:color w:val="auto"/>
        </w:rPr>
      </w:pPr>
    </w:p>
    <w:p>
      <w:pPr>
        <w:ind w:left="1800" w:right="97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62" w:lineRule="exact"/>
        <w:rPr>
          <w:rFonts w:ascii="Arial" w:cs="Arial" w:eastAsia="Arial" w:hAnsi="Arial"/>
          <w:sz w:val="18"/>
          <w:szCs w:val="18"/>
          <w:color w:val="auto"/>
        </w:rPr>
      </w:pPr>
    </w:p>
    <w:p>
      <w:pPr>
        <w:ind w:left="1800" w:right="819" w:hanging="178"/>
        <w:spacing w:after="0" w:line="342" w:lineRule="auto"/>
        <w:tabs>
          <w:tab w:leader="none" w:pos="1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cure any ambiguity, defect or inconsistency in an indenture, provided that such action shall not adversely affect the interests of holders of debt securities of any series issued under such indenture.</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89"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19"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48" w:lineRule="exact"/>
        <w:rPr>
          <w:sz w:val="20"/>
          <w:szCs w:val="20"/>
          <w:color w:val="auto"/>
        </w:rPr>
      </w:pPr>
    </w:p>
    <w:p>
      <w:pPr>
        <w:ind w:left="1260" w:right="1239" w:firstLine="360"/>
        <w:spacing w:after="0" w:line="308" w:lineRule="auto"/>
        <w:rPr>
          <w:sz w:val="20"/>
          <w:szCs w:val="20"/>
          <w:color w:val="auto"/>
        </w:rPr>
      </w:pPr>
      <w:r>
        <w:rPr>
          <w:rFonts w:ascii="Arial" w:cs="Arial" w:eastAsia="Arial" w:hAnsi="Arial"/>
          <w:sz w:val="17"/>
          <w:szCs w:val="17"/>
          <w:color w:val="auto"/>
        </w:rPr>
        <w:t>Unless otherwise provided in the applicable prospectus supplement, the indentures allow us to discharge our obligations to holders of any series of debt securities issued under any indenture when:</w:t>
      </w:r>
    </w:p>
    <w:p>
      <w:pPr>
        <w:spacing w:after="0" w:line="52" w:lineRule="exact"/>
        <w:rPr>
          <w:sz w:val="20"/>
          <w:szCs w:val="20"/>
          <w:color w:val="auto"/>
        </w:rPr>
      </w:pPr>
    </w:p>
    <w:p>
      <w:pPr>
        <w:ind w:left="1800" w:right="759" w:hanging="178"/>
        <w:spacing w:after="0" w:line="272"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w:t>
      </w:r>
    </w:p>
    <w:p>
      <w:pPr>
        <w:spacing w:after="0" w:line="69" w:lineRule="exact"/>
        <w:rPr>
          <w:rFonts w:ascii="Arial" w:cs="Arial" w:eastAsia="Arial" w:hAnsi="Arial"/>
          <w:sz w:val="17"/>
          <w:szCs w:val="17"/>
          <w:color w:val="auto"/>
        </w:rPr>
      </w:pPr>
    </w:p>
    <w:p>
      <w:pPr>
        <w:ind w:left="1800" w:right="1119" w:hanging="178"/>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respect of principal and any premium or make-whole amount, and interest to the date of such deposit if such debt securities have become due and payable or, if they have not, to the stated maturity or redemption date;</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03"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01" w:lineRule="exact"/>
        <w:rPr>
          <w:sz w:val="20"/>
          <w:szCs w:val="20"/>
          <w:color w:val="auto"/>
        </w:rPr>
      </w:pPr>
    </w:p>
    <w:p>
      <w:pPr>
        <w:jc w:val="both"/>
        <w:ind w:left="1260" w:right="779" w:firstLine="360"/>
        <w:spacing w:after="0" w:line="296" w:lineRule="auto"/>
        <w:rPr>
          <w:sz w:val="20"/>
          <w:szCs w:val="20"/>
          <w:color w:val="auto"/>
        </w:rPr>
      </w:pPr>
      <w:r>
        <w:rPr>
          <w:rFonts w:ascii="Arial" w:cs="Arial" w:eastAsia="Arial" w:hAnsi="Arial"/>
          <w:sz w:val="16"/>
          <w:szCs w:val="16"/>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94"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Rights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Recourse</w:t>
      </w:r>
    </w:p>
    <w:p>
      <w:pPr>
        <w:spacing w:after="0" w:line="14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We may issue purchase contracts, including contracts obligating holders to purchase from or sell to us, and obligating us to sell to or purchase from the holders, a specified number of shares of our common stock or preferred stock at a future date or dates, which we refer to in this prospectus as purchase contracts. The price per share of common stock or preferred stock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or preferred stock under the purchase contracts.</w:t>
      </w:r>
    </w:p>
    <w:p>
      <w:pPr>
        <w:spacing w:after="0" w:line="12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19" w:lineRule="exact"/>
        <w:rPr>
          <w:sz w:val="20"/>
          <w:szCs w:val="20"/>
          <w:color w:val="auto"/>
        </w:rPr>
      </w:pPr>
    </w:p>
    <w:p>
      <w:pPr>
        <w:ind w:left="1260" w:right="1619" w:firstLine="360"/>
        <w:spacing w:after="0" w:line="308" w:lineRule="auto"/>
        <w:rPr>
          <w:sz w:val="20"/>
          <w:szCs w:val="20"/>
          <w:color w:val="auto"/>
        </w:rPr>
      </w:pPr>
      <w:r>
        <w:rPr>
          <w:rFonts w:ascii="Arial" w:cs="Arial" w:eastAsia="Arial" w:hAnsi="Arial"/>
          <w:sz w:val="17"/>
          <w:szCs w:val="17"/>
          <w:color w:val="auto"/>
        </w:rPr>
        <w:t>The applicable prospectus supplement will describe the terms of the purchase contracts and purchase units, including, if applicable, collateral or depositary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WARRANTS</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We may issue warrants to purchase debt securities, common stock or preferred stock. We may offer warrants separately or together with one or more additional warrants, debt securities, common stock or preferred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7" w:lineRule="exact"/>
        <w:rPr>
          <w:sz w:val="20"/>
          <w:szCs w:val="20"/>
          <w:color w:val="auto"/>
        </w:rPr>
      </w:pPr>
    </w:p>
    <w:p>
      <w:pPr>
        <w:ind w:left="1800" w:right="85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currency or currency units in which the offering price, if any, and the exercise price are payable;</w:t>
      </w:r>
    </w:p>
    <w:p>
      <w:pPr>
        <w:spacing w:after="0" w:line="128" w:lineRule="exact"/>
        <w:rPr>
          <w:rFonts w:ascii="Arial" w:cs="Arial" w:eastAsia="Arial" w:hAnsi="Arial"/>
          <w:sz w:val="17"/>
          <w:szCs w:val="17"/>
          <w:color w:val="auto"/>
        </w:rPr>
      </w:pPr>
    </w:p>
    <w:p>
      <w:pPr>
        <w:ind w:left="1800" w:right="73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17" w:lineRule="exact"/>
        <w:rPr>
          <w:rFonts w:ascii="Arial" w:cs="Arial" w:eastAsia="Arial" w:hAnsi="Arial"/>
          <w:sz w:val="18"/>
          <w:szCs w:val="18"/>
          <w:color w:val="auto"/>
        </w:rPr>
      </w:pPr>
    </w:p>
    <w:p>
      <w:pPr>
        <w:jc w:val="both"/>
        <w:ind w:left="1800" w:right="67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62" w:lineRule="exact"/>
        <w:rPr>
          <w:rFonts w:ascii="Arial" w:cs="Arial" w:eastAsia="Arial" w:hAnsi="Arial"/>
          <w:sz w:val="18"/>
          <w:szCs w:val="18"/>
          <w:color w:val="auto"/>
        </w:rPr>
      </w:pPr>
    </w:p>
    <w:p>
      <w:pPr>
        <w:ind w:left="1800" w:right="12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17"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62"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or preferred stock with which the warrants are issued and, the number of warrants issued with each security;</w:t>
      </w:r>
    </w:p>
    <w:p>
      <w:pPr>
        <w:spacing w:after="0" w:line="62"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or preferred stock will be separately transferable;</w:t>
      </w:r>
    </w:p>
    <w:p>
      <w:pPr>
        <w:spacing w:after="0" w:line="62" w:lineRule="exact"/>
        <w:rPr>
          <w:rFonts w:ascii="Arial" w:cs="Arial" w:eastAsia="Arial" w:hAnsi="Arial"/>
          <w:sz w:val="18"/>
          <w:szCs w:val="18"/>
          <w:color w:val="auto"/>
        </w:rPr>
      </w:pPr>
    </w:p>
    <w:p>
      <w:pPr>
        <w:ind w:left="1800" w:right="819" w:hanging="178"/>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shares of common stock or the number of shares of preferred stock purchasable upon exercise of a warrant and the price at which those shares may be purchased;</w:t>
      </w:r>
    </w:p>
    <w:p>
      <w:pPr>
        <w:spacing w:after="0" w:line="38" w:lineRule="exact"/>
        <w:rPr>
          <w:rFonts w:ascii="Arial" w:cs="Arial" w:eastAsia="Arial" w:hAnsi="Arial"/>
          <w:sz w:val="17"/>
          <w:szCs w:val="17"/>
          <w:color w:val="auto"/>
        </w:rPr>
      </w:pPr>
    </w:p>
    <w:p>
      <w:pPr>
        <w:ind w:left="1800" w:right="9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17"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sell securities:</w:t>
      </w:r>
    </w:p>
    <w:p>
      <w:pPr>
        <w:spacing w:after="0" w:line="117" w:lineRule="exact"/>
        <w:rPr>
          <w:sz w:val="20"/>
          <w:szCs w:val="20"/>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117" w:lineRule="exact"/>
        <w:rPr>
          <w:rFonts w:ascii="Arial" w:cs="Arial" w:eastAsia="Arial" w:hAnsi="Arial"/>
          <w:sz w:val="18"/>
          <w:szCs w:val="18"/>
          <w:color w:val="auto"/>
        </w:rPr>
      </w:pPr>
    </w:p>
    <w:p>
      <w:pPr>
        <w:jc w:val="both"/>
        <w:ind w:left="1800" w:right="859" w:hanging="178"/>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jc w:val="both"/>
        <w:ind w:left="1800" w:right="719" w:hanging="178"/>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5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90"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04" w:lineRule="exact"/>
        <w:rPr>
          <w:sz w:val="20"/>
          <w:szCs w:val="20"/>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58" w:lineRule="exact"/>
        <w:rPr>
          <w:sz w:val="20"/>
          <w:szCs w:val="20"/>
          <w:color w:val="auto"/>
        </w:rPr>
      </w:pPr>
    </w:p>
    <w:p>
      <w:pPr>
        <w:ind w:left="1260" w:right="1459" w:firstLine="360"/>
        <w:spacing w:after="0" w:line="261" w:lineRule="auto"/>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03"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49" w:lineRule="exact"/>
        <w:rPr>
          <w:sz w:val="20"/>
          <w:szCs w:val="20"/>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5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7"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19"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8" w:lineRule="exact"/>
        <w:rPr>
          <w:sz w:val="20"/>
          <w:szCs w:val="20"/>
          <w:color w:val="auto"/>
        </w:rPr>
      </w:pPr>
    </w:p>
    <w:p>
      <w:pPr>
        <w:ind w:left="1800" w:right="999" w:hanging="178"/>
        <w:spacing w:after="0" w:line="308"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38" w:lineRule="exact"/>
        <w:rPr>
          <w:rFonts w:ascii="Arial" w:cs="Arial" w:eastAsia="Arial" w:hAnsi="Arial"/>
          <w:sz w:val="17"/>
          <w:szCs w:val="17"/>
          <w:color w:val="auto"/>
        </w:rPr>
      </w:pPr>
    </w:p>
    <w:p>
      <w:pPr>
        <w:ind w:left="1800" w:right="699" w:hanging="178"/>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19" w:lineRule="exact"/>
        <w:rPr>
          <w:sz w:val="20"/>
          <w:szCs w:val="20"/>
          <w:color w:val="auto"/>
        </w:rPr>
      </w:pPr>
    </w:p>
    <w:p>
      <w:pPr>
        <w:jc w:val="both"/>
        <w:ind w:left="1260" w:right="819" w:firstLine="360"/>
        <w:spacing w:after="0" w:line="311" w:lineRule="auto"/>
        <w:rPr>
          <w:sz w:val="20"/>
          <w:szCs w:val="20"/>
          <w:color w:val="auto"/>
        </w:rPr>
      </w:pPr>
      <w:r>
        <w:rPr>
          <w:rFonts w:ascii="Arial" w:cs="Arial" w:eastAsia="Arial" w:hAnsi="Arial"/>
          <w:sz w:val="16"/>
          <w:szCs w:val="16"/>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8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4"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 Boston, Massachusetts.</w:t>
      </w:r>
    </w:p>
    <w:p>
      <w:pPr>
        <w:spacing w:after="0" w:line="18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71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Blueprint Medicines Corporation appearing in Blueprint Medicines Corporation’s </w:t>
      </w:r>
      <w:hyperlink r:id="rId16">
        <w:r>
          <w:rPr>
            <w:rFonts w:ascii="Arial" w:cs="Arial" w:eastAsia="Arial" w:hAnsi="Arial"/>
            <w:sz w:val="18"/>
            <w:szCs w:val="18"/>
            <w:u w:val="single" w:color="auto"/>
            <w:color w:val="0000EE"/>
          </w:rPr>
          <w:t>Annual Report on Form 10-K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effectiveness of Blueprint Medicines Corporation’s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3639"/>
        <w:spacing w:after="0"/>
        <w:rPr>
          <w:sz w:val="20"/>
          <w:szCs w:val="20"/>
          <w:color w:val="auto"/>
        </w:rPr>
      </w:pPr>
      <w:r>
        <w:rPr>
          <w:rFonts w:ascii="Arial" w:cs="Arial" w:eastAsia="Arial" w:hAnsi="Arial"/>
          <w:sz w:val="25"/>
          <w:szCs w:val="25"/>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2528570</wp:posOffset>
            </wp:positionV>
            <wp:extent cx="5212080" cy="175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521208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4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1294130</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158750</wp:posOffset>
            </wp:positionV>
            <wp:extent cx="5212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16" w:gutter="0" w:footer="0" w:header="0"/>
          <w:type w:val="continuous"/>
        </w:sectPr>
      </w:pPr>
    </w:p>
    <w:bookmarkStart w:id="51" w:name="page52"/>
    <w:bookmarkEnd w:id="51"/>
    <w:p>
      <w:pPr>
        <w:ind w:left="378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2925445</wp:posOffset>
            </wp:positionH>
            <wp:positionV relativeFrom="page">
              <wp:posOffset>88900</wp:posOffset>
            </wp:positionV>
            <wp:extent cx="1371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1371600" cy="8255"/>
                    </a:xfrm>
                    <a:prstGeom prst="rect">
                      <a:avLst/>
                    </a:prstGeom>
                    <a:noFill/>
                  </pic:spPr>
                </pic:pic>
              </a:graphicData>
            </a:graphic>
          </wp:anchor>
        </w:drawing>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249555</wp:posOffset>
            </wp:positionV>
            <wp:extent cx="13716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21"/>
          <w:szCs w:val="21"/>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99060</wp:posOffset>
            </wp:positionV>
            <wp:extent cx="521208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521208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382270</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4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9"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jpe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16" Type="http://schemas.openxmlformats.org/officeDocument/2006/relationships/hyperlink" Target="http://www.sec.gov/ix?doc=/Archives/edgar/data/1597264/000155837020000784/bpmc-20191231x10k2c5dea.htm" TargetMode="External"/><Relationship Id="rId17" Type="http://schemas.openxmlformats.org/officeDocument/2006/relationships/hyperlink" Target="http://www.sec.gov/Archives/edgar/data/1597264/000155837020004625/tmb-20200623xdef14a.htm" TargetMode="External"/><Relationship Id="rId18" Type="http://schemas.openxmlformats.org/officeDocument/2006/relationships/hyperlink" Target="http://www.sec.gov/ix?doc=/Archives/edgar/data/1597264/000155837020005307/bpmc-20200506x10q.htm" TargetMode="External"/><Relationship Id="rId19" Type="http://schemas.openxmlformats.org/officeDocument/2006/relationships/hyperlink" Target="http://www.sec.gov/ix?doc=/Archives/edgar/data/1597264/000155837020008810/bpmc-20200630x10q.htm" TargetMode="External"/><Relationship Id="rId20" Type="http://schemas.openxmlformats.org/officeDocument/2006/relationships/hyperlink" Target="http://www.sec.gov/ix?doc=/Archives/edgar/data/1597264/000155837020000074/bpmc-20200108x8k5b17d17.htm" TargetMode="External"/><Relationship Id="rId21" Type="http://schemas.openxmlformats.org/officeDocument/2006/relationships/hyperlink" Target="http://www.sec.gov/ix?doc=/Archives/edgar/data/1597264/000155837020000102/bpmc-20200109x8k7124e2c.htm" TargetMode="External"/><Relationship Id="rId22" Type="http://schemas.openxmlformats.org/officeDocument/2006/relationships/hyperlink" Target="http://www.sec.gov/ix?doc=/Archives/edgar/data/1597264/000155837020000136/bpmc-20200113x8k4c61031.htm" TargetMode="External"/><Relationship Id="rId23" Type="http://schemas.openxmlformats.org/officeDocument/2006/relationships/hyperlink" Target="http://www.sec.gov/ix?doc=/Archives/edgar/data/1597264/000110465920005550/tm203733-4_8k.htm" TargetMode="External"/><Relationship Id="rId24" Type="http://schemas.openxmlformats.org/officeDocument/2006/relationships/hyperlink" Target="http://www.sec.gov/ix?doc=/Archives/edgar/data/1597264/000110465920006333/tm203733-3_8k.htm" TargetMode="External"/><Relationship Id="rId25" Type="http://schemas.openxmlformats.org/officeDocument/2006/relationships/hyperlink" Target="http://www.sec.gov/ix?doc=/Archives/edgar/data/1597264/000155837020000551/bpmc-20200113x8k5205c72.htm" TargetMode="External"/><Relationship Id="rId26" Type="http://schemas.openxmlformats.org/officeDocument/2006/relationships/hyperlink" Target="http://www.sec.gov/ix?doc=/Archives/edgar/data/1597264/000155837020002717/bpmc-20200113x8k4fb8491.htm" TargetMode="External"/><Relationship Id="rId27" Type="http://schemas.openxmlformats.org/officeDocument/2006/relationships/hyperlink" Target="http://www.sec.gov/ix?doc=/Archives/edgar/data/1597264/000155837020003494/bpmc-20200113x8ke7e2cae.htm" TargetMode="External"/><Relationship Id="rId28" Type="http://schemas.openxmlformats.org/officeDocument/2006/relationships/hyperlink" Target="http://www.sec.gov/ix?doc=/Archives/edgar/data/1597264/000155837020006664/bpmc-20200515x8k.htm" TargetMode="External"/><Relationship Id="rId30" Type="http://schemas.openxmlformats.org/officeDocument/2006/relationships/hyperlink" Target="http://www.sec.gov/ix?doc=/Archives/edgar/data/1597264/000155837020007104/bpmc-20200529x8k.htm" TargetMode="External"/><Relationship Id="rId31" Type="http://schemas.openxmlformats.org/officeDocument/2006/relationships/hyperlink" Target="http://www.sec.gov/ix?doc=/Archives/edgar/data/1597264/000155837020007334/bpmc-20200608x8k.htm" TargetMode="External"/><Relationship Id="rId32" Type="http://schemas.openxmlformats.org/officeDocument/2006/relationships/hyperlink" Target="http://www.sec.gov/ix?doc=/Archives/edgar/data/1597264/000155837020007819/bpmc-20200626x8k.htm" TargetMode="External"/><Relationship Id="rId33" Type="http://schemas.openxmlformats.org/officeDocument/2006/relationships/hyperlink" Target="http://www.sec.gov/ix?doc=/Archives/edgar/data/1597264/000155837020007910/bpmc-20200701x8k.htm" TargetMode="External"/><Relationship Id="rId34" Type="http://schemas.openxmlformats.org/officeDocument/2006/relationships/hyperlink" Target="http://www.sec.gov/ix?doc=/Archives/edgar/data/1597264/000155837020008123/bpmc-20200713x8k.htm" TargetMode="External"/><Relationship Id="rId35" Type="http://schemas.openxmlformats.org/officeDocument/2006/relationships/hyperlink" Target="http://www.sec.gov/ix?doc=/Archives/edgar/data/1597264/000155837020008389/bpmc-20200724x8k.htm" TargetMode="External"/><Relationship Id="rId36" Type="http://schemas.openxmlformats.org/officeDocument/2006/relationships/hyperlink" Target="http://www.sec.gov/Archives/edgar/data/1597264/000110465915030565/a15-4342_98a12b.htm" TargetMode="External"/><Relationship Id="rId62" Type="http://schemas.openxmlformats.org/officeDocument/2006/relationships/hyperlink" Target="http://www.sec.gov/Archives/edgar/data/1597264/000155837019001094/bpmc-20181231x10k.htm" TargetMode="External"/><Relationship Id="rId63" Type="http://schemas.openxmlformats.org/officeDocument/2006/relationships/hyperlink" Target="http://www.sec.gov/Archives/edgar/data/1597264/000155837019003477/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2020-07-31T15:03:14Z</dcterms:created>
  <dcterms:modified xsi:type="dcterms:W3CDTF">2020-07-31T15:03:14Z</dcterms:modified>
</cp:coreProperties>
</file>