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640" w:hanging="400"/>
        <w:spacing w:after="0"/>
        <w:tabs>
          <w:tab w:leader="none" w:pos="64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4" w:lineRule="exact"/>
        <w:rPr>
          <w:sz w:val="24"/>
          <w:szCs w:val="24"/>
          <w:color w:val="auto"/>
        </w:rPr>
      </w:pPr>
    </w:p>
    <w:p>
      <w:pPr>
        <w:ind w:left="640" w:hanging="407"/>
        <w:spacing w:after="0"/>
        <w:tabs>
          <w:tab w:leader="none" w:pos="6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001-37359</w:t>
      </w:r>
    </w:p>
    <w:p>
      <w:pPr>
        <w:spacing w:after="0" w:line="1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_____________________________</w:t>
      </w:r>
    </w:p>
    <w:p>
      <w:pPr>
        <w:spacing w:after="0" w:line="178"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91"/>
              </w:rPr>
              <w:t>Delaware</w:t>
            </w:r>
          </w:p>
        </w:tc>
        <w:tc>
          <w:tcPr>
            <w:tcW w:w="3980" w:type="dxa"/>
            <w:vAlign w:val="bottom"/>
          </w:tcPr>
          <w:p>
            <w:pPr>
              <w:jc w:val="right"/>
              <w:spacing w:after="0"/>
              <w:rPr>
                <w:sz w:val="20"/>
                <w:szCs w:val="20"/>
                <w:color w:val="auto"/>
              </w:rPr>
            </w:pPr>
            <w:r>
              <w:rPr>
                <w:rFonts w:ascii="Arial" w:cs="Arial" w:eastAsia="Arial" w:hAnsi="Arial"/>
                <w:sz w:val="18"/>
                <w:szCs w:val="18"/>
                <w:b w:val="1"/>
                <w:bCs w:val="1"/>
                <w:color w:val="auto"/>
              </w:rPr>
              <w:t>26-3632015</w:t>
            </w:r>
          </w:p>
        </w:tc>
      </w:tr>
      <w:tr>
        <w:trPr>
          <w:trHeight w:val="121"/>
        </w:trPr>
        <w:tc>
          <w:tcPr>
            <w:tcW w:w="2500" w:type="dxa"/>
            <w:vAlign w:val="bottom"/>
          </w:tcPr>
          <w:p>
            <w:pPr>
              <w:jc w:val="center"/>
              <w:ind w:right="348"/>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3980" w:type="dxa"/>
            <w:vAlign w:val="bottom"/>
          </w:tcPr>
          <w:p>
            <w:pPr>
              <w:jc w:val="center"/>
              <w:ind w:left="3048"/>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2500" w:type="dxa"/>
            <w:vAlign w:val="bottom"/>
          </w:tcPr>
          <w:p>
            <w:pPr>
              <w:jc w:val="center"/>
              <w:ind w:right="368"/>
              <w:spacing w:after="0"/>
              <w:rPr>
                <w:sz w:val="20"/>
                <w:szCs w:val="20"/>
                <w:color w:val="auto"/>
              </w:rPr>
            </w:pPr>
            <w:r>
              <w:rPr>
                <w:rFonts w:ascii="Arial" w:cs="Arial" w:eastAsia="Arial" w:hAnsi="Arial"/>
                <w:sz w:val="11"/>
                <w:szCs w:val="11"/>
                <w:b w:val="1"/>
                <w:bCs w:val="1"/>
                <w:color w:val="auto"/>
                <w:w w:val="91"/>
              </w:rPr>
              <w:t>Incorporation or Organization)</w:t>
            </w:r>
          </w:p>
        </w:tc>
        <w:tc>
          <w:tcPr>
            <w:tcW w:w="3980" w:type="dxa"/>
            <w:vAlign w:val="bottom"/>
          </w:tcPr>
          <w:p>
            <w:pPr>
              <w:jc w:val="center"/>
              <w:ind w:left="3048"/>
              <w:spacing w:after="0"/>
              <w:rPr>
                <w:sz w:val="20"/>
                <w:szCs w:val="20"/>
                <w:color w:val="auto"/>
              </w:rPr>
            </w:pPr>
            <w:r>
              <w:rPr>
                <w:rFonts w:ascii="Arial" w:cs="Arial" w:eastAsia="Arial" w:hAnsi="Arial"/>
                <w:sz w:val="11"/>
                <w:szCs w:val="11"/>
                <w:b w:val="1"/>
                <w:bCs w:val="1"/>
                <w:color w:val="auto"/>
                <w:w w:val="92"/>
              </w:rPr>
              <w:t>Identification No.)</w:t>
            </w:r>
          </w:p>
        </w:tc>
      </w:tr>
      <w:tr>
        <w:trPr>
          <w:trHeight w:val="301"/>
        </w:trPr>
        <w:tc>
          <w:tcPr>
            <w:tcW w:w="2500" w:type="dxa"/>
            <w:vAlign w:val="bottom"/>
          </w:tcPr>
          <w:p>
            <w:pPr>
              <w:jc w:val="center"/>
              <w:ind w:right="348"/>
              <w:spacing w:after="0"/>
              <w:rPr>
                <w:sz w:val="20"/>
                <w:szCs w:val="20"/>
                <w:color w:val="auto"/>
              </w:rPr>
            </w:pPr>
            <w:r>
              <w:rPr>
                <w:rFonts w:ascii="Arial" w:cs="Arial" w:eastAsia="Arial" w:hAnsi="Arial"/>
                <w:sz w:val="18"/>
                <w:szCs w:val="18"/>
                <w:b w:val="1"/>
                <w:bCs w:val="1"/>
                <w:color w:val="auto"/>
                <w:w w:val="88"/>
              </w:rPr>
              <w:t>45 Sidney Street</w:t>
            </w:r>
          </w:p>
        </w:tc>
        <w:tc>
          <w:tcPr>
            <w:tcW w:w="3980" w:type="dxa"/>
            <w:vAlign w:val="bottom"/>
          </w:tcPr>
          <w:p>
            <w:pPr>
              <w:spacing w:after="0"/>
              <w:rPr>
                <w:sz w:val="24"/>
                <w:szCs w:val="24"/>
                <w:color w:val="auto"/>
              </w:rPr>
            </w:pPr>
          </w:p>
        </w:tc>
      </w:tr>
      <w:tr>
        <w:trPr>
          <w:trHeight w:val="207"/>
        </w:trPr>
        <w:tc>
          <w:tcPr>
            <w:tcW w:w="2500" w:type="dxa"/>
            <w:vAlign w:val="bottom"/>
          </w:tcPr>
          <w:p>
            <w:pPr>
              <w:jc w:val="center"/>
              <w:ind w:right="368"/>
              <w:spacing w:after="0"/>
              <w:rPr>
                <w:sz w:val="20"/>
                <w:szCs w:val="20"/>
                <w:color w:val="auto"/>
              </w:rPr>
            </w:pPr>
            <w:r>
              <w:rPr>
                <w:rFonts w:ascii="Arial" w:cs="Arial" w:eastAsia="Arial" w:hAnsi="Arial"/>
                <w:sz w:val="18"/>
                <w:szCs w:val="18"/>
                <w:b w:val="1"/>
                <w:bCs w:val="1"/>
                <w:color w:val="auto"/>
                <w:w w:val="88"/>
              </w:rPr>
              <w:t>Cambridge, Massachusetts</w:t>
            </w:r>
          </w:p>
        </w:tc>
        <w:tc>
          <w:tcPr>
            <w:tcW w:w="3980" w:type="dxa"/>
            <w:vAlign w:val="bottom"/>
          </w:tcPr>
          <w:p>
            <w:pPr>
              <w:jc w:val="right"/>
              <w:ind w:right="128"/>
              <w:spacing w:after="0"/>
              <w:rPr>
                <w:sz w:val="20"/>
                <w:szCs w:val="20"/>
                <w:color w:val="auto"/>
              </w:rPr>
            </w:pPr>
            <w:r>
              <w:rPr>
                <w:rFonts w:ascii="Arial" w:cs="Arial" w:eastAsia="Arial" w:hAnsi="Arial"/>
                <w:sz w:val="18"/>
                <w:szCs w:val="18"/>
                <w:b w:val="1"/>
                <w:bCs w:val="1"/>
                <w:color w:val="auto"/>
              </w:rPr>
              <w:t>02139</w:t>
            </w:r>
          </w:p>
        </w:tc>
      </w:tr>
      <w:tr>
        <w:trPr>
          <w:trHeight w:val="117"/>
        </w:trPr>
        <w:tc>
          <w:tcPr>
            <w:tcW w:w="2500" w:type="dxa"/>
            <w:vAlign w:val="bottom"/>
          </w:tcPr>
          <w:p>
            <w:pPr>
              <w:jc w:val="center"/>
              <w:ind w:right="348"/>
              <w:spacing w:after="0" w:line="117"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3980" w:type="dxa"/>
            <w:vAlign w:val="bottom"/>
          </w:tcPr>
          <w:p>
            <w:pPr>
              <w:jc w:val="center"/>
              <w:ind w:left="3048"/>
              <w:spacing w:after="0" w:line="117" w:lineRule="exact"/>
              <w:rPr>
                <w:sz w:val="20"/>
                <w:szCs w:val="20"/>
                <w:color w:val="auto"/>
              </w:rPr>
            </w:pPr>
            <w:r>
              <w:rPr>
                <w:rFonts w:ascii="Arial" w:cs="Arial" w:eastAsia="Arial" w:hAnsi="Arial"/>
                <w:sz w:val="11"/>
                <w:szCs w:val="11"/>
                <w:b w:val="1"/>
                <w:bCs w:val="1"/>
                <w:color w:val="auto"/>
                <w:w w:val="91"/>
              </w:rPr>
              <w:t>(Zip Code)</w:t>
            </w:r>
          </w:p>
        </w:tc>
      </w:tr>
      <w:tr>
        <w:trPr>
          <w:trHeight w:val="219"/>
        </w:trPr>
        <w:tc>
          <w:tcPr>
            <w:tcW w:w="2500" w:type="dxa"/>
            <w:vAlign w:val="bottom"/>
          </w:tcPr>
          <w:p>
            <w:pPr>
              <w:spacing w:after="0"/>
              <w:rPr>
                <w:sz w:val="19"/>
                <w:szCs w:val="19"/>
                <w:color w:val="auto"/>
              </w:rPr>
            </w:pPr>
          </w:p>
        </w:tc>
        <w:tc>
          <w:tcPr>
            <w:tcW w:w="3980" w:type="dxa"/>
            <w:vAlign w:val="bottom"/>
          </w:tcPr>
          <w:p>
            <w:pPr>
              <w:jc w:val="right"/>
              <w:ind w:right="2368"/>
              <w:spacing w:after="0"/>
              <w:rPr>
                <w:sz w:val="20"/>
                <w:szCs w:val="20"/>
                <w:color w:val="auto"/>
              </w:rPr>
            </w:pPr>
            <w:r>
              <w:rPr>
                <w:rFonts w:ascii="Arial" w:cs="Arial" w:eastAsia="Arial" w:hAnsi="Arial"/>
                <w:sz w:val="18"/>
                <w:szCs w:val="18"/>
                <w:b w:val="1"/>
                <w:bCs w:val="1"/>
                <w:color w:val="auto"/>
              </w:rPr>
              <w:t>(617) 374-7580</w:t>
            </w:r>
          </w:p>
        </w:tc>
      </w:tr>
    </w:tbl>
    <w:p>
      <w:pPr>
        <w:jc w:val="center"/>
        <w:spacing w:after="0"/>
        <w:rPr>
          <w:sz w:val="20"/>
          <w:szCs w:val="20"/>
          <w:color w:val="auto"/>
        </w:rPr>
      </w:pPr>
      <w:r>
        <w:rPr>
          <w:rFonts w:ascii="Arial" w:cs="Arial" w:eastAsia="Arial" w:hAnsi="Arial"/>
          <w:sz w:val="11"/>
          <w:szCs w:val="11"/>
          <w:b w:val="1"/>
          <w:bCs w:val="1"/>
          <w:color w:val="auto"/>
        </w:rPr>
        <w:t>(Registrant’s Telephone Number, Including Area Code)</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Former Address and Former Fiscal Year, if Changed Since Last Report)</w:t>
      </w:r>
    </w:p>
    <w:p>
      <w:pPr>
        <w:spacing w:after="0" w:line="166" w:lineRule="exact"/>
        <w:rPr>
          <w:sz w:val="24"/>
          <w:szCs w:val="24"/>
          <w:color w:val="auto"/>
        </w:rPr>
      </w:pPr>
    </w:p>
    <w:p>
      <w:pPr>
        <w:ind w:right="100" w:firstLine="415"/>
        <w:spacing w:after="0" w:line="17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160" w:firstLine="415"/>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39" w:lineRule="exact"/>
        <w:rPr>
          <w:sz w:val="24"/>
          <w:szCs w:val="24"/>
          <w:color w:val="auto"/>
        </w:rPr>
      </w:pPr>
    </w:p>
    <w:p>
      <w:pPr>
        <w:ind w:right="320" w:firstLine="41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940"/>
          </w:cols>
          <w:pgMar w:left="980" w:top="665" w:right="979" w:bottom="1440" w:gutter="0" w:footer="0" w:header="0"/>
        </w:sectPr>
      </w:pPr>
    </w:p>
    <w:p>
      <w:pPr>
        <w:spacing w:after="0" w:line="90" w:lineRule="exact"/>
        <w:rPr>
          <w:sz w:val="24"/>
          <w:szCs w:val="24"/>
          <w:color w:val="auto"/>
        </w:rPr>
      </w:pPr>
    </w:p>
    <w:p>
      <w:pPr>
        <w:ind w:left="1740"/>
        <w:spacing w:after="0"/>
        <w:rPr>
          <w:sz w:val="20"/>
          <w:szCs w:val="20"/>
          <w:color w:val="auto"/>
        </w:rPr>
      </w:pPr>
      <w:r>
        <w:rPr>
          <w:rFonts w:ascii="Arial" w:cs="Arial" w:eastAsia="Arial" w:hAnsi="Arial"/>
          <w:sz w:val="12"/>
          <w:szCs w:val="12"/>
          <w:color w:val="auto"/>
        </w:rPr>
        <w:t>Large accelerated filer</w:t>
      </w:r>
    </w:p>
    <w:p>
      <w:pPr>
        <w:spacing w:after="0" w:line="65" w:lineRule="exact"/>
        <w:rPr>
          <w:sz w:val="24"/>
          <w:szCs w:val="24"/>
          <w:color w:val="auto"/>
        </w:rPr>
      </w:pPr>
    </w:p>
    <w:p>
      <w:pPr>
        <w:ind w:left="176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60"/>
        <w:spacing w:after="0" w:line="121" w:lineRule="exact"/>
        <w:rPr>
          <w:sz w:val="20"/>
          <w:szCs w:val="20"/>
          <w:color w:val="auto"/>
        </w:rPr>
      </w:pPr>
      <w:r>
        <w:rPr>
          <w:rFonts w:ascii="MS PGothic" w:cs="MS PGothic" w:eastAsia="MS PGothic" w:hAnsi="MS PGothic"/>
          <w:sz w:val="12"/>
          <w:szCs w:val="12"/>
          <w:color w:val="auto"/>
        </w:rPr>
        <w:t>☑</w:t>
      </w:r>
    </w:p>
    <w:p>
      <w:pPr>
        <w:spacing w:after="0" w:line="10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30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05" w:lineRule="exact"/>
        <w:rPr>
          <w:sz w:val="24"/>
          <w:szCs w:val="24"/>
          <w:color w:val="auto"/>
        </w:rPr>
      </w:pPr>
    </w:p>
    <w:p>
      <w:pPr>
        <w:sectPr>
          <w:pgSz w:w="11900" w:h="16838" w:orient="portrait"/>
          <w:cols w:equalWidth="0" w:num="4">
            <w:col w:w="3020" w:space="20"/>
            <w:col w:w="2800" w:space="720"/>
            <w:col w:w="1560" w:space="80"/>
            <w:col w:w="1740"/>
          </w:cols>
          <w:pgMar w:left="980" w:top="665" w:right="979" w:bottom="1440" w:gutter="0" w:footer="0" w:header="0"/>
          <w:type w:val="continuous"/>
        </w:sectPr>
      </w:pPr>
    </w:p>
    <w:p>
      <w:pPr>
        <w:spacing w:after="0" w:line="18" w:lineRule="exact"/>
        <w:rPr>
          <w:sz w:val="24"/>
          <w:szCs w:val="24"/>
          <w:color w:val="auto"/>
        </w:rPr>
      </w:pPr>
    </w:p>
    <w:p>
      <w:pPr>
        <w:ind w:left="656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8" w:lineRule="exact"/>
        <w:rPr>
          <w:sz w:val="24"/>
          <w:szCs w:val="24"/>
          <w:color w:val="auto"/>
        </w:rPr>
      </w:pPr>
    </w:p>
    <w:p>
      <w:pPr>
        <w:sectPr>
          <w:pgSz w:w="11900" w:h="16838" w:orient="portrait"/>
          <w:cols w:equalWidth="0" w:num="2">
            <w:col w:w="8120" w:space="80"/>
            <w:col w:w="1740"/>
          </w:cols>
          <w:pgMar w:left="980" w:top="665" w:right="979" w:bottom="1440" w:gutter="0" w:footer="0" w:header="0"/>
          <w:type w:val="continuous"/>
        </w:sectPr>
      </w:pPr>
    </w:p>
    <w:p>
      <w:pPr>
        <w:ind w:right="60" w:firstLine="415"/>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left="420"/>
        <w:spacing w:after="0" w:line="161" w:lineRule="exact"/>
        <w:tabs>
          <w:tab w:leader="none" w:pos="7080" w:val="left"/>
          <w:tab w:leader="none" w:pos="76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50" w:lineRule="exact"/>
        <w:rPr>
          <w:sz w:val="24"/>
          <w:szCs w:val="24"/>
          <w:color w:val="auto"/>
        </w:rPr>
      </w:pPr>
    </w:p>
    <w:p>
      <w:pPr>
        <w:ind w:left="328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340" w:type="dxa"/>
            <w:vAlign w:val="bottom"/>
            <w:tcBorders>
              <w:top w:val="single" w:sz="8" w:color="auto"/>
              <w:left w:val="single" w:sz="8" w:color="auto"/>
              <w:bottom w:val="single" w:sz="8" w:color="auto"/>
              <w:right w:val="single" w:sz="8" w:color="auto"/>
            </w:tcBorders>
          </w:tcPr>
          <w:p>
            <w:pPr>
              <w:jc w:val="center"/>
              <w:ind w:right="348"/>
              <w:spacing w:after="0"/>
              <w:rPr>
                <w:sz w:val="20"/>
                <w:szCs w:val="20"/>
                <w:color w:val="auto"/>
              </w:rPr>
            </w:pPr>
            <w:r>
              <w:rPr>
                <w:rFonts w:ascii="Arial" w:cs="Arial" w:eastAsia="Arial" w:hAnsi="Arial"/>
                <w:sz w:val="14"/>
                <w:szCs w:val="14"/>
                <w:color w:val="auto"/>
                <w:w w:val="92"/>
              </w:rPr>
              <w:t>Title of each class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4"/>
              </w:rPr>
              <w:t>Trading symbol(s)</w:t>
            </w:r>
          </w:p>
        </w:tc>
        <w:tc>
          <w:tcPr>
            <w:tcW w:w="3300" w:type="dxa"/>
            <w:vAlign w:val="bottom"/>
            <w:tcBorders>
              <w:top w:val="single" w:sz="8" w:color="auto"/>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1"/>
              </w:rPr>
              <w:t>Name of each exchange on which registered</w:t>
            </w:r>
          </w:p>
        </w:tc>
      </w:tr>
      <w:tr>
        <w:trPr>
          <w:trHeight w:val="196"/>
        </w:trPr>
        <w:tc>
          <w:tcPr>
            <w:tcW w:w="3340" w:type="dxa"/>
            <w:vAlign w:val="bottom"/>
            <w:tcBorders>
              <w:left w:val="single" w:sz="8" w:color="auto"/>
              <w:bottom w:val="single" w:sz="8" w:color="auto"/>
              <w:right w:val="single" w:sz="8" w:color="auto"/>
            </w:tcBorders>
          </w:tcPr>
          <w:p>
            <w:pPr>
              <w:jc w:val="center"/>
              <w:ind w:right="368"/>
              <w:spacing w:after="0"/>
              <w:rPr>
                <w:sz w:val="20"/>
                <w:szCs w:val="20"/>
                <w:color w:val="auto"/>
              </w:rPr>
            </w:pPr>
            <w:r>
              <w:rPr>
                <w:rFonts w:ascii="Arial" w:cs="Arial" w:eastAsia="Arial" w:hAnsi="Arial"/>
                <w:sz w:val="14"/>
                <w:szCs w:val="14"/>
                <w:color w:val="auto"/>
                <w:w w:val="91"/>
              </w:rPr>
              <w:t>Common stock, par value $0.001 per share</w:t>
            </w:r>
          </w:p>
        </w:tc>
        <w:tc>
          <w:tcPr>
            <w:tcW w:w="3300" w:type="dxa"/>
            <w:vAlign w:val="bottom"/>
            <w:tcBorders>
              <w:bottom w:val="single" w:sz="8" w:color="auto"/>
              <w:right w:val="single" w:sz="8" w:color="auto"/>
            </w:tcBorders>
          </w:tcPr>
          <w:p>
            <w:pPr>
              <w:jc w:val="center"/>
              <w:ind w:right="388"/>
              <w:spacing w:after="0"/>
              <w:rPr>
                <w:sz w:val="20"/>
                <w:szCs w:val="20"/>
                <w:color w:val="auto"/>
              </w:rPr>
            </w:pPr>
            <w:r>
              <w:rPr>
                <w:rFonts w:ascii="Arial" w:cs="Arial" w:eastAsia="Arial" w:hAnsi="Arial"/>
                <w:sz w:val="14"/>
                <w:szCs w:val="14"/>
                <w:color w:val="auto"/>
                <w:w w:val="98"/>
              </w:rPr>
              <w:t>BPMC</w:t>
            </w:r>
          </w:p>
        </w:tc>
        <w:tc>
          <w:tcPr>
            <w:tcW w:w="3300" w:type="dxa"/>
            <w:vAlign w:val="bottom"/>
            <w:tcBorders>
              <w:bottom w:val="single" w:sz="8" w:color="auto"/>
              <w:right w:val="single" w:sz="8" w:color="auto"/>
            </w:tcBorders>
          </w:tcPr>
          <w:p>
            <w:pPr>
              <w:jc w:val="center"/>
              <w:ind w:right="408"/>
              <w:spacing w:after="0"/>
              <w:rPr>
                <w:sz w:val="20"/>
                <w:szCs w:val="20"/>
                <w:color w:val="auto"/>
              </w:rPr>
            </w:pPr>
            <w:r>
              <w:rPr>
                <w:rFonts w:ascii="Arial" w:cs="Arial" w:eastAsia="Arial" w:hAnsi="Arial"/>
                <w:sz w:val="14"/>
                <w:szCs w:val="14"/>
                <w:color w:val="auto"/>
                <w:w w:val="93"/>
              </w:rPr>
              <w:t>Nasdaq Global Select Market</w:t>
            </w:r>
          </w:p>
        </w:tc>
      </w:tr>
    </w:tbl>
    <w:p>
      <w:pPr>
        <w:spacing w:after="0" w:line="8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July 26, 2021: 58,574,031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861060</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14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10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36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3160" w:type="dxa"/>
            <w:vAlign w:val="bottom"/>
            <w:gridSpan w:val="7"/>
            <w:vMerge w:val="restart"/>
          </w:tcPr>
          <w:p>
            <w:pPr>
              <w:jc w:val="center"/>
              <w:spacing w:after="0" w:line="201"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2360" w:type="dxa"/>
            <w:vAlign w:val="bottom"/>
            <w:gridSpan w:val="6"/>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5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360" w:type="dxa"/>
            <w:vAlign w:val="bottom"/>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3160" w:type="dxa"/>
            <w:vAlign w:val="bottom"/>
            <w:tcBorders>
              <w:bottom w:val="single" w:sz="8" w:color="0000EE"/>
            </w:tcBorders>
            <w:gridSpan w:val="7"/>
            <w:vMerge w:val="continue"/>
          </w:tcPr>
          <w:p>
            <w:pPr>
              <w:spacing w:after="0"/>
              <w:rPr>
                <w:sz w:val="13"/>
                <w:szCs w:val="13"/>
                <w:color w:val="auto"/>
              </w:rPr>
            </w:pPr>
          </w:p>
        </w:tc>
        <w:tc>
          <w:tcPr>
            <w:tcW w:w="2360" w:type="dxa"/>
            <w:vAlign w:val="bottom"/>
            <w:gridSpan w:val="6"/>
            <w:vMerge w:val="continue"/>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29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0" w:type="dxa"/>
            <w:vAlign w:val="bottom"/>
            <w:gridSpan w:val="2"/>
          </w:tcPr>
          <w:p>
            <w:pPr>
              <w:spacing w:after="0"/>
              <w:rPr>
                <w:sz w:val="20"/>
                <w:szCs w:val="20"/>
                <w:color w:val="auto"/>
              </w:rPr>
            </w:pPr>
          </w:p>
        </w:tc>
        <w:tc>
          <w:tcPr>
            <w:tcW w:w="240" w:type="dxa"/>
            <w:vAlign w:val="bottom"/>
            <w:vMerge w:val="restart"/>
          </w:tcPr>
          <w:p>
            <w:pPr>
              <w:spacing w:after="0"/>
              <w:rPr>
                <w:sz w:val="20"/>
                <w:szCs w:val="20"/>
                <w:color w:val="auto"/>
              </w:rPr>
            </w:pPr>
          </w:p>
        </w:tc>
        <w:tc>
          <w:tcPr>
            <w:tcW w:w="620" w:type="dxa"/>
            <w:vAlign w:val="bottom"/>
            <w:vMerge w:val="restart"/>
          </w:tcPr>
          <w:p>
            <w:pPr>
              <w:spacing w:after="0"/>
              <w:rPr>
                <w:sz w:val="20"/>
                <w:szCs w:val="20"/>
                <w:color w:val="auto"/>
              </w:rPr>
            </w:pPr>
          </w:p>
        </w:tc>
        <w:tc>
          <w:tcPr>
            <w:tcW w:w="300" w:type="dxa"/>
            <w:vAlign w:val="bottom"/>
            <w:vMerge w:val="restart"/>
          </w:tcPr>
          <w:p>
            <w:pPr>
              <w:spacing w:after="0"/>
              <w:rPr>
                <w:sz w:val="20"/>
                <w:szCs w:val="20"/>
                <w:color w:val="auto"/>
              </w:rPr>
            </w:pPr>
          </w:p>
        </w:tc>
        <w:tc>
          <w:tcPr>
            <w:tcW w:w="20" w:type="dxa"/>
            <w:vAlign w:val="bottom"/>
            <w:vMerge w:val="restart"/>
          </w:tcPr>
          <w:p>
            <w:pPr>
              <w:spacing w:after="0"/>
              <w:rPr>
                <w:sz w:val="20"/>
                <w:szCs w:val="20"/>
                <w:color w:val="auto"/>
              </w:rPr>
            </w:pPr>
          </w:p>
        </w:tc>
        <w:tc>
          <w:tcPr>
            <w:tcW w:w="340" w:type="dxa"/>
            <w:vAlign w:val="bottom"/>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640" w:type="dxa"/>
            <w:vAlign w:val="bottom"/>
            <w:gridSpan w:val="2"/>
          </w:tcPr>
          <w:p>
            <w:pPr>
              <w:spacing w:after="0"/>
              <w:rPr>
                <w:sz w:val="5"/>
                <w:szCs w:val="5"/>
                <w:color w:val="auto"/>
              </w:rPr>
            </w:pPr>
          </w:p>
        </w:tc>
        <w:tc>
          <w:tcPr>
            <w:tcW w:w="6140" w:type="dxa"/>
            <w:vAlign w:val="bottom"/>
            <w:gridSpan w:val="15"/>
            <w:vMerge w:val="restart"/>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June 30, 2021 and December 31, 2020</w:t>
              </w:r>
            </w:hyperlink>
          </w:p>
        </w:tc>
        <w:tc>
          <w:tcPr>
            <w:tcW w:w="2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tcBorders>
              <w:bottom w:val="single" w:sz="8" w:color="0000EE"/>
            </w:tcBorders>
            <w:gridSpan w:val="15"/>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0"/>
            <w:vMerge w:val="restart"/>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Operations and Comprehensive Loss for the three and six</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0"/>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Borders>
              <w:top w:val="single" w:sz="8" w:color="0000EE"/>
              <w:bottom w:val="single" w:sz="8" w:color="0000EE"/>
            </w:tcBorders>
            <w:gridSpan w:val="10"/>
          </w:tcPr>
          <w:p>
            <w:pPr>
              <w:spacing w:after="0" w:line="169"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months ended June 30, 2021 and 2020</w:t>
              </w:r>
            </w:hyperlink>
          </w:p>
        </w:tc>
        <w:tc>
          <w:tcPr>
            <w:tcW w:w="1240" w:type="dxa"/>
            <w:vAlign w:val="bottom"/>
            <w:tcBorders>
              <w:top w:val="single" w:sz="8" w:color="0000EE"/>
              <w:bottom w:val="single" w:sz="8" w:color="0000EE"/>
            </w:tcBorders>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3"/>
          </w:tcPr>
          <w:p>
            <w:pPr>
              <w:spacing w:after="0"/>
              <w:rPr>
                <w:sz w:val="15"/>
                <w:szCs w:val="15"/>
                <w:color w:val="auto"/>
              </w:rPr>
            </w:pPr>
          </w:p>
        </w:tc>
        <w:tc>
          <w:tcPr>
            <w:tcW w:w="620" w:type="dxa"/>
            <w:vAlign w:val="bottom"/>
            <w:tcBorders>
              <w:top w:val="single" w:sz="8" w:color="0000EE"/>
              <w:bottom w:val="single" w:sz="8" w:color="0000EE"/>
            </w:tcBorders>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60" w:type="dxa"/>
            <w:vAlign w:val="bottom"/>
            <w:gridSpan w:val="20"/>
            <w:vMerge w:val="restart"/>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Stockholders’ Equity for the three and six months ended June</w:t>
              </w:r>
            </w:hyperlink>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60" w:type="dxa"/>
            <w:vAlign w:val="bottom"/>
            <w:gridSpan w:val="20"/>
            <w:vMerge w:val="continue"/>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5"/>
          </w:tcPr>
          <w:p>
            <w:pPr>
              <w:spacing w:after="0" w:line="169"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30, 2021 and 2020</w:t>
              </w:r>
            </w:hyperlink>
          </w:p>
        </w:tc>
        <w:tc>
          <w:tcPr>
            <w:tcW w:w="360" w:type="dxa"/>
            <w:vAlign w:val="bottom"/>
            <w:tcBorders>
              <w:top w:val="single" w:sz="8" w:color="0000EE"/>
              <w:bottom w:val="single" w:sz="8" w:color="0000EE"/>
            </w:tcBorders>
          </w:tcPr>
          <w:p>
            <w:pPr>
              <w:spacing w:after="0"/>
              <w:rPr>
                <w:sz w:val="15"/>
                <w:szCs w:val="15"/>
                <w:color w:val="auto"/>
              </w:rPr>
            </w:pPr>
          </w:p>
        </w:tc>
        <w:tc>
          <w:tcPr>
            <w:tcW w:w="600" w:type="dxa"/>
            <w:vAlign w:val="bottom"/>
            <w:tcBorders>
              <w:top w:val="single" w:sz="8" w:color="0000EE"/>
              <w:bottom w:val="single" w:sz="8" w:color="0000EE"/>
            </w:tcBorders>
            <w:gridSpan w:val="2"/>
          </w:tcPr>
          <w:p>
            <w:pPr>
              <w:spacing w:after="0"/>
              <w:rPr>
                <w:sz w:val="15"/>
                <w:szCs w:val="15"/>
                <w:color w:val="auto"/>
              </w:rPr>
            </w:pPr>
          </w:p>
        </w:tc>
        <w:tc>
          <w:tcPr>
            <w:tcW w:w="1700" w:type="dxa"/>
            <w:vAlign w:val="bottom"/>
            <w:tcBorders>
              <w:top w:val="single" w:sz="8" w:color="0000EE"/>
              <w:bottom w:val="single" w:sz="8" w:color="0000EE"/>
            </w:tcBorders>
            <w:gridSpan w:val="3"/>
          </w:tcPr>
          <w:p>
            <w:pPr>
              <w:spacing w:after="0"/>
              <w:rPr>
                <w:sz w:val="15"/>
                <w:szCs w:val="15"/>
                <w:color w:val="auto"/>
              </w:rPr>
            </w:pPr>
          </w:p>
        </w:tc>
        <w:tc>
          <w:tcPr>
            <w:tcW w:w="280" w:type="dxa"/>
            <w:vAlign w:val="bottom"/>
            <w:tcBorders>
              <w:top w:val="single" w:sz="8" w:color="0000EE"/>
              <w:bottom w:val="single" w:sz="8" w:color="0000EE"/>
            </w:tcBorders>
          </w:tcPr>
          <w:p>
            <w:pPr>
              <w:spacing w:after="0"/>
              <w:rPr>
                <w:sz w:val="15"/>
                <w:szCs w:val="15"/>
                <w:color w:val="auto"/>
              </w:rPr>
            </w:pPr>
          </w:p>
        </w:tc>
        <w:tc>
          <w:tcPr>
            <w:tcW w:w="860" w:type="dxa"/>
            <w:vAlign w:val="bottom"/>
            <w:tcBorders>
              <w:top w:val="single" w:sz="8" w:color="0000EE"/>
              <w:bottom w:val="single" w:sz="8" w:color="0000EE"/>
            </w:tcBorders>
          </w:tcPr>
          <w:p>
            <w:pPr>
              <w:spacing w:after="0"/>
              <w:rPr>
                <w:sz w:val="15"/>
                <w:szCs w:val="15"/>
                <w:color w:val="auto"/>
              </w:rPr>
            </w:pPr>
          </w:p>
        </w:tc>
        <w:tc>
          <w:tcPr>
            <w:tcW w:w="1240" w:type="dxa"/>
            <w:vAlign w:val="bottom"/>
            <w:tcBorders>
              <w:top w:val="single" w:sz="8" w:color="0000EE"/>
              <w:bottom w:val="single" w:sz="8" w:color="0000EE"/>
            </w:tcBorders>
            <w:gridSpan w:val="3"/>
          </w:tcPr>
          <w:p>
            <w:pPr>
              <w:spacing w:after="0"/>
              <w:rPr>
                <w:sz w:val="15"/>
                <w:szCs w:val="15"/>
                <w:color w:val="auto"/>
              </w:rPr>
            </w:pPr>
          </w:p>
        </w:tc>
        <w:tc>
          <w:tcPr>
            <w:tcW w:w="920" w:type="dxa"/>
            <w:vAlign w:val="bottom"/>
            <w:tcBorders>
              <w:top w:val="single" w:sz="8" w:color="0000EE"/>
              <w:bottom w:val="single" w:sz="8" w:color="0000EE"/>
            </w:tcBorders>
            <w:gridSpan w:val="2"/>
          </w:tcPr>
          <w:p>
            <w:pPr>
              <w:spacing w:after="0"/>
              <w:rPr>
                <w:sz w:val="15"/>
                <w:szCs w:val="15"/>
                <w:color w:val="auto"/>
              </w:rPr>
            </w:pPr>
          </w:p>
        </w:tc>
        <w:tc>
          <w:tcPr>
            <w:tcW w:w="20" w:type="dxa"/>
            <w:vAlign w:val="bottom"/>
            <w:tcBorders>
              <w:top w:val="single" w:sz="8" w:color="0000EE"/>
              <w:bottom w:val="single" w:sz="8" w:color="0000EE"/>
            </w:tcBorders>
            <w:vMerge w:val="restart"/>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300" w:type="dxa"/>
            <w:vAlign w:val="bottom"/>
            <w:gridSpan w:val="18"/>
            <w:vMerge w:val="restart"/>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Condensed Consolidated Statements of Cash Flows for the six months ended June 30, 2021 and 2020</w:t>
              </w:r>
            </w:hyperlink>
          </w:p>
        </w:tc>
        <w:tc>
          <w:tcPr>
            <w:tcW w:w="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300" w:type="dxa"/>
            <w:vAlign w:val="bottom"/>
            <w:tcBorders>
              <w:bottom w:val="single" w:sz="8" w:color="0000EE"/>
            </w:tcBorders>
            <w:gridSpan w:val="18"/>
            <w:vMerge w:val="continue"/>
          </w:tcPr>
          <w:p>
            <w:pPr>
              <w:spacing w:after="0"/>
              <w:rPr>
                <w:sz w:val="14"/>
                <w:szCs w:val="14"/>
                <w:color w:val="auto"/>
              </w:rPr>
            </w:pPr>
          </w:p>
        </w:tc>
        <w:tc>
          <w:tcPr>
            <w:tcW w:w="360" w:type="dxa"/>
            <w:vAlign w:val="bottom"/>
            <w:gridSpan w:val="2"/>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1"/>
            <w:vMerge w:val="restart"/>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gridSpan w:val="3"/>
          </w:tcPr>
          <w:p>
            <w:pPr>
              <w:spacing w:after="0"/>
              <w:rPr>
                <w:sz w:val="5"/>
                <w:szCs w:val="5"/>
                <w:color w:val="auto"/>
              </w:rPr>
            </w:pPr>
          </w:p>
        </w:tc>
        <w:tc>
          <w:tcPr>
            <w:tcW w:w="920" w:type="dxa"/>
            <w:vAlign w:val="bottom"/>
            <w:gridSpan w:val="2"/>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Borders>
              <w:bottom w:val="single" w:sz="8" w:color="0000EE"/>
            </w:tcBorders>
            <w:gridSpan w:val="11"/>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spacing w:after="0"/>
              <w:rPr>
                <w:sz w:val="14"/>
                <w:szCs w:val="14"/>
                <w:color w:val="auto"/>
              </w:rPr>
            </w:pPr>
          </w:p>
        </w:tc>
        <w:tc>
          <w:tcPr>
            <w:tcW w:w="1280" w:type="dxa"/>
            <w:vAlign w:val="bottom"/>
            <w:gridSpan w:val="4"/>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61"/>
        </w:trPr>
        <w:tc>
          <w:tcPr>
            <w:tcW w:w="7020" w:type="dxa"/>
            <w:vAlign w:val="bottom"/>
            <w:gridSpan w:val="18"/>
            <w:vMerge w:val="restart"/>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Item 2. Management’s Discussion and Analysis of Financial Condition and Results of Operations</w:t>
              </w:r>
            </w:hyperlink>
          </w:p>
        </w:tc>
        <w:tc>
          <w:tcPr>
            <w:tcW w:w="12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7020" w:type="dxa"/>
            <w:vAlign w:val="bottom"/>
            <w:tcBorders>
              <w:bottom w:val="single" w:sz="8" w:color="0000EE"/>
            </w:tcBorders>
            <w:gridSpan w:val="18"/>
            <w:vMerge w:val="continue"/>
          </w:tcPr>
          <w:p>
            <w:pPr>
              <w:spacing w:after="0"/>
              <w:rPr>
                <w:sz w:val="14"/>
                <w:szCs w:val="14"/>
                <w:color w:val="auto"/>
              </w:rPr>
            </w:pPr>
          </w:p>
        </w:tc>
        <w:tc>
          <w:tcPr>
            <w:tcW w:w="1280" w:type="dxa"/>
            <w:vAlign w:val="bottom"/>
            <w:gridSpan w:val="4"/>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600" w:type="dxa"/>
            <w:vAlign w:val="bottom"/>
            <w:gridSpan w:val="2"/>
          </w:tcPr>
          <w:p>
            <w:pPr>
              <w:spacing w:after="0"/>
              <w:rPr>
                <w:sz w:val="2"/>
                <w:szCs w:val="2"/>
                <w:color w:val="auto"/>
              </w:rPr>
            </w:pPr>
          </w:p>
        </w:tc>
        <w:tc>
          <w:tcPr>
            <w:tcW w:w="1980" w:type="dxa"/>
            <w:vAlign w:val="bottom"/>
            <w:gridSpan w:val="4"/>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43">
              <w:r>
                <w:rPr>
                  <w:rFonts w:ascii="Arial" w:cs="Arial" w:eastAsia="Arial" w:hAnsi="Arial"/>
                  <w:sz w:val="18"/>
                  <w:szCs w:val="18"/>
                  <w:color w:val="0000EE"/>
                  <w:w w:val="94"/>
                </w:rPr>
                <w:t>Item 3.</w:t>
              </w:r>
            </w:hyperlink>
          </w:p>
        </w:tc>
        <w:tc>
          <w:tcPr>
            <w:tcW w:w="4380" w:type="dxa"/>
            <w:vAlign w:val="bottom"/>
            <w:tcBorders>
              <w:bottom w:val="single" w:sz="8" w:color="0000EE"/>
            </w:tcBorders>
            <w:gridSpan w:val="13"/>
          </w:tcPr>
          <w:p>
            <w:pPr>
              <w:ind w:left="20"/>
              <w:spacing w:after="0" w:line="170"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Quantitative and Qualitative Disclosures About Market Risk</w:t>
              </w:r>
            </w:hyperlink>
          </w:p>
        </w:tc>
        <w:tc>
          <w:tcPr>
            <w:tcW w:w="860" w:type="dxa"/>
            <w:vAlign w:val="bottom"/>
            <w:vMerge w:val="restart"/>
          </w:tcPr>
          <w:p>
            <w:pPr>
              <w:spacing w:after="0"/>
              <w:rPr>
                <w:sz w:val="16"/>
                <w:szCs w:val="16"/>
                <w:color w:val="auto"/>
              </w:rPr>
            </w:pPr>
          </w:p>
        </w:tc>
        <w:tc>
          <w:tcPr>
            <w:tcW w:w="2520" w:type="dxa"/>
            <w:vAlign w:val="bottom"/>
            <w:gridSpan w:val="7"/>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61"/>
        </w:trPr>
        <w:tc>
          <w:tcPr>
            <w:tcW w:w="540" w:type="dxa"/>
            <w:vAlign w:val="bottom"/>
            <w:vMerge w:val="restart"/>
          </w:tcPr>
          <w:p>
            <w:pPr>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4.</w:t>
              </w:r>
            </w:hyperlink>
          </w:p>
        </w:tc>
        <w:tc>
          <w:tcPr>
            <w:tcW w:w="1800" w:type="dxa"/>
            <w:vAlign w:val="bottom"/>
            <w:gridSpan w:val="7"/>
            <w:vMerge w:val="restart"/>
          </w:tcPr>
          <w:p>
            <w:pPr>
              <w:ind w:left="20"/>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Controls and Procedures</w:t>
              </w:r>
            </w:hyperlink>
          </w:p>
        </w:tc>
        <w:tc>
          <w:tcPr>
            <w:tcW w:w="600" w:type="dxa"/>
            <w:vAlign w:val="bottom"/>
            <w:gridSpan w:val="2"/>
          </w:tcPr>
          <w:p>
            <w:pPr>
              <w:spacing w:after="0"/>
              <w:rPr>
                <w:sz w:val="5"/>
                <w:szCs w:val="5"/>
                <w:color w:val="auto"/>
              </w:rPr>
            </w:pPr>
          </w:p>
        </w:tc>
        <w:tc>
          <w:tcPr>
            <w:tcW w:w="1980" w:type="dxa"/>
            <w:vAlign w:val="bottom"/>
            <w:gridSpan w:val="4"/>
          </w:tcPr>
          <w:p>
            <w:pPr>
              <w:spacing w:after="0"/>
              <w:rPr>
                <w:sz w:val="5"/>
                <w:szCs w:val="5"/>
                <w:color w:val="auto"/>
              </w:rPr>
            </w:pPr>
          </w:p>
        </w:tc>
        <w:tc>
          <w:tcPr>
            <w:tcW w:w="860" w:type="dxa"/>
            <w:vAlign w:val="bottom"/>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540" w:type="dxa"/>
            <w:vAlign w:val="bottom"/>
            <w:tcBorders>
              <w:bottom w:val="single" w:sz="8" w:color="0000EE"/>
            </w:tcBorders>
            <w:vMerge w:val="continue"/>
          </w:tcPr>
          <w:p>
            <w:pPr>
              <w:spacing w:after="0"/>
              <w:rPr>
                <w:sz w:val="14"/>
                <w:szCs w:val="14"/>
                <w:color w:val="auto"/>
              </w:rPr>
            </w:pPr>
          </w:p>
        </w:tc>
        <w:tc>
          <w:tcPr>
            <w:tcW w:w="1800" w:type="dxa"/>
            <w:vAlign w:val="bottom"/>
            <w:tcBorders>
              <w:bottom w:val="single" w:sz="8" w:color="0000EE"/>
            </w:tcBorders>
            <w:gridSpan w:val="7"/>
            <w:vMerge w:val="continue"/>
          </w:tcPr>
          <w:p>
            <w:pPr>
              <w:spacing w:after="0"/>
              <w:rPr>
                <w:sz w:val="14"/>
                <w:szCs w:val="14"/>
                <w:color w:val="auto"/>
              </w:rPr>
            </w:pPr>
          </w:p>
        </w:tc>
        <w:tc>
          <w:tcPr>
            <w:tcW w:w="600" w:type="dxa"/>
            <w:vAlign w:val="bottom"/>
            <w:gridSpan w:val="2"/>
            <w:vMerge w:val="restart"/>
          </w:tcPr>
          <w:p>
            <w:pPr>
              <w:spacing w:after="0"/>
              <w:rPr>
                <w:sz w:val="14"/>
                <w:szCs w:val="14"/>
                <w:color w:val="auto"/>
              </w:rPr>
            </w:pPr>
          </w:p>
        </w:tc>
        <w:tc>
          <w:tcPr>
            <w:tcW w:w="2840" w:type="dxa"/>
            <w:vAlign w:val="bottom"/>
            <w:gridSpan w:val="5"/>
            <w:vMerge w:val="restart"/>
          </w:tcPr>
          <w:p>
            <w:pPr>
              <w:spacing w:after="0"/>
              <w:rPr>
                <w:sz w:val="14"/>
                <w:szCs w:val="14"/>
                <w:color w:val="auto"/>
              </w:rPr>
            </w:pPr>
          </w:p>
        </w:tc>
        <w:tc>
          <w:tcPr>
            <w:tcW w:w="2520" w:type="dxa"/>
            <w:vAlign w:val="bottom"/>
            <w:gridSpan w:val="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61"/>
        </w:trPr>
        <w:tc>
          <w:tcPr>
            <w:tcW w:w="540" w:type="dxa"/>
            <w:vAlign w:val="bottom"/>
          </w:tcPr>
          <w:p>
            <w:pPr>
              <w:spacing w:after="0"/>
              <w:rPr>
                <w:sz w:val="5"/>
                <w:szCs w:val="5"/>
                <w:color w:val="auto"/>
              </w:rPr>
            </w:pPr>
          </w:p>
        </w:tc>
        <w:tc>
          <w:tcPr>
            <w:tcW w:w="220" w:type="dxa"/>
            <w:vAlign w:val="bottom"/>
            <w:gridSpan w:val="2"/>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4"/>
        </w:trPr>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20" w:type="dxa"/>
            <w:vAlign w:val="bottom"/>
            <w:gridSpan w:val="13"/>
          </w:tcPr>
          <w:p>
            <w:pPr>
              <w:jc w:val="center"/>
              <w:ind w:right="2360"/>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 – OTHER INFORMATION</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540" w:type="dxa"/>
            <w:vAlign w:val="bottom"/>
            <w:tcBorders>
              <w:bottom w:val="single" w:sz="8" w:color="0000EE"/>
            </w:tcBorders>
          </w:tcPr>
          <w:p>
            <w:pPr>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1.</w:t>
              </w:r>
            </w:hyperlink>
          </w:p>
        </w:tc>
        <w:tc>
          <w:tcPr>
            <w:tcW w:w="1360" w:type="dxa"/>
            <w:vAlign w:val="bottom"/>
            <w:tcBorders>
              <w:bottom w:val="single" w:sz="8" w:color="0000EE"/>
            </w:tcBorders>
            <w:gridSpan w:val="5"/>
          </w:tcPr>
          <w:p>
            <w:pPr>
              <w:ind w:left="20"/>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Legal Proceedings</w:t>
              </w:r>
            </w:hyperlink>
          </w:p>
        </w:tc>
        <w:tc>
          <w:tcPr>
            <w:tcW w:w="1040" w:type="dxa"/>
            <w:vAlign w:val="bottom"/>
            <w:gridSpan w:val="4"/>
            <w:vMerge w:val="restart"/>
          </w:tcPr>
          <w:p>
            <w:pPr>
              <w:spacing w:after="0"/>
              <w:rPr>
                <w:sz w:val="20"/>
                <w:szCs w:val="20"/>
                <w:color w:val="auto"/>
              </w:rPr>
            </w:pPr>
          </w:p>
        </w:tc>
        <w:tc>
          <w:tcPr>
            <w:tcW w:w="2840" w:type="dxa"/>
            <w:vAlign w:val="bottom"/>
            <w:tcBorders>
              <w:top w:val="single" w:sz="8" w:color="0000EE"/>
              <w:bottom w:val="single" w:sz="8" w:color="0000EE"/>
            </w:tcBorders>
            <w:gridSpan w:val="5"/>
            <w:vMerge w:val="restart"/>
          </w:tcPr>
          <w:p>
            <w:pPr>
              <w:spacing w:after="0"/>
              <w:rPr>
                <w:sz w:val="20"/>
                <w:szCs w:val="20"/>
                <w:color w:val="auto"/>
              </w:rPr>
            </w:pPr>
          </w:p>
        </w:tc>
        <w:tc>
          <w:tcPr>
            <w:tcW w:w="2520" w:type="dxa"/>
            <w:vAlign w:val="bottom"/>
            <w:gridSpan w:val="7"/>
            <w:vMerge w:val="restart"/>
          </w:tcPr>
          <w:p>
            <w:pPr>
              <w:spacing w:after="0"/>
              <w:rPr>
                <w:sz w:val="20"/>
                <w:szCs w:val="20"/>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61"/>
        </w:trPr>
        <w:tc>
          <w:tcPr>
            <w:tcW w:w="1600" w:type="dxa"/>
            <w:vAlign w:val="bottom"/>
            <w:gridSpan w:val="5"/>
            <w:vMerge w:val="restart"/>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Item 1A. Risk Factors</w:t>
              </w:r>
            </w:hyperlink>
          </w:p>
        </w:tc>
        <w:tc>
          <w:tcPr>
            <w:tcW w:w="300" w:type="dxa"/>
            <w:vAlign w:val="bottom"/>
          </w:tcPr>
          <w:p>
            <w:pPr>
              <w:spacing w:after="0"/>
              <w:rPr>
                <w:sz w:val="5"/>
                <w:szCs w:val="5"/>
                <w:color w:val="auto"/>
              </w:rPr>
            </w:pPr>
          </w:p>
        </w:tc>
        <w:tc>
          <w:tcPr>
            <w:tcW w:w="1040" w:type="dxa"/>
            <w:vAlign w:val="bottom"/>
            <w:gridSpan w:val="4"/>
            <w:vMerge w:val="continue"/>
          </w:tcPr>
          <w:p>
            <w:pPr>
              <w:spacing w:after="0"/>
              <w:rPr>
                <w:sz w:val="5"/>
                <w:szCs w:val="5"/>
                <w:color w:val="auto"/>
              </w:rPr>
            </w:pPr>
          </w:p>
        </w:tc>
        <w:tc>
          <w:tcPr>
            <w:tcW w:w="2840" w:type="dxa"/>
            <w:vAlign w:val="bottom"/>
            <w:gridSpan w:val="5"/>
            <w:vMerge w:val="continue"/>
          </w:tcPr>
          <w:p>
            <w:pPr>
              <w:spacing w:after="0"/>
              <w:rPr>
                <w:sz w:val="5"/>
                <w:szCs w:val="5"/>
                <w:color w:val="auto"/>
              </w:rPr>
            </w:pPr>
          </w:p>
        </w:tc>
        <w:tc>
          <w:tcPr>
            <w:tcW w:w="2520" w:type="dxa"/>
            <w:vAlign w:val="bottom"/>
            <w:gridSpan w:val="7"/>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0000EE"/>
            </w:tcBorders>
            <w:gridSpan w:val="5"/>
            <w:vMerge w:val="continue"/>
          </w:tcPr>
          <w:p>
            <w:pPr>
              <w:spacing w:after="0"/>
              <w:rPr>
                <w:sz w:val="14"/>
                <w:szCs w:val="14"/>
                <w:color w:val="auto"/>
              </w:rPr>
            </w:pPr>
          </w:p>
        </w:tc>
        <w:tc>
          <w:tcPr>
            <w:tcW w:w="6700" w:type="dxa"/>
            <w:vAlign w:val="bottom"/>
            <w:gridSpan w:val="17"/>
            <w:vMerge w:val="restart"/>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3"/>
        </w:trPr>
        <w:tc>
          <w:tcPr>
            <w:tcW w:w="76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700" w:type="dxa"/>
            <w:vAlign w:val="bottom"/>
            <w:gridSpan w:val="17"/>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40" w:type="dxa"/>
            <w:vAlign w:val="bottom"/>
            <w:tcBorders>
              <w:bottom w:val="single" w:sz="8" w:color="0000EE"/>
            </w:tcBorders>
          </w:tcPr>
          <w:p>
            <w:pPr>
              <w:spacing w:after="0" w:line="170" w:lineRule="exact"/>
              <w:rPr>
                <w:rFonts w:ascii="Arial" w:cs="Arial" w:eastAsia="Arial" w:hAnsi="Arial"/>
                <w:sz w:val="18"/>
                <w:szCs w:val="18"/>
                <w:color w:val="0000EE"/>
                <w:w w:val="94"/>
              </w:rPr>
            </w:pPr>
            <w:hyperlink w:anchor="page92">
              <w:r>
                <w:rPr>
                  <w:rFonts w:ascii="Arial" w:cs="Arial" w:eastAsia="Arial" w:hAnsi="Arial"/>
                  <w:sz w:val="18"/>
                  <w:szCs w:val="18"/>
                  <w:color w:val="0000EE"/>
                  <w:w w:val="94"/>
                </w:rPr>
                <w:t>Item 6.</w:t>
              </w:r>
            </w:hyperlink>
          </w:p>
        </w:tc>
        <w:tc>
          <w:tcPr>
            <w:tcW w:w="620" w:type="dxa"/>
            <w:vAlign w:val="bottom"/>
            <w:tcBorders>
              <w:bottom w:val="single" w:sz="8" w:color="0000EE"/>
            </w:tcBorders>
            <w:gridSpan w:val="3"/>
          </w:tcPr>
          <w:p>
            <w:pPr>
              <w:ind w:left="20"/>
              <w:spacing w:after="0" w:line="170" w:lineRule="exact"/>
              <w:rPr>
                <w:rFonts w:ascii="Arial" w:cs="Arial" w:eastAsia="Arial" w:hAnsi="Arial"/>
                <w:sz w:val="18"/>
                <w:szCs w:val="18"/>
                <w:color w:val="0000EE"/>
                <w:w w:val="91"/>
              </w:rPr>
            </w:pPr>
            <w:hyperlink w:anchor="page92">
              <w:r>
                <w:rPr>
                  <w:rFonts w:ascii="Arial" w:cs="Arial" w:eastAsia="Arial" w:hAnsi="Arial"/>
                  <w:sz w:val="18"/>
                  <w:szCs w:val="18"/>
                  <w:color w:val="0000EE"/>
                  <w:w w:val="91"/>
                </w:rPr>
                <w:t>Exhibits</w:t>
              </w:r>
            </w:hyperlink>
          </w:p>
        </w:tc>
        <w:tc>
          <w:tcPr>
            <w:tcW w:w="7140" w:type="dxa"/>
            <w:vAlign w:val="bottom"/>
            <w:gridSpan w:val="18"/>
            <w:vMerge w:val="restart"/>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140" w:type="dxa"/>
            <w:vAlign w:val="bottom"/>
            <w:gridSpan w:val="18"/>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8300" w:type="dxa"/>
            <w:vAlign w:val="bottom"/>
            <w:gridSpan w:val="22"/>
          </w:tcPr>
          <w:p>
            <w:pPr>
              <w:spacing w:after="0" w:line="190" w:lineRule="exact"/>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500" w:type="dxa"/>
            <w:vAlign w:val="bottom"/>
          </w:tcPr>
          <w:p>
            <w:pPr>
              <w:jc w:val="right"/>
              <w:spacing w:after="0" w:line="190"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right="199" w:firstLine="648"/>
        <w:spacing w:after="0" w:line="221"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subsidiaries. Blueprint Medicines, AYVAKIT</w:t>
      </w:r>
      <w:r>
        <w:rPr>
          <w:rFonts w:ascii="Arial" w:cs="Arial" w:eastAsia="Arial" w:hAnsi="Arial"/>
          <w:sz w:val="18"/>
          <w:szCs w:val="18"/>
          <w:color w:val="auto"/>
        </w:rPr>
        <w:t>™</w:t>
      </w:r>
      <w:r>
        <w:rPr>
          <w:rFonts w:ascii="Arial" w:cs="Arial" w:eastAsia="Arial" w:hAnsi="Arial"/>
          <w:sz w:val="18"/>
          <w:szCs w:val="18"/>
          <w:i w:val="1"/>
          <w:iCs w:val="1"/>
          <w:color w:val="auto"/>
        </w:rPr>
        <w:t>, AYVAKYT</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and associated logos are trademarks of Blueprint Medicines Corporation. Other brands, names and trademarks contained in this Quarterly Report on Form 10-Q are the property of their respective owners.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62"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about:</w:t>
      </w:r>
    </w:p>
    <w:p>
      <w:pPr>
        <w:spacing w:after="0" w:line="196" w:lineRule="exact"/>
        <w:rPr>
          <w:sz w:val="20"/>
          <w:szCs w:val="20"/>
          <w:color w:val="auto"/>
        </w:rPr>
      </w:pPr>
    </w:p>
    <w:p>
      <w:pPr>
        <w:ind w:left="1380" w:right="55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actions, filings and approvals for our current and future drug candidates, including our ability to obtain marketing approval for avapritinib and pralsetinib for additional indications or in additional geographies;</w:t>
      </w:r>
    </w:p>
    <w:p>
      <w:pPr>
        <w:spacing w:after="0" w:line="114" w:lineRule="exact"/>
        <w:rPr>
          <w:rFonts w:ascii="Arial" w:cs="Arial" w:eastAsia="Arial" w:hAnsi="Arial"/>
          <w:sz w:val="18"/>
          <w:szCs w:val="18"/>
          <w:color w:val="auto"/>
        </w:rPr>
      </w:pPr>
    </w:p>
    <w:p>
      <w:pPr>
        <w:ind w:left="1380" w:right="79" w:hanging="331"/>
        <w:spacing w:after="0" w:line="21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and plans in continuing to build out our commercial infrastructure and successfully launching, marketing and selling AYVAKIT™ (avapritinib) (marketed in Europe under the brand name AYVAKYT</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GAVRETO</w:t>
      </w:r>
      <w:r>
        <w:rPr>
          <w:rFonts w:ascii="Arial" w:cs="Arial" w:eastAsia="Arial" w:hAnsi="Arial"/>
          <w:sz w:val="26"/>
          <w:szCs w:val="26"/>
          <w:i w:val="1"/>
          <w:iCs w:val="1"/>
          <w:color w:val="auto"/>
          <w:vertAlign w:val="superscript"/>
        </w:rPr>
        <w:t>®</w:t>
      </w:r>
      <w:r>
        <w:rPr>
          <w:rFonts w:ascii="Arial" w:cs="Arial" w:eastAsia="Arial" w:hAnsi="Arial"/>
          <w:sz w:val="18"/>
          <w:szCs w:val="18"/>
          <w:color w:val="auto"/>
        </w:rPr>
        <w:t xml:space="preserve"> (pralsetinib) and any current and future drug candidates for which we receive marketing approval;</w:t>
      </w:r>
    </w:p>
    <w:p>
      <w:pPr>
        <w:spacing w:after="0" w:line="109" w:lineRule="exact"/>
        <w:rPr>
          <w:rFonts w:ascii="Arial" w:cs="Arial" w:eastAsia="Arial" w:hAnsi="Arial"/>
          <w:sz w:val="18"/>
          <w:szCs w:val="18"/>
          <w:color w:val="auto"/>
        </w:rPr>
      </w:pPr>
    </w:p>
    <w:p>
      <w:pPr>
        <w:ind w:left="1380" w:right="41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AYVAKIT/AYVAKYT, GAVRETO and any current and future drug candidates for which we receive marketing approval;</w:t>
      </w:r>
    </w:p>
    <w:p>
      <w:pPr>
        <w:spacing w:after="0" w:line="103" w:lineRule="exact"/>
        <w:rPr>
          <w:rFonts w:ascii="Arial" w:cs="Arial" w:eastAsia="Arial" w:hAnsi="Arial"/>
          <w:sz w:val="18"/>
          <w:szCs w:val="18"/>
          <w:color w:val="auto"/>
        </w:rPr>
      </w:pPr>
    </w:p>
    <w:p>
      <w:pPr>
        <w:ind w:left="1380" w:right="41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our current and future drug candidates and research and development programs;</w:t>
      </w:r>
    </w:p>
    <w:p>
      <w:pPr>
        <w:spacing w:after="0" w:line="100" w:lineRule="exact"/>
        <w:rPr>
          <w:rFonts w:ascii="Arial" w:cs="Arial" w:eastAsia="Arial" w:hAnsi="Arial"/>
          <w:sz w:val="18"/>
          <w:szCs w:val="18"/>
          <w:color w:val="auto"/>
        </w:rPr>
      </w:pPr>
    </w:p>
    <w:p>
      <w:pPr>
        <w:ind w:left="1380"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44"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develop manufacturing processes for any of our current and future drugs or drug candidates and to secure manufacturing, packaging and labeling arrangements for development activities and commercial production;</w:t>
      </w:r>
    </w:p>
    <w:p>
      <w:pPr>
        <w:spacing w:after="0" w:line="114"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drugs, drug candidates, platform and technology;</w:t>
      </w:r>
    </w:p>
    <w:p>
      <w:pPr>
        <w:spacing w:after="0" w:line="89" w:lineRule="exact"/>
        <w:rPr>
          <w:rFonts w:ascii="Arial" w:cs="Arial" w:eastAsia="Arial" w:hAnsi="Arial"/>
          <w:sz w:val="18"/>
          <w:szCs w:val="18"/>
          <w:color w:val="auto"/>
        </w:rPr>
      </w:pPr>
    </w:p>
    <w:p>
      <w:pPr>
        <w:ind w:left="1380" w:right="139" w:hanging="331"/>
        <w:spacing w:after="0" w:line="261" w:lineRule="auto"/>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current and future drugs, drug candidates and technology;</w:t>
      </w:r>
    </w:p>
    <w:p>
      <w:pPr>
        <w:spacing w:after="0" w:line="103" w:lineRule="exact"/>
        <w:rPr>
          <w:rFonts w:ascii="Arial" w:cs="Arial" w:eastAsia="Arial" w:hAnsi="Arial"/>
          <w:sz w:val="18"/>
          <w:szCs w:val="18"/>
          <w:color w:val="auto"/>
        </w:rPr>
      </w:pPr>
    </w:p>
    <w:p>
      <w:pPr>
        <w:ind w:left="1380" w:right="119" w:hanging="331"/>
        <w:spacing w:after="0"/>
        <w:tabs>
          <w:tab w:leader="none" w:pos="1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collaboration with F. Hoffmann-La Roche Ltd and Genentech, Inc. to develop and commercialize pralsetinib globally (excluding Greater China), our cancer immunotherapy collaboration with F. Hoffmann-La Roche Ltd and Hoffmann-La Roche Inc., and our collaboration with CStone Pharmaceuticals to develop and commercialize avapritinib, pralsetinib and fisogatinib in Greater China, as well as our ability to maintain these collaborations and establish additional strategic collaborations;</w:t>
      </w:r>
    </w:p>
    <w:p>
      <w:pPr>
        <w:spacing w:after="0" w:line="121" w:lineRule="exact"/>
        <w:rPr>
          <w:rFonts w:ascii="Arial" w:cs="Arial" w:eastAsia="Arial" w:hAnsi="Arial"/>
          <w:sz w:val="18"/>
          <w:szCs w:val="18"/>
          <w:color w:val="auto"/>
        </w:rPr>
      </w:pPr>
    </w:p>
    <w:p>
      <w:pPr>
        <w:ind w:left="1380" w:right="679" w:hanging="331"/>
        <w:spacing w:after="0" w:line="291" w:lineRule="auto"/>
        <w:tabs>
          <w:tab w:leader="none" w:pos="1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exclusive license agreement with Clementia Pharmaceuticals, Inc. to develop and commercialize BLU-782 for fibrodysplasia ossificans progressiva;</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development of companion diagnostic tests for our current or future drugs or drug candidates;</w:t>
      </w:r>
    </w:p>
    <w:p>
      <w:pPr>
        <w:spacing w:after="0" w:line="155" w:lineRule="exact"/>
        <w:rPr>
          <w:rFonts w:ascii="Arial" w:cs="Arial" w:eastAsia="Arial" w:hAnsi="Arial"/>
          <w:sz w:val="17"/>
          <w:szCs w:val="17"/>
          <w:color w:val="auto"/>
        </w:rPr>
      </w:pPr>
    </w:p>
    <w:p>
      <w:pPr>
        <w:ind w:left="1380" w:right="259" w:hanging="331"/>
        <w:spacing w:after="0" w:line="291"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estimates of our revenues, expenses and capital requirements and our needs for future financing, including our ability to achieve a self-sustainable financial profile;</w:t>
      </w:r>
    </w:p>
    <w:p>
      <w:pPr>
        <w:spacing w:after="0" w:line="79" w:lineRule="exact"/>
        <w:rPr>
          <w:rFonts w:ascii="Arial" w:cs="Arial" w:eastAsia="Arial" w:hAnsi="Arial"/>
          <w:sz w:val="17"/>
          <w:szCs w:val="17"/>
          <w:color w:val="auto"/>
        </w:rPr>
      </w:pPr>
    </w:p>
    <w:p>
      <w:pPr>
        <w:ind w:left="1380" w:hanging="331"/>
        <w:spacing w:after="0"/>
        <w:tabs>
          <w:tab w:leader="none" w:pos="1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3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actual or potential benefits of designations granted by the U.S. Food and Drug Administration, or FDA, such as orphan drug, fast track and breakthrough therapy designation or priority review; and</w:t>
      </w:r>
    </w:p>
    <w:p>
      <w:pPr>
        <w:spacing w:after="0" w:line="56" w:lineRule="exact"/>
        <w:rPr>
          <w:rFonts w:ascii="Arial" w:cs="Arial" w:eastAsia="Arial" w:hAnsi="Arial"/>
          <w:sz w:val="16"/>
          <w:szCs w:val="16"/>
          <w:color w:val="auto"/>
        </w:rPr>
      </w:pPr>
    </w:p>
    <w:p>
      <w:pPr>
        <w:ind w:left="1380" w:right="199" w:hanging="331"/>
        <w:spacing w:after="0" w:line="259" w:lineRule="auto"/>
        <w:tabs>
          <w:tab w:leader="none" w:pos="1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and scope of the ongoing COVID-19 pandemic on our business, operations, strategy, goals and anticipated milestones, including our ongoing and planned research and discovery activities, ability to conduct ongoing and planned clinical trials, clinical supply of current or future drug candidates, and the launch, marketing, sale and commercial supply of AYVAKIT/AYVAKYT, GAVRETO and any current or future drug candidates for which we receive marketing approval.</w:t>
      </w:r>
    </w:p>
    <w:p>
      <w:pPr>
        <w:spacing w:after="0" w:line="106"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84"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left="60" w:right="339" w:firstLine="648"/>
        <w:spacing w:after="0" w:line="254"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7"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For purposes of this Quarterly Report on Form 10-Q, including the footnotes to our condensed consolidated financial statements, (i) with respect to our collaboration for pralsetinib, Roche means F. Hoffmann-La Roche Ltd and Genentech, Inc., and (ii) with respect to our cancer immunotherapy collaboration, Roche means F. Hoffmann-La Roche Ltd and Hoffmann-La Roche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June 30,</w:t>
            </w:r>
          </w:p>
        </w:tc>
        <w:tc>
          <w:tcPr>
            <w:tcW w:w="2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3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534,317</w:t>
            </w:r>
          </w:p>
        </w:tc>
        <w:tc>
          <w:tcPr>
            <w:tcW w:w="360" w:type="dxa"/>
            <w:vAlign w:val="bottom"/>
            <w:gridSpan w:val="2"/>
            <w:shd w:val="clear" w:color="auto" w:fill="CCEEFF"/>
          </w:tcPr>
          <w:p>
            <w:pPr>
              <w:jc w:val="right"/>
              <w:ind w:right="42"/>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684,636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94,032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187,213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25,473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Unbilled accounts receivable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13,767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18,213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Inventory</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8,581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21,270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22,020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704,070</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927,759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Marketable securities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751,702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677,873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31,848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34,129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Operating lease right-of-use assets, net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64,446</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5,171</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11,558</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5,925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1,568,795</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1,718,393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1,847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107,173</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8,465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deferred revenue</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7,912</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12,559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125,397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130,802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net of current portion</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77,272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81,669</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Deferred revenue, net of current portion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30,365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6,957</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239,991</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248,305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Commitments (Note 15)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6600" w:type="dxa"/>
            <w:vAlign w:val="bottom"/>
          </w:tcPr>
          <w:p>
            <w:pPr>
              <w:spacing w:after="0" w:line="143" w:lineRule="exact"/>
              <w:rPr>
                <w:sz w:val="20"/>
                <w:szCs w:val="20"/>
                <w:color w:val="auto"/>
              </w:rPr>
            </w:pPr>
            <w:r>
              <w:rPr>
                <w:rFonts w:ascii="Arial" w:cs="Arial" w:eastAsia="Arial" w:hAnsi="Arial"/>
                <w:sz w:val="14"/>
                <w:szCs w:val="14"/>
                <w:color w:val="auto"/>
                <w:w w:val="93"/>
              </w:rPr>
              <w:t>Common stock, $0.001 par value; 120,000,000 shares authorized; 58,554,559 and 57,793,533 shares issued and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600" w:type="dxa"/>
            <w:vAlign w:val="bottom"/>
          </w:tcPr>
          <w:p>
            <w:pPr>
              <w:spacing w:after="0"/>
              <w:rPr>
                <w:sz w:val="20"/>
                <w:szCs w:val="20"/>
                <w:color w:val="auto"/>
              </w:rPr>
            </w:pPr>
            <w:r>
              <w:rPr>
                <w:rFonts w:ascii="Arial" w:cs="Arial" w:eastAsia="Arial" w:hAnsi="Arial"/>
                <w:sz w:val="14"/>
                <w:szCs w:val="14"/>
                <w:color w:val="auto"/>
              </w:rPr>
              <w:t>outstanding at June 30, 2021 and December 31, 2020, respectively</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2,174,094</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2,106,600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(5,835)</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(839,514)</w:t>
            </w:r>
          </w:p>
        </w:tc>
        <w:tc>
          <w:tcPr>
            <w:tcW w:w="2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(631,356)</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1,328,804</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1,470,088</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1,568,795</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1,718,393</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tcPr>
          <w:p>
            <w:pPr>
              <w:spacing w:after="0"/>
              <w:rPr>
                <w:sz w:val="13"/>
                <w:szCs w:val="13"/>
                <w:color w:val="auto"/>
              </w:rPr>
            </w:pPr>
          </w:p>
        </w:tc>
        <w:tc>
          <w:tcPr>
            <w:tcW w:w="48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8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160"/>
              <w:spacing w:after="0" w:line="202" w:lineRule="exact"/>
              <w:rPr>
                <w:sz w:val="20"/>
                <w:szCs w:val="20"/>
                <w:color w:val="auto"/>
              </w:rPr>
            </w:pPr>
            <w:r>
              <w:rPr>
                <w:rFonts w:ascii="Arial" w:cs="Arial" w:eastAsia="Arial" w:hAnsi="Arial"/>
                <w:sz w:val="18"/>
                <w:szCs w:val="18"/>
                <w:color w:val="auto"/>
              </w:rPr>
              <w:t>Product revenue, net</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11,433</w:t>
            </w:r>
          </w:p>
        </w:tc>
        <w:tc>
          <w:tcPr>
            <w:tcW w:w="32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5,680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20,388</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9,138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Collaboration revenue</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15,862</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28,483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5,372</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line="196" w:lineRule="exact"/>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27,295</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8,343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48,871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14,510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6,493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6,595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80,027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175,225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49,286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42,174</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91,288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77,829</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135,806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133,380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257,621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253,204</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4,490</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CEEFF"/>
            </w:tcBorders>
          </w:tcPr>
          <w:p>
            <w:pPr>
              <w:spacing w:after="0"/>
              <w:rPr>
                <w:sz w:val="17"/>
                <w:szCs w:val="17"/>
                <w:color w:val="auto"/>
              </w:rPr>
            </w:pPr>
          </w:p>
        </w:tc>
        <w:tc>
          <w:tcPr>
            <w:tcW w:w="4820" w:type="dxa"/>
            <w:vAlign w:val="bottom"/>
            <w:tcBorders>
              <w:bottom w:val="single" w:sz="8" w:color="CCEEFF"/>
            </w:tcBorders>
          </w:tcPr>
          <w:p>
            <w:pPr>
              <w:ind w:left="200"/>
              <w:spacing w:after="0" w:line="202" w:lineRule="exact"/>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(587)</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96"/>
        </w:trPr>
        <w:tc>
          <w:tcPr>
            <w:tcW w:w="4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40" w:type="dxa"/>
            <w:vAlign w:val="bottom"/>
            <w:gridSpan w:val="2"/>
          </w:tcPr>
          <w:p>
            <w:pPr>
              <w:spacing w:after="0" w:line="196" w:lineRule="exact"/>
              <w:rPr>
                <w:sz w:val="20"/>
                <w:szCs w:val="20"/>
                <w:color w:val="auto"/>
              </w:rPr>
            </w:pPr>
            <w:r>
              <w:rPr>
                <w:rFonts w:ascii="Arial" w:cs="Arial" w:eastAsia="Arial" w:hAnsi="Arial"/>
                <w:sz w:val="18"/>
                <w:szCs w:val="18"/>
                <w:color w:val="auto"/>
              </w:rPr>
              <w:t>Loss before income taxes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93"/>
              </w:rPr>
              <w:t>(108,251)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88"/>
              </w:rPr>
              <w:t>(123,474)</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w w:val="93"/>
              </w:rPr>
              <w:t>(207,966)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8"/>
              </w:rPr>
              <w:t>(234,428)</w:t>
            </w:r>
          </w:p>
        </w:tc>
        <w:tc>
          <w:tcPr>
            <w:tcW w:w="0" w:type="dxa"/>
            <w:vAlign w:val="bottom"/>
          </w:tcPr>
          <w:p>
            <w:pPr>
              <w:spacing w:after="0"/>
              <w:rPr>
                <w:sz w:val="1"/>
                <w:szCs w:val="1"/>
                <w:color w:val="auto"/>
              </w:rPr>
            </w:pPr>
          </w:p>
        </w:tc>
      </w:tr>
      <w:tr>
        <w:trPr>
          <w:trHeight w:val="203"/>
        </w:trPr>
        <w:tc>
          <w:tcPr>
            <w:tcW w:w="48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(108,444)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(123,474)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(208,159)</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(234,428)</w:t>
            </w:r>
          </w:p>
        </w:tc>
        <w:tc>
          <w:tcPr>
            <w:tcW w:w="0" w:type="dxa"/>
            <w:vAlign w:val="bottom"/>
          </w:tcPr>
          <w:p>
            <w:pPr>
              <w:spacing w:after="0"/>
              <w:rPr>
                <w:sz w:val="1"/>
                <w:szCs w:val="1"/>
                <w:color w:val="auto"/>
              </w:rPr>
            </w:pPr>
          </w:p>
        </w:tc>
      </w:tr>
      <w:tr>
        <w:trPr>
          <w:trHeight w:val="183"/>
        </w:trPr>
        <w:tc>
          <w:tcPr>
            <w:tcW w:w="484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tcPr>
          <w:p>
            <w:pPr>
              <w:ind w:left="200"/>
              <w:spacing w:after="0" w:line="202" w:lineRule="exact"/>
              <w:rPr>
                <w:sz w:val="20"/>
                <w:szCs w:val="20"/>
                <w:color w:val="auto"/>
              </w:rPr>
            </w:pPr>
            <w:r>
              <w:rPr>
                <w:rFonts w:ascii="Arial" w:cs="Arial" w:eastAsia="Arial" w:hAnsi="Arial"/>
                <w:sz w:val="18"/>
                <w:szCs w:val="18"/>
                <w:color w:val="auto"/>
                <w:w w:val="99"/>
              </w:rPr>
              <w:t>Unrealized gain (losses) on available-for-sale investments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(624)</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(1,057)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(1,024)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Currency translation adjustments</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6"/>
        </w:trPr>
        <w:tc>
          <w:tcPr>
            <w:tcW w:w="4840" w:type="dxa"/>
            <w:vAlign w:val="bottom"/>
            <w:tcBorders>
              <w:bottom w:val="single" w:sz="8" w:color="CCEEFF"/>
            </w:tcBorders>
            <w:gridSpan w:val="2"/>
          </w:tcPr>
          <w:p>
            <w:pPr>
              <w:spacing w:after="0" w:line="196" w:lineRule="exact"/>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(109,182)</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(124,525)</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(208,779)</w:t>
            </w:r>
          </w:p>
        </w:tc>
        <w:tc>
          <w:tcPr>
            <w:tcW w:w="1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(233,014)</w:t>
            </w:r>
          </w:p>
        </w:tc>
        <w:tc>
          <w:tcPr>
            <w:tcW w:w="0" w:type="dxa"/>
            <w:vAlign w:val="bottom"/>
          </w:tcPr>
          <w:p>
            <w:pPr>
              <w:spacing w:after="0"/>
              <w:rPr>
                <w:sz w:val="1"/>
                <w:szCs w:val="1"/>
                <w:color w:val="auto"/>
              </w:rPr>
            </w:pPr>
          </w:p>
        </w:tc>
      </w:tr>
      <w:tr>
        <w:trPr>
          <w:trHeight w:val="183"/>
        </w:trPr>
        <w:tc>
          <w:tcPr>
            <w:tcW w:w="484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color w:val="auto"/>
              </w:rPr>
              <w:t>Net loss per share - basic and diluted</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(1.86)</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(3.58)</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line="182" w:lineRule="exact"/>
              <w:rPr>
                <w:sz w:val="20"/>
                <w:szCs w:val="20"/>
                <w:color w:val="auto"/>
              </w:rPr>
            </w:pPr>
            <w:r>
              <w:rPr>
                <w:rFonts w:ascii="Arial" w:cs="Arial" w:eastAsia="Arial" w:hAnsi="Arial"/>
                <w:sz w:val="18"/>
                <w:szCs w:val="18"/>
                <w:color w:val="auto"/>
                <w:w w:val="91"/>
              </w:rPr>
              <w:t>Weighted-average number of common shares used in net loss per</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8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58,406</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54,217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58,216</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53,436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40" w:type="dxa"/>
            <w:vAlign w:val="bottom"/>
            <w:gridSpan w:val="2"/>
          </w:tcPr>
          <w:p>
            <w:pPr>
              <w:spacing w:after="0" w:line="203" w:lineRule="exact"/>
              <w:rPr>
                <w:sz w:val="20"/>
                <w:szCs w:val="20"/>
                <w:color w:val="auto"/>
              </w:rPr>
            </w:pPr>
            <w:r>
              <w:rPr>
                <w:rFonts w:ascii="Arial" w:cs="Arial" w:eastAsia="Arial" w:hAnsi="Arial"/>
                <w:sz w:val="18"/>
                <w:szCs w:val="18"/>
                <w:color w:val="auto"/>
              </w:rPr>
              <w:t>share - basic and diluted</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ind w:left="444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8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60" w:right="59"/>
        <w:spacing w:after="0" w:line="246" w:lineRule="auto"/>
        <w:rPr>
          <w:sz w:val="20"/>
          <w:szCs w:val="20"/>
          <w:color w:val="auto"/>
        </w:rPr>
      </w:pPr>
      <w:r>
        <w:rPr>
          <w:rFonts w:ascii="Arial" w:cs="Arial" w:eastAsia="Arial" w:hAnsi="Arial"/>
          <w:sz w:val="18"/>
          <w:szCs w:val="18"/>
          <w:b w:val="1"/>
          <w:bCs w:val="1"/>
          <w:color w:val="auto"/>
        </w:rPr>
        <w:t xml:space="preserve">Blueprint Medicines Corporation Condensed Consolidated Statements of Stockholders’ Equity (in thousands, except share data) </w:t>
      </w:r>
      <w:r>
        <w:rPr>
          <w:rFonts w:ascii="Arial" w:cs="Arial" w:eastAsia="Arial" w:hAnsi="Arial"/>
          <w:sz w:val="18"/>
          <w:szCs w:val="18"/>
          <w:b w:val="1"/>
          <w:bCs w:val="1"/>
          <w:i w:val="1"/>
          <w:iCs w:val="1"/>
          <w:color w:val="auto"/>
        </w:rPr>
        <w:t>(Unaudited)</w:t>
      </w:r>
    </w:p>
    <w:p>
      <w:pPr>
        <w:spacing w:after="0" w:line="335"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4"/>
          </w:tcPr>
          <w:p>
            <w:pPr>
              <w:ind w:left="140"/>
              <w:spacing w:after="0"/>
              <w:rPr>
                <w:sz w:val="20"/>
                <w:szCs w:val="20"/>
                <w:color w:val="auto"/>
              </w:rPr>
            </w:pPr>
            <w:r>
              <w:rPr>
                <w:rFonts w:ascii="Arial" w:cs="Arial" w:eastAsia="Arial" w:hAnsi="Arial"/>
                <w:sz w:val="13"/>
                <w:szCs w:val="13"/>
                <w:b w:val="1"/>
                <w:bCs w:val="1"/>
                <w:color w:val="auto"/>
                <w:w w:val="93"/>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Paid-in</w:t>
            </w:r>
          </w:p>
        </w:tc>
        <w:tc>
          <w:tcPr>
            <w:tcW w:w="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Pr>
          <w:p>
            <w:pPr>
              <w:jc w:val="right"/>
              <w:ind w:right="97"/>
              <w:spacing w:after="0" w:line="144" w:lineRule="exact"/>
              <w:rPr>
                <w:sz w:val="20"/>
                <w:szCs w:val="20"/>
                <w:color w:val="auto"/>
              </w:rPr>
            </w:pPr>
            <w:r>
              <w:rPr>
                <w:rFonts w:ascii="Arial" w:cs="Arial" w:eastAsia="Arial" w:hAnsi="Arial"/>
                <w:sz w:val="13"/>
                <w:szCs w:val="13"/>
                <w:b w:val="1"/>
                <w:bCs w:val="1"/>
                <w:color w:val="auto"/>
              </w:rPr>
              <w:t>Shares</w:t>
            </w:r>
          </w:p>
        </w:tc>
        <w:tc>
          <w:tcPr>
            <w:tcW w:w="580" w:type="dxa"/>
            <w:vAlign w:val="bottom"/>
            <w:gridSpan w:val="3"/>
          </w:tcPr>
          <w:p>
            <w:pPr>
              <w:ind w:left="140"/>
              <w:spacing w:after="0" w:line="144"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137"/>
              <w:spacing w:after="0" w:line="144" w:lineRule="exact"/>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80"/>
              <w:spacing w:after="0" w:line="144" w:lineRule="exact"/>
              <w:rPr>
                <w:sz w:val="20"/>
                <w:szCs w:val="20"/>
                <w:color w:val="auto"/>
              </w:rPr>
            </w:pPr>
            <w:r>
              <w:rPr>
                <w:rFonts w:ascii="Arial" w:cs="Arial" w:eastAsia="Arial" w:hAnsi="Arial"/>
                <w:sz w:val="13"/>
                <w:szCs w:val="13"/>
                <w:b w:val="1"/>
                <w:bCs w:val="1"/>
                <w:color w:val="auto"/>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7"/>
              <w:spacing w:after="0" w:line="144"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57,793,533</w:t>
            </w:r>
          </w:p>
        </w:tc>
        <w:tc>
          <w:tcPr>
            <w:tcW w:w="40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2,106,600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(5,214)</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(631,356)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1,470,088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483,879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line="142" w:lineRule="exact"/>
              <w:rPr>
                <w:sz w:val="20"/>
                <w:szCs w:val="20"/>
                <w:color w:val="auto"/>
              </w:rPr>
            </w:pPr>
            <w:r>
              <w:rPr>
                <w:rFonts w:ascii="Arial" w:cs="Arial" w:eastAsia="Arial" w:hAnsi="Arial"/>
                <w:sz w:val="13"/>
                <w:szCs w:val="13"/>
                <w:color w:val="auto"/>
              </w:rPr>
              <w:t>Balance at March 31, 2021</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2"/>
              </w:rPr>
              <w:t>58,277,412</w:t>
            </w:r>
          </w:p>
        </w:tc>
        <w:tc>
          <w:tcPr>
            <w:tcW w:w="14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58</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2,136,130</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(5,097)</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(731,070)</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1,400,021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254,823</w:t>
            </w:r>
          </w:p>
        </w:tc>
        <w:tc>
          <w:tcPr>
            <w:tcW w:w="400" w:type="dxa"/>
            <w:vAlign w:val="bottom"/>
            <w:gridSpan w:val="2"/>
          </w:tcPr>
          <w:p>
            <w:pPr>
              <w:jc w:val="right"/>
              <w:ind w:right="95"/>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11,709</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11,710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Purchase of common stock under ESPP</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22,324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24,522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(108,444)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(108,444)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June 30, 2021</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58,554,559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95"/>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59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2,174,094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(5,835)</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(839,514)</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1,328,804</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49,272,223</w:t>
            </w:r>
          </w:p>
        </w:tc>
        <w:tc>
          <w:tcPr>
            <w:tcW w:w="400" w:type="dxa"/>
            <w:vAlign w:val="bottom"/>
            <w:gridSpan w:val="2"/>
            <w:shd w:val="clear" w:color="auto" w:fill="CCEEFF"/>
          </w:tcPr>
          <w:p>
            <w:pPr>
              <w:jc w:val="right"/>
              <w:ind w:right="95"/>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1,412,083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(2,534)</w:t>
            </w:r>
          </w:p>
        </w:tc>
        <w:tc>
          <w:tcPr>
            <w:tcW w:w="6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(945,239)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tcPr>
          <w:p>
            <w:pPr>
              <w:jc w:val="right"/>
              <w:spacing w:after="0"/>
              <w:rPr>
                <w:sz w:val="20"/>
                <w:szCs w:val="20"/>
                <w:color w:val="auto"/>
              </w:rPr>
            </w:pPr>
            <w:r>
              <w:rPr>
                <w:rFonts w:ascii="Arial" w:cs="Arial" w:eastAsia="Arial" w:hAnsi="Arial"/>
                <w:sz w:val="13"/>
                <w:szCs w:val="13"/>
                <w:color w:val="auto"/>
              </w:rPr>
              <w:t>186,166</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Follow-on offering, net of issuance costs</w:t>
            </w:r>
          </w:p>
        </w:tc>
        <w:tc>
          <w:tcPr>
            <w:tcW w:w="660" w:type="dxa"/>
            <w:vAlign w:val="bottom"/>
          </w:tcPr>
          <w:p>
            <w:pPr>
              <w:jc w:val="right"/>
              <w:spacing w:after="0"/>
              <w:rPr>
                <w:sz w:val="20"/>
                <w:szCs w:val="20"/>
                <w:color w:val="auto"/>
              </w:rPr>
            </w:pPr>
            <w:r>
              <w:rPr>
                <w:rFonts w:ascii="Arial" w:cs="Arial" w:eastAsia="Arial" w:hAnsi="Arial"/>
                <w:sz w:val="13"/>
                <w:szCs w:val="13"/>
                <w:color w:val="auto"/>
              </w:rPr>
              <w:t>4,710,144</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308,419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308,423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Net loss</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(110,953)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(110,953)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Balance at March 31, 2020</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54,168,533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95"/>
              <w:spacing w:after="0" w:line="142"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54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1,739,140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(1,056,192)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682,933</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Issuance of common stock under stock plan</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98,950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2,335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Purchase of common stock under ESPP</w:t>
            </w:r>
          </w:p>
        </w:tc>
        <w:tc>
          <w:tcPr>
            <w:tcW w:w="660" w:type="dxa"/>
            <w:vAlign w:val="bottom"/>
          </w:tcPr>
          <w:p>
            <w:pPr>
              <w:jc w:val="right"/>
              <w:spacing w:after="0"/>
              <w:rPr>
                <w:sz w:val="20"/>
                <w:szCs w:val="20"/>
                <w:color w:val="auto"/>
              </w:rPr>
            </w:pPr>
            <w:r>
              <w:rPr>
                <w:rFonts w:ascii="Arial" w:cs="Arial" w:eastAsia="Arial" w:hAnsi="Arial"/>
                <w:sz w:val="13"/>
                <w:szCs w:val="13"/>
                <w:color w:val="auto"/>
              </w:rPr>
              <w:t>17,018</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942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19,675</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 comprehensive income</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(123,474)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Arial" w:cs="Arial" w:eastAsia="Arial" w:hAnsi="Arial"/>
                <w:sz w:val="13"/>
                <w:szCs w:val="13"/>
                <w:color w:val="auto"/>
              </w:rPr>
              <w:t>Other</w:t>
            </w: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Balance at June 30, 2020</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2"/>
              </w:rPr>
              <w:t>54,284,501</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54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1,762,099</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(1,179,666)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581,367</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3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12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(208,159)</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(234,428)</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3,200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Noncash lease expense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3,073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44,991</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36,387</w:t>
            </w:r>
          </w:p>
        </w:tc>
        <w:tc>
          <w:tcPr>
            <w:tcW w:w="0" w:type="dxa"/>
            <w:vAlign w:val="bottom"/>
          </w:tcPr>
          <w:p>
            <w:pPr>
              <w:spacing w:after="0"/>
              <w:rPr>
                <w:sz w:val="1"/>
                <w:szCs w:val="1"/>
                <w:color w:val="auto"/>
              </w:rPr>
            </w:pPr>
          </w:p>
        </w:tc>
      </w:tr>
      <w:tr>
        <w:trPr>
          <w:trHeight w:val="203"/>
        </w:trPr>
        <w:tc>
          <w:tcPr>
            <w:tcW w:w="612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1,352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Changes in assets and liabilities: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(18,407)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(2,740)</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Unbilled accounts receivable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4,446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(9,159)</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Other assets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(3,829)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Accounts payable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3"/>
        </w:trPr>
        <w:tc>
          <w:tcPr>
            <w:tcW w:w="6120" w:type="dxa"/>
            <w:vAlign w:val="bottom"/>
          </w:tcPr>
          <w:p>
            <w:pPr>
              <w:ind w:left="320"/>
              <w:spacing w:after="0" w:line="202" w:lineRule="exact"/>
              <w:rPr>
                <w:sz w:val="20"/>
                <w:szCs w:val="20"/>
                <w:color w:val="auto"/>
              </w:rPr>
            </w:pPr>
            <w:r>
              <w:rPr>
                <w:rFonts w:ascii="Arial" w:cs="Arial" w:eastAsia="Arial" w:hAnsi="Arial"/>
                <w:sz w:val="18"/>
                <w:szCs w:val="18"/>
                <w:color w:val="auto"/>
              </w:rPr>
              <w:t>Accrued expenses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Deferred revenue</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(2,880)</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Operating lease liabilities</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ind w:left="620"/>
              <w:spacing w:after="0" w:line="196" w:lineRule="exact"/>
              <w:rPr>
                <w:sz w:val="20"/>
                <w:szCs w:val="20"/>
                <w:color w:val="auto"/>
              </w:rPr>
            </w:pPr>
            <w:r>
              <w:rPr>
                <w:rFonts w:ascii="Arial" w:cs="Arial" w:eastAsia="Arial" w:hAnsi="Arial"/>
                <w:sz w:val="18"/>
                <w:szCs w:val="18"/>
                <w:color w:val="auto"/>
              </w:rPr>
              <w:t>Net cash used in operating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(188,943)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(210,492)</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(2,466)</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Purchases of investments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(382,644)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(232,148)</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investments</w:t>
            </w:r>
          </w:p>
        </w:tc>
        <w:tc>
          <w:tcPr>
            <w:tcW w:w="5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400,500</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306,035</w:t>
            </w:r>
          </w:p>
        </w:tc>
        <w:tc>
          <w:tcPr>
            <w:tcW w:w="0" w:type="dxa"/>
            <w:vAlign w:val="bottom"/>
          </w:tcPr>
          <w:p>
            <w:pPr>
              <w:spacing w:after="0"/>
              <w:rPr>
                <w:sz w:val="1"/>
                <w:szCs w:val="1"/>
                <w:color w:val="auto"/>
              </w:rPr>
            </w:pPr>
          </w:p>
        </w:tc>
      </w:tr>
      <w:tr>
        <w:trPr>
          <w:trHeight w:val="196"/>
        </w:trPr>
        <w:tc>
          <w:tcPr>
            <w:tcW w:w="6120" w:type="dxa"/>
            <w:vAlign w:val="bottom"/>
          </w:tcPr>
          <w:p>
            <w:pPr>
              <w:ind w:left="58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17,021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71,421</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Proceeds from public offerings of common stock, net of issuance cost</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308,750</w:t>
            </w:r>
          </w:p>
        </w:tc>
        <w:tc>
          <w:tcPr>
            <w:tcW w:w="0" w:type="dxa"/>
            <w:vAlign w:val="bottom"/>
          </w:tcPr>
          <w:p>
            <w:pPr>
              <w:spacing w:after="0"/>
              <w:rPr>
                <w:sz w:val="1"/>
                <w:szCs w:val="1"/>
                <w:color w:val="auto"/>
              </w:rPr>
            </w:pPr>
          </w:p>
        </w:tc>
      </w:tr>
      <w:tr>
        <w:trPr>
          <w:trHeight w:val="203"/>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Net proceeds from stock option exercises and employee stock purchase plan</w:t>
            </w: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21,865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03"/>
        </w:trPr>
        <w:tc>
          <w:tcPr>
            <w:tcW w:w="6120" w:type="dxa"/>
            <w:vAlign w:val="bottom"/>
          </w:tcPr>
          <w:p>
            <w:pPr>
              <w:spacing w:after="0" w:line="202" w:lineRule="exact"/>
              <w:rPr>
                <w:sz w:val="20"/>
                <w:szCs w:val="20"/>
                <w:color w:val="auto"/>
              </w:rPr>
            </w:pPr>
            <w:r>
              <w:rPr>
                <w:rFonts w:ascii="Arial" w:cs="Arial" w:eastAsia="Arial" w:hAnsi="Arial"/>
                <w:sz w:val="18"/>
                <w:szCs w:val="18"/>
                <w:color w:val="auto"/>
              </w:rPr>
              <w:t>Payment of offering costs</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540"/>
              <w:spacing w:after="0" w:line="196" w:lineRule="exact"/>
              <w:rPr>
                <w:sz w:val="20"/>
                <w:szCs w:val="20"/>
                <w:color w:val="auto"/>
              </w:rPr>
            </w:pPr>
            <w:r>
              <w:rPr>
                <w:rFonts w:ascii="Arial" w:cs="Arial" w:eastAsia="Arial" w:hAnsi="Arial"/>
                <w:sz w:val="18"/>
                <w:szCs w:val="18"/>
                <w:color w:val="auto"/>
              </w:rPr>
              <w:t>Net cash provided by financing activities</w:t>
            </w:r>
          </w:p>
        </w:tc>
        <w:tc>
          <w:tcPr>
            <w:tcW w:w="5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21,865</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313,325</w:t>
            </w:r>
          </w:p>
        </w:tc>
        <w:tc>
          <w:tcPr>
            <w:tcW w:w="0" w:type="dxa"/>
            <w:vAlign w:val="bottom"/>
          </w:tcPr>
          <w:p>
            <w:pPr>
              <w:spacing w:after="0"/>
              <w:rPr>
                <w:sz w:val="1"/>
                <w:szCs w:val="1"/>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174,254</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689,804</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119,604</w:t>
            </w:r>
          </w:p>
        </w:tc>
        <w:tc>
          <w:tcPr>
            <w:tcW w:w="0" w:type="dxa"/>
            <w:vAlign w:val="bottom"/>
          </w:tcPr>
          <w:p>
            <w:pPr>
              <w:spacing w:after="0"/>
              <w:rPr>
                <w:sz w:val="1"/>
                <w:szCs w:val="1"/>
                <w:color w:val="auto"/>
              </w:rPr>
            </w:pPr>
          </w:p>
        </w:tc>
      </w:tr>
      <w:tr>
        <w:trPr>
          <w:trHeight w:val="229"/>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6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restricted cash at end of period</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539,488</w:t>
            </w:r>
          </w:p>
        </w:tc>
        <w:tc>
          <w:tcPr>
            <w:tcW w:w="2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293,846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unpaid at period end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paid for taxes, net</w:t>
            </w:r>
          </w:p>
        </w:tc>
        <w:tc>
          <w:tcPr>
            <w:tcW w:w="5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2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598</w:t>
            </w:r>
          </w:p>
        </w:tc>
        <w:tc>
          <w:tcPr>
            <w:tcW w:w="20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79" w:firstLine="648"/>
        <w:spacing w:after="0" w:line="248"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6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r>
      <w:tr>
        <w:trPr>
          <w:trHeight w:val="155"/>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534,317</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288,678</w:t>
            </w:r>
          </w:p>
        </w:tc>
        <w:tc>
          <w:tcPr>
            <w:tcW w:w="80" w:type="dxa"/>
            <w:vAlign w:val="bottom"/>
            <w:shd w:val="clear" w:color="auto" w:fill="CCEEFF"/>
          </w:tcPr>
          <w:p>
            <w:pPr>
              <w:spacing w:after="0"/>
              <w:rPr>
                <w:sz w:val="13"/>
                <w:szCs w:val="13"/>
                <w:color w:val="auto"/>
              </w:rPr>
            </w:pPr>
          </w:p>
        </w:tc>
      </w:tr>
      <w:tr>
        <w:trPr>
          <w:trHeight w:val="162"/>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5,171</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5,168</w:t>
            </w:r>
          </w:p>
        </w:tc>
        <w:tc>
          <w:tcPr>
            <w:tcW w:w="80" w:type="dxa"/>
            <w:vAlign w:val="bottom"/>
            <w:tcBorders>
              <w:bottom w:val="single" w:sz="8" w:color="CCEEFF"/>
            </w:tcBorders>
          </w:tcPr>
          <w:p>
            <w:pPr>
              <w:spacing w:after="0"/>
              <w:rPr>
                <w:sz w:val="14"/>
                <w:szCs w:val="14"/>
                <w:color w:val="auto"/>
              </w:rPr>
            </w:pPr>
          </w:p>
        </w:tc>
      </w:tr>
      <w:tr>
        <w:trPr>
          <w:trHeight w:val="156"/>
        </w:trPr>
        <w:tc>
          <w:tcPr>
            <w:tcW w:w="658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97"/>
              </w:rPr>
              <w:t>Total cash, cash equivalents, and restricted cash shown in condensed consolidated statements of cash flows</w:t>
            </w:r>
          </w:p>
        </w:tc>
        <w:tc>
          <w:tcPr>
            <w:tcW w:w="160" w:type="dxa"/>
            <w:vAlign w:val="bottom"/>
            <w:tcBorders>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539,488</w:t>
            </w:r>
          </w:p>
        </w:tc>
        <w:tc>
          <w:tcPr>
            <w:tcW w:w="1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293,846</w:t>
            </w:r>
          </w:p>
        </w:tc>
        <w:tc>
          <w:tcPr>
            <w:tcW w:w="80" w:type="dxa"/>
            <w:vAlign w:val="bottom"/>
            <w:tcBorders>
              <w:bottom w:val="single" w:sz="8" w:color="CCEEFF"/>
            </w:tcBorders>
            <w:shd w:val="clear" w:color="auto" w:fill="CCEEFF"/>
          </w:tcPr>
          <w:p>
            <w:pPr>
              <w:spacing w:after="0"/>
              <w:rPr>
                <w:sz w:val="13"/>
                <w:szCs w:val="13"/>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1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precision therapy company focused on genomically defined cancers and hematologic disorders.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89"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color w:val="auto"/>
        </w:rPr>
        <w:t>The Company has two approved precision therapies and is globally advancing multiple programs for genomically defined cancers, systemic mastocytosis, and cancer immunotherapy. The Company is devoting substantially all of its efforts to research and development for current and future drug candidates and commercialization of AYVAKIT/AYVAKYT, GAVRETO and any current or future drug candidates that obtain marketing approval.</w:t>
      </w:r>
    </w:p>
    <w:p>
      <w:pPr>
        <w:spacing w:after="0" w:line="155" w:lineRule="exact"/>
        <w:rPr>
          <w:sz w:val="20"/>
          <w:szCs w:val="20"/>
          <w:color w:val="auto"/>
        </w:rPr>
      </w:pPr>
    </w:p>
    <w:p>
      <w:pPr>
        <w:ind w:left="60" w:right="299" w:firstLine="648"/>
        <w:spacing w:after="0" w:line="243" w:lineRule="auto"/>
        <w:rPr>
          <w:sz w:val="20"/>
          <w:szCs w:val="20"/>
          <w:color w:val="auto"/>
        </w:rPr>
      </w:pPr>
      <w:r>
        <w:rPr>
          <w:rFonts w:ascii="Arial" w:cs="Arial" w:eastAsia="Arial" w:hAnsi="Arial"/>
          <w:sz w:val="18"/>
          <w:szCs w:val="18"/>
          <w:color w:val="auto"/>
        </w:rPr>
        <w:t xml:space="preserve">As of June 30, 2021, the Company had cash, cash equivalents and marketable securities of $1,380.1 million. Based on the Company’s current operating plans, the Company anticipates that its existing cash, cash equivalents and marketable securities will </w:t>
      </w:r>
      <w:r>
        <w:rPr>
          <w:rFonts w:ascii="Arial" w:cs="Arial" w:eastAsia="Arial" w:hAnsi="Arial"/>
          <w:sz w:val="18"/>
          <w:szCs w:val="18"/>
          <w:color w:val="212529"/>
        </w:rPr>
        <w:t>be sufficient to enable it to fund its current operations for at least the next twelve months from</w:t>
      </w:r>
      <w:r>
        <w:rPr>
          <w:rFonts w:ascii="Arial" w:cs="Arial" w:eastAsia="Arial" w:hAnsi="Arial"/>
          <w:sz w:val="18"/>
          <w:szCs w:val="18"/>
          <w:color w:val="auto"/>
        </w:rPr>
        <w:t xml:space="preserve"> </w:t>
      </w:r>
      <w:r>
        <w:rPr>
          <w:rFonts w:ascii="Arial" w:cs="Arial" w:eastAsia="Arial" w:hAnsi="Arial"/>
          <w:sz w:val="18"/>
          <w:szCs w:val="18"/>
          <w:color w:val="212529"/>
        </w:rPr>
        <w:t>the issuance of the financial statements.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 and Recent Accounting Pronouncements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2020 and notes thereto included in the Company’s Annual Report on Form 10-K for the year ended December 31, 2020, filed with the SEC on February 17, 2021 (the 2020 Annual Report on Form 10-K).</w:t>
      </w:r>
    </w:p>
    <w:p>
      <w:pPr>
        <w:spacing w:after="0" w:line="184"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The unaudited interim condensed consolidated financial statements have been prepared on the same basis as the audited financial statements, and updated, as necessary, in this report. In the opinion of the Company’s management, the accompanying unaudited interim condensed consolidated financial statements contain all adjustments that are necessary to present fairly the Company’s financial position as of June 30, 2021, the results of its operations for the three and six months ended June 30, 2021 and 2020, stockholder’s equity for the three and six months ended June 30, 2021 and 2020 and cash flows for six months ended June 30, 2021 and 2020. Such adjustments are of a normal and recurring nature. The results for the three and six months ended June 30, 2021 are not necessarily indicative of the results for the year ending December 31, 2021 or for any future period.</w:t>
      </w:r>
    </w:p>
    <w:p>
      <w:pPr>
        <w:spacing w:after="0" w:line="181"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The accompanying unaudited interim condensed consolidated financial statements include the accounts of the Company and its wholly-owned subsidiaries, Blueprint Medicines Security Corporation, which is a Massachusetts subsidiary created to buy, sell and hold securities,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left="60" w:right="79" w:firstLine="648"/>
        <w:spacing w:after="0" w:line="251" w:lineRule="auto"/>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inventory, operating lease right-of-use assets, operating lease liabilities, stock-based compensation expense, accrued expenses, and income taxes. The length of time and full extent to which the ongoing COVID-19 pandemic will directly or indirectly impact the Company’s business, results of operations and financial condition, including revenues, expenses, reserves and allowances, manufacturing, clinical trials, research and development costs and employee-related amounts, will depend on future developments that are highly uncertain, subject to change and difficult to predict, including as a result of new information that may emerge concerning COVID-19, including the identification and spread of new variants, and the actions taken to contain or treat COVID-19, as well as the economic impact thereof on local, regional, national and international customers and markets. The Company considers the impact of COVID-19 while making the estimates within its consolidated financial statements and there may be changes to those estimates in future periods. Actual results may differ from these estimates.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12" w:lineRule="exact"/>
        <w:rPr>
          <w:sz w:val="20"/>
          <w:szCs w:val="20"/>
          <w:color w:val="auto"/>
        </w:rPr>
      </w:pPr>
    </w:p>
    <w:p>
      <w:pPr>
        <w:jc w:val="both"/>
        <w:ind w:left="60" w:right="279" w:firstLine="648"/>
        <w:spacing w:after="0" w:line="248"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2021 are consistent with those discussed in Note 2 to the consolidated financial statements in the 2020 Annual Report on Form 10-K.</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2" w:lineRule="exact"/>
        <w:rPr>
          <w:sz w:val="20"/>
          <w:szCs w:val="20"/>
          <w:color w:val="auto"/>
        </w:rPr>
      </w:pPr>
    </w:p>
    <w:p>
      <w:pPr>
        <w:jc w:val="both"/>
        <w:ind w:left="60" w:right="199" w:firstLine="648"/>
        <w:spacing w:after="0" w:line="294" w:lineRule="auto"/>
        <w:rPr>
          <w:sz w:val="20"/>
          <w:szCs w:val="20"/>
          <w:color w:val="auto"/>
        </w:rPr>
      </w:pPr>
      <w:r>
        <w:rPr>
          <w:rFonts w:ascii="Arial" w:cs="Arial" w:eastAsia="Arial" w:hAnsi="Arial"/>
          <w:sz w:val="16"/>
          <w:szCs w:val="16"/>
          <w:color w:val="auto"/>
        </w:rPr>
        <w:t>From time to time, new accounting pronouncements are issued by the FASB or other standard setting bodies that the Company adopts as of the specified effective date. The Company does not believe that the adoption of recently issued standards have or may have a material impact on its condensed consolidated financial statements and disclosures.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98"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Marketable securities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Marketable securities consisted of the following at June 30, 2021 and December 31, 2020 (in thousands):</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2021</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80" w:type="dxa"/>
            <w:vAlign w:val="bottom"/>
            <w:tcBorders>
              <w:bottom w:val="single" w:sz="8" w:color="CCEEFF"/>
            </w:tcBorders>
            <w:gridSpan w:val="2"/>
            <w:vMerge w:val="continue"/>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00"/>
              <w:spacing w:after="0"/>
              <w:rPr>
                <w:sz w:val="20"/>
                <w:szCs w:val="20"/>
                <w:color w:val="auto"/>
              </w:rPr>
            </w:pPr>
            <w:r>
              <w:rPr>
                <w:rFonts w:ascii="Arial" w:cs="Arial" w:eastAsia="Arial" w:hAnsi="Arial"/>
                <w:sz w:val="18"/>
                <w:szCs w:val="18"/>
                <w:color w:val="auto"/>
              </w:rPr>
              <w:t>U.S. government agency securities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652,235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(300)</w:t>
            </w: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652,111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obligations</w:t>
            </w:r>
          </w:p>
        </w:tc>
        <w:tc>
          <w:tcPr>
            <w:tcW w:w="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193,563</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193,623</w:t>
            </w:r>
          </w:p>
        </w:tc>
        <w:tc>
          <w:tcPr>
            <w:tcW w:w="0" w:type="dxa"/>
            <w:vAlign w:val="bottom"/>
          </w:tcPr>
          <w:p>
            <w:pPr>
              <w:spacing w:after="0"/>
              <w:rPr>
                <w:sz w:val="1"/>
                <w:szCs w:val="1"/>
                <w:color w:val="auto"/>
              </w:rPr>
            </w:pPr>
          </w:p>
        </w:tc>
      </w:tr>
      <w:tr>
        <w:trPr>
          <w:trHeight w:val="196"/>
        </w:trPr>
        <w:tc>
          <w:tcPr>
            <w:tcW w:w="358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6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845,798</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316</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845,734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35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December 31, 2020</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Unrealized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201"/>
        </w:trPr>
        <w:tc>
          <w:tcPr>
            <w:tcW w:w="358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Gain</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center"/>
              <w:ind w:right="37"/>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center"/>
              <w:ind w:right="15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available-for-sale:</w:t>
            </w:r>
          </w:p>
        </w:tc>
        <w:tc>
          <w:tcPr>
            <w:tcW w:w="6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ind w:left="220"/>
              <w:spacing w:after="0"/>
              <w:rPr>
                <w:sz w:val="20"/>
                <w:szCs w:val="20"/>
                <w:color w:val="auto"/>
              </w:rPr>
            </w:pPr>
            <w:r>
              <w:rPr>
                <w:rFonts w:ascii="Arial" w:cs="Arial" w:eastAsia="Arial" w:hAnsi="Arial"/>
                <w:sz w:val="18"/>
                <w:szCs w:val="18"/>
                <w:color w:val="auto"/>
              </w:rPr>
              <w:t>U.S. government agency securities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746,770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4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747,269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obligations</w:t>
            </w:r>
          </w:p>
        </w:tc>
        <w:tc>
          <w:tcPr>
            <w:tcW w:w="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117,368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117,817</w:t>
            </w:r>
          </w:p>
        </w:tc>
        <w:tc>
          <w:tcPr>
            <w:tcW w:w="0" w:type="dxa"/>
            <w:vAlign w:val="bottom"/>
          </w:tcPr>
          <w:p>
            <w:pPr>
              <w:spacing w:after="0"/>
              <w:rPr>
                <w:sz w:val="1"/>
                <w:szCs w:val="1"/>
                <w:color w:val="auto"/>
              </w:rPr>
            </w:pPr>
          </w:p>
        </w:tc>
      </w:tr>
      <w:tr>
        <w:trPr>
          <w:trHeight w:val="196"/>
        </w:trPr>
        <w:tc>
          <w:tcPr>
            <w:tcW w:w="3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w:t>
            </w:r>
          </w:p>
        </w:tc>
        <w:tc>
          <w:tcPr>
            <w:tcW w:w="62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864,138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962</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180" w:type="dxa"/>
            <w:vAlign w:val="bottom"/>
            <w:gridSpan w:val="2"/>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865,086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As of June 30, 2021, the Company held 35 debt securities that were in an unrealized loss position with an aggregate fair value of $422.8 million. As of December 31, 2020, the Company held 8 debt securities that were in an unrealized loss position with an aggregate fair value of $125.7 million. As of June 30, 2021 and December 31, 2020, there were no securities held by the Company in an unrealized loss position for more than twelve months. The Company has the intent and ability to hold such securities until recovery. As a result, the Company did not record any charges for credit-related impairments for its marketable debt securities for the three and six months ended June 30, 2021.</w:t>
      </w:r>
    </w:p>
    <w:p>
      <w:pPr>
        <w:spacing w:after="0" w:line="148" w:lineRule="exact"/>
        <w:rPr>
          <w:sz w:val="20"/>
          <w:szCs w:val="20"/>
          <w:color w:val="auto"/>
        </w:rPr>
      </w:pPr>
    </w:p>
    <w:p>
      <w:pPr>
        <w:ind w:left="60" w:right="359" w:firstLine="648"/>
        <w:spacing w:after="0" w:line="248" w:lineRule="auto"/>
        <w:rPr>
          <w:sz w:val="20"/>
          <w:szCs w:val="20"/>
          <w:color w:val="auto"/>
        </w:rPr>
      </w:pPr>
      <w:r>
        <w:rPr>
          <w:rFonts w:ascii="Arial" w:cs="Arial" w:eastAsia="Arial" w:hAnsi="Arial"/>
          <w:sz w:val="18"/>
          <w:szCs w:val="18"/>
          <w:color w:val="auto"/>
        </w:rPr>
        <w:t xml:space="preserve">As of June 30, 2021, 69 securities with an aggregate fair value of $751.7 million had remaining maturities between one year and five years. As of December 31, 2020, 65 </w:t>
      </w:r>
      <w:r>
        <w:rPr>
          <w:rFonts w:ascii="Arial" w:cs="Arial" w:eastAsia="Arial" w:hAnsi="Arial"/>
          <w:sz w:val="18"/>
          <w:szCs w:val="18"/>
          <w:color w:val="212529"/>
        </w:rPr>
        <w:t>securities with an aggregate fair value of $677.9 million</w:t>
      </w:r>
      <w:r>
        <w:rPr>
          <w:rFonts w:ascii="Arial" w:cs="Arial" w:eastAsia="Arial" w:hAnsi="Arial"/>
          <w:sz w:val="18"/>
          <w:szCs w:val="18"/>
          <w:color w:val="auto"/>
        </w:rPr>
        <w:t xml:space="preserve"> </w:t>
      </w:r>
      <w:r>
        <w:rPr>
          <w:rFonts w:ascii="Arial" w:cs="Arial" w:eastAsia="Arial" w:hAnsi="Arial"/>
          <w:sz w:val="18"/>
          <w:szCs w:val="18"/>
          <w:color w:val="212529"/>
        </w:rPr>
        <w:t>had remaining maturities between one year and five years.</w:t>
      </w:r>
    </w:p>
    <w:p>
      <w:pPr>
        <w:spacing w:after="0" w:line="168" w:lineRule="exact"/>
        <w:rPr>
          <w:sz w:val="20"/>
          <w:szCs w:val="20"/>
          <w:color w:val="auto"/>
        </w:rPr>
      </w:pPr>
    </w:p>
    <w:p>
      <w:pPr>
        <w:jc w:val="both"/>
        <w:ind w:left="60" w:right="219" w:firstLine="315"/>
        <w:spacing w:after="0" w:line="284" w:lineRule="auto"/>
        <w:rPr>
          <w:sz w:val="20"/>
          <w:szCs w:val="20"/>
          <w:color w:val="auto"/>
        </w:rPr>
      </w:pPr>
      <w:r>
        <w:rPr>
          <w:rFonts w:ascii="Arial" w:cs="Arial" w:eastAsia="Arial" w:hAnsi="Arial"/>
          <w:sz w:val="16"/>
          <w:szCs w:val="16"/>
          <w:color w:val="212529"/>
        </w:rPr>
        <w:t>The Company received proceeds of $185.1 million and $400.5 million from maturities of debt securities for the three and six months ended June 30, 2021, respectively, and proceeds of $105.4 million and $306.0 million from maturities of debt securities for the three and six months ended June 30, 2020, respectively. The Company did not realize any gains or losses from maturities of debt securities for the three and six months ended June 30, 2021 and 2020.</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4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June 30, 2021 (in thousands):</w:t>
      </w:r>
    </w:p>
    <w:p>
      <w:pPr>
        <w:spacing w:after="0" w:line="10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56"/>
              <w:spacing w:after="0"/>
              <w:rPr>
                <w:sz w:val="20"/>
                <w:szCs w:val="20"/>
                <w:color w:val="auto"/>
              </w:rPr>
            </w:pPr>
            <w:r>
              <w:rPr>
                <w:rFonts w:ascii="Arial" w:cs="Arial" w:eastAsia="Arial" w:hAnsi="Arial"/>
                <w:sz w:val="14"/>
                <w:szCs w:val="14"/>
                <w:b w:val="1"/>
                <w:bCs w:val="1"/>
                <w:color w:val="auto"/>
                <w:w w:val="99"/>
              </w:rPr>
              <w:t>June 30,</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Inputs</w:t>
            </w: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505,142</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$ 505,142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652,111</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652,111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193,623</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193,623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1,350,876</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$ 698,765</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652,111</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199" w:firstLine="648"/>
        <w:spacing w:after="0" w:line="261" w:lineRule="auto"/>
        <w:rPr>
          <w:sz w:val="20"/>
          <w:szCs w:val="20"/>
          <w:color w:val="auto"/>
        </w:rPr>
      </w:pPr>
      <w:r>
        <w:rPr>
          <w:rFonts w:ascii="Arial" w:cs="Arial" w:eastAsia="Arial" w:hAnsi="Arial"/>
          <w:sz w:val="18"/>
          <w:szCs w:val="18"/>
          <w:color w:val="auto"/>
        </w:rPr>
        <w:t>The following table summarizes cash equivalents and marketable securities measured at fair value on a recurring basis as of December 31, 2020 (in thousands):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r>
      <w:tr>
        <w:trPr>
          <w:trHeight w:val="162"/>
        </w:trPr>
        <w:tc>
          <w:tcPr>
            <w:tcW w:w="3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Arial" w:cs="Arial" w:eastAsia="Arial" w:hAnsi="Arial"/>
                <w:sz w:val="14"/>
                <w:szCs w:val="14"/>
                <w:b w:val="1"/>
                <w:bCs w:val="1"/>
                <w:color w:val="auto"/>
              </w:rPr>
              <w:t>Inputs</w:t>
            </w:r>
          </w:p>
        </w:tc>
      </w:tr>
      <w:tr>
        <w:trPr>
          <w:trHeight w:val="185"/>
        </w:trPr>
        <w:tc>
          <w:tcPr>
            <w:tcW w:w="3960" w:type="dxa"/>
            <w:vAlign w:val="bottom"/>
          </w:tcPr>
          <w:p>
            <w:pPr>
              <w:spacing w:after="0"/>
              <w:rPr>
                <w:sz w:val="20"/>
                <w:szCs w:val="20"/>
                <w:color w:val="auto"/>
              </w:rPr>
            </w:pPr>
            <w:r>
              <w:rPr>
                <w:rFonts w:ascii="Arial" w:cs="Arial" w:eastAsia="Arial" w:hAnsi="Arial"/>
                <w:sz w:val="14"/>
                <w:szCs w:val="14"/>
                <w:b w:val="1"/>
                <w:bCs w:val="1"/>
                <w:color w:val="auto"/>
              </w:rPr>
              <w:t>Description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r>
      <w:tr>
        <w:trPr>
          <w:trHeight w:val="223"/>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Money market funds</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420,567</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$ 420,567</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gridSpan w:val="2"/>
          </w:tcPr>
          <w:p>
            <w:pPr>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 available-for-sale: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3960" w:type="dxa"/>
            <w:vAlign w:val="bottom"/>
          </w:tcPr>
          <w:p>
            <w:pPr>
              <w:ind w:left="220"/>
              <w:spacing w:after="0" w:line="202" w:lineRule="exact"/>
              <w:rPr>
                <w:sz w:val="20"/>
                <w:szCs w:val="20"/>
                <w:color w:val="auto"/>
              </w:rPr>
            </w:pPr>
            <w:r>
              <w:rPr>
                <w:rFonts w:ascii="Arial" w:cs="Arial" w:eastAsia="Arial" w:hAnsi="Arial"/>
                <w:sz w:val="18"/>
                <w:szCs w:val="18"/>
                <w:color w:val="auto"/>
              </w:rPr>
              <w:t>U.S. government agency securities</w:t>
            </w: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747,269</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747,269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ind w:left="520"/>
              <w:spacing w:after="0" w:line="202" w:lineRule="exact"/>
              <w:rPr>
                <w:sz w:val="20"/>
                <w:szCs w:val="20"/>
                <w:color w:val="auto"/>
              </w:rPr>
            </w:pPr>
            <w:r>
              <w:rPr>
                <w:rFonts w:ascii="Arial" w:cs="Arial" w:eastAsia="Arial" w:hAnsi="Arial"/>
                <w:sz w:val="18"/>
                <w:szCs w:val="18"/>
                <w:color w:val="auto"/>
              </w:rPr>
              <w:t>—</w:t>
            </w:r>
          </w:p>
        </w:tc>
      </w:tr>
      <w:tr>
        <w:trPr>
          <w:trHeight w:val="203"/>
        </w:trPr>
        <w:tc>
          <w:tcPr>
            <w:tcW w:w="39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U.S. treasury obligations</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117,817</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117,817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ind w:left="520"/>
              <w:spacing w:after="0" w:line="202" w:lineRule="exact"/>
              <w:rPr>
                <w:sz w:val="20"/>
                <w:szCs w:val="20"/>
                <w:color w:val="auto"/>
              </w:rPr>
            </w:pPr>
            <w:r>
              <w:rPr>
                <w:rFonts w:ascii="Arial" w:cs="Arial" w:eastAsia="Arial" w:hAnsi="Arial"/>
                <w:sz w:val="18"/>
                <w:szCs w:val="18"/>
                <w:color w:val="auto"/>
              </w:rPr>
              <w:t>—</w:t>
            </w:r>
          </w:p>
        </w:tc>
      </w:tr>
      <w:tr>
        <w:trPr>
          <w:trHeight w:val="196"/>
        </w:trPr>
        <w:tc>
          <w:tcPr>
            <w:tcW w:w="396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1,285,653</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$ 538,384</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747,269</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20"/>
              <w:spacing w:after="0" w:line="196" w:lineRule="exact"/>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Product Revenue Reserves and Allowances</w:t>
      </w:r>
    </w:p>
    <w:p>
      <w:pPr>
        <w:spacing w:after="0" w:line="216"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 xml:space="preserve">In January 2020, the U.S. Food and Drug Administration (FDA) approved </w:t>
      </w:r>
      <w:r>
        <w:rPr>
          <w:rFonts w:ascii="Arial" w:cs="Arial" w:eastAsia="Arial" w:hAnsi="Arial"/>
          <w:sz w:val="16"/>
          <w:szCs w:val="16"/>
          <w:color w:val="0A0A0A"/>
          <w:highlight w:val="white"/>
        </w:rPr>
        <w:t>AYVAKIT</w:t>
      </w:r>
      <w:r>
        <w:rPr>
          <w:rFonts w:ascii="Arial" w:cs="Arial" w:eastAsia="Arial" w:hAnsi="Arial"/>
          <w:sz w:val="16"/>
          <w:szCs w:val="16"/>
          <w:color w:val="auto"/>
        </w:rPr>
        <w:t xml:space="preserve"> for the treatment of adults with unresectable or metastatic gastrointestinal stromal tumor (GIST) harboring a </w:t>
      </w:r>
      <w:r>
        <w:rPr>
          <w:rFonts w:ascii="Arial" w:cs="Arial" w:eastAsia="Arial" w:hAnsi="Arial"/>
          <w:sz w:val="16"/>
          <w:szCs w:val="16"/>
          <w:color w:val="0A0A0A"/>
          <w:highlight w:val="white"/>
        </w:rPr>
        <w:t>PDGFRA exon 18 mutation, including</w:t>
      </w:r>
      <w:r>
        <w:rPr>
          <w:rFonts w:ascii="Arial" w:cs="Arial" w:eastAsia="Arial" w:hAnsi="Arial"/>
          <w:sz w:val="16"/>
          <w:szCs w:val="16"/>
          <w:color w:val="auto"/>
        </w:rPr>
        <w:t xml:space="preserve"> </w:t>
      </w:r>
      <w:r>
        <w:rPr>
          <w:rFonts w:ascii="Arial" w:cs="Arial" w:eastAsia="Arial" w:hAnsi="Arial"/>
          <w:sz w:val="16"/>
          <w:szCs w:val="16"/>
          <w:color w:val="0A0A0A"/>
          <w:highlight w:val="white"/>
        </w:rPr>
        <w:t>PDGFRA D842V mutations</w:t>
      </w:r>
      <w:r>
        <w:rPr>
          <w:rFonts w:ascii="Arial" w:cs="Arial" w:eastAsia="Arial" w:hAnsi="Arial"/>
          <w:sz w:val="16"/>
          <w:szCs w:val="16"/>
          <w:color w:val="000000"/>
        </w:rPr>
        <w:t>. In June 2021, the FDA granted a subsequent approval for AYVAKIT, expanding the labeled</w:t>
      </w:r>
      <w:r>
        <w:rPr>
          <w:rFonts w:ascii="Arial" w:cs="Arial" w:eastAsia="Arial" w:hAnsi="Arial"/>
          <w:sz w:val="16"/>
          <w:szCs w:val="16"/>
          <w:color w:val="0A0A0A"/>
          <w:highlight w:val="white"/>
        </w:rPr>
        <w:t xml:space="preserve"> </w:t>
      </w:r>
      <w:r>
        <w:rPr>
          <w:rFonts w:ascii="Arial" w:cs="Arial" w:eastAsia="Arial" w:hAnsi="Arial"/>
          <w:sz w:val="16"/>
          <w:szCs w:val="16"/>
          <w:color w:val="000000"/>
        </w:rPr>
        <w:t>indications to include adult patients with advanced systemic mastocytosis (Advanced SM), including aggressive SM (ASM), SM with an associated hematological neoplasm (SM-AHN) and mast cell leukemia (MCL). In September 2020, the FDA granted accelerated approval of GAVRETO for the treatment of adult patients with metastatic RET fusion-positive non-small cell lung cancer (NSCLC) as detected by an FDA approved test, and the European Commission granted conditional marketing authorization to AYVAKYT as a monotherapy for the treatment of adult patients with unresectable or metastatic GIST harboring the PDGFRA D842V mutation. In December 2020, the FDA granted a subsequent accelerated approval for GAVRETO, expanding the labeled indications to include adult and pediatric patients 12 years of age and older with advanced or metastatic RET-mutant medullary thyroid cancer (MTC)</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color w:val="auto"/>
        </w:rPr>
        <w:t>who require systemic therapy, or with advanced or metastatic RET fusion-positive thyroid cancer who require systemic therapy and who are radioactive iodine-refractory (if radioactive iodine is appropriate).</w:t>
      </w:r>
    </w:p>
    <w:p>
      <w:pPr>
        <w:spacing w:after="0" w:line="171"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For the three and six months ended June 30, 2021, the Company generated aggregate net product revenue of $11.4 million and $20.4 million from product sales including AYVAKIT/AYVAKYT and GAVRETO, respectively. For the three and six months ended June 30, 2020, the Company generated aggregate net product revenue of $5.7 million and $9.1 million from sales of AYVAKIT, respectively.</w:t>
      </w:r>
    </w:p>
    <w:p>
      <w:pPr>
        <w:spacing w:after="0" w:line="188" w:lineRule="exact"/>
        <w:rPr>
          <w:sz w:val="20"/>
          <w:szCs w:val="20"/>
          <w:color w:val="auto"/>
        </w:rPr>
      </w:pPr>
    </w:p>
    <w:p>
      <w:pPr>
        <w:ind w:left="60" w:right="239" w:firstLine="648"/>
        <w:spacing w:after="0" w:line="261" w:lineRule="auto"/>
        <w:rPr>
          <w:sz w:val="20"/>
          <w:szCs w:val="20"/>
          <w:color w:val="auto"/>
        </w:rPr>
      </w:pPr>
      <w:r>
        <w:rPr>
          <w:rFonts w:ascii="Arial" w:cs="Arial" w:eastAsia="Arial" w:hAnsi="Arial"/>
          <w:sz w:val="18"/>
          <w:szCs w:val="18"/>
          <w:color w:val="auto"/>
        </w:rPr>
        <w:t>The following table summarizes activity in each of the product revenue allowance and reserve categories for the six months ended June 30, 2021 (in thousands):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ind w:left="60"/>
        <w:spacing w:after="0"/>
        <w:rPr>
          <w:sz w:val="20"/>
          <w:szCs w:val="20"/>
          <w:color w:val="auto"/>
        </w:rPr>
      </w:pPr>
      <w:r>
        <w:rPr>
          <w:rFonts w:ascii="Arial" w:cs="Arial" w:eastAsia="Arial" w:hAnsi="Arial"/>
          <w:sz w:val="16"/>
          <w:szCs w:val="16"/>
          <w:color w:val="auto"/>
        </w:rPr>
        <w:t>Beginning balance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-115570</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Provision related to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Credits and payments made</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color w:val="auto"/>
        </w:rPr>
        <w:t>Ending balance at June 30, 2021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1060" w:hanging="1059"/>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1,192</w:t>
      </w:r>
    </w:p>
    <w:p>
      <w:pPr>
        <w:spacing w:after="0" w:line="9" w:lineRule="exact"/>
        <w:rPr>
          <w:rFonts w:ascii="Arial" w:cs="Arial" w:eastAsia="Arial" w:hAnsi="Arial"/>
          <w:sz w:val="18"/>
          <w:szCs w:val="18"/>
          <w:color w:val="auto"/>
        </w:rPr>
      </w:pPr>
    </w:p>
    <w:p>
      <w:pPr>
        <w:ind w:left="1060"/>
        <w:spacing w:after="0" w:line="234" w:lineRule="auto"/>
        <w:rPr>
          <w:rFonts w:ascii="Arial" w:cs="Arial" w:eastAsia="Arial" w:hAnsi="Arial"/>
          <w:sz w:val="18"/>
          <w:szCs w:val="18"/>
          <w:color w:val="auto"/>
        </w:rPr>
      </w:pPr>
      <w:r>
        <w:rPr>
          <w:rFonts w:ascii="Arial" w:cs="Arial" w:eastAsia="Arial" w:hAnsi="Arial"/>
          <w:sz w:val="18"/>
          <w:szCs w:val="18"/>
          <w:color w:val="auto"/>
        </w:rPr>
        <w:t>3,199</w:t>
      </w:r>
    </w:p>
    <w:p>
      <w:pPr>
        <w:spacing w:after="0" w:line="1" w:lineRule="exact"/>
        <w:rPr>
          <w:sz w:val="20"/>
          <w:szCs w:val="20"/>
          <w:color w:val="auto"/>
        </w:rPr>
      </w:pPr>
    </w:p>
    <w:p>
      <w:pPr>
        <w:jc w:val="right"/>
        <w:ind w:right="79"/>
        <w:spacing w:after="0"/>
        <w:rPr>
          <w:sz w:val="20"/>
          <w:szCs w:val="20"/>
          <w:color w:val="auto"/>
        </w:rPr>
      </w:pPr>
      <w:r>
        <w:rPr>
          <w:rFonts w:ascii="Arial" w:cs="Arial" w:eastAsia="Arial" w:hAnsi="Arial"/>
          <w:sz w:val="18"/>
          <w:szCs w:val="18"/>
          <w:color w:val="auto"/>
        </w:rPr>
        <w:t>(1,837)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9690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9010" cy="8255"/>
                    </a:xfrm>
                    <a:prstGeom prst="rect">
                      <a:avLst/>
                    </a:prstGeom>
                    <a:noFill/>
                  </pic:spPr>
                </pic:pic>
              </a:graphicData>
            </a:graphic>
          </wp:anchor>
        </w:drawing>
      </w:r>
    </w:p>
    <w:p>
      <w:pPr>
        <w:ind w:left="1060" w:hanging="1059"/>
        <w:spacing w:after="0"/>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2,554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9690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90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14605</wp:posOffset>
            </wp:positionV>
            <wp:extent cx="9690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00" w:space="720"/>
            <w:col w:w="1599"/>
          </w:cols>
          <w:pgMar w:left="1440" w:top="517" w:right="1440" w:bottom="1440" w:gutter="0" w:footer="0" w:header="0"/>
          <w:type w:val="continuous"/>
        </w:sectPr>
      </w:pPr>
    </w:p>
    <w:p>
      <w:pPr>
        <w:spacing w:after="0" w:line="65" w:lineRule="exact"/>
        <w:rPr>
          <w:sz w:val="20"/>
          <w:szCs w:val="20"/>
          <w:color w:val="auto"/>
        </w:rPr>
      </w:pPr>
    </w:p>
    <w:p>
      <w:pPr>
        <w:ind w:left="60" w:right="579" w:firstLine="648"/>
        <w:spacing w:after="0" w:line="261" w:lineRule="auto"/>
        <w:rPr>
          <w:sz w:val="20"/>
          <w:szCs w:val="20"/>
          <w:color w:val="auto"/>
        </w:rPr>
      </w:pPr>
      <w:r>
        <w:rPr>
          <w:rFonts w:ascii="Arial" w:cs="Arial" w:eastAsia="Arial" w:hAnsi="Arial"/>
          <w:sz w:val="18"/>
          <w:szCs w:val="18"/>
          <w:color w:val="auto"/>
        </w:rPr>
        <w:t>The total reserves that are included in the Company’s unaudited condensed consolidated balance sheets, are summarized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6"/>
                <w:szCs w:val="16"/>
                <w:color w:val="auto"/>
              </w:rPr>
            </w:pPr>
          </w:p>
        </w:tc>
        <w:tc>
          <w:tcPr>
            <w:tcW w:w="1100" w:type="dxa"/>
            <w:vAlign w:val="bottom"/>
          </w:tcPr>
          <w:p>
            <w:pPr>
              <w:jc w:val="right"/>
              <w:ind w:right="137"/>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r>
      <w:tr>
        <w:trPr>
          <w:trHeight w:val="21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of accounts receivable, net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29"/>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Component of accrued expenses</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w:t>
            </w:r>
          </w:p>
        </w:tc>
      </w:tr>
      <w:tr>
        <w:trPr>
          <w:trHeight w:val="196"/>
        </w:trPr>
        <w:tc>
          <w:tcPr>
            <w:tcW w:w="62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revenue-related reserves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1,192</w:t>
            </w: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Inventory</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Capitalized inventory consists of the following at June 30, 2021 and December 31, 2020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18,850</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Balance sheet classification</w:t>
            </w: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7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15,211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8,581</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3,639</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18,850</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Inventory amounts written down as a result of excess, obsolescence, unmarketability or other reasons are charged to cost of sales. For the three and six months ended June 30, 2021, the Company recognized a write-down of $0.4 million and $0.4 million, respectively. There was no such write-down for the three and six months ended June 30, 2020. Long-term inventory, which primarily consists of work in process, is included in other assets in the unaudited condensed consolidated balance sheets.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Restricted Cash</w:t>
      </w:r>
    </w:p>
    <w:p>
      <w:pPr>
        <w:spacing w:after="0" w:line="216" w:lineRule="exact"/>
        <w:rPr>
          <w:sz w:val="20"/>
          <w:szCs w:val="20"/>
          <w:color w:val="auto"/>
        </w:rPr>
      </w:pPr>
    </w:p>
    <w:p>
      <w:pPr>
        <w:ind w:left="60" w:right="279" w:firstLine="648"/>
        <w:spacing w:after="0" w:line="291" w:lineRule="auto"/>
        <w:rPr>
          <w:sz w:val="20"/>
          <w:szCs w:val="20"/>
          <w:color w:val="auto"/>
        </w:rPr>
      </w:pPr>
      <w:r>
        <w:rPr>
          <w:rFonts w:ascii="Arial" w:cs="Arial" w:eastAsia="Arial" w:hAnsi="Arial"/>
          <w:sz w:val="17"/>
          <w:szCs w:val="17"/>
          <w:color w:val="auto"/>
        </w:rPr>
        <w:t>At June 30, 2021 and December 31, 2020, $5.2 million and $5.2 million, respectively, of the Company’s cash is restricted by a bank primarily related to security deposits for the Company’s building lease agreements.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385445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Property and Equipment, Net</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Property and equipment and related accumulated depreciation are as follows (in thousands, except year data):</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Estimated</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9"/>
        </w:trPr>
        <w:tc>
          <w:tcPr>
            <w:tcW w:w="504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Useful Life</w:t>
            </w:r>
          </w:p>
        </w:tc>
        <w:tc>
          <w:tcPr>
            <w:tcW w:w="200" w:type="dxa"/>
            <w:vAlign w:val="bottom"/>
          </w:tcPr>
          <w:p>
            <w:pPr>
              <w:spacing w:after="0"/>
              <w:rPr>
                <w:sz w:val="19"/>
                <w:szCs w:val="19"/>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9"/>
                <w:szCs w:val="19"/>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b w:val="1"/>
                <w:bCs w:val="1"/>
                <w:color w:val="auto"/>
                <w:w w:val="92"/>
              </w:rPr>
              <w:t>December 31,</w:t>
            </w:r>
          </w:p>
        </w:tc>
      </w:tr>
      <w:tr>
        <w:trPr>
          <w:trHeight w:val="201"/>
        </w:trPr>
        <w:tc>
          <w:tcPr>
            <w:tcW w:w="504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(Years)</w:t>
            </w:r>
          </w:p>
        </w:tc>
        <w:tc>
          <w:tcPr>
            <w:tcW w:w="200" w:type="dxa"/>
            <w:vAlign w:val="bottom"/>
          </w:tcPr>
          <w:p>
            <w:pPr>
              <w:spacing w:after="0"/>
              <w:rPr>
                <w:sz w:val="17"/>
                <w:szCs w:val="17"/>
                <w:color w:val="auto"/>
              </w:rPr>
            </w:pPr>
          </w:p>
        </w:tc>
        <w:tc>
          <w:tcPr>
            <w:tcW w:w="98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2020</w:t>
            </w:r>
          </w:p>
        </w:tc>
      </w:t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5</w:t>
            </w: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12,246</w:t>
            </w: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11,418</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3,417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3,420</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Computer equipment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1,513</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30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87"/>
              </w:rPr>
              <w:t>Term of lease</w:t>
            </w:r>
          </w:p>
        </w:tc>
        <w:tc>
          <w:tcPr>
            <w:tcW w:w="2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36,945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36,946</w:t>
            </w:r>
          </w:p>
        </w:tc>
      </w:tr>
      <w:tr>
        <w:trPr>
          <w:trHeight w:val="203"/>
        </w:trPr>
        <w:tc>
          <w:tcPr>
            <w:tcW w:w="50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Software</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412</w:t>
            </w:r>
          </w:p>
        </w:tc>
      </w:tr>
      <w:tr>
        <w:trPr>
          <w:trHeight w:val="203"/>
        </w:trPr>
        <w:tc>
          <w:tcPr>
            <w:tcW w:w="50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Construction-in-progress</w:t>
            </w:r>
          </w:p>
        </w:tc>
        <w:tc>
          <w:tcPr>
            <w:tcW w:w="10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162</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151</w:t>
            </w:r>
          </w:p>
        </w:tc>
      </w:tr>
      <w:tr>
        <w:trPr>
          <w:trHeight w:val="196"/>
        </w:trPr>
        <w:tc>
          <w:tcPr>
            <w:tcW w:w="5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cost</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54,737</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53,860</w:t>
            </w: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(22,889)</w:t>
            </w: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(19,731)</w:t>
            </w:r>
          </w:p>
        </w:tc>
      </w:tr>
      <w:tr>
        <w:trPr>
          <w:trHeight w:val="196"/>
        </w:trPr>
        <w:tc>
          <w:tcPr>
            <w:tcW w:w="50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10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31,848</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34,129</w:t>
            </w:r>
          </w:p>
        </w:tc>
      </w:tr>
      <w:tr>
        <w:trPr>
          <w:trHeight w:val="20"/>
        </w:trPr>
        <w:tc>
          <w:tcPr>
            <w:tcW w:w="50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Property, plant and equipment are recorded at historical cost, net of accumulated depreciation. For the three and six months ended June 30, 2021, depreciation expense totaled $1.6 million and $3.2 million, respectively, compared to $1.7 million and $3.2 million, respectively, for the three and six months ended June 30, 2020.</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Accrued Expenses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6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r>
      <w:tr>
        <w:trPr>
          <w:trHeight w:val="196"/>
        </w:trPr>
        <w:tc>
          <w:tcPr>
            <w:tcW w:w="6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development and commercial contract costs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68,793</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60,255</w:t>
            </w:r>
          </w:p>
        </w:tc>
        <w:tc>
          <w:tcPr>
            <w:tcW w:w="100" w:type="dxa"/>
            <w:vAlign w:val="bottom"/>
            <w:shd w:val="clear" w:color="auto" w:fill="CCEEFF"/>
          </w:tcPr>
          <w:p>
            <w:pPr>
              <w:spacing w:after="0"/>
              <w:rPr>
                <w:sz w:val="17"/>
                <w:szCs w:val="17"/>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Employee compensation</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16,667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27,622</w:t>
            </w:r>
          </w:p>
        </w:tc>
        <w:tc>
          <w:tcPr>
            <w:tcW w:w="100" w:type="dxa"/>
            <w:vAlign w:val="bottom"/>
          </w:tcPr>
          <w:p>
            <w:pPr>
              <w:spacing w:after="0"/>
              <w:rPr>
                <w:sz w:val="19"/>
                <w:szCs w:val="19"/>
                <w:color w:val="auto"/>
              </w:rPr>
            </w:pPr>
          </w:p>
        </w:tc>
      </w:tr>
      <w:tr>
        <w:trPr>
          <w:trHeight w:val="203"/>
        </w:trPr>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14,064</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10,986</w:t>
            </w:r>
          </w:p>
        </w:tc>
        <w:tc>
          <w:tcPr>
            <w:tcW w:w="100" w:type="dxa"/>
            <w:vAlign w:val="bottom"/>
            <w:shd w:val="clear" w:color="auto" w:fill="CCEEFF"/>
          </w:tcPr>
          <w:p>
            <w:pPr>
              <w:spacing w:after="0"/>
              <w:rPr>
                <w:sz w:val="17"/>
                <w:szCs w:val="17"/>
                <w:color w:val="auto"/>
              </w:rPr>
            </w:pP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Revenue-related reserves</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9"/>
                <w:szCs w:val="19"/>
                <w:color w:val="auto"/>
              </w:rPr>
            </w:pPr>
          </w:p>
        </w:tc>
      </w:tr>
      <w:tr>
        <w:trPr>
          <w:trHeight w:val="203"/>
        </w:trPr>
        <w:tc>
          <w:tcPr>
            <w:tcW w:w="6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5,486</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6,109</w:t>
            </w:r>
          </w:p>
        </w:tc>
        <w:tc>
          <w:tcPr>
            <w:tcW w:w="100" w:type="dxa"/>
            <w:vAlign w:val="bottom"/>
            <w:shd w:val="clear" w:color="auto" w:fill="CCEEFF"/>
          </w:tcPr>
          <w:p>
            <w:pPr>
              <w:spacing w:after="0"/>
              <w:rPr>
                <w:sz w:val="17"/>
                <w:szCs w:val="17"/>
                <w:color w:val="auto"/>
              </w:rPr>
            </w:pPr>
          </w:p>
        </w:tc>
      </w:tr>
      <w:tr>
        <w:trPr>
          <w:trHeight w:val="196"/>
        </w:trPr>
        <w:tc>
          <w:tcPr>
            <w:tcW w:w="67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107,173</w:t>
            </w:r>
          </w:p>
        </w:tc>
        <w:tc>
          <w:tcPr>
            <w:tcW w:w="2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105,938</w:t>
            </w:r>
          </w:p>
        </w:tc>
        <w:tc>
          <w:tcPr>
            <w:tcW w:w="100" w:type="dxa"/>
            <w:vAlign w:val="bottom"/>
          </w:tcPr>
          <w:p>
            <w:pPr>
              <w:spacing w:after="0"/>
              <w:rPr>
                <w:sz w:val="17"/>
                <w:szCs w:val="17"/>
                <w:color w:val="auto"/>
              </w:rPr>
            </w:pP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Collaboration and License Agreements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Pralsetinib Collaboration</w:t>
      </w:r>
    </w:p>
    <w:p>
      <w:pPr>
        <w:spacing w:after="0" w:line="212" w:lineRule="exact"/>
        <w:rPr>
          <w:sz w:val="20"/>
          <w:szCs w:val="20"/>
          <w:color w:val="auto"/>
        </w:rPr>
      </w:pPr>
    </w:p>
    <w:p>
      <w:pPr>
        <w:ind w:left="60" w:right="219" w:firstLine="648"/>
        <w:spacing w:after="0"/>
        <w:rPr>
          <w:sz w:val="20"/>
          <w:szCs w:val="20"/>
          <w:color w:val="auto"/>
        </w:rPr>
      </w:pPr>
      <w:r>
        <w:rPr>
          <w:rFonts w:ascii="Arial" w:cs="Arial" w:eastAsia="Arial" w:hAnsi="Arial"/>
          <w:sz w:val="18"/>
          <w:szCs w:val="18"/>
          <w:color w:val="auto"/>
        </w:rPr>
        <w:t>On July 13, 2020, the Company entered into a collaboration agreement (the Roche pralsetinib collaboration agreement) with F. Hoffmann-La Roche Ltd and Genentech, Inc., a member of the Roche Group (collectively, Roche), pursuant to which the Company granted Roche exclusive rights to develop and commercialize the Company’s drug candidate pralsetinib worldwide, excluding the CStone territory (as defined below), and a co-exclusive license in the U.S. to develop and commercialize pralsetinib. In addition, Roche has the right to opt in to a next-generation RET compound co-developed by the Company and Roche.</w:t>
      </w:r>
    </w:p>
    <w:p>
      <w:pPr>
        <w:spacing w:after="0" w:line="189"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6"/>
          <w:szCs w:val="16"/>
          <w:color w:val="auto"/>
        </w:rPr>
        <w:t>Under the Roche pralsetinib collaboration agreement, the Company received an upfront cash payment of $675.0 million, and through June 30, 2021, the Company has received a total of $55.0 million in specified regulatory and commercialization milestones. In addition to the upfront and milestone payments received through June 30, 2021, the Company is eligible to receive up to $872.0 million in contingent payments, including specified development, regulatory and sales-based milestones for pralsetinib and any licensed product containing a next-generation RET compound.</w:t>
      </w:r>
    </w:p>
    <w:p>
      <w:pPr>
        <w:spacing w:after="0" w:line="159"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In the U.S., the Company and Roche agreed to work together to co-commercialize pralsetinib and equally share responsibilities, profits and losses. In addition, the Company is eligible to receive tiered royalties ranging from high-teens to mid-twenties on annual net sales of pralsetinib outside the U.S., excluding Greater China (the Roche territory). The Company and Roche have also agreed to co-develop pralsetinib globally in RET-altered solid tumors, including</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non-small cell lung cancer, medullary thyroid carcinoma and other thyroid cancers, as well as other solid tumors. The Company and Roche will share global development costs for pralsetinib at a rate of 45 percent for the Company and 55 percent for Roche up to a specified amount of aggregate joint development costs, after which the Company’s share of global development costs for pralsetinib will be reduced by a specified percentage. The Company and Roche will also share specified global development costs for any next-generation RET compound co-developed under the collaboration in a similar manner.</w:t>
      </w:r>
    </w:p>
    <w:p>
      <w:pPr>
        <w:spacing w:after="0" w:line="18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Unless earlier terminated in accordance with its terms, the Roche pralsetinib collaboration agreement will expire on a licensed product-by-licensed product basis (i) in the U.S. upon the expiration of the gross profit sharing term for such licensed product and (ii) outside the U.S. on a country-by-country basis at the end of the applicable royalty term for such licensed product. Roche may terminate the agreement in its entirety or on a licensed product-by-licensed product or country-by-country basis subject to certain notice periods. Either party may terminate the Roche pralsetinib collaboration agreement for the other party’s uncured material breach or insolvency. Subject to the terms of the Roche pralsetinib collaboration agreement, effective upon termination of the agreement, the Company is entitled to retain specified licenses to be able to continue to exploit the licensed products.</w:t>
      </w:r>
    </w:p>
    <w:p>
      <w:pPr>
        <w:spacing w:after="0" w:line="181"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In connection with the Roche collaboration agreement, on July 13, 2020, the Company also entered into a stock purchase agreement with Roche Holdings, Inc. (Roche Holdings) pursuant to which the Company issued and sold an aggregate of 1,035,519 of shares of common stock to Roche Holdings at a purchase price of $96.57 per share and received $100.0 million in the third quarter of 2020. The closing for a minority portion of the equity investment occurred following the expiration of the waiting period under the Hart-Scott-Rodino Antitrust Improvements Act of 1976, as amended, and other customary closing conditions.</w:t>
      </w:r>
    </w:p>
    <w:p>
      <w:pPr>
        <w:spacing w:after="0" w:line="189"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The Company considered the ASC 606 criteria for combining contracts and determined that the Roche pralsetinib collaboration agreement and stock purchase agreement should be combined into a single contract because they were negotiated and entered into in contemplation of one another. The Company accounted for the common stock issued to Roche Holdings based on the fair market value of the common stock on the dates of issuance. The fair market value of the common stock issued to Roche Holdings was $79.3 million, based on the closing price of the Company’s common stock on the dates of issuance, resulting in a $20.7 million premium. The Company determined that the premium paid by Roche Holdings for the common stock should be attributed to the transaction price of the Roche pralsetinib collaboration agreement.</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determined that the Roche pralsetinib collaboration agreement contained four material components:</w:t>
      </w:r>
    </w:p>
    <w:p>
      <w:pPr>
        <w:spacing w:after="0" w:line="35" w:lineRule="exact"/>
        <w:rPr>
          <w:sz w:val="20"/>
          <w:szCs w:val="20"/>
          <w:color w:val="auto"/>
        </w:rPr>
      </w:pPr>
    </w:p>
    <w:p>
      <w:pPr>
        <w:ind w:left="60" w:right="199" w:hanging="10"/>
        <w:spacing w:after="0" w:line="270" w:lineRule="auto"/>
        <w:tabs>
          <w:tab w:leader="none" w:pos="275" w:val="left"/>
        </w:tabs>
        <w:numPr>
          <w:ilvl w:val="0"/>
          <w:numId w:val="7"/>
        </w:numPr>
        <w:rPr>
          <w:rFonts w:ascii="Arial" w:cs="Arial" w:eastAsia="Arial" w:hAnsi="Arial"/>
          <w:sz w:val="16"/>
          <w:szCs w:val="16"/>
          <w:color w:val="auto"/>
        </w:rPr>
      </w:pPr>
      <w:r>
        <w:rPr>
          <w:rFonts w:ascii="Arial" w:cs="Arial" w:eastAsia="Arial" w:hAnsi="Arial"/>
          <w:sz w:val="16"/>
          <w:szCs w:val="16"/>
          <w:color w:val="auto"/>
        </w:rPr>
        <w:t>licenses granted to Roche to develop and commercialize pralsetinib worldwide, excluding the CStone territory (pralsetinib license); (ii) the Roche territory-specific commercialization activities for pralsetinib, including manufacturing Roche territory activities); (iii) the parties’ joint development activities for pralsetinib worldwide, excluding the CStone territory; and (iv) the parties’ joint commercialization activities for pralsetinib in the U.S. The Company considered the guidance in ASC 606 to determine which of the components of the Roche pralsetinib collaboration agreement are performance obligations with a customer and concluded that the pralsetinib license and the Roche territory activities are within the scope of ASC 606 because Roche is the Company’s customer in those transactions.</w:t>
      </w:r>
    </w:p>
    <w:p>
      <w:pPr>
        <w:spacing w:after="0" w:line="169"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The Company evaluated the Roche pralsetinib license under ASC 606 and concluded that the pralsetinib license is a functional intellectual property license and is a distinct performance obligation. The Company determined that Roche benefited from the pralsetinib license at the time of grant, and therefore the related performance obligation is satisfied at a point in time.</w:t>
      </w:r>
    </w:p>
    <w:p>
      <w:pPr>
        <w:spacing w:after="0" w:line="188"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The Company evaluated the Roche territory activities under ASC 606 and identified one material promise associated with manufacturing activities related to development and commercial supply of pralsetinib in the Roche territory for up to 24 months. Given that Roche is not obligated to purchase any minimum amount or quantities of the development and commercial supply from the Company, the Company concluded that, for the purpose of ASC 606, the provision of manufacturing activities related to development and commercial supply of pralsetinib in Roche territory was an option but not a performance obligation of the Company at the inception of the Roche collaboration agreement and will be accounted for if and when exercised. The Company also concluded that there is no separate material right in connection with the development and commercial supply of pralsetinib, as the expected pricing was not issued at a significant and incremental discount. Therefore, the manufacturing activities were excluded as performance obligations</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4" w:lineRule="auto"/>
        <w:rPr>
          <w:sz w:val="20"/>
          <w:szCs w:val="20"/>
          <w:color w:val="auto"/>
        </w:rPr>
      </w:pPr>
      <w:r>
        <w:rPr>
          <w:rFonts w:ascii="Arial" w:cs="Arial" w:eastAsia="Arial" w:hAnsi="Arial"/>
          <w:sz w:val="16"/>
          <w:szCs w:val="16"/>
          <w:color w:val="auto"/>
        </w:rPr>
        <w:t>at the outset of the arrangement. Additionally, the Company is entitled to sales milestones and royalties from Roche upon future sales of pralsetinib in the Roche territory, and revenue will be recognized when the related sales occur. Costs that are incurred associated with the Roche territory activities are reimbursable from Roche and are recognized as revenue.</w:t>
      </w:r>
    </w:p>
    <w:p>
      <w:pPr>
        <w:spacing w:after="0" w:line="14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For the purposes of ASC 606, the transaction price of the Roche collaboration agreement at the outset of the arrangement was determined to be $695.7 million, which consisted of the upfront cash payment of $675.0 million and the $20.7 million premium on the sale of common stock to Roche Holdings, which was allocated to the performance obligation related to the pralsetinib licenses. Through June 30, 2021, the Company has achieved $55.0 million in specified regulatory and commercialization milestones and added the $55.0 million to the estimated transaction price of the Roche pralsetinib agreement. The other potential milestone payments that the Company is eligible to receive under the Roche pralsetinib agreement have been excluded from the transaction price, as all the remaining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67"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The following table summarizes revenue recognized under the Roche pralsetinib collaboration during the three and six months ended June 30, 2021 and 2020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300" w:type="dxa"/>
            <w:vAlign w:val="bottom"/>
            <w:gridSpan w:val="4"/>
          </w:tcPr>
          <w:p>
            <w:pPr>
              <w:jc w:val="center"/>
              <w:ind w:right="36"/>
              <w:spacing w:after="0"/>
              <w:rPr>
                <w:sz w:val="20"/>
                <w:szCs w:val="20"/>
                <w:color w:val="auto"/>
              </w:rPr>
            </w:pPr>
            <w:r>
              <w:rPr>
                <w:rFonts w:ascii="Arial" w:cs="Arial" w:eastAsia="Arial" w:hAnsi="Arial"/>
                <w:sz w:val="14"/>
                <w:szCs w:val="14"/>
                <w:b w:val="1"/>
                <w:bCs w:val="1"/>
                <w:color w:val="auto"/>
                <w:w w:val="93"/>
              </w:rPr>
              <w:t>Six Months Ended</w:t>
            </w:r>
          </w:p>
        </w:tc>
      </w:tr>
      <w:tr>
        <w:trPr>
          <w:trHeight w:val="201"/>
        </w:trPr>
        <w:tc>
          <w:tcPr>
            <w:tcW w:w="57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center"/>
              <w:ind w:left="281"/>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center"/>
              <w:ind w:left="221"/>
              <w:spacing w:after="0"/>
              <w:rPr>
                <w:sz w:val="20"/>
                <w:szCs w:val="20"/>
                <w:color w:val="auto"/>
              </w:rPr>
            </w:pPr>
            <w:r>
              <w:rPr>
                <w:rFonts w:ascii="Arial" w:cs="Arial" w:eastAsia="Arial" w:hAnsi="Arial"/>
                <w:sz w:val="14"/>
                <w:szCs w:val="14"/>
                <w:b w:val="1"/>
                <w:bCs w:val="1"/>
                <w:color w:val="auto"/>
                <w:w w:val="89"/>
              </w:rPr>
              <w:t>June 30,</w:t>
            </w:r>
          </w:p>
        </w:tc>
        <w:tc>
          <w:tcPr>
            <w:tcW w:w="460" w:type="dxa"/>
            <w:vAlign w:val="bottom"/>
            <w:tcBorders>
              <w:bottom w:val="single" w:sz="8" w:color="auto"/>
            </w:tcBorders>
          </w:tcPr>
          <w:p>
            <w:pPr>
              <w:spacing w:after="0"/>
              <w:rPr>
                <w:sz w:val="17"/>
                <w:szCs w:val="17"/>
                <w:color w:val="auto"/>
              </w:rPr>
            </w:pPr>
          </w:p>
        </w:tc>
      </w:tr>
      <w:tr>
        <w:trPr>
          <w:trHeight w:val="183"/>
        </w:trPr>
        <w:tc>
          <w:tcPr>
            <w:tcW w:w="57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2020</w:t>
            </w:r>
          </w:p>
        </w:tc>
      </w:tr>
      <w:tr>
        <w:trPr>
          <w:trHeight w:val="196"/>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4"/>
                <w:shd w:val="clear" w:color="auto" w:fill="CCEEFF"/>
              </w:rPr>
              <w:t>Manufacturing and other services related to Roche territory-specific activities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shd w:val="clear" w:color="auto" w:fill="CCEEFF"/>
              </w:rPr>
              <w:t>$</w:t>
            </w:r>
          </w:p>
        </w:tc>
        <w:tc>
          <w:tcPr>
            <w:tcW w:w="56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w w:val="93"/>
                <w:shd w:val="clear" w:color="auto" w:fill="CCEEFF"/>
              </w:rPr>
              <w:t>1,912</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shd w:val="clear" w:color="auto" w:fill="CCEEFF"/>
              </w:rPr>
              <w:t>$</w:t>
            </w:r>
          </w:p>
        </w:tc>
        <w:tc>
          <w:tcPr>
            <w:tcW w:w="480" w:type="dxa"/>
            <w:vAlign w:val="bottom"/>
            <w:tcBorders>
              <w:bottom w:val="single" w:sz="8" w:color="auto"/>
            </w:tcBorders>
            <w:shd w:val="clear" w:color="auto" w:fill="CCEEFF"/>
          </w:tcPr>
          <w:p>
            <w:pPr>
              <w:ind w:left="260"/>
              <w:spacing w:after="0" w:line="196" w:lineRule="exact"/>
              <w:rPr>
                <w:sz w:val="20"/>
                <w:szCs w:val="20"/>
                <w:color w:val="auto"/>
              </w:rPr>
            </w:pPr>
            <w:r>
              <w:rPr>
                <w:rFonts w:ascii="Arial" w:cs="Arial" w:eastAsia="Arial" w:hAnsi="Arial"/>
                <w:sz w:val="18"/>
                <w:szCs w:val="18"/>
                <w:color w:val="auto"/>
                <w:shd w:val="clear" w:color="auto" w:fill="CCEEFF"/>
              </w:rPr>
              <w:t>—</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shd w:val="clear" w:color="auto" w:fill="CCEEFF"/>
              </w:rPr>
              <w:t>$</w:t>
            </w:r>
          </w:p>
        </w:tc>
        <w:tc>
          <w:tcPr>
            <w:tcW w:w="500" w:type="dxa"/>
            <w:vAlign w:val="bottom"/>
            <w:tcBorders>
              <w:bottom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w w:val="93"/>
                <w:shd w:val="clear" w:color="auto" w:fill="CCEEFF"/>
              </w:rPr>
              <w:t>3,684</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shd w:val="clear" w:color="auto" w:fill="CCEEFF"/>
              </w:rPr>
              <w:t>$</w:t>
            </w:r>
          </w:p>
        </w:tc>
        <w:tc>
          <w:tcPr>
            <w:tcW w:w="460" w:type="dxa"/>
            <w:vAlign w:val="bottom"/>
            <w:tcBorders>
              <w:bottom w:val="single" w:sz="8" w:color="auto"/>
            </w:tcBorders>
            <w:shd w:val="clear" w:color="auto" w:fill="CCEEFF"/>
          </w:tcPr>
          <w:p>
            <w:pPr>
              <w:ind w:left="240"/>
              <w:spacing w:after="0" w:line="196" w:lineRule="exact"/>
              <w:rPr>
                <w:sz w:val="20"/>
                <w:szCs w:val="20"/>
                <w:color w:val="auto"/>
              </w:rPr>
            </w:pPr>
            <w:r>
              <w:rPr>
                <w:rFonts w:ascii="Arial" w:cs="Arial" w:eastAsia="Arial" w:hAnsi="Arial"/>
                <w:sz w:val="18"/>
                <w:szCs w:val="18"/>
                <w:color w:val="auto"/>
                <w:shd w:val="clear" w:color="auto" w:fill="CCEEFF"/>
              </w:rPr>
              <w:t>—</w:t>
            </w:r>
          </w:p>
        </w:tc>
      </w:tr>
      <w:tr>
        <w:trPr>
          <w:trHeight w:val="196"/>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Total Roche pralsetinib collaboration revenue</w:t>
            </w: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w w:val="93"/>
              </w:rPr>
              <w:t>1,912</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60"/>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w w:val="93"/>
              </w:rPr>
              <w:t>3,684</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r>
      <w:tr>
        <w:trPr>
          <w:trHeight w:val="20"/>
        </w:trPr>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For the parties’ participation in global development for pralsetinib and the U.S. commercialization activities for GAVRETO, the Company concluded that those activities and cost-sharing payments related to such activities are within the scope of ASC 808, as both parties are active participants in the development, manufacturing and commercialization activities and are exposed to significant risks and rewards of those activities under the Roche pralsetinib collaboration agreement. Payments to or reimbursements from Roche related to the global development activities are accounted for as an increase to or reduction of research and development expenses. Prior to July 1, 2021, the Company was the principal for product sales to customers in the U.S. and recognized revenues on sales to third parties in product revenue, net in its unaudited condensed consolidated statements of operations and comprehensive loss. After July 1, 2021, Roche has taken over the responsibilities associated with product sales to customers, pricing and distribution matters for GAVRETO in the U.S. and has become the principal for product sales to customers in the U.S., and the Company will recognize its portion of the commercial profits and losses sharing as revenue (expenses) from the collaboration arrangement in its condensed consolidated statements of operations and comprehensive loss.</w:t>
      </w:r>
    </w:p>
    <w:p>
      <w:pPr>
        <w:spacing w:after="0" w:line="171" w:lineRule="exact"/>
        <w:rPr>
          <w:sz w:val="20"/>
          <w:szCs w:val="20"/>
          <w:color w:val="auto"/>
        </w:rPr>
      </w:pPr>
    </w:p>
    <w:p>
      <w:pPr>
        <w:ind w:left="60" w:right="79" w:firstLine="648"/>
        <w:spacing w:after="0" w:line="243" w:lineRule="auto"/>
        <w:rPr>
          <w:sz w:val="20"/>
          <w:szCs w:val="20"/>
          <w:color w:val="auto"/>
        </w:rPr>
      </w:pPr>
      <w:r>
        <w:rPr>
          <w:rFonts w:ascii="Arial" w:cs="Arial" w:eastAsia="Arial" w:hAnsi="Arial"/>
          <w:sz w:val="18"/>
          <w:szCs w:val="18"/>
          <w:color w:val="auto"/>
        </w:rPr>
        <w:t>During the three and six months ended June 30, 2021, the Company recorded $2.2 million and $5.2 million, respectively, as reductions in selling, general and administrative expenses in connection with the commercialization of GAVRETO in the U.S. and $2.1 million and $6.2 million, respectively, as reductions in research and development expenses in connection with global development activities for pralsetinib.</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summarizes the contract assets associated with the Roche pralsetinib collaboration as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December 31, 2020 (in thousands):</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6"/>
                <w:szCs w:val="16"/>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324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r>
      <w:tr>
        <w:trPr>
          <w:trHeight w:val="196"/>
        </w:trPr>
        <w:tc>
          <w:tcPr>
            <w:tcW w:w="3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Accounts receivable, net</w:t>
            </w:r>
          </w:p>
        </w:tc>
        <w:tc>
          <w:tcPr>
            <w:tcW w:w="34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11,865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7,224</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17,600</w:t>
            </w:r>
          </w:p>
        </w:tc>
        <w:tc>
          <w:tcPr>
            <w:tcW w:w="20" w:type="dxa"/>
            <w:vAlign w:val="bottom"/>
          </w:tcPr>
          <w:p>
            <w:pPr>
              <w:spacing w:after="0"/>
              <w:rPr>
                <w:sz w:val="20"/>
                <w:szCs w:val="20"/>
                <w:color w:val="auto"/>
              </w:rPr>
            </w:pPr>
          </w:p>
        </w:tc>
      </w:tr>
      <w:tr>
        <w:trPr>
          <w:trHeight w:val="863"/>
        </w:trPr>
        <w:tc>
          <w:tcPr>
            <w:tcW w:w="3240" w:type="dxa"/>
            <w:vAlign w:val="bottom"/>
          </w:tcPr>
          <w:p>
            <w:pPr>
              <w:spacing w:after="0"/>
              <w:rPr>
                <w:sz w:val="24"/>
                <w:szCs w:val="24"/>
                <w:color w:val="auto"/>
              </w:rPr>
            </w:pPr>
          </w:p>
        </w:tc>
        <w:tc>
          <w:tcPr>
            <w:tcW w:w="3480" w:type="dxa"/>
            <w:vAlign w:val="bottom"/>
          </w:tcPr>
          <w:p>
            <w:pPr>
              <w:jc w:val="right"/>
              <w:ind w:right="209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2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Clementia</w:t>
      </w:r>
    </w:p>
    <w:p>
      <w:pPr>
        <w:spacing w:after="0" w:line="212"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progressiva (FOP), as well as specified other compounds related to the BLU-782 program.</w:t>
      </w:r>
    </w:p>
    <w:p>
      <w:pPr>
        <w:spacing w:after="0" w:line="159"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7"/>
          <w:szCs w:val="17"/>
          <w:color w:val="auto"/>
        </w:rPr>
        <w:t>Under the Clementia agreement, the Company received an upfront cash payment of $25.0 million and through June 30, 2021, the Company has received $20.0 million in cash milestone payments. Subject to the terms of the Clementia agreement, in addition to the upfront and milestone payments received through June 30, 2021, the Company is eligible to receive up to $490.0 million in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Clementia purchased specified manufacturing inventory from the Company for a total of $1.5 million.</w:t>
      </w:r>
    </w:p>
    <w:p>
      <w:pPr>
        <w:spacing w:after="0" w:line="18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63"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the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84"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Company determined that the transaction price as of the outset of the arrangement was $46.5 million, which consisted of the upfront amount of $25.0 million, the $20.0 million cash milestone payment received in the third quarter of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obligations on a relative stand-alone selling price basis. The Company satisfies the performance obligations upon delivery of the license and completion of the technology transfer and inventory transfers.</w:t>
      </w:r>
    </w:p>
    <w:p>
      <w:pPr>
        <w:spacing w:after="0" w:line="194" w:lineRule="exact"/>
        <w:rPr>
          <w:sz w:val="20"/>
          <w:szCs w:val="20"/>
          <w:color w:val="auto"/>
        </w:rPr>
      </w:pPr>
    </w:p>
    <w:p>
      <w:pPr>
        <w:ind w:left="60" w:right="539" w:firstLine="648"/>
        <w:spacing w:after="0" w:line="261" w:lineRule="auto"/>
        <w:rPr>
          <w:sz w:val="20"/>
          <w:szCs w:val="20"/>
          <w:color w:val="auto"/>
        </w:rPr>
      </w:pPr>
      <w:r>
        <w:rPr>
          <w:rFonts w:ascii="Arial" w:cs="Arial" w:eastAsia="Arial" w:hAnsi="Arial"/>
          <w:sz w:val="18"/>
          <w:szCs w:val="18"/>
          <w:color w:val="auto"/>
        </w:rPr>
        <w:t>During 2019, the Company completed the delivery of the license, the technology transfer and the transfer of existing manufacturing inventory and recognized a total of $46.2 million as revenue.</w:t>
      </w:r>
    </w:p>
    <w:p>
      <w:pPr>
        <w:spacing w:after="0" w:line="171" w:lineRule="exact"/>
        <w:rPr>
          <w:sz w:val="20"/>
          <w:szCs w:val="20"/>
          <w:color w:val="auto"/>
        </w:rPr>
      </w:pPr>
    </w:p>
    <w:p>
      <w:pPr>
        <w:ind w:left="60" w:right="179" w:firstLine="648"/>
        <w:spacing w:after="0" w:line="248" w:lineRule="auto"/>
        <w:rPr>
          <w:sz w:val="20"/>
          <w:szCs w:val="20"/>
          <w:color w:val="auto"/>
        </w:rPr>
      </w:pPr>
      <w:r>
        <w:rPr>
          <w:rFonts w:ascii="Arial" w:cs="Arial" w:eastAsia="Arial" w:hAnsi="Arial"/>
          <w:sz w:val="18"/>
          <w:szCs w:val="18"/>
          <w:color w:val="auto"/>
        </w:rPr>
        <w:t>During the three and six months ended June 30, 2021 and 2020, no material revenue was recognized from the Clementia collaboration. There was no revenue deferred as a contract liability associated with the Clementia agreement as of June 30, 2021 and December 31,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CStone Pharmaceuticals</w:t>
      </w:r>
    </w:p>
    <w:p>
      <w:pPr>
        <w:spacing w:after="0" w:line="212" w:lineRule="exact"/>
        <w:rPr>
          <w:sz w:val="20"/>
          <w:szCs w:val="20"/>
          <w:color w:val="auto"/>
        </w:rPr>
      </w:pPr>
    </w:p>
    <w:p>
      <w:pPr>
        <w:ind w:left="60" w:right="299" w:firstLine="648"/>
        <w:spacing w:after="0" w:line="324" w:lineRule="auto"/>
        <w:rPr>
          <w:sz w:val="20"/>
          <w:szCs w:val="20"/>
          <w:color w:val="auto"/>
        </w:rPr>
      </w:pPr>
      <w:r>
        <w:rPr>
          <w:rFonts w:ascii="Arial" w:cs="Arial" w:eastAsia="Arial" w:hAnsi="Arial"/>
          <w:sz w:val="16"/>
          <w:szCs w:val="16"/>
          <w:color w:val="auto"/>
        </w:rPr>
        <w:t>On June 1, 2018, the Company entered into a collaboration and license agreement (the CStone agreement) with CStone Pharmaceuticals (CStone) pursuant to which the Company granted CStone exclusive rights to develop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color w:val="auto"/>
        </w:rPr>
        <w:t>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w:t>
      </w:r>
    </w:p>
    <w:p>
      <w:pPr>
        <w:spacing w:after="0" w:line="18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Company received an upfront cash payment of $40.0 million, and through June 30, 2021, the Company has achieved $23.0 million in milestones under this collaboration. Subject to the terms of the CStone agreement, in addition to the upfront payments received and milestones achieved through June 30, 2021, the Company will be eligible to receive up to approximately $323.0 million in additional milestone payments, including $95.5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8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7"/>
          <w:szCs w:val="17"/>
          <w:color w:val="auto"/>
        </w:rPr>
        <w:t>Pursuant to the terms of the CStone agreement, CStone will be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81"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79"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48" w:lineRule="auto"/>
        <w:rPr>
          <w:sz w:val="20"/>
          <w:szCs w:val="20"/>
          <w:color w:val="auto"/>
        </w:rPr>
      </w:pPr>
      <w:r>
        <w:rPr>
          <w:rFonts w:ascii="Arial" w:cs="Arial" w:eastAsia="Arial" w:hAnsi="Arial"/>
          <w:sz w:val="18"/>
          <w:szCs w:val="18"/>
          <w:color w:val="auto"/>
        </w:rPr>
        <w:t>A summary of manufacturing and research and development services related to the global development activities, net of expenses payable to CStone during the three and six months ended June 30, 2021 and 2020 is as follows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56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304"/>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6"/>
                <w:szCs w:val="16"/>
                <w:color w:val="auto"/>
              </w:rPr>
            </w:pPr>
          </w:p>
        </w:tc>
      </w:tr>
      <w:tr>
        <w:trPr>
          <w:trHeight w:val="156"/>
        </w:trPr>
        <w:tc>
          <w:tcPr>
            <w:tcW w:w="54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w w:val="96"/>
              </w:rPr>
              <w:t>2020</w:t>
            </w:r>
          </w:p>
        </w:tc>
      </w:tr>
      <w:tr>
        <w:trPr>
          <w:trHeight w:val="168"/>
        </w:trPr>
        <w:tc>
          <w:tcPr>
            <w:tcW w:w="544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Manufacturing and research and development services related to global</w:t>
            </w: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activities, net of expenses payable to CStone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1,008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2,450</w:t>
            </w:r>
          </w:p>
        </w:tc>
      </w:tr>
    </w:tbl>
    <w:p>
      <w:pPr>
        <w:spacing w:after="0" w:line="200" w:lineRule="exact"/>
        <w:rPr>
          <w:sz w:val="20"/>
          <w:szCs w:val="20"/>
          <w:color w:val="auto"/>
        </w:rPr>
      </w:pPr>
    </w:p>
    <w:p>
      <w:pPr>
        <w:spacing w:after="0" w:line="20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7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174" w:lineRule="exact"/>
        <w:rPr>
          <w:sz w:val="20"/>
          <w:szCs w:val="20"/>
          <w:color w:val="auto"/>
        </w:rPr>
      </w:pPr>
    </w:p>
    <w:p>
      <w:pPr>
        <w:jc w:val="both"/>
        <w:ind w:left="60" w:right="319" w:firstLine="648"/>
        <w:spacing w:after="0" w:line="248"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82" w:lineRule="exact"/>
        <w:rPr>
          <w:sz w:val="20"/>
          <w:szCs w:val="20"/>
          <w:color w:val="auto"/>
        </w:rPr>
      </w:pPr>
    </w:p>
    <w:p>
      <w:pPr>
        <w:ind w:left="60" w:right="299" w:firstLine="648"/>
        <w:spacing w:after="0" w:line="274"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63"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During the three months ended June 30, 2021 and 2020, no milestones were achieved under the CStone agreement. During the six months ended June 30, 2021 and 2020, cash consideration associated with achieved regulatory and development milestones of $9.0 million and $2.0 million, respectively, were added to the estimated transaction price and recognized as revenue in such periods. 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w:t>
      </w:r>
    </w:p>
    <w:p>
      <w:pPr>
        <w:spacing w:after="0" w:line="163"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6"/>
          <w:szCs w:val="16"/>
          <w:color w:val="auto"/>
        </w:rPr>
        <w:t>During the three months ended June 30, 2021, the Company entered into commercial supply agreements and avapritinib manufacturing technology transfer agreement with CStone for supply drug substance of avapritinib and drug product of avapritinib and pralsetinib to assist CStone’s commercialization activities conducted specifically for the CStone territory. The manufacturing activities were considered as distinct performance obligations from the CStone agreement and collaboration revenue was recognized upon delivery of the drug substance and drug product to CStone.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summary of revenue recognized under the CStone agreement during the three and six months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2021 and 2020 is as follows (in thousands):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4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8"/>
              </w:rPr>
              <w:t>Six Months Ended</w:t>
            </w:r>
          </w:p>
        </w:tc>
      </w:tr>
      <w:tr>
        <w:trPr>
          <w:trHeight w:val="185"/>
        </w:trPr>
        <w:tc>
          <w:tcPr>
            <w:tcW w:w="5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6"/>
                <w:szCs w:val="16"/>
                <w:color w:val="auto"/>
              </w:rPr>
            </w:pPr>
          </w:p>
        </w:tc>
      </w:tr>
      <w:tr>
        <w:trPr>
          <w:trHeight w:val="156"/>
        </w:trPr>
        <w:tc>
          <w:tcPr>
            <w:tcW w:w="54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w w:val="96"/>
              </w:rPr>
              <w:t>2020</w:t>
            </w:r>
          </w:p>
        </w:tc>
      </w:tr>
      <w:tr>
        <w:trPr>
          <w:trHeight w:val="196"/>
        </w:trPr>
        <w:tc>
          <w:tcPr>
            <w:tcW w:w="5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License milestone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2,000</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Manufacturing services related to CStone territory-specific activities</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10,355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1,263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10,538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7"/>
              </w:rPr>
              <w:t>1,397</w:t>
            </w: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revenue</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440" w:type="dxa"/>
            <w:vAlign w:val="bottom"/>
          </w:tcPr>
          <w:p>
            <w:pPr>
              <w:ind w:left="20"/>
              <w:spacing w:after="0" w:line="196" w:lineRule="exact"/>
              <w:rPr>
                <w:sz w:val="20"/>
                <w:szCs w:val="20"/>
                <w:color w:val="auto"/>
              </w:rPr>
            </w:pPr>
            <w:r>
              <w:rPr>
                <w:rFonts w:ascii="Arial" w:cs="Arial" w:eastAsia="Arial" w:hAnsi="Arial"/>
                <w:sz w:val="18"/>
                <w:szCs w:val="18"/>
                <w:color w:val="auto"/>
              </w:rPr>
              <w:t>Total CStone collaboration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12,302</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1,263</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21,573</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3,397</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presents the contract assets associated with the CStone collaboration as of June 30, 2021 and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 (in thousands):</w:t>
      </w: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r>
      <w:tr>
        <w:trPr>
          <w:trHeight w:val="20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6,512</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As of June 30, 2021, the Company had $6.2 million of deferred revenue as a contract liability associated with the CStone collaboration, of which $1.7 million was included in current liabilities. This contract liability resulted from advance payments made by CStone in connection with commercial supply of avapritinib and pralsetinib for the CStone territory. The contract liability associated with the CStone collaboration was $6.5 million at December 31, 2020.</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Roche – Immunotherapy Collaboration</w:t>
      </w:r>
    </w:p>
    <w:p>
      <w:pPr>
        <w:spacing w:after="0" w:line="212"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In March 2016, the Company entered into a collaboration and license agreement (as amended, the Roche immunotherapy agreement) with F. Hoffmann-La Roche Ltd and Hoffmann-La Roche Inc. (collectively, Roche) for the discovery, development and commercialization of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59" w:lineRule="exact"/>
        <w:rPr>
          <w:sz w:val="20"/>
          <w:szCs w:val="20"/>
          <w:color w:val="auto"/>
        </w:rPr>
      </w:pPr>
    </w:p>
    <w:p>
      <w:pPr>
        <w:ind w:left="60" w:right="59" w:firstLine="693"/>
        <w:spacing w:after="0" w:line="271" w:lineRule="auto"/>
        <w:rPr>
          <w:sz w:val="20"/>
          <w:szCs w:val="20"/>
          <w:color w:val="auto"/>
        </w:rPr>
      </w:pPr>
      <w:r>
        <w:rPr>
          <w:rFonts w:ascii="Arial" w:cs="Arial" w:eastAsia="Arial" w:hAnsi="Arial"/>
          <w:sz w:val="16"/>
          <w:szCs w:val="16"/>
          <w:color w:val="auto"/>
        </w:rPr>
        <w:t>Under the Roche immunotherapy agreement, Roche was originally granted up to five option rights to obtain an exclusive license to exploit products derived from the collaboration programs in the field of cancer immunotherapy. Such option rights are triggered upon the achievement of Phase 1 proof-of-concept. As a result of amendments to the Roche immunotherapy agreement in the fourth quarter of 2019 and in the first quarter of 2021, the Company and Roche are currently conducting activities for up to two programs under the collaboration. For one of the two collaboration programs, if Roche exercises its option, Roche will receive worldwide, exclusive commercialization rights for the licensed product. For the other collaboration program, if Roche exercises its option, the Company will retain commercialization rights in the U.S. for the licensed products, and Roche will receive commercialization rights outside of the U.S. for the licensed product. The Company will also retain worldwide rights to any products for which Roche elects not to exercise its applicable option.</w:t>
      </w:r>
    </w:p>
    <w:p>
      <w:pPr>
        <w:spacing w:after="0" w:line="169"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6"/>
          <w:szCs w:val="16"/>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immunotherapy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68" w:lineRule="exact"/>
        <w:rPr>
          <w:sz w:val="20"/>
          <w:szCs w:val="20"/>
          <w:color w:val="auto"/>
        </w:rPr>
      </w:pPr>
    </w:p>
    <w:p>
      <w:pPr>
        <w:ind w:left="60" w:right="259" w:firstLine="648"/>
        <w:spacing w:after="0" w:line="324" w:lineRule="auto"/>
        <w:rPr>
          <w:sz w:val="20"/>
          <w:szCs w:val="20"/>
          <w:color w:val="auto"/>
        </w:rPr>
      </w:pPr>
      <w:r>
        <w:rPr>
          <w:rFonts w:ascii="Arial" w:cs="Arial" w:eastAsia="Arial" w:hAnsi="Arial"/>
          <w:sz w:val="16"/>
          <w:szCs w:val="16"/>
          <w:color w:val="auto"/>
        </w:rPr>
        <w:t>The Company received an upfront cash payment of $45.0 million, and through June 30, 2021, the Company has received $19.5 million in milestone payments under this collaboration. Subject to the terms of the Roche immunotherapy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agreement, as amended, in addition to the upfront and milestone payments received through June 30, 2021, the Company is eligible to receive up to approximately $323.3 million in contingent option fees and milestone payments related to specified research, pre-clinical, clinical, regulatory and sales-based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84"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The Roche immunotherapy agreement will continue until the date when no royalty or other payment obligations are or will become due, unless earlier terminated in accordance with the terms of the Roche immunotherapy agreement. Prior to its exercise of its first option, Roche may terminate the Roche immunotherapy agreement at will, in whole or on a collaboration target-by-collaboration target basis, upon 120 days’ prior written notice to the Company. Following its exercise of an option, Roche may terminate the Roche immunotherapy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immunotherapy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7" w:lineRule="exact"/>
        <w:rPr>
          <w:sz w:val="20"/>
          <w:szCs w:val="20"/>
          <w:color w:val="auto"/>
        </w:rPr>
      </w:pPr>
    </w:p>
    <w:p>
      <w:pPr>
        <w:ind w:left="60" w:right="179" w:firstLine="648"/>
        <w:spacing w:after="0" w:line="268" w:lineRule="auto"/>
        <w:rPr>
          <w:sz w:val="20"/>
          <w:szCs w:val="20"/>
          <w:color w:val="auto"/>
        </w:rPr>
      </w:pPr>
      <w:r>
        <w:rPr>
          <w:rFonts w:ascii="Arial" w:cs="Arial" w:eastAsia="Arial" w:hAnsi="Arial"/>
          <w:sz w:val="16"/>
          <w:szCs w:val="16"/>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w:t>
      </w:r>
    </w:p>
    <w:p>
      <w:pPr>
        <w:spacing w:after="0" w:line="1" w:lineRule="exact"/>
        <w:rPr>
          <w:sz w:val="20"/>
          <w:szCs w:val="20"/>
          <w:color w:val="auto"/>
        </w:rPr>
      </w:pPr>
    </w:p>
    <w:p>
      <w:pPr>
        <w:ind w:left="60" w:right="59" w:hanging="10"/>
        <w:spacing w:after="0" w:line="269" w:lineRule="auto"/>
        <w:tabs>
          <w:tab w:leader="none" w:pos="315" w:val="left"/>
        </w:tabs>
        <w:numPr>
          <w:ilvl w:val="0"/>
          <w:numId w:val="8"/>
        </w:numPr>
        <w:rPr>
          <w:rFonts w:ascii="Arial" w:cs="Arial" w:eastAsia="Arial" w:hAnsi="Arial"/>
          <w:sz w:val="16"/>
          <w:szCs w:val="16"/>
          <w:color w:val="auto"/>
        </w:rPr>
      </w:pPr>
      <w:r>
        <w:rPr>
          <w:rFonts w:ascii="Arial" w:cs="Arial" w:eastAsia="Arial" w:hAnsi="Arial"/>
          <w:sz w:val="16"/>
          <w:szCs w:val="16"/>
          <w:color w:val="auto"/>
        </w:rPr>
        <w:t>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7" w:lineRule="exact"/>
        <w:rPr>
          <w:sz w:val="20"/>
          <w:szCs w:val="20"/>
          <w:color w:val="auto"/>
        </w:rPr>
      </w:pPr>
    </w:p>
    <w:p>
      <w:pPr>
        <w:ind w:left="60" w:right="379" w:firstLine="648"/>
        <w:spacing w:after="0" w:line="262" w:lineRule="auto"/>
        <w:rPr>
          <w:sz w:val="20"/>
          <w:szCs w:val="20"/>
          <w:color w:val="auto"/>
        </w:rPr>
      </w:pPr>
      <w:r>
        <w:rPr>
          <w:rFonts w:ascii="Arial" w:cs="Arial" w:eastAsia="Arial" w:hAnsi="Arial"/>
          <w:sz w:val="17"/>
          <w:szCs w:val="17"/>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left="60" w:right="339" w:firstLine="648"/>
        <w:spacing w:after="0" w:line="248"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immunotherapy agreement, which consists of: (1) the non-exclusive license; (2) the research and development activities through Phase 1; and (3) regulatory responsibilities under Phase 1 clinical trials.</w:t>
      </w:r>
    </w:p>
    <w:p>
      <w:pPr>
        <w:spacing w:after="0" w:line="18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6"/>
          <w:szCs w:val="16"/>
          <w:color w:val="auto"/>
        </w:rPr>
        <w:t>Under the Roche immunotherapy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Through June 30, 2021, the Company has achieved $19.5 million in research milestones under this collaboration, and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88"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220" w:lineRule="exact"/>
        <w:rPr>
          <w:sz w:val="20"/>
          <w:szCs w:val="20"/>
          <w:color w:val="auto"/>
        </w:rPr>
      </w:pPr>
    </w:p>
    <w:p>
      <w:pPr>
        <w:ind w:left="60" w:right="319" w:firstLine="648"/>
        <w:spacing w:after="0" w:line="261" w:lineRule="auto"/>
        <w:rPr>
          <w:sz w:val="20"/>
          <w:szCs w:val="20"/>
          <w:color w:val="auto"/>
        </w:rPr>
      </w:pPr>
      <w:r>
        <w:rPr>
          <w:rFonts w:ascii="Arial" w:cs="Arial" w:eastAsia="Arial" w:hAnsi="Arial"/>
          <w:sz w:val="18"/>
          <w:szCs w:val="18"/>
          <w:color w:val="auto"/>
        </w:rPr>
        <w:t>A summary of revenue recognized under the Roche immunotherapy agreement during the three and six months ended June 30, 2021 and 2020 is as follows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720" w:type="dxa"/>
            <w:vAlign w:val="bottom"/>
          </w:tcPr>
          <w:p>
            <w:pPr>
              <w:spacing w:after="0"/>
              <w:rPr>
                <w:sz w:val="16"/>
                <w:szCs w:val="16"/>
                <w:color w:val="auto"/>
              </w:rPr>
            </w:pPr>
          </w:p>
        </w:tc>
        <w:tc>
          <w:tcPr>
            <w:tcW w:w="10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r>
      <w:tr>
        <w:trPr>
          <w:trHeight w:val="155"/>
        </w:trPr>
        <w:tc>
          <w:tcPr>
            <w:tcW w:w="57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r>
      <w:tr>
        <w:trPr>
          <w:trHeight w:val="168"/>
        </w:trPr>
        <w:tc>
          <w:tcPr>
            <w:tcW w:w="572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8"/>
              </w:rPr>
              <w:t>Roche immunotherapy collaboration research and development services</w:t>
            </w:r>
          </w:p>
        </w:tc>
        <w:tc>
          <w:tcPr>
            <w:tcW w:w="6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$ 1,349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1,109</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$ 2,885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1,684</w:t>
            </w:r>
          </w:p>
        </w:tc>
      </w:tr>
    </w:tbl>
    <w:p>
      <w:pPr>
        <w:spacing w:after="0" w:line="242" w:lineRule="exact"/>
        <w:rPr>
          <w:sz w:val="20"/>
          <w:szCs w:val="20"/>
          <w:color w:val="auto"/>
        </w:rPr>
      </w:pPr>
    </w:p>
    <w:p>
      <w:pPr>
        <w:ind w:left="60" w:right="259" w:firstLine="648"/>
        <w:spacing w:after="0" w:line="261" w:lineRule="auto"/>
        <w:rPr>
          <w:sz w:val="20"/>
          <w:szCs w:val="20"/>
          <w:color w:val="auto"/>
        </w:rPr>
      </w:pPr>
      <w:r>
        <w:rPr>
          <w:rFonts w:ascii="Arial" w:cs="Arial" w:eastAsia="Arial" w:hAnsi="Arial"/>
          <w:sz w:val="18"/>
          <w:szCs w:val="18"/>
          <w:color w:val="auto"/>
        </w:rPr>
        <w:t>During the three and six months ended June 30, 2021 and 2020, the Company recognized the following revenue due to the changes in the contract liability balances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20" w:type="dxa"/>
            <w:vAlign w:val="bottom"/>
          </w:tcPr>
          <w:p>
            <w:pPr>
              <w:spacing w:after="0"/>
              <w:rPr>
                <w:sz w:val="14"/>
                <w:szCs w:val="14"/>
                <w:color w:val="auto"/>
              </w:rPr>
            </w:pPr>
          </w:p>
        </w:tc>
        <w:tc>
          <w:tcPr>
            <w:tcW w:w="17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4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5720" w:type="dxa"/>
            <w:vAlign w:val="bottom"/>
          </w:tcPr>
          <w:p>
            <w:pPr>
              <w:spacing w:after="0"/>
              <w:rPr>
                <w:sz w:val="16"/>
                <w:szCs w:val="16"/>
                <w:color w:val="auto"/>
              </w:rPr>
            </w:pPr>
          </w:p>
        </w:tc>
        <w:tc>
          <w:tcPr>
            <w:tcW w:w="1020" w:type="dxa"/>
            <w:vAlign w:val="bottom"/>
            <w:tcBorders>
              <w:bottom w:val="single" w:sz="8" w:color="auto"/>
            </w:tcBorders>
            <w:gridSpan w:val="3"/>
          </w:tcPr>
          <w:p>
            <w:pPr>
              <w:jc w:val="center"/>
              <w:ind w:left="40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6"/>
                <w:szCs w:val="16"/>
                <w:color w:val="auto"/>
              </w:rPr>
            </w:pPr>
          </w:p>
        </w:tc>
      </w:tr>
      <w:tr>
        <w:trPr>
          <w:trHeight w:val="155"/>
        </w:trPr>
        <w:tc>
          <w:tcPr>
            <w:tcW w:w="572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104"/>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7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Amounts included in the contract liability at the beginning of the period</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$ 1,064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1,061</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$ 2,302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7"/>
              </w:rPr>
              <w:t>2,050</w:t>
            </w:r>
          </w:p>
        </w:tc>
      </w:tr>
    </w:tbl>
    <w:p>
      <w:pPr>
        <w:spacing w:after="0" w:line="256"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As of June 30, 2021, the Company had revenue deferred as a contract liability related to the Roche immunotherapy agreement of $32.0 million, of which $6.2 million was included in current liabilities, and the research and development services related to the performance obligation are expected to be performed over a remaining period of approximately 3.8 years.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Stock-based compensation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212" w:lineRule="exact"/>
        <w:rPr>
          <w:sz w:val="20"/>
          <w:szCs w:val="20"/>
          <w:color w:val="auto"/>
        </w:rPr>
      </w:pPr>
    </w:p>
    <w:p>
      <w:pPr>
        <w:ind w:left="60" w:right="59" w:firstLine="648"/>
        <w:spacing w:after="0" w:line="266"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2021, the number of shares reserved for issuance under the 2015 Plan was increased by</w:t>
      </w:r>
    </w:p>
    <w:p>
      <w:pPr>
        <w:spacing w:after="0" w:line="3" w:lineRule="exact"/>
        <w:rPr>
          <w:sz w:val="20"/>
          <w:szCs w:val="20"/>
          <w:color w:val="auto"/>
        </w:rPr>
      </w:pPr>
    </w:p>
    <w:p>
      <w:pPr>
        <w:jc w:val="both"/>
        <w:ind w:left="60" w:right="419"/>
        <w:spacing w:after="0" w:line="239" w:lineRule="auto"/>
        <w:rPr>
          <w:sz w:val="20"/>
          <w:szCs w:val="20"/>
          <w:color w:val="auto"/>
        </w:rPr>
      </w:pPr>
      <w:r>
        <w:rPr>
          <w:rFonts w:ascii="Arial" w:cs="Arial" w:eastAsia="Arial" w:hAnsi="Arial"/>
          <w:sz w:val="18"/>
          <w:szCs w:val="18"/>
          <w:color w:val="auto"/>
        </w:rPr>
        <w:t>2,311,741 shares. In addition, the total number of shares reserved for issuance is subject to adjustment in the event of a stock split, stock dividend or other change in the Company’s capitalization. As of June 30, 2021, there were 2,913,775 shares available for future grant under the 2015 Plan.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Inducement Plan</w:t>
      </w:r>
    </w:p>
    <w:p>
      <w:pPr>
        <w:spacing w:after="0" w:line="212"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6"/>
          <w:szCs w:val="16"/>
          <w:color w:val="auto"/>
        </w:rPr>
        <w:t>In March 2020, the Company’s board of directors adopted the 2020 Inducement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1,000,000 shares of common stock for the issuance of awards under the Inducement Plan. The number of shares reserved and available for issuance under the Inducement Plan can be increased at any time with the approval of the Company’s board of directors. The Inducement Plan permits the board of directors or a committee thereof to use the stock-based awards available under the Inducement Plan to attract key employees for the growth of the Company. As of June 30, 2021, there were 485,774 shares available for future grant under the Inducement Plan.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the stock option activity for the six months ended June 30, 2021:</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jc w:val="right"/>
              <w:ind w:right="15"/>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55"/>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96"/>
        </w:trPr>
        <w:tc>
          <w:tcPr>
            <w:tcW w:w="6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December 31, 2020</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6,030,641</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61.28</w:t>
            </w:r>
          </w:p>
        </w:tc>
        <w:tc>
          <w:tcPr>
            <w:tcW w:w="0" w:type="dxa"/>
            <w:vAlign w:val="bottom"/>
          </w:tcPr>
          <w:p>
            <w:pPr>
              <w:spacing w:after="0"/>
              <w:rPr>
                <w:sz w:val="1"/>
                <w:szCs w:val="1"/>
                <w:color w:val="auto"/>
              </w:rPr>
            </w:pPr>
          </w:p>
        </w:tc>
      </w:tr>
      <w:tr>
        <w:trPr>
          <w:trHeight w:val="229"/>
        </w:trPr>
        <w:tc>
          <w:tcPr>
            <w:tcW w:w="6400" w:type="dxa"/>
            <w:vAlign w:val="bottom"/>
          </w:tcPr>
          <w:p>
            <w:pPr>
              <w:ind w:left="22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908,661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(468,534)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Canceled</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(271,982)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77.49</w:t>
            </w:r>
          </w:p>
        </w:tc>
        <w:tc>
          <w:tcPr>
            <w:tcW w:w="0" w:type="dxa"/>
            <w:vAlign w:val="bottom"/>
          </w:tcPr>
          <w:p>
            <w:pPr>
              <w:spacing w:after="0"/>
              <w:rPr>
                <w:sz w:val="1"/>
                <w:szCs w:val="1"/>
                <w:color w:val="auto"/>
              </w:rPr>
            </w:pPr>
          </w:p>
        </w:tc>
      </w:tr>
      <w:tr>
        <w:trPr>
          <w:trHeight w:val="196"/>
        </w:trPr>
        <w:tc>
          <w:tcPr>
            <w:tcW w:w="6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at June 30, 2021</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6,198,786</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67.49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Exercisable at June 30, 2021</w:t>
            </w: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00" w:type="dxa"/>
            <w:vAlign w:val="bottom"/>
            <w:vMerge w:val="continue"/>
          </w:tcPr>
          <w:p>
            <w:pPr>
              <w:spacing w:after="0"/>
              <w:rPr>
                <w:sz w:val="15"/>
                <w:szCs w:val="15"/>
                <w:color w:val="auto"/>
              </w:rPr>
            </w:pP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3,428,017</w:t>
            </w:r>
          </w:p>
        </w:tc>
        <w:tc>
          <w:tcPr>
            <w:tcW w:w="22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57.20</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firstLine="648"/>
        <w:spacing w:after="0" w:line="324" w:lineRule="auto"/>
        <w:rPr>
          <w:sz w:val="20"/>
          <w:szCs w:val="20"/>
          <w:color w:val="auto"/>
        </w:rPr>
      </w:pPr>
      <w:r>
        <w:rPr>
          <w:rFonts w:ascii="Arial" w:cs="Arial" w:eastAsia="Arial" w:hAnsi="Arial"/>
          <w:sz w:val="16"/>
          <w:szCs w:val="16"/>
          <w:color w:val="auto"/>
        </w:rPr>
        <w:t>As of June 30, 2021, the total unrecognized compensation expense related to unvested stock option awards was $120.2 million, which is expected to be recognized over a weighted-average period of approximately 2.61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restricted stock units activity for the six months ended June 30, 2021:</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Weighted-Average</w:t>
            </w:r>
          </w:p>
        </w:tc>
      </w:tr>
      <w:tr>
        <w:trPr>
          <w:trHeight w:val="201"/>
        </w:trPr>
        <w:tc>
          <w:tcPr>
            <w:tcW w:w="6340" w:type="dxa"/>
            <w:vAlign w:val="bottom"/>
          </w:tcPr>
          <w:p>
            <w:pPr>
              <w:spacing w:after="0"/>
              <w:rPr>
                <w:sz w:val="17"/>
                <w:szCs w:val="17"/>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Grant Date Fair Value</w:t>
            </w:r>
          </w:p>
        </w:tc>
      </w:tr>
      <w:tr>
        <w:trPr>
          <w:trHeight w:val="196"/>
        </w:trPr>
        <w:tc>
          <w:tcPr>
            <w:tcW w:w="63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December 31, 2020</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1,171,686</w:t>
            </w: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65.37</w:t>
            </w: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778,521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99.41</w:t>
            </w:r>
          </w:p>
        </w:tc>
      </w:tr>
      <w:tr>
        <w:trPr>
          <w:trHeight w:val="203"/>
        </w:trPr>
        <w:tc>
          <w:tcPr>
            <w:tcW w:w="6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(270,168)</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63.67</w:t>
            </w:r>
          </w:p>
        </w:tc>
      </w:tr>
      <w:tr>
        <w:trPr>
          <w:trHeight w:val="203"/>
        </w:trPr>
        <w:tc>
          <w:tcPr>
            <w:tcW w:w="6340" w:type="dxa"/>
            <w:vAlign w:val="bottom"/>
          </w:tcPr>
          <w:p>
            <w:pPr>
              <w:ind w:left="220"/>
              <w:spacing w:after="0" w:line="202" w:lineRule="exact"/>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(123,644)</w:t>
            </w:r>
          </w:p>
        </w:tc>
        <w:tc>
          <w:tcPr>
            <w:tcW w:w="12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73.44</w:t>
            </w:r>
          </w:p>
        </w:tc>
      </w:tr>
      <w:tr>
        <w:trPr>
          <w:trHeight w:val="196"/>
        </w:trPr>
        <w:tc>
          <w:tcPr>
            <w:tcW w:w="63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Unvested shares at June 30,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1,556,395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82.05</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left="60" w:right="259" w:firstLine="648"/>
        <w:spacing w:after="0" w:line="324" w:lineRule="auto"/>
        <w:rPr>
          <w:sz w:val="20"/>
          <w:szCs w:val="20"/>
          <w:color w:val="auto"/>
        </w:rPr>
      </w:pPr>
      <w:r>
        <w:rPr>
          <w:rFonts w:ascii="Arial" w:cs="Arial" w:eastAsia="Arial" w:hAnsi="Arial"/>
          <w:sz w:val="16"/>
          <w:szCs w:val="16"/>
          <w:color w:val="auto"/>
        </w:rPr>
        <w:t>As of June 30, 2021, the total unrecognized compensation expense related to unvested restricted stock units was $113.7 million, which is expected to be recognize over a weighted-average period of approximately 3.07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21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In 2015, the Company’s board of directors and stockholders approved the 2015 Employee Stock Purchase Plan (the 2015 ESPP), which became effective upon the closing of the Company’s initial public offering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2021, the number of shares reserved for issuance under the 2015 ESPP was increased by 577,935 shares.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ind w:left="60" w:right="280" w:firstLine="648"/>
        <w:spacing w:after="0" w:line="284" w:lineRule="auto"/>
        <w:rPr>
          <w:sz w:val="20"/>
          <w:szCs w:val="20"/>
          <w:color w:val="auto"/>
        </w:rPr>
      </w:pPr>
      <w:r>
        <w:rPr>
          <w:rFonts w:ascii="Arial" w:cs="Arial" w:eastAsia="Arial" w:hAnsi="Arial"/>
          <w:sz w:val="16"/>
          <w:szCs w:val="16"/>
          <w:color w:val="auto"/>
        </w:rPr>
        <w:t>The Company recognized stock-based compensation expense totaling $24.3 million and $45.0 million for the three and six months ended June 30, 2021, respectively, and $19.5 million and $36.4 million for the three and six months ended June 30, 2020, respectively. Stock-based compensation expense by award type included within the unaudited condensed consolidated statements of operations and comprehensive loss was as follows (in thousands):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6"/>
                <w:szCs w:val="16"/>
                <w:color w:val="auto"/>
              </w:rPr>
            </w:pPr>
          </w:p>
        </w:tc>
        <w:tc>
          <w:tcPr>
            <w:tcW w:w="1580" w:type="dxa"/>
            <w:vAlign w:val="bottom"/>
            <w:gridSpan w:val="5"/>
          </w:tcPr>
          <w:p>
            <w:pPr>
              <w:jc w:val="right"/>
              <w:ind w:right="173"/>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5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9"/>
                <w:szCs w:val="19"/>
                <w:color w:val="auto"/>
              </w:rPr>
            </w:pPr>
          </w:p>
        </w:tc>
        <w:tc>
          <w:tcPr>
            <w:tcW w:w="1040" w:type="dxa"/>
            <w:vAlign w:val="bottom"/>
            <w:gridSpan w:val="4"/>
          </w:tcPr>
          <w:p>
            <w:pPr>
              <w:jc w:val="center"/>
              <w:ind w:left="436"/>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14,965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29,107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28,344</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16,064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3"/>
        </w:trPr>
        <w:tc>
          <w:tcPr>
            <w:tcW w:w="54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45,734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36,701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stock-based compensation costs</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168"/>
        </w:trPr>
        <w:tc>
          <w:tcPr>
            <w:tcW w:w="5480" w:type="dxa"/>
            <w:vAlign w:val="bottom"/>
          </w:tcPr>
          <w:p>
            <w:pPr>
              <w:ind w:left="20"/>
              <w:spacing w:after="0" w:line="168" w:lineRule="exact"/>
              <w:rPr>
                <w:sz w:val="20"/>
                <w:szCs w:val="20"/>
                <w:color w:val="auto"/>
              </w:rPr>
            </w:pPr>
            <w:r>
              <w:rPr>
                <w:rFonts w:ascii="Arial" w:cs="Arial" w:eastAsia="Arial" w:hAnsi="Arial"/>
                <w:sz w:val="18"/>
                <w:szCs w:val="18"/>
                <w:color w:val="auto"/>
                <w:w w:val="94"/>
              </w:rPr>
              <w:t>Stock-based compensation expense included in total cost and operating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24,307</w:t>
            </w:r>
          </w:p>
        </w:tc>
        <w:tc>
          <w:tcPr>
            <w:tcW w:w="8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19,528</w:t>
            </w:r>
          </w:p>
        </w:tc>
        <w:tc>
          <w:tcPr>
            <w:tcW w:w="120" w:type="dxa"/>
            <w:vAlign w:val="bottom"/>
          </w:tcPr>
          <w:p>
            <w:pPr>
              <w:spacing w:after="0"/>
              <w:rPr>
                <w:sz w:val="14"/>
                <w:szCs w:val="14"/>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44,991</w:t>
            </w:r>
          </w:p>
        </w:tc>
        <w:tc>
          <w:tcPr>
            <w:tcW w:w="80" w:type="dxa"/>
            <w:vAlign w:val="bottom"/>
          </w:tcPr>
          <w:p>
            <w:pPr>
              <w:spacing w:after="0"/>
              <w:rPr>
                <w:sz w:val="14"/>
                <w:szCs w:val="14"/>
                <w:color w:val="auto"/>
              </w:rPr>
            </w:pP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7"/>
              </w:rPr>
              <w:t>36,387</w:t>
            </w:r>
          </w:p>
        </w:tc>
        <w:tc>
          <w:tcPr>
            <w:tcW w:w="0" w:type="dxa"/>
            <w:vAlign w:val="bottom"/>
          </w:tcPr>
          <w:p>
            <w:pPr>
              <w:spacing w:after="0"/>
              <w:rPr>
                <w:sz w:val="1"/>
                <w:szCs w:val="1"/>
                <w:color w:val="auto"/>
              </w:rPr>
            </w:pPr>
          </w:p>
        </w:tc>
      </w:tr>
      <w:tr>
        <w:trPr>
          <w:trHeight w:val="203"/>
        </w:trPr>
        <w:tc>
          <w:tcPr>
            <w:tcW w:w="5480" w:type="dxa"/>
            <w:vAlign w:val="bottom"/>
          </w:tcPr>
          <w:p>
            <w:pPr>
              <w:ind w:left="20"/>
              <w:spacing w:after="0" w:line="203" w:lineRule="exact"/>
              <w:rPr>
                <w:sz w:val="20"/>
                <w:szCs w:val="20"/>
                <w:color w:val="auto"/>
              </w:rPr>
            </w:pPr>
            <w:r>
              <w:rPr>
                <w:rFonts w:ascii="Arial" w:cs="Arial" w:eastAsia="Arial" w:hAnsi="Arial"/>
                <w:sz w:val="18"/>
                <w:szCs w:val="18"/>
                <w:color w:val="auto"/>
              </w:rPr>
              <w:t>expenses</w:t>
            </w:r>
          </w:p>
        </w:tc>
        <w:tc>
          <w:tcPr>
            <w:tcW w:w="12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right="300" w:firstLine="648"/>
        <w:spacing w:after="0" w:line="261" w:lineRule="auto"/>
        <w:rPr>
          <w:sz w:val="20"/>
          <w:szCs w:val="20"/>
          <w:color w:val="auto"/>
        </w:rPr>
      </w:pPr>
      <w:r>
        <w:rPr>
          <w:rFonts w:ascii="Arial" w:cs="Arial" w:eastAsia="Arial" w:hAnsi="Arial"/>
          <w:sz w:val="18"/>
          <w:szCs w:val="18"/>
          <w:color w:val="auto"/>
        </w:rPr>
        <w:t>Stock-based compensation expense by classification within the unaudited condensed consolidated statements of operations and comprehensive loss is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162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Six Months Ended</w:t>
            </w:r>
          </w:p>
        </w:tc>
      </w:tr>
      <w:tr>
        <w:trPr>
          <w:trHeight w:val="185"/>
        </w:trPr>
        <w:tc>
          <w:tcPr>
            <w:tcW w:w="5540" w:type="dxa"/>
            <w:vAlign w:val="bottom"/>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jc w:val="center"/>
              <w:ind w:left="36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6"/>
                <w:szCs w:val="16"/>
                <w:color w:val="auto"/>
              </w:rPr>
            </w:pPr>
          </w:p>
        </w:tc>
      </w:tr>
      <w:tr>
        <w:trPr>
          <w:trHeight w:val="155"/>
        </w:trPr>
        <w:tc>
          <w:tcPr>
            <w:tcW w:w="55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gridSpan w:val="2"/>
          </w:tcPr>
          <w:p>
            <w:pPr>
              <w:jc w:val="right"/>
              <w:ind w:right="12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2020</w:t>
            </w: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$ 10,485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8,709</w:t>
            </w:r>
          </w:p>
        </w:tc>
        <w:tc>
          <w:tcPr>
            <w:tcW w:w="2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$ 19,432</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16,507</w:t>
            </w: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Selling, general and administrative</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13,822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90"/>
              </w:rPr>
              <w:t>10,819</w:t>
            </w:r>
          </w:p>
        </w:tc>
        <w:tc>
          <w:tcPr>
            <w:tcW w:w="90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25,559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19,880</w:t>
            </w:r>
          </w:p>
        </w:tc>
      </w:tr>
      <w:tr>
        <w:trPr>
          <w:trHeight w:val="196"/>
        </w:trPr>
        <w:tc>
          <w:tcPr>
            <w:tcW w:w="5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1"/>
              </w:rPr>
              <w:t>$ 24,307</w:t>
            </w: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19,528</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44,991</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36,387</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Net Loss per Share</w:t>
      </w:r>
    </w:p>
    <w:p>
      <w:pPr>
        <w:spacing w:after="0" w:line="216" w:lineRule="exact"/>
        <w:rPr>
          <w:sz w:val="20"/>
          <w:szCs w:val="20"/>
          <w:color w:val="auto"/>
        </w:rPr>
      </w:pPr>
    </w:p>
    <w:p>
      <w:pPr>
        <w:ind w:left="60" w:right="160" w:firstLine="648"/>
        <w:spacing w:after="0" w:line="239" w:lineRule="auto"/>
        <w:rPr>
          <w:sz w:val="20"/>
          <w:szCs w:val="20"/>
          <w:color w:val="auto"/>
        </w:rPr>
      </w:pPr>
      <w:r>
        <w:rPr>
          <w:rFonts w:ascii="Arial" w:cs="Arial" w:eastAsia="Arial" w:hAnsi="Arial"/>
          <w:sz w:val="18"/>
          <w:szCs w:val="18"/>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91" w:lineRule="exact"/>
        <w:rPr>
          <w:sz w:val="20"/>
          <w:szCs w:val="20"/>
          <w:color w:val="auto"/>
        </w:rPr>
      </w:pPr>
    </w:p>
    <w:p>
      <w:pPr>
        <w:jc w:val="both"/>
        <w:ind w:left="60" w:right="220" w:firstLine="648"/>
        <w:spacing w:after="0" w:line="261" w:lineRule="auto"/>
        <w:rPr>
          <w:sz w:val="20"/>
          <w:szCs w:val="20"/>
          <w:color w:val="auto"/>
        </w:rPr>
      </w:pPr>
      <w:r>
        <w:rPr>
          <w:rFonts w:ascii="Arial" w:cs="Arial" w:eastAsia="Arial" w:hAnsi="Arial"/>
          <w:sz w:val="18"/>
          <w:szCs w:val="18"/>
          <w:color w:val="auto"/>
        </w:rPr>
        <w:t>The following common stock equivalents were excluded from the calculation of diluted net loss per share for the periods indicated because including them would have had an anti-dilutive effect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87"/>
        </w:trPr>
        <w:tc>
          <w:tcPr>
            <w:tcW w:w="7120" w:type="dxa"/>
            <w:vAlign w:val="bottom"/>
          </w:tcPr>
          <w:p>
            <w:pPr>
              <w:spacing w:after="0"/>
              <w:rPr>
                <w:sz w:val="16"/>
                <w:szCs w:val="16"/>
                <w:color w:val="auto"/>
              </w:rPr>
            </w:pPr>
          </w:p>
        </w:tc>
        <w:tc>
          <w:tcPr>
            <w:tcW w:w="120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b w:val="1"/>
                <w:bCs w:val="1"/>
                <w:color w:val="auto"/>
                <w:w w:val="92"/>
              </w:rPr>
              <w:t>June 30,</w:t>
            </w:r>
          </w:p>
        </w:tc>
        <w:tc>
          <w:tcPr>
            <w:tcW w:w="580" w:type="dxa"/>
            <w:vAlign w:val="bottom"/>
            <w:tcBorders>
              <w:bottom w:val="single" w:sz="8" w:color="auto"/>
            </w:tcBorders>
          </w:tcPr>
          <w:p>
            <w:pPr>
              <w:spacing w:after="0"/>
              <w:rPr>
                <w:sz w:val="16"/>
                <w:szCs w:val="16"/>
                <w:color w:val="auto"/>
              </w:rPr>
            </w:pPr>
          </w:p>
        </w:tc>
      </w:tr>
      <w:tr>
        <w:trPr>
          <w:trHeight w:val="196"/>
        </w:trPr>
        <w:tc>
          <w:tcPr>
            <w:tcW w:w="712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r>
      <w:tr>
        <w:trPr>
          <w:trHeight w:val="196"/>
        </w:trPr>
        <w:tc>
          <w:tcPr>
            <w:tcW w:w="7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Stock options</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6,199</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6,661</w:t>
            </w:r>
          </w:p>
        </w:tc>
      </w:tr>
      <w:tr>
        <w:trPr>
          <w:trHeight w:val="203"/>
        </w:trPr>
        <w:tc>
          <w:tcPr>
            <w:tcW w:w="712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1,556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1,151</w:t>
            </w:r>
          </w:p>
        </w:tc>
      </w:tr>
      <w:tr>
        <w:trPr>
          <w:trHeight w:val="203"/>
        </w:trPr>
        <w:tc>
          <w:tcPr>
            <w:tcW w:w="7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ESPP shares</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r>
      <w:tr>
        <w:trPr>
          <w:trHeight w:val="196"/>
        </w:trPr>
        <w:tc>
          <w:tcPr>
            <w:tcW w:w="71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7,780</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7,838</w:t>
            </w:r>
          </w:p>
        </w:tc>
      </w:tr>
      <w:tr>
        <w:trPr>
          <w:trHeight w:val="20"/>
        </w:trPr>
        <w:tc>
          <w:tcPr>
            <w:tcW w:w="7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16" w:lineRule="exact"/>
        <w:rPr>
          <w:sz w:val="20"/>
          <w:szCs w:val="20"/>
          <w:color w:val="auto"/>
        </w:rPr>
      </w:pPr>
    </w:p>
    <w:p>
      <w:pPr>
        <w:jc w:val="both"/>
        <w:ind w:left="60" w:right="200" w:firstLine="648"/>
        <w:spacing w:after="0" w:line="270" w:lineRule="auto"/>
        <w:rPr>
          <w:sz w:val="20"/>
          <w:szCs w:val="20"/>
          <w:color w:val="auto"/>
        </w:rPr>
      </w:pPr>
      <w:r>
        <w:rPr>
          <w:rFonts w:ascii="Arial" w:cs="Arial" w:eastAsia="Arial" w:hAnsi="Arial"/>
          <w:sz w:val="17"/>
          <w:szCs w:val="17"/>
          <w:color w:val="auto"/>
        </w:rPr>
        <w:t>The Company utilizes the asset and liability method of accounting for income taxes. Under this method, deferred tax assets and liabilities are determined based on the difference between the financial statement carrying amounts and tax basis of assets and liabilities using enacted tax rates in effect for years in which the temporary</w:t>
      </w:r>
    </w:p>
    <w:p>
      <w:pPr>
        <w:sectPr>
          <w:pgSz w:w="11900" w:h="16838" w:orient="portrait"/>
          <w:cols w:equalWidth="0" w:num="1">
            <w:col w:w="9040"/>
          </w:cols>
          <w:pgMar w:left="1440" w:top="517" w:right="1419" w:bottom="1440" w:gutter="0" w:footer="0" w:header="0"/>
        </w:sectPr>
      </w:pPr>
    </w:p>
    <w:p>
      <w:pPr>
        <w:spacing w:after="0" w:line="38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differences are expected to reverse. The Company provides a valuation allowance when it is more likely than not that deferred tax assets will not be realized.</w:t>
      </w:r>
    </w:p>
    <w:p>
      <w:pPr>
        <w:spacing w:after="0" w:line="171" w:lineRule="exact"/>
        <w:rPr>
          <w:sz w:val="20"/>
          <w:szCs w:val="20"/>
          <w:color w:val="auto"/>
        </w:rPr>
      </w:pPr>
    </w:p>
    <w:p>
      <w:pPr>
        <w:jc w:val="both"/>
        <w:ind w:left="60" w:right="119" w:firstLine="648"/>
        <w:spacing w:after="0" w:line="257" w:lineRule="auto"/>
        <w:rPr>
          <w:sz w:val="20"/>
          <w:szCs w:val="20"/>
          <w:color w:val="auto"/>
        </w:rPr>
      </w:pPr>
      <w:r>
        <w:rPr>
          <w:rFonts w:ascii="Arial" w:cs="Arial" w:eastAsia="Arial" w:hAnsi="Arial"/>
          <w:sz w:val="17"/>
          <w:szCs w:val="17"/>
          <w:color w:val="auto"/>
        </w:rPr>
        <w:t>The realization of deferred income tax assets is dependent on the generation of sufficient taxable income during future periods in which temporary differences are expected to reverse. Where the realization of such assets does not meet the more likely than not criterion, the Company applies a valuation allowance against the deferred income tax asset under consideration. The valuation allowance is reviewed periodically and if the assessment of the more likely than not criterion changes, the valuation allowance is adjusted accordingly. As of June 30, 2021, the Company has a full valuation allowance applied against its U.S. and foreign deferred tax assets.</w:t>
      </w:r>
    </w:p>
    <w:p>
      <w:pPr>
        <w:spacing w:after="0" w:line="175"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On March 11, 2021, President Joe Biden signed into law a relief and stimulus package known as the American Rescue Plan Act of 2021 (ARPA) stimulus package. While this Act provides various tax provisions including for example, extending the employee retention credit through the end of 2021, modifying the paid sick and family leave credits, repealing the worldwide interest allocation rules that were scheduled to take effect in 2021, and expanding the number of employees subject to the limit on the deduction for executive compensation under Section 162(m) beginning in 2027, among other things, based on the Company’s initial review of the various business tax provisions offered in the ARPA along with having a valuation allowance on its U.S. deferred tax assets, it does not believe that there is an impact to the Company and as such the recording of a discrete item was not required during the three and six months ended June 30,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Leases</w:t>
      </w:r>
    </w:p>
    <w:p>
      <w:pPr>
        <w:spacing w:after="0" w:line="216" w:lineRule="exact"/>
        <w:rPr>
          <w:sz w:val="20"/>
          <w:szCs w:val="20"/>
          <w:color w:val="auto"/>
        </w:rPr>
      </w:pPr>
    </w:p>
    <w:p>
      <w:pPr>
        <w:ind w:left="60" w:right="319" w:firstLine="648"/>
        <w:spacing w:after="0" w:line="257" w:lineRule="auto"/>
        <w:rPr>
          <w:sz w:val="20"/>
          <w:szCs w:val="20"/>
          <w:color w:val="auto"/>
        </w:rPr>
      </w:pPr>
      <w:r>
        <w:rPr>
          <w:rFonts w:ascii="Arial" w:cs="Arial" w:eastAsia="Arial" w:hAnsi="Arial"/>
          <w:sz w:val="17"/>
          <w:szCs w:val="17"/>
          <w:color w:val="auto"/>
        </w:rPr>
        <w:t>The Company’s building leases are comprised of office and laboratory spaces under non-cancelable operating leases. The lease agreements have remaining lease terms of one to eight years and contain various clauses for renewal at the Company’s option. The renewal options were not included in the calculation of the operating lease assets and the operating lease as the renewal option is not reasonably certain of being exercised. The lease agreements do not contain residual value guarantees and the components of lease cost for the three and six months ended June 30, 2021 and 2020 were as follows (in thousands):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6"/>
                <w:szCs w:val="16"/>
                <w:color w:val="auto"/>
              </w:rPr>
            </w:pPr>
          </w:p>
        </w:tc>
        <w:tc>
          <w:tcPr>
            <w:tcW w:w="156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5160" w:type="dxa"/>
            <w:vAlign w:val="bottom"/>
            <w:vMerge w:val="restart"/>
          </w:tcPr>
          <w:p>
            <w:pPr>
              <w:ind w:left="20"/>
              <w:spacing w:after="0"/>
              <w:rPr>
                <w:sz w:val="20"/>
                <w:szCs w:val="20"/>
                <w:color w:val="auto"/>
              </w:rPr>
            </w:pPr>
            <w:r>
              <w:rPr>
                <w:rFonts w:ascii="Arial" w:cs="Arial" w:eastAsia="Arial" w:hAnsi="Arial"/>
                <w:sz w:val="18"/>
                <w:szCs w:val="18"/>
                <w:color w:val="auto"/>
              </w:rPr>
              <w:t>Operating leases: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6"/>
        </w:trPr>
        <w:tc>
          <w:tcPr>
            <w:tcW w:w="5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Lease cost</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4,451</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4,328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9,177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8,709</w:t>
            </w:r>
          </w:p>
        </w:tc>
        <w:tc>
          <w:tcPr>
            <w:tcW w:w="0" w:type="dxa"/>
            <w:vAlign w:val="bottom"/>
          </w:tcPr>
          <w:p>
            <w:pPr>
              <w:spacing w:after="0"/>
              <w:rPr>
                <w:sz w:val="1"/>
                <w:szCs w:val="1"/>
                <w:color w:val="auto"/>
              </w:rPr>
            </w:pPr>
          </w:p>
        </w:tc>
      </w:tr>
      <w:tr>
        <w:trPr>
          <w:trHeight w:val="203"/>
        </w:trPr>
        <w:tc>
          <w:tcPr>
            <w:tcW w:w="5160" w:type="dxa"/>
            <w:vAlign w:val="bottom"/>
          </w:tcPr>
          <w:p>
            <w:pPr>
              <w:ind w:left="20"/>
              <w:spacing w:after="0" w:line="202" w:lineRule="exact"/>
              <w:rPr>
                <w:sz w:val="20"/>
                <w:szCs w:val="20"/>
                <w:color w:val="auto"/>
              </w:rPr>
            </w:pPr>
            <w:r>
              <w:rPr>
                <w:rFonts w:ascii="Arial" w:cs="Arial" w:eastAsia="Arial" w:hAnsi="Arial"/>
                <w:sz w:val="18"/>
                <w:szCs w:val="18"/>
                <w:color w:val="auto"/>
              </w:rPr>
              <w:t>Sublease income</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(268)</w:t>
            </w:r>
          </w:p>
        </w:tc>
        <w:tc>
          <w:tcPr>
            <w:tcW w:w="240" w:type="dxa"/>
            <w:vAlign w:val="bottom"/>
          </w:tcPr>
          <w:p>
            <w:pPr>
              <w:spacing w:after="0"/>
              <w:rPr>
                <w:sz w:val="17"/>
                <w:szCs w:val="17"/>
                <w:color w:val="auto"/>
              </w:rPr>
            </w:pPr>
          </w:p>
        </w:tc>
        <w:tc>
          <w:tcPr>
            <w:tcW w:w="8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(730)</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(595)</w:t>
            </w:r>
          </w:p>
        </w:tc>
        <w:tc>
          <w:tcPr>
            <w:tcW w:w="2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(1,451)</w:t>
            </w: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Net lease cost</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3,598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has not entered into any material short-term leases or financing leases as of June 30, 2021.</w:t>
      </w:r>
    </w:p>
    <w:p>
      <w:pPr>
        <w:spacing w:after="0" w:line="223" w:lineRule="exact"/>
        <w:rPr>
          <w:sz w:val="20"/>
          <w:szCs w:val="20"/>
          <w:color w:val="auto"/>
        </w:rPr>
      </w:pPr>
    </w:p>
    <w:p>
      <w:pPr>
        <w:ind w:left="60" w:right="559" w:firstLine="648"/>
        <w:spacing w:after="0" w:line="261" w:lineRule="auto"/>
        <w:rPr>
          <w:sz w:val="20"/>
          <w:szCs w:val="20"/>
          <w:color w:val="auto"/>
        </w:rPr>
      </w:pPr>
      <w:r>
        <w:rPr>
          <w:rFonts w:ascii="Arial" w:cs="Arial" w:eastAsia="Arial" w:hAnsi="Arial"/>
          <w:sz w:val="18"/>
          <w:szCs w:val="18"/>
          <w:color w:val="auto"/>
        </w:rPr>
        <w:t>Supplemental cash flow information related to leases for the six months ended June 30, 2021 and 2020 is as follows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5"/>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65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83"/>
        </w:trPr>
        <w:tc>
          <w:tcPr>
            <w:tcW w:w="65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7,172</w:t>
            </w:r>
          </w:p>
        </w:tc>
      </w:tr>
      <w:tr>
        <w:trPr>
          <w:trHeight w:val="203"/>
        </w:trPr>
        <w:tc>
          <w:tcPr>
            <w:tcW w:w="6540" w:type="dxa"/>
            <w:vAlign w:val="bottom"/>
          </w:tcPr>
          <w:p>
            <w:pPr>
              <w:ind w:left="20"/>
              <w:spacing w:after="0" w:line="202" w:lineRule="exact"/>
              <w:rPr>
                <w:sz w:val="20"/>
                <w:szCs w:val="20"/>
                <w:color w:val="auto"/>
              </w:rPr>
            </w:pPr>
            <w:r>
              <w:rPr>
                <w:rFonts w:ascii="Arial" w:cs="Arial" w:eastAsia="Arial" w:hAnsi="Arial"/>
                <w:sz w:val="18"/>
                <w:szCs w:val="18"/>
                <w:color w:val="auto"/>
              </w:rPr>
              <w:t>Lease liabilities arising from obtaining right-of-use assets: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6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67"/>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w:t>
            </w:r>
          </w:p>
        </w:tc>
      </w:tr>
      <w:tr>
        <w:trPr>
          <w:trHeight w:val="607"/>
        </w:trPr>
        <w:tc>
          <w:tcPr>
            <w:tcW w:w="8900" w:type="dxa"/>
            <w:vAlign w:val="bottom"/>
            <w:gridSpan w:val="7"/>
          </w:tcPr>
          <w:p>
            <w:pPr>
              <w:jc w:val="right"/>
              <w:ind w:right="314"/>
              <w:spacing w:after="0"/>
              <w:rPr>
                <w:sz w:val="20"/>
                <w:szCs w:val="20"/>
                <w:color w:val="auto"/>
              </w:rPr>
            </w:pPr>
            <w:r>
              <w:rPr>
                <w:rFonts w:ascii="Arial" w:cs="Arial" w:eastAsia="Arial" w:hAnsi="Arial"/>
                <w:sz w:val="18"/>
                <w:szCs w:val="18"/>
                <w:color w:val="auto"/>
                <w:w w:val="95"/>
              </w:rPr>
              <w:t>The weighted average remaining lease term and weighted average discount rate of the operating leases are as</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follows:</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65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6"/>
              </w:rPr>
              <w:t>Operating leases</w:t>
            </w:r>
          </w:p>
        </w:tc>
      </w:tr>
      <w:tr>
        <w:trPr>
          <w:trHeight w:val="196"/>
        </w:trPr>
        <w:tc>
          <w:tcPr>
            <w:tcW w:w="6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remaining lease term in years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212529"/>
        </w:rPr>
        <w:t xml:space="preserve">In connection with the commercialization of AYVAKIT/AYVAKYT and GAVRETO, the Company has negotiated manufacturing agreements with certain vendors that require the Company to meet minimum purchase obligations on an annual basis. During the three months ended June 30, 2021, there were no material changes to the Company’s contractual obligations </w:t>
      </w:r>
      <w:r>
        <w:rPr>
          <w:rFonts w:ascii="Arial" w:cs="Arial" w:eastAsia="Arial" w:hAnsi="Arial"/>
          <w:sz w:val="18"/>
          <w:szCs w:val="18"/>
          <w:color w:val="000000"/>
        </w:rPr>
        <w:t>described in Note 17 to the consolidated financial statements in the Company’s Annual Report on Form 10-K</w:t>
      </w:r>
      <w:r>
        <w:rPr>
          <w:rFonts w:ascii="Arial" w:cs="Arial" w:eastAsia="Arial" w:hAnsi="Arial"/>
          <w:sz w:val="18"/>
          <w:szCs w:val="18"/>
          <w:color w:val="212529"/>
        </w:rPr>
        <w:t xml:space="preserve"> </w:t>
      </w:r>
      <w:r>
        <w:rPr>
          <w:rFonts w:ascii="Arial" w:cs="Arial" w:eastAsia="Arial" w:hAnsi="Arial"/>
          <w:sz w:val="18"/>
          <w:szCs w:val="18"/>
          <w:color w:val="000000"/>
        </w:rPr>
        <w:t>for the fiscal year ended December 31, 2020</w:t>
      </w:r>
      <w:r>
        <w:rPr>
          <w:rFonts w:ascii="Arial" w:cs="Arial" w:eastAsia="Arial" w:hAnsi="Arial"/>
          <w:sz w:val="18"/>
          <w:szCs w:val="18"/>
          <w:color w:val="212529"/>
        </w:rPr>
        <w: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w:t>
      </w:r>
    </w:p>
    <w:p>
      <w:pPr>
        <w:spacing w:after="0" w:line="216"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In July 2021, the Company entered into a three-year strategic research collaboration with the University of Texas MD Anderson Cancer Center (MD Anderson). The collaboration will focus on accelerating development of BLU-222, an investigational precision therapy designed to target cyclin-dependent kinase 2 (CDK2). As part of the agreement, the Company will provide funding, research compounds and support, and MD Anderson is eligible to receive certain payments based on the future development of BLU-222.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2020, filed with the Securities and Exchange Commission, or the SEC, on February 17, 2021.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left="60" w:right="99" w:firstLine="648"/>
        <w:spacing w:after="0" w:line="256" w:lineRule="auto"/>
        <w:rPr>
          <w:sz w:val="20"/>
          <w:szCs w:val="20"/>
          <w:color w:val="auto"/>
        </w:rPr>
      </w:pPr>
      <w:r>
        <w:rPr>
          <w:rFonts w:ascii="Arial" w:cs="Arial" w:eastAsia="Arial" w:hAnsi="Arial"/>
          <w:sz w:val="16"/>
          <w:szCs w:val="16"/>
          <w:color w:val="auto"/>
        </w:rPr>
        <w:t>We are a global precision therapy company that is inventing transformative medicines for people with cancer and hematologic disorders. Applying an approach that is both precise and agile, we create therapies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We are delivering our approved medicines, AYVAKIT™/AYVAKYT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(avapritinib) and GAVRETO</w:t>
      </w:r>
      <w:r>
        <w:rPr>
          <w:rFonts w:ascii="Arial" w:cs="Arial" w:eastAsia="Arial" w:hAnsi="Arial"/>
          <w:sz w:val="23"/>
          <w:szCs w:val="23"/>
          <w:color w:val="auto"/>
          <w:vertAlign w:val="superscript"/>
        </w:rPr>
        <w:t>®</w:t>
      </w:r>
      <w:r>
        <w:rPr>
          <w:rFonts w:ascii="Arial" w:cs="Arial" w:eastAsia="Arial" w:hAnsi="Arial"/>
          <w:sz w:val="16"/>
          <w:szCs w:val="16"/>
          <w:color w:val="auto"/>
        </w:rPr>
        <w:t xml:space="preserve"> (pralsetinib), to patients in the U.S. and Europe, and we are globally advancing multiple programs for genomically defined cancers, systemic mastocytosis, and cancer immunotherapy.</w:t>
      </w:r>
    </w:p>
    <w:p>
      <w:pPr>
        <w:spacing w:after="0" w:line="20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Our drug discovery approach combines our deep understanding of kinase biology with our proprietary compound library and chemistry expertise to design highly selective and potent precision therapies, with the goal of delivering significant and durable clinical benefit to patients based on the genetic driver of their disease. This uniquely targeted, scalable approach is designed to empower the rapid design and development of new treatments and increase the likelihood of success. In addition, our business model integrates our research engine with robust clinical development and commercial capabilities in oncology and hematology to create a cycle of innovation.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Systemic Mastocytosis and other Mast Cell Disorders — AYVAKIT™ (avapritinib) and BLU-263</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Avapritinib</w:t>
      </w:r>
    </w:p>
    <w:p>
      <w:pPr>
        <w:spacing w:after="0" w:line="23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7"/>
          <w:szCs w:val="17"/>
          <w:color w:val="auto"/>
        </w:rPr>
        <w:t>We are developing and commercializing avapritinib for the treatment of advanced systemic mastocytosis, or SM, and developing avapritinib for the treatment of non-advanced SM. SM is a rare hematologic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14" w:lineRule="exact"/>
        <w:rPr>
          <w:sz w:val="20"/>
          <w:szCs w:val="20"/>
          <w:color w:val="auto"/>
        </w:rPr>
      </w:pPr>
    </w:p>
    <w:p>
      <w:pPr>
        <w:ind w:left="60" w:right="619" w:firstLine="648"/>
        <w:spacing w:after="0" w:line="284" w:lineRule="auto"/>
        <w:rPr>
          <w:sz w:val="20"/>
          <w:szCs w:val="20"/>
          <w:color w:val="auto"/>
        </w:rPr>
      </w:pPr>
      <w:r>
        <w:rPr>
          <w:rFonts w:ascii="Arial" w:cs="Arial" w:eastAsia="Arial" w:hAnsi="Arial"/>
          <w:sz w:val="16"/>
          <w:szCs w:val="16"/>
          <w:color w:val="auto"/>
        </w:rPr>
        <w:t xml:space="preserve">In June 2021, the U.S. Food and Drug Administration, or FDA, approved avapritinib under the brand name AYVAKIT for the treatment of adult patients with advanced SM, including aggressive SM, SM with an associated hematological neoplasm and mast cell leukemia. </w:t>
      </w:r>
      <w:r>
        <w:rPr>
          <w:rFonts w:ascii="Arial" w:cs="Arial" w:eastAsia="Arial" w:hAnsi="Arial"/>
          <w:sz w:val="16"/>
          <w:szCs w:val="16"/>
          <w:color w:val="0A0A0A"/>
        </w:rPr>
        <w:t>In addition, the</w:t>
      </w:r>
      <w:r>
        <w:rPr>
          <w:rFonts w:ascii="Arial" w:cs="Arial" w:eastAsia="Arial" w:hAnsi="Arial"/>
          <w:sz w:val="16"/>
          <w:szCs w:val="16"/>
          <w:color w:val="auto"/>
        </w:rPr>
        <w:t xml:space="preserve"> </w:t>
      </w:r>
      <w:r>
        <w:rPr>
          <w:rFonts w:ascii="Arial" w:cs="Arial" w:eastAsia="Arial" w:hAnsi="Arial"/>
          <w:sz w:val="16"/>
          <w:szCs w:val="16"/>
          <w:color w:val="212529"/>
        </w:rPr>
        <w:t>European Medicines Agency, or</w:t>
      </w:r>
      <w:r>
        <w:rPr>
          <w:rFonts w:ascii="Arial" w:cs="Arial" w:eastAsia="Arial" w:hAnsi="Arial"/>
          <w:sz w:val="16"/>
          <w:szCs w:val="16"/>
          <w:color w:val="auto"/>
        </w:rPr>
        <w:t xml:space="preserve"> </w:t>
      </w:r>
      <w:r>
        <w:rPr>
          <w:rFonts w:ascii="Arial" w:cs="Arial" w:eastAsia="Arial" w:hAnsi="Arial"/>
          <w:sz w:val="16"/>
          <w:szCs w:val="16"/>
          <w:color w:val="0A0A0A"/>
          <w:highlight w:val="white"/>
        </w:rPr>
        <w:t>EMA, is currently</w:t>
      </w:r>
      <w:r>
        <w:rPr>
          <w:rFonts w:ascii="Arial" w:cs="Arial" w:eastAsia="Arial" w:hAnsi="Arial"/>
          <w:sz w:val="16"/>
          <w:szCs w:val="16"/>
          <w:color w:val="auto"/>
        </w:rPr>
        <w:t xml:space="preserve"> </w:t>
      </w:r>
      <w:r>
        <w:rPr>
          <w:rFonts w:ascii="Arial" w:cs="Arial" w:eastAsia="Arial" w:hAnsi="Arial"/>
          <w:sz w:val="16"/>
          <w:szCs w:val="16"/>
          <w:color w:val="0A0A0A"/>
          <w:highlight w:val="white"/>
        </w:rPr>
        <w:t xml:space="preserve">reviewing our </w:t>
      </w:r>
      <w:r>
        <w:rPr>
          <w:rFonts w:ascii="Arial" w:cs="Arial" w:eastAsia="Arial" w:hAnsi="Arial"/>
          <w:sz w:val="16"/>
          <w:szCs w:val="16"/>
          <w:color w:val="212529"/>
        </w:rPr>
        <w:t>marketing authorization application, or</w:t>
      </w:r>
      <w:r>
        <w:rPr>
          <w:rFonts w:ascii="Arial" w:cs="Arial" w:eastAsia="Arial" w:hAnsi="Arial"/>
          <w:sz w:val="16"/>
          <w:szCs w:val="16"/>
          <w:color w:val="0A0A0A"/>
          <w:highlight w:val="white"/>
        </w:rPr>
        <w:t xml:space="preserve"> MAA, for avapritinib for the treatment of advanced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-286385</wp:posOffset>
            </wp:positionV>
            <wp:extent cx="75438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54380" cy="128905"/>
                    </a:xfrm>
                    <a:prstGeom prst="rect">
                      <a:avLst/>
                    </a:prstGeom>
                    <a:noFill/>
                  </pic:spPr>
                </pic:pic>
              </a:graphicData>
            </a:graphic>
          </wp:anchor>
        </w:drawing>
      </w:r>
    </w:p>
    <w:p>
      <w:pPr>
        <w:spacing w:after="0" w:line="176" w:lineRule="exact"/>
        <w:rPr>
          <w:sz w:val="20"/>
          <w:szCs w:val="20"/>
          <w:color w:val="auto"/>
        </w:rPr>
      </w:pPr>
    </w:p>
    <w:p>
      <w:pPr>
        <w:ind w:left="60" w:right="119" w:firstLine="648"/>
        <w:spacing w:after="0" w:line="238" w:lineRule="auto"/>
        <w:rPr>
          <w:sz w:val="20"/>
          <w:szCs w:val="20"/>
          <w:color w:val="auto"/>
        </w:rPr>
      </w:pPr>
      <w:r>
        <w:rPr>
          <w:rFonts w:ascii="Arial" w:cs="Arial" w:eastAsia="Arial" w:hAnsi="Arial"/>
          <w:sz w:val="18"/>
          <w:szCs w:val="18"/>
          <w:color w:val="auto"/>
        </w:rPr>
        <w:t>We are evaluating avapritinib in an ongoing registration-enabling Phase 1 clinical trial in advanced SM, which we refer to as our EXPLORER trial, and an ongoing registration-enabling Phase 2 clinical trial in advanced SM, which we refer to as our PATHFINDER trial. In April 2021, we presented registrational data from the PATHFINDER trial at the virtual American Association for Cancer Research, or AACR, Annual Meeting 2021. In addition, we are evaluating avapritinib in an ongoing registration-enabling Phase 2 clinical trial in non-advanced SM, which we refer to as our PIONEER trial. To date, we have screened over 200 patients for the Part 2 of the PIONEER trial and are continuing to enroll patients. Based on the current enrollment rate and anticipated timeline, we plan to report top-line data of Part 2 for the PIONEER trial in mid-2022.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 has granted breakthrough therapy designation to avapritinib for (i) the treatment of advanced SM, including the subtypes of aggressive SM, SM with an associated hematologic neoplasm and mast cell leukemia, and (ii) the treatment of moderate to severe indolent SM. In addition, the FDA has granted orphan drug designation to avapritinib for the treatment of mastocytosis, and the European Commission has granted orphan medicinal product designation to avapritinib for the treatment of mastocytosis.</w:t>
      </w:r>
    </w:p>
    <w:p>
      <w:pPr>
        <w:spacing w:after="0" w:line="23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BLU-263</w:t>
      </w:r>
    </w:p>
    <w:p>
      <w:pPr>
        <w:spacing w:after="0" w:line="25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We are developing BLU-263, an investigational, orally available, potent and highly selective KIT inhibitor, for the treatment of non-advanced SM and other mast cell disorders. BLU-263 is designed to have equivalent potency as avapritinib, with low off-target activity and lower penetration of the central nervous system, or CNS, relative to avapritinib based on preclinical data, which we believe will enable development of BLU-263 in a broad population of patients with non-advanced SM, including patients with lower disease burden requiring potentially life-long chronic therapy, and potentially patients with other mast cell disorders. In April 2021, we announced positive top-line results from a Phase 1 trial of BLU-263 in healthy volunteers.</w:t>
      </w:r>
    </w:p>
    <w:p>
      <w:pPr>
        <w:spacing w:after="0" w:line="218" w:lineRule="exact"/>
        <w:rPr>
          <w:sz w:val="20"/>
          <w:szCs w:val="20"/>
          <w:color w:val="auto"/>
        </w:rPr>
      </w:pPr>
    </w:p>
    <w:p>
      <w:pPr>
        <w:ind w:left="60" w:right="259" w:firstLine="648"/>
        <w:spacing w:after="0" w:line="261" w:lineRule="auto"/>
        <w:rPr>
          <w:sz w:val="20"/>
          <w:szCs w:val="20"/>
          <w:color w:val="auto"/>
        </w:rPr>
      </w:pPr>
      <w:r>
        <w:rPr>
          <w:rFonts w:ascii="Arial" w:cs="Arial" w:eastAsia="Arial" w:hAnsi="Arial"/>
          <w:sz w:val="18"/>
          <w:szCs w:val="18"/>
          <w:color w:val="auto"/>
        </w:rPr>
        <w:t>We have recently initiated a Phase 2/3 trial of BLU-263 in patients with non-advanced SM, which we refer to as our HARBOR trial.</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RET-altered Cancers — GAVRETO</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(pralsetinib)</w:t>
      </w:r>
    </w:p>
    <w:p>
      <w:pPr>
        <w:spacing w:after="0" w:line="170" w:lineRule="exact"/>
        <w:rPr>
          <w:sz w:val="20"/>
          <w:szCs w:val="20"/>
          <w:color w:val="auto"/>
        </w:rPr>
      </w:pPr>
    </w:p>
    <w:p>
      <w:pPr>
        <w:ind w:left="60" w:right="239" w:firstLine="648"/>
        <w:spacing w:after="0" w:line="259" w:lineRule="auto"/>
        <w:rPr>
          <w:sz w:val="20"/>
          <w:szCs w:val="20"/>
          <w:color w:val="auto"/>
        </w:rPr>
      </w:pPr>
      <w:r>
        <w:rPr>
          <w:rFonts w:ascii="Arial" w:cs="Arial" w:eastAsia="Arial" w:hAnsi="Arial"/>
          <w:sz w:val="17"/>
          <w:szCs w:val="17"/>
          <w:color w:val="auto"/>
        </w:rPr>
        <w:t>We are developing and commercializing pralsetinib for the treatment of RET fusion-positive non-small cell lung cancer, or NSCLC, and for the treatment of RET-altered thyroid carcinoma, including medullary thyroid carcinoma, or MTC. We are also developing pralsetinib for the treatment of other RET-altered solid tumors. We have granted exclusive licenses to Roche and CStone Pharmaceuticals, or CStone, to develop and commercialize pralsetinib in their respective territories. See “—Collaborations and Licenses” below.</w:t>
      </w:r>
    </w:p>
    <w:p>
      <w:pPr>
        <w:spacing w:after="0" w:line="201" w:lineRule="exact"/>
        <w:rPr>
          <w:sz w:val="20"/>
          <w:szCs w:val="20"/>
          <w:color w:val="auto"/>
        </w:rPr>
      </w:pPr>
    </w:p>
    <w:p>
      <w:pPr>
        <w:ind w:left="60" w:right="239" w:firstLine="648"/>
        <w:spacing w:after="0" w:line="254" w:lineRule="auto"/>
        <w:rPr>
          <w:sz w:val="20"/>
          <w:szCs w:val="20"/>
          <w:color w:val="auto"/>
        </w:rPr>
      </w:pPr>
      <w:r>
        <w:rPr>
          <w:rFonts w:ascii="Arial" w:cs="Arial" w:eastAsia="Arial" w:hAnsi="Arial"/>
          <w:sz w:val="17"/>
          <w:szCs w:val="17"/>
          <w:color w:val="auto"/>
        </w:rPr>
        <w:t>Pralsetinib is approved in the U.S. with accelerated approval under the brand name GAVRETO for the treatment of (i) adult patients with metastatic RET fusion-positive NSCLC as detected by an FDA approved test, (ii) adult and pediatric patients 12 years of age and older with advanced or metastatic RET-mutant MTC who require systemic therapy, and (iii) adult and pediatric patients 12 years of age and older with advanced or metastatic RET fusion-positive thyroid cancer who require systemic therapy and who are radioactive iodine-refractory (if radioactive iodine is appropriate). In addition, GAVRETO is approved by China’s National Medical Products Administration, or NMPA, for the treatment of adult patients with locally advanced or metastatic RET fusion-positive NSCLC after platinum-based chemotherapy in connection with our CStone collaboration.</w:t>
      </w:r>
    </w:p>
    <w:p>
      <w:pPr>
        <w:spacing w:after="0" w:line="221" w:lineRule="exact"/>
        <w:rPr>
          <w:sz w:val="20"/>
          <w:szCs w:val="20"/>
          <w:color w:val="auto"/>
        </w:rPr>
      </w:pPr>
    </w:p>
    <w:p>
      <w:pPr>
        <w:ind w:left="60" w:right="199" w:firstLine="648"/>
        <w:spacing w:after="0" w:line="255" w:lineRule="auto"/>
        <w:rPr>
          <w:sz w:val="20"/>
          <w:szCs w:val="20"/>
          <w:color w:val="auto"/>
        </w:rPr>
      </w:pPr>
      <w:r>
        <w:rPr>
          <w:rFonts w:ascii="Arial" w:cs="Arial" w:eastAsia="Arial" w:hAnsi="Arial"/>
          <w:sz w:val="17"/>
          <w:szCs w:val="17"/>
          <w:color w:val="auto"/>
        </w:rPr>
        <w:t>The EMA is currently reviewing our MAA for pralsetinib for RET fusion-positive NSCLC. If approved by the European Commission, Roche plans to launch pralsetinib in RET fusion-positive NSCLC in Europe in the second half of 2021. Roche also plans to submit a Type II variation MAA to the EMA for pralsetinib for RET-altered thyroid cancers in the second half of 2021. In addition, Roche has submitted marketing applications and received marketing approval for pralsetinib for certain RET-altered NSCLC and/or thyroid cancers, as the case may be, across multiple additional global geographies. In April 2021, CStone announced that China’s NMPA accepted an NDA submitted by CStone for pralsetinib for the treatment of patients with advanced or metastatic RET-altered thyroid cancer.</w:t>
      </w:r>
    </w:p>
    <w:p>
      <w:pPr>
        <w:spacing w:after="0" w:line="220"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We are currently evaluating pralsetinib in an ongoing registration-enabling Phase 1/2 clinical trial in patients with RET-altered NSCLC, MTC and other advanced solid tumors, which we refer to as our ARROW trial. In June 2021, we reported updated data from the ARROW trial in metastatic RET fusion-positive NSCLC and other advanced solid tumors at the 2021 American Society of Clinical Oncology, or ASCO, Annual Meeting. Pursuant to our collaboration with Roche, we plan to co-develop pralsetinib globally in RET-altered solid tumors, including NSCLC, MTC and other thyroid cancers, as well as other solid tumors.</w:t>
      </w:r>
    </w:p>
    <w:p>
      <w:pPr>
        <w:spacing w:after="0" w:line="216" w:lineRule="exact"/>
        <w:rPr>
          <w:sz w:val="20"/>
          <w:szCs w:val="20"/>
          <w:color w:val="auto"/>
        </w:rPr>
      </w:pPr>
    </w:p>
    <w:p>
      <w:pPr>
        <w:ind w:left="60" w:right="159" w:firstLine="648"/>
        <w:spacing w:after="0" w:line="294" w:lineRule="auto"/>
        <w:rPr>
          <w:sz w:val="20"/>
          <w:szCs w:val="20"/>
          <w:color w:val="auto"/>
        </w:rPr>
      </w:pPr>
      <w:r>
        <w:rPr>
          <w:rFonts w:ascii="Arial" w:cs="Arial" w:eastAsia="Arial" w:hAnsi="Arial"/>
          <w:sz w:val="16"/>
          <w:szCs w:val="16"/>
          <w:color w:val="auto"/>
        </w:rPr>
        <w:t>The FDA has granted breakthrough therapy designation to pralsetinib for (i) the treatment of patients with RET fusion-positive NSCLC that has progressed following platinum-based chemotherapy and (b) the treatment of patients with RET mutation-positive MTC that requires systemic treatment and for which there are no acceptable alternative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61" w:lineRule="auto"/>
        <w:rPr>
          <w:sz w:val="20"/>
          <w:szCs w:val="20"/>
          <w:color w:val="auto"/>
        </w:rPr>
      </w:pPr>
      <w:r>
        <w:rPr>
          <w:rFonts w:ascii="Arial" w:cs="Arial" w:eastAsia="Arial" w:hAnsi="Arial"/>
          <w:sz w:val="18"/>
          <w:szCs w:val="18"/>
          <w:color w:val="auto"/>
        </w:rPr>
        <w:t>treatments. In addition, the FDA has granted orphan drug designation to pralsetinib for the treatment of RET-rearranged NSCLC, JAK1/2-positive NSCLC or TRKC-positive NSCLC.</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PDGFRA-Driven Gastrointestinal Stromal Tumors — AYVAKIT™ / AYVAKYT</w:t>
      </w:r>
      <w:r>
        <w:rPr>
          <w:rFonts w:ascii="Arial" w:cs="Arial" w:eastAsia="Arial" w:hAnsi="Arial"/>
          <w:sz w:val="26"/>
          <w:szCs w:val="26"/>
          <w:b w:val="1"/>
          <w:bCs w:val="1"/>
          <w:i w:val="1"/>
          <w:iCs w:val="1"/>
          <w:color w:val="auto"/>
          <w:vertAlign w:val="superscript"/>
        </w:rPr>
        <w:t>®</w:t>
      </w:r>
      <w:r>
        <w:rPr>
          <w:rFonts w:ascii="Arial" w:cs="Arial" w:eastAsia="Arial" w:hAnsi="Arial"/>
          <w:sz w:val="18"/>
          <w:szCs w:val="18"/>
          <w:b w:val="1"/>
          <w:bCs w:val="1"/>
          <w:i w:val="1"/>
          <w:iCs w:val="1"/>
          <w:color w:val="auto"/>
        </w:rPr>
        <w:t xml:space="preserve"> (avapritinib)</w:t>
      </w:r>
    </w:p>
    <w:p>
      <w:pPr>
        <w:spacing w:after="0" w:line="170"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We are commercializing avapritinib for the treatment of patients with PDGFRA exon 18 mutant gastrointestinal stromal tumors, or GIST, a rare disease that is a sarcoma, or tumor of bone or connective tissue, of the gastrointestinal tract. Avapritinib is approved in the U.S. under the brand name AYVAKIT for the treatment of adults with unresectable or metastatic gastrointestinal stromal tumors harboring a PDGFRA exon 18 mutation, including PDGFRA D842V mutations, and is approved in the European Union with conditional marketing authorization under the brand name AYVAKYT as a monotherapy for the treatment of adult patients with unresectable or metastatic GIST harboring a PDGFRA D842V mutation. In addition, AYVAKIT is approved by both China’s NMPA and the Taiwan Food and Drug Administration for the treatment of adults with unresectable or metastatic GIST harboring a PDGFRA exon 18 mutation, including PDGFRA D842V mutations in connection with our CStone collaboration.</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European Commission has granted orphan medicinal product designation to avapritinib for the treatment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GIST.</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Treatment-Resistant EGFR-Mutated NSCLC — BLU-701 and BLU-945</w:t>
      </w:r>
    </w:p>
    <w:p>
      <w:pPr>
        <w:spacing w:after="0" w:line="252" w:lineRule="exact"/>
        <w:rPr>
          <w:sz w:val="20"/>
          <w:szCs w:val="20"/>
          <w:color w:val="auto"/>
        </w:rPr>
      </w:pPr>
    </w:p>
    <w:p>
      <w:pPr>
        <w:ind w:left="60" w:right="99" w:firstLine="648"/>
        <w:spacing w:after="0" w:line="243" w:lineRule="auto"/>
        <w:rPr>
          <w:sz w:val="20"/>
          <w:szCs w:val="20"/>
          <w:color w:val="auto"/>
        </w:rPr>
      </w:pPr>
      <w:r>
        <w:rPr>
          <w:rFonts w:ascii="Arial" w:cs="Arial" w:eastAsia="Arial" w:hAnsi="Arial"/>
          <w:sz w:val="18"/>
          <w:szCs w:val="18"/>
          <w:color w:val="auto"/>
        </w:rPr>
        <w:t>We are developing two investigational EGFR inhibitors, BLU-701 and BLU-945, with the goal of addressing the most common on-target resistance mutations to currently available EGFR-targeted therapies. While the introduction of EGFR-targeted therapies, including osimertinib, has transformed the care of patients with EGFR-driven NSCLC, treatment resistance is a significant emerging unmet medical need.</w:t>
      </w:r>
    </w:p>
    <w:p>
      <w:pPr>
        <w:spacing w:after="0" w:line="215" w:lineRule="exact"/>
        <w:rPr>
          <w:sz w:val="20"/>
          <w:szCs w:val="20"/>
          <w:color w:val="auto"/>
        </w:rPr>
      </w:pPr>
    </w:p>
    <w:p>
      <w:pPr>
        <w:ind w:left="60" w:right="179" w:firstLine="648"/>
        <w:spacing w:after="0"/>
        <w:rPr>
          <w:sz w:val="20"/>
          <w:szCs w:val="20"/>
          <w:color w:val="auto"/>
        </w:rPr>
      </w:pPr>
      <w:r>
        <w:rPr>
          <w:rFonts w:ascii="Arial" w:cs="Arial" w:eastAsia="Arial" w:hAnsi="Arial"/>
          <w:sz w:val="18"/>
          <w:szCs w:val="18"/>
          <w:color w:val="auto"/>
        </w:rPr>
        <w:t>In addition to targeting EGFR resistance mutations, BLU-701 and BLU-945 were specifically designed for selectivity over wild-type EGFR and other kinases to enable potential improved tolerability and combination strategies. In the second half of 2021, we plan to present preclinical data supporting combination of BLU-945 and BLU-701 in treatment-naïve EGFR-driven NSCLC. In addition, in preclinical tumor models, both drug candidates have shown CNS activity, highlighting the potential to treat or prevent CNS metastases, which are more common in treatment-experienced NSCLC patients.</w:t>
      </w:r>
    </w:p>
    <w:p>
      <w:pPr>
        <w:spacing w:after="0" w:line="230" w:lineRule="exact"/>
        <w:rPr>
          <w:sz w:val="20"/>
          <w:szCs w:val="20"/>
          <w:color w:val="auto"/>
        </w:rPr>
      </w:pPr>
    </w:p>
    <w:p>
      <w:pPr>
        <w:ind w:left="60" w:right="359" w:firstLine="648"/>
        <w:spacing w:after="0" w:line="291" w:lineRule="auto"/>
        <w:rPr>
          <w:sz w:val="20"/>
          <w:szCs w:val="20"/>
          <w:color w:val="auto"/>
        </w:rPr>
      </w:pPr>
      <w:r>
        <w:rPr>
          <w:rFonts w:ascii="Arial" w:cs="Arial" w:eastAsia="Arial" w:hAnsi="Arial"/>
          <w:sz w:val="17"/>
          <w:szCs w:val="17"/>
          <w:color w:val="auto"/>
        </w:rPr>
        <w:t>We plan to initially develop BLU-701 and BLU-945 as monotherapies and in combination with each other and other therapies to overcome treatment resistance in specific patient populations with EGFR-driven NSCLC.</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Double Mutant NSCLC — BLU-701</w:t>
      </w:r>
    </w:p>
    <w:p>
      <w:pPr>
        <w:spacing w:after="0" w:line="239"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BLU-701 is a selective and potent investigational inhibitor of double-mutant EGFR harboring either the activating L858R or exon 19 deletion mutations combined with the acquired C797S mutation, the most common on-target resistance mutation to osimertinib. In April 2021, we presented foundational preclinical data for BLU-701 at the virtual AACR Annual Meeting 2021 showing strong and durable inhibition of tumor growth at doses that are EGFR wild-type sparing and potential for BLU-701 to be used in both first- and second-line settings. Based on these preclinical data, we plan to initially develop BLU-701 as a monotherapy and in combination with other therapies. We plan to initiate a Phase 1 trial of BLU-701 in the second half of 2021.</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EGFR-Positive Triple Mutant NSCLC — BLU-945</w:t>
      </w:r>
    </w:p>
    <w:p>
      <w:pPr>
        <w:spacing w:after="0" w:line="252"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BLU-945 is a selective and potent investigational inhibitor of triple-mutant EGFR harboring either the activating L858R or exon 19 deletion mutations combined with the acquired T790M and C797S mutations, the most common on-target resistance to first-generation EGFR inhibitors and osimertinib, respectively. In April 2021, we presented updated preclinical data for BLU-945 at the virtual AACR Annual Meeting 2021 demonstrating potent anti-tumor activity in triple-mutant osimertinib-resistant tumor models, as well as activity in a triple-mutant intracranial patient-derived xenograft model. In addition, the combination of BLU-945 with either gefitinib or osimertinib showed enhanced anti-tumor activity when compared with either gefitinib or osimertinib alone. Based on these preclinical data,</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plan to initially develop BLU-945 as a monotherapy and in combination with other agents.</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have recently initiated a Phase 1/2 clinical trial of BLU-945 in patients with EGFR-driven NSCLC.</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Cyclin E-Aberrant Cancers — BLU-222</w:t>
      </w:r>
    </w:p>
    <w:p>
      <w:pPr>
        <w:spacing w:after="0" w:line="239"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We are developing an investigational inhibitor, BLU-222, targeting CDK2. Cyclin dependent kinases, or CDKs, and their cyclin partners regulate the cell cycle. In subsets of patients across multiple cancer types, aberrant cyclin E, or CCNE, hyperactivates CDK2, resulting in cell cycle dysregulation and tumor proliferation. Aberrant CCNE has been observed as a primary driver of disease as well as a mechanism of resistance to CDK4/6 inhibitors and other therapies.</w:t>
      </w:r>
    </w:p>
    <w:p>
      <w:pPr>
        <w:spacing w:after="0" w:line="196" w:lineRule="exact"/>
        <w:rPr>
          <w:sz w:val="20"/>
          <w:szCs w:val="20"/>
          <w:color w:val="auto"/>
        </w:rPr>
      </w:pPr>
    </w:p>
    <w:p>
      <w:pPr>
        <w:ind w:left="60" w:right="299" w:firstLine="648"/>
        <w:spacing w:after="0" w:line="239" w:lineRule="auto"/>
        <w:rPr>
          <w:sz w:val="20"/>
          <w:szCs w:val="20"/>
          <w:color w:val="auto"/>
        </w:rPr>
      </w:pPr>
      <w:r>
        <w:rPr>
          <w:rFonts w:ascii="Arial" w:cs="Arial" w:eastAsia="Arial" w:hAnsi="Arial"/>
          <w:sz w:val="18"/>
          <w:szCs w:val="18"/>
          <w:color w:val="auto"/>
        </w:rPr>
        <w:t>In April 2021, we presented preclinical data at the virtual AACR Annual Meeting 2021 that showed CDK2 inhibition arrested the cell cycle and blocked tumor proliferation in CCNE-amplified cell lines and demonstrated robust and sustained anti-tumor activity in vivo in models of CCNE-amplified ovarian, breast and gastric cancer. A selective CDK2 inhibitor also showed improved tolerability compared to a pan-CDK inhibitor and chemotherapy, as measured by animal body weight. Based on these preclinical studies, we announced the nomination of BLU-222 as a selective and potent CDK2 inhibitor development candidate. We plan to initiate clinical development for BLU-222 in the first half of 2022.</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Fisogatinib — Hepatocellular Carcinoma</w:t>
      </w:r>
    </w:p>
    <w:p>
      <w:pPr>
        <w:spacing w:after="0" w:line="239" w:lineRule="exact"/>
        <w:rPr>
          <w:sz w:val="20"/>
          <w:szCs w:val="20"/>
          <w:color w:val="auto"/>
        </w:rPr>
      </w:pPr>
    </w:p>
    <w:p>
      <w:pPr>
        <w:ind w:left="60" w:right="99" w:firstLine="648"/>
        <w:spacing w:after="0" w:line="239" w:lineRule="auto"/>
        <w:rPr>
          <w:sz w:val="20"/>
          <w:szCs w:val="20"/>
          <w:color w:val="auto"/>
        </w:rPr>
      </w:pPr>
      <w:r>
        <w:rPr>
          <w:rFonts w:ascii="Arial" w:cs="Arial" w:eastAsia="Arial" w:hAnsi="Arial"/>
          <w:sz w:val="18"/>
          <w:szCs w:val="18"/>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As part of our collaboration with CStone, we are evaluating fisogatinib as a monotherapy and in combination with sugemalimab, a clinical-stage anti-PDL1 immunotherapy being developed by CStone, for the treatment of locally advanced or metastatic HCC in an ongoing Phase 1b/2 trial conducted at multiple clinical sites in China. The FDA has granted orphan drug designation to fisogatinib for the treatment of HCC.</w:t>
      </w:r>
    </w:p>
    <w:p>
      <w:pPr>
        <w:spacing w:after="0" w:line="2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Discovery Platform</w:t>
      </w:r>
    </w:p>
    <w:p>
      <w:pPr>
        <w:spacing w:after="0" w:line="252"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addition to our EGFR program and CDK2 program, we have multiple wholly-owned pre-development candidate programs for undisclosed kinase targets.</w:t>
      </w:r>
    </w:p>
    <w:p>
      <w:pPr>
        <w:spacing w:after="0" w:line="215"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Under our immunotherapy collaboration with Roche, we are conducting activities for up to two discovery programs, including BLU-852, a development candidate for the kinase target MAP4K1. See “—</w:t>
      </w:r>
      <w:r>
        <w:rPr>
          <w:rFonts w:ascii="Arial" w:cs="Arial" w:eastAsia="Arial" w:hAnsi="Arial"/>
          <w:sz w:val="18"/>
          <w:szCs w:val="18"/>
          <w:i w:val="1"/>
          <w:iCs w:val="1"/>
          <w:color w:val="auto"/>
        </w:rPr>
        <w:t>Collaborations and</w:t>
      </w:r>
      <w:r>
        <w:rPr>
          <w:rFonts w:ascii="Arial" w:cs="Arial" w:eastAsia="Arial" w:hAnsi="Arial"/>
          <w:sz w:val="18"/>
          <w:szCs w:val="18"/>
          <w:color w:val="auto"/>
        </w:rPr>
        <w:t xml:space="preserve"> </w:t>
      </w:r>
      <w:r>
        <w:rPr>
          <w:rFonts w:ascii="Arial" w:cs="Arial" w:eastAsia="Arial" w:hAnsi="Arial"/>
          <w:sz w:val="18"/>
          <w:szCs w:val="18"/>
          <w:i w:val="1"/>
          <w:iCs w:val="1"/>
          <w:color w:val="auto"/>
        </w:rPr>
        <w:t>Licenses</w:t>
      </w:r>
      <w:r>
        <w:rPr>
          <w:rFonts w:ascii="Arial" w:cs="Arial" w:eastAsia="Arial" w:hAnsi="Arial"/>
          <w:sz w:val="18"/>
          <w:szCs w:val="18"/>
          <w:color w:val="auto"/>
        </w:rPr>
        <w:t>” Summary below. In April 2021, we presented initial preclinical data for BLU-852 at the virtual AACR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Development and Commercialization Rights</w:t>
      </w:r>
    </w:p>
    <w:p>
      <w:pPr>
        <w:spacing w:after="0" w:line="252" w:lineRule="exact"/>
        <w:rPr>
          <w:sz w:val="20"/>
          <w:szCs w:val="20"/>
          <w:color w:val="auto"/>
        </w:rPr>
      </w:pPr>
    </w:p>
    <w:p>
      <w:pPr>
        <w:ind w:left="60" w:right="139" w:firstLine="648"/>
        <w:spacing w:after="0" w:line="241" w:lineRule="auto"/>
        <w:rPr>
          <w:sz w:val="20"/>
          <w:szCs w:val="20"/>
          <w:color w:val="auto"/>
        </w:rPr>
      </w:pPr>
      <w:r>
        <w:rPr>
          <w:rFonts w:ascii="Arial" w:cs="Arial" w:eastAsia="Arial" w:hAnsi="Arial"/>
          <w:sz w:val="18"/>
          <w:szCs w:val="18"/>
          <w:color w:val="auto"/>
        </w:rPr>
        <w:t>We currently have worldwide development and commercialization rights to avapritinib and fisogatinib, other than the rights licensed to CStone for these drug candidates in Mainland China, Hong Kong, Macau and Taiwan, or the CStone territory. Other than the discovery-stage cancer immunotherapy programs (including BLU-852) under our collaboration with Roche, we have worldwide development and commercialization rights to all of our discovery programs (including BLU-701 and BLU-222), BLU-263 and BLU-945.</w:t>
      </w:r>
    </w:p>
    <w:p>
      <w:pPr>
        <w:spacing w:after="0" w:line="230"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7"/>
          <w:szCs w:val="17"/>
          <w:color w:val="auto"/>
        </w:rPr>
        <w:t>We have granted Roche an exclusive license to develop and commercialize pralsetinib worldwide, excluding the CStone territory and the U.S., and a co-exclusive license in the U.S. to develop and commercialize pralsetinib. We have granted CStone an exclusive license to develop and commercialize pralsetinib in the CStone territory. We have granted an exclusive worldwide license to Clementia Pharmaceuticals, Inc., or Clementia, a wholly-owned subsidiary of Ipsen S.A., to develop and commercialize BLU-782.</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Collaborations and Licenses</w:t>
      </w:r>
    </w:p>
    <w:p>
      <w:pPr>
        <w:spacing w:after="0" w:line="25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i w:val="1"/>
          <w:iCs w:val="1"/>
          <w:color w:val="auto"/>
        </w:rPr>
        <w:t xml:space="preserve">Roche—Immunotherapy Collaboration. </w:t>
      </w:r>
      <w:r>
        <w:rPr>
          <w:rFonts w:ascii="Arial" w:cs="Arial" w:eastAsia="Arial" w:hAnsi="Arial"/>
          <w:sz w:val="16"/>
          <w:szCs w:val="16"/>
          <w:color w:val="auto"/>
        </w:rPr>
        <w:t>In March 2016, we entered into a collaboration with Roche to discover,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and commercialize up to two small molecule therapeutics targeting kinases believed to be important in cancer immunotherapy (including BLU-852, a development candidate for the kinase target MAP4K1, which is believed to play a role in T cell regulation), as single products or possibly in combination with other therapeutics.</w:t>
      </w:r>
    </w:p>
    <w:p>
      <w:pPr>
        <w:spacing w:after="0" w:line="196" w:lineRule="exact"/>
        <w:rPr>
          <w:sz w:val="20"/>
          <w:szCs w:val="20"/>
          <w:color w:val="auto"/>
        </w:rPr>
      </w:pPr>
    </w:p>
    <w:p>
      <w:pPr>
        <w:ind w:left="60" w:right="279" w:firstLine="648"/>
        <w:spacing w:after="0" w:line="239" w:lineRule="auto"/>
        <w:rPr>
          <w:sz w:val="20"/>
          <w:szCs w:val="20"/>
          <w:color w:val="auto"/>
        </w:rPr>
      </w:pPr>
      <w:r>
        <w:rPr>
          <w:rFonts w:ascii="Arial" w:cs="Arial" w:eastAsia="Arial" w:hAnsi="Arial"/>
          <w:sz w:val="18"/>
          <w:szCs w:val="18"/>
          <w:i w:val="1"/>
          <w:iCs w:val="1"/>
          <w:color w:val="auto"/>
        </w:rPr>
        <w:t xml:space="preserve">Roche—Pralsetinib Collaboration. </w:t>
      </w:r>
      <w:r>
        <w:rPr>
          <w:rFonts w:ascii="Arial" w:cs="Arial" w:eastAsia="Arial" w:hAnsi="Arial"/>
          <w:sz w:val="18"/>
          <w:szCs w:val="18"/>
          <w:color w:val="auto"/>
        </w:rPr>
        <w:t>In July 2020, we entered into a collaboration with Roche to develop and</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commercialize pralsetinib for the treatment of RET-altered cancers. Under the collaboration, we and Genentech are co-commercializing GAVRETO in the U.S., and Roche has exclusive commercialization rights for pralsetinib outside of the U.S., excluding the CStone territory. We and Roche also plan to co-develop pralsetinib globally in RET-altered solid tumors, including NSCLC, MTC and other thyroid cancers, and expand development of pralsetinib in multiple treatment settings. Further, we and Roche plan to explore development of a next-generation RET inhibitor as part of the collaboration.</w:t>
      </w:r>
    </w:p>
    <w:p>
      <w:pPr>
        <w:spacing w:after="0" w:line="218" w:lineRule="exact"/>
        <w:rPr>
          <w:sz w:val="20"/>
          <w:szCs w:val="20"/>
          <w:color w:val="auto"/>
        </w:rPr>
      </w:pPr>
    </w:p>
    <w:p>
      <w:pPr>
        <w:ind w:left="60" w:right="439" w:firstLine="648"/>
        <w:spacing w:after="0" w:line="248" w:lineRule="auto"/>
        <w:rPr>
          <w:sz w:val="20"/>
          <w:szCs w:val="20"/>
          <w:color w:val="auto"/>
        </w:rPr>
      </w:pPr>
      <w:r>
        <w:rPr>
          <w:rFonts w:ascii="Arial" w:cs="Arial" w:eastAsia="Arial" w:hAnsi="Arial"/>
          <w:sz w:val="18"/>
          <w:szCs w:val="18"/>
          <w:i w:val="1"/>
          <w:iCs w:val="1"/>
          <w:color w:val="auto"/>
        </w:rPr>
        <w:t xml:space="preserve">CStone. </w:t>
      </w:r>
      <w:r>
        <w:rPr>
          <w:rFonts w:ascii="Arial" w:cs="Arial" w:eastAsia="Arial" w:hAnsi="Arial"/>
          <w:sz w:val="18"/>
          <w:szCs w:val="18"/>
          <w:color w:val="auto"/>
        </w:rPr>
        <w:t>In June 2018, we entered into a collaboration with CStone to develop and commercialize avapritinib,</w:t>
      </w:r>
      <w:r>
        <w:rPr>
          <w:rFonts w:ascii="Arial" w:cs="Arial" w:eastAsia="Arial" w:hAnsi="Arial"/>
          <w:sz w:val="18"/>
          <w:szCs w:val="18"/>
          <w:i w:val="1"/>
          <w:iCs w:val="1"/>
          <w:color w:val="auto"/>
        </w:rPr>
        <w:t xml:space="preserve"> </w:t>
      </w:r>
      <w:r>
        <w:rPr>
          <w:rFonts w:ascii="Arial" w:cs="Arial" w:eastAsia="Arial" w:hAnsi="Arial"/>
          <w:sz w:val="18"/>
          <w:szCs w:val="18"/>
          <w:color w:val="auto"/>
        </w:rPr>
        <w:t>pralsetinib and fisogatinib, including back-up forms and certain other forms, in the CStone territory either as a monotherapy or as part of a combination therapy.</w:t>
      </w:r>
    </w:p>
    <w:p>
      <w:pPr>
        <w:spacing w:after="0" w:line="222"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i w:val="1"/>
          <w:iCs w:val="1"/>
          <w:color w:val="auto"/>
        </w:rPr>
        <w:t xml:space="preserve">Clementia. </w:t>
      </w:r>
      <w:r>
        <w:rPr>
          <w:rFonts w:ascii="Arial" w:cs="Arial" w:eastAsia="Arial" w:hAnsi="Arial"/>
          <w:sz w:val="18"/>
          <w:szCs w:val="18"/>
          <w:color w:val="auto"/>
        </w:rPr>
        <w:t>In October 2019, we entered into a license agreement with Clementia Pharmaceuticals, Inc., or</w:t>
      </w:r>
      <w:r>
        <w:rPr>
          <w:rFonts w:ascii="Arial" w:cs="Arial" w:eastAsia="Arial" w:hAnsi="Arial"/>
          <w:sz w:val="18"/>
          <w:szCs w:val="18"/>
          <w:i w:val="1"/>
          <w:iCs w:val="1"/>
          <w:color w:val="auto"/>
        </w:rPr>
        <w:t xml:space="preserve"> </w:t>
      </w:r>
      <w:r>
        <w:rPr>
          <w:rFonts w:ascii="Arial" w:cs="Arial" w:eastAsia="Arial" w:hAnsi="Arial"/>
          <w:sz w:val="18"/>
          <w:szCs w:val="18"/>
          <w:color w:val="auto"/>
        </w:rPr>
        <w:t>Clementia, a wholly-owned subsidiary of Ipsen S.A., and granted Clementia an exclusive, worldwide, royalty-bearing license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The FDA has granted a rare pediatric disease designation, orphan drug designation and fast track designation to BLU-782, each for the treatment of FOP.</w:t>
      </w:r>
    </w:p>
    <w:p>
      <w:pPr>
        <w:spacing w:after="0" w:line="231"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Note on the COVID-19 Pandemic</w:t>
      </w:r>
    </w:p>
    <w:p>
      <w:pPr>
        <w:spacing w:after="0" w:line="252" w:lineRule="exact"/>
        <w:rPr>
          <w:sz w:val="20"/>
          <w:szCs w:val="20"/>
          <w:color w:val="auto"/>
        </w:rPr>
      </w:pPr>
    </w:p>
    <w:p>
      <w:pPr>
        <w:ind w:left="60" w:right="79" w:firstLine="661"/>
        <w:spacing w:after="0" w:line="279" w:lineRule="auto"/>
        <w:rPr>
          <w:sz w:val="20"/>
          <w:szCs w:val="20"/>
          <w:color w:val="auto"/>
        </w:rPr>
      </w:pPr>
      <w:r>
        <w:rPr>
          <w:rFonts w:ascii="Arial" w:cs="Arial" w:eastAsia="Arial" w:hAnsi="Arial"/>
          <w:sz w:val="16"/>
          <w:szCs w:val="16"/>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In 2020, we initially established a work-from-home policy for all employees, other than those performing or supporting business-critical activities, such as certain members of our laboratory and facilities staff. To date, we have continued to evaluate and update this policy from time to time for each</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7" w:lineRule="auto"/>
        <w:rPr>
          <w:sz w:val="20"/>
          <w:szCs w:val="20"/>
          <w:color w:val="auto"/>
        </w:rPr>
      </w:pPr>
      <w:r>
        <w:rPr>
          <w:rFonts w:ascii="Arial" w:cs="Arial" w:eastAsia="Arial" w:hAnsi="Arial"/>
          <w:sz w:val="16"/>
          <w:szCs w:val="16"/>
          <w:color w:val="auto"/>
        </w:rPr>
        <w:t>of our locations and field-based employees based on guidance from federal, state and local government authorities and the severity of the pandemic. For our ongoing and planned clinical trials, while we anticipate and have experienced some delays or disruptions due to the COVID-19 pandemic, in particular with respect to activation of additional clinical trial sites and patient enrollment rates, we have continued to work with any impacted clinical trial sites to ensure study continuity, enable medical monitoring, facilitate study procedures and maintain clinical data and records, including the use of local laboratories for testing and tumor imaging, home delivery of study drug and remote data and records monitoring. In addition, we currently have sufficient supply or plans for supply to meet our anticipated global commercial and clinical development needs for our approved drugs and clinical-stage drug candidates through 2022. However, depending on the duration and impact of the ongoing COVID-19 pandemic on local and global supply chains, our suppliers could be adversely impacted, which may result in delays or disruptions in our current or future supply chain. COVID-19 may also impact and has impacted our commercial activities for AYVAKIT/AYVAKYT and GAVRETO, including patient access to testing and identification. We are committed to continuing to serve the needs of healthcare providers, patients and other stakeholders during this critical time, including by conducting commercial and medical affairs field activities across our portfolio in virtual formats where possible. We will continue to assess the duration, scope and severity of the COVID-19 pandemic as it evolves and the existing and potential impacts on our business, operations and financial performance, and we will continue to work closely with our third-party vendors, collaborators and other parties in order to seek to advance our pipeline of targeted therapies as quickly as possible, while making the health and safety of our employees and their families, healthcare providers, patients and communities a top priority. Please refer to our Risk Factors in Part II, Item IA of this Quarterly Report on Form 10-Q for further discussion of risks related to the COVID-19 pandemic.</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79"/>
        <w:spacing w:after="0" w:line="272" w:lineRule="auto"/>
        <w:rPr>
          <w:sz w:val="20"/>
          <w:szCs w:val="20"/>
          <w:color w:val="auto"/>
        </w:rPr>
      </w:pPr>
      <w:r>
        <w:rPr>
          <w:rFonts w:ascii="Arial" w:cs="Arial" w:eastAsia="Arial" w:hAnsi="Arial"/>
          <w:sz w:val="16"/>
          <w:szCs w:val="16"/>
          <w:color w:val="auto"/>
        </w:rPr>
        <w:t>June 30, 2021, we have received an aggregate of $2.9 billion from such transactions, including $1.9 billion in aggregate gross proceeds from the sale of common stock in our initial public offering, or IPO, follow-on public offerings, through our “at the market” stock offering program and the equity investment by Roche, $115.1 million in gross proceeds from the issuance of convertible preferred stock, $921.3 million in upfront payments and milestone payments under our collaborations with Roche and CStone, our license agreement with Clementia and our former collaboration with Alexion Pharma Holding, or Alexion. In addition, since January 2020, we have generated limited product revenue.</w:t>
      </w:r>
    </w:p>
    <w:p>
      <w:pPr>
        <w:spacing w:after="0" w:line="191"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Since inception, we have incurred significant operating losses, with the exception of the year ended December 31, 2020. Our net loss was $108.4 million for six months ended June 30, 2021. Our net income was $313.9 million for the year ended December 31, 2020 primarily due to the collaboration revenue recorded under our collaboration with Roche for pralsetinib, and our net losses were $347.7 million and $236.6 million for the years ended December 31, 2019 and 2018, respectively. As of June 30, 2021, we had an accumulated deficit of $839.5 million. We expect to continue to incur significant expenses and operating losses over the next few years. We anticipate that our expenses will continue to increase in connection with our ongoing activities, particularly as we:</w:t>
      </w:r>
    </w:p>
    <w:p>
      <w:pPr>
        <w:spacing w:after="0" w:line="220" w:lineRule="exact"/>
        <w:rPr>
          <w:sz w:val="20"/>
          <w:szCs w:val="20"/>
          <w:color w:val="auto"/>
        </w:rPr>
      </w:pPr>
    </w:p>
    <w:p>
      <w:pPr>
        <w:ind w:left="1380" w:right="199" w:hanging="331"/>
        <w:spacing w:after="0" w:line="248"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and expand our sales, marketing and distribution infrastructure to continue to commercialize AYVAKIT/AYVAKYT, GAVRETO and any current or future drug candidates for which we may obtain marketing approval;</w:t>
      </w:r>
    </w:p>
    <w:p>
      <w:pPr>
        <w:spacing w:after="0" w:line="181" w:lineRule="exact"/>
        <w:rPr>
          <w:rFonts w:ascii="Arial" w:cs="Arial" w:eastAsia="Arial" w:hAnsi="Arial"/>
          <w:sz w:val="18"/>
          <w:szCs w:val="18"/>
          <w:color w:val="auto"/>
        </w:rPr>
      </w:pPr>
    </w:p>
    <w:p>
      <w:pPr>
        <w:ind w:left="1380" w:right="49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marketing approval for our drug candidates, including avapritinib and pralsetinib in additional indications or in additional geographies;</w:t>
      </w:r>
    </w:p>
    <w:p>
      <w:pPr>
        <w:spacing w:after="0" w:line="170"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advance clinical development activities for avapritinib and pralsetinib and initiate or advance clinical development activities for other current or future drug candidates;</w:t>
      </w:r>
    </w:p>
    <w:p>
      <w:pPr>
        <w:spacing w:after="0" w:line="170"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 or development candidates, including BLU-701, BLU-945 and BLU-222;</w:t>
      </w:r>
    </w:p>
    <w:p>
      <w:pPr>
        <w:spacing w:after="0" w:line="170"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commercialization;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7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for our drugs and drug candidates;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11" w:lineRule="exact"/>
        <w:rPr>
          <w:rFonts w:ascii="Arial" w:cs="Arial" w:eastAsia="Arial" w:hAnsi="Arial"/>
          <w:sz w:val="18"/>
          <w:szCs w:val="18"/>
          <w:color w:val="auto"/>
        </w:rPr>
      </w:pPr>
    </w:p>
    <w:p>
      <w:pPr>
        <w:ind w:left="1380" w:right="65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acquire or in-license additional businesses, technologies, drugs or drug candidates, form strategic alliances or create joint ventures with third parties; and</w:t>
      </w:r>
    </w:p>
    <w:p>
      <w:pPr>
        <w:spacing w:after="0" w:line="170" w:lineRule="exact"/>
        <w:rPr>
          <w:rFonts w:ascii="Arial" w:cs="Arial" w:eastAsia="Arial" w:hAnsi="Arial"/>
          <w:sz w:val="18"/>
          <w:szCs w:val="18"/>
          <w:color w:val="auto"/>
        </w:rPr>
      </w:pPr>
    </w:p>
    <w:p>
      <w:pPr>
        <w:ind w:left="1380" w:right="679" w:hanging="331"/>
        <w:spacing w:after="0" w:line="261"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regulatory, commercial and general and administrative personnel.</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52" w:lineRule="exact"/>
        <w:rPr>
          <w:sz w:val="20"/>
          <w:szCs w:val="20"/>
          <w:color w:val="auto"/>
        </w:rPr>
      </w:pPr>
    </w:p>
    <w:p>
      <w:pPr>
        <w:ind w:left="60" w:right="199" w:firstLine="648"/>
        <w:spacing w:after="0" w:line="269" w:lineRule="auto"/>
        <w:rPr>
          <w:sz w:val="20"/>
          <w:szCs w:val="20"/>
          <w:color w:val="auto"/>
        </w:rPr>
      </w:pPr>
      <w:r>
        <w:rPr>
          <w:rFonts w:ascii="Arial" w:cs="Arial" w:eastAsia="Arial" w:hAnsi="Arial"/>
          <w:sz w:val="16"/>
          <w:szCs w:val="16"/>
          <w:color w:val="auto"/>
        </w:rPr>
        <w:t>In January 2020, the FDA granted approval of avapritinib under the brand name AYVAKIT for the treatment of adults with unresectable or metastatic GIST harboring a PDGFRA exon 18 mutation, including PDGFRA D842V mutations. In June 2021, the FDA granted a subsequent approval for AYVAKIT, expanding the labeled indications to include adult patients with advanced SM, including aggressive SM, SM with an associated hematological neoplasm and mast cell leukemia. In September 2020, the FDA granted accelerated approval to pralsetinib under the brand name GAVRETO for the treatment of adult patients with metastatic RET fusion-positive NSCLC as detected by an FDA approved test, and the European Commission granted conditional marketing authorization to avapritinib under the brand name AYVAKYT as a monotherapy for the treatment of adult patients with unresectable or metastatic GIST harboring the PDGFRA D842V mutation. In December 2020, the FDA granted a subsequent accelerated approval for GAVRETO, expanding the labeled indications to include adult and pediatric patients 12 years of age and older with advanced or metastatic RET-mutant MTC who require systemic therapy, or with advanced or metastatic RET fusion-positive thyroid cancer who require systemic therapy and who are radioactive iodine-refractory (if radioactive iodine is appropriate).</w:t>
      </w:r>
    </w:p>
    <w:p>
      <w:pPr>
        <w:spacing w:after="0" w:line="198" w:lineRule="exact"/>
        <w:rPr>
          <w:sz w:val="20"/>
          <w:szCs w:val="20"/>
          <w:color w:val="auto"/>
        </w:rPr>
      </w:pPr>
    </w:p>
    <w:p>
      <w:pPr>
        <w:ind w:left="60" w:right="279" w:firstLine="648"/>
        <w:spacing w:after="0" w:line="284" w:lineRule="auto"/>
        <w:rPr>
          <w:sz w:val="20"/>
          <w:szCs w:val="20"/>
          <w:color w:val="auto"/>
        </w:rPr>
      </w:pPr>
      <w:r>
        <w:rPr>
          <w:rFonts w:ascii="Arial" w:cs="Arial" w:eastAsia="Arial" w:hAnsi="Arial"/>
          <w:sz w:val="16"/>
          <w:szCs w:val="16"/>
          <w:color w:val="auto"/>
        </w:rPr>
        <w:t>For the three and six months ended June 30, 2021, our revenue consisted of sales of AYVAKIT/AYVAKYT, GAVRETO as well as collaboration revenue under our collaborations with Roche and CStone. Collaboration revenue for the three and six months ended June 30, 2021 includes amounts that were recognized related to milestone payments and amounts due to us for supply of inventory and research and development services.</w:t>
      </w:r>
    </w:p>
    <w:p>
      <w:pPr>
        <w:spacing w:after="0" w:line="196"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In the future, we expect to generate revenue from a combination of sources, including sales of our current drug product and any current or future drug candidates for which we receive marketing approval, royalties on drug sales, upfront, milestone, profit sharing and other payments, if any, under any current or future collaborations and licenses, including revenues related to the supply of our drug candidates or approved drugs to our various collaboration partners. We expect that any revenue we generate will fluctuate from quarter to quarter as a result of the timing and amount of product sales, license fees, research and development services, payments for manufacturing services, and option fees, milestone payments or other payments under our collaboration or license agreements, if any.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Sales</w:t>
      </w:r>
    </w:p>
    <w:p>
      <w:pPr>
        <w:spacing w:after="0" w:line="239" w:lineRule="exact"/>
        <w:rPr>
          <w:sz w:val="20"/>
          <w:szCs w:val="20"/>
          <w:color w:val="auto"/>
        </w:rPr>
      </w:pPr>
    </w:p>
    <w:p>
      <w:pPr>
        <w:ind w:left="60" w:right="179" w:firstLine="648"/>
        <w:spacing w:after="0" w:line="241" w:lineRule="auto"/>
        <w:rPr>
          <w:sz w:val="20"/>
          <w:szCs w:val="20"/>
          <w:color w:val="auto"/>
        </w:rPr>
      </w:pPr>
      <w:r>
        <w:rPr>
          <w:rFonts w:ascii="Arial" w:cs="Arial" w:eastAsia="Arial" w:hAnsi="Arial"/>
          <w:sz w:val="18"/>
          <w:szCs w:val="18"/>
          <w:color w:val="auto"/>
        </w:rPr>
        <w:t>Our cost of sales includes the cost of producing and distributing inventories that are related to product revenue as well as the sale of drug substance and drug product to our collaboration partners during the respective period, including salary related expenses and stock-based compensation expense for employees involved with production and distribution, freight, and indirect overhead costs. In addition, shipping and handling costs for product shipments are recorded in cost of sales as incurred.</w:t>
      </w:r>
    </w:p>
    <w:p>
      <w:pPr>
        <w:spacing w:after="0" w:line="189" w:lineRule="exact"/>
        <w:rPr>
          <w:sz w:val="20"/>
          <w:szCs w:val="20"/>
          <w:color w:val="auto"/>
        </w:rPr>
      </w:pPr>
    </w:p>
    <w:p>
      <w:pPr>
        <w:ind w:left="60" w:right="219" w:firstLine="648"/>
        <w:spacing w:after="0" w:line="276" w:lineRule="auto"/>
        <w:rPr>
          <w:sz w:val="20"/>
          <w:szCs w:val="20"/>
          <w:color w:val="auto"/>
        </w:rPr>
      </w:pPr>
      <w:r>
        <w:rPr>
          <w:rFonts w:ascii="Arial" w:cs="Arial" w:eastAsia="Arial" w:hAnsi="Arial"/>
          <w:sz w:val="16"/>
          <w:szCs w:val="16"/>
          <w:color w:val="auto"/>
        </w:rPr>
        <w:t>Prior to receiving the initial FDA approval for AYVAKIT and GAVRETO in January 2020 and September 2020, respectively, and subsequent approval for AYVAKIT in June 2021, we manufactured inventory to be sold upon commercialization and recorded approximately $37.7 million related to this inventory as research and development expense. As a result, the manufacturing costs related to the inventory build-up incurred before FDA approval were expensed in a prior period and are therefore excluded from the cost of goods sold for the three and six months ended June 30, 2021. We estimate our cost of goods sold related to product revenue as a percentage of net product revenue will</w:t>
      </w:r>
    </w:p>
    <w:p>
      <w:pPr>
        <w:sectPr>
          <w:pgSz w:w="11900" w:h="16838" w:orient="portrait"/>
          <w:cols w:equalWidth="0" w:num="1">
            <w:col w:w="9019"/>
          </w:cols>
          <w:pgMar w:left="1440" w:top="517" w:right="1440"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continue to be positively impacted as we sell through certain inventory that was previously expensed prior to FDA approval. We expect to utilize low cost inventory for an extended period of time. Cost of goods sold related to sales of drug product to our collaboration partners are at lower margins and will partially offset the positive impact of the previously expensed inventory.</w:t>
      </w:r>
    </w:p>
    <w:p>
      <w:pPr>
        <w:spacing w:after="0" w:line="22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Expenses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9" w:lineRule="exact"/>
        <w:rPr>
          <w:sz w:val="20"/>
          <w:szCs w:val="20"/>
          <w:color w:val="auto"/>
        </w:rPr>
      </w:pPr>
    </w:p>
    <w:p>
      <w:pPr>
        <w:ind w:left="60" w:right="719" w:firstLine="648"/>
        <w:spacing w:after="0" w:line="324" w:lineRule="auto"/>
        <w:rPr>
          <w:sz w:val="20"/>
          <w:szCs w:val="20"/>
          <w:color w:val="auto"/>
        </w:rPr>
      </w:pPr>
      <w:r>
        <w:rPr>
          <w:rFonts w:ascii="Arial" w:cs="Arial" w:eastAsia="Arial" w:hAnsi="Arial"/>
          <w:sz w:val="16"/>
          <w:szCs w:val="16"/>
          <w:color w:val="auto"/>
        </w:rPr>
        <w:t>Research and development expenses consist primarily of costs incurred for our research and development activities, including our drug discovery efforts, and the development of our drug candidates, which include:</w:t>
      </w:r>
    </w:p>
    <w:p>
      <w:pPr>
        <w:spacing w:after="0" w:line="165" w:lineRule="exact"/>
        <w:rPr>
          <w:sz w:val="20"/>
          <w:szCs w:val="20"/>
          <w:color w:val="auto"/>
        </w:rPr>
      </w:pPr>
    </w:p>
    <w:p>
      <w:pPr>
        <w:ind w:left="1380" w:hanging="331"/>
        <w:spacing w:after="0"/>
        <w:tabs>
          <w:tab w:leader="none" w:pos="1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223" w:lineRule="exact"/>
        <w:rPr>
          <w:rFonts w:ascii="Arial" w:cs="Arial" w:eastAsia="Arial" w:hAnsi="Arial"/>
          <w:sz w:val="17"/>
          <w:szCs w:val="17"/>
          <w:color w:val="auto"/>
        </w:rPr>
      </w:pPr>
    </w:p>
    <w:p>
      <w:pPr>
        <w:ind w:left="1380" w:right="51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70" w:lineRule="exact"/>
        <w:rPr>
          <w:rFonts w:ascii="Arial" w:cs="Arial" w:eastAsia="Arial" w:hAnsi="Arial"/>
          <w:sz w:val="18"/>
          <w:szCs w:val="18"/>
          <w:color w:val="auto"/>
        </w:rPr>
      </w:pPr>
    </w:p>
    <w:p>
      <w:pPr>
        <w:ind w:left="1380" w:right="37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70"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in connection with research and development activities under our immunotherapy collaboration with Roche, development activities under our collaboration with CStone, and development activities under our collaboration for pralsetinib with Roche;</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consultants in connection with our research and development activities;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associated with regulatory quality assurance and quality control operations;</w:t>
      </w:r>
    </w:p>
    <w:p>
      <w:pPr>
        <w:spacing w:after="0" w:line="21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70" w:lineRule="exact"/>
        <w:rPr>
          <w:rFonts w:ascii="Arial" w:cs="Arial" w:eastAsia="Arial" w:hAnsi="Arial"/>
          <w:sz w:val="18"/>
          <w:szCs w:val="18"/>
          <w:color w:val="auto"/>
        </w:rPr>
      </w:pPr>
    </w:p>
    <w:p>
      <w:pPr>
        <w:ind w:left="1380" w:right="319" w:hanging="331"/>
        <w:spacing w:after="0" w:line="248" w:lineRule="auto"/>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 in support of research and development activities.</w:t>
      </w:r>
    </w:p>
    <w:p>
      <w:pPr>
        <w:spacing w:after="0" w:line="222" w:lineRule="exact"/>
        <w:rPr>
          <w:sz w:val="20"/>
          <w:szCs w:val="20"/>
          <w:color w:val="auto"/>
        </w:rPr>
      </w:pPr>
    </w:p>
    <w:p>
      <w:pPr>
        <w:ind w:left="60" w:right="179" w:firstLine="648"/>
        <w:spacing w:after="0" w:line="26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99" w:lineRule="exact"/>
        <w:rPr>
          <w:sz w:val="20"/>
          <w:szCs w:val="20"/>
          <w:color w:val="auto"/>
        </w:rPr>
      </w:pPr>
    </w:p>
    <w:p>
      <w:pPr>
        <w:ind w:left="60" w:right="279" w:firstLine="648"/>
        <w:spacing w:after="0" w:line="279" w:lineRule="auto"/>
        <w:rPr>
          <w:sz w:val="20"/>
          <w:szCs w:val="20"/>
          <w:color w:val="auto"/>
        </w:rPr>
      </w:pPr>
      <w:r>
        <w:rPr>
          <w:rFonts w:ascii="Arial" w:cs="Arial" w:eastAsia="Arial" w:hAnsi="Arial"/>
          <w:sz w:val="16"/>
          <w:szCs w:val="16"/>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the sale of our current or future drug candidates for which we received marketing approval. This is due to the numerous risks and uncertainties associated with developing drugs, including the uncertainty of:</w:t>
      </w:r>
    </w:p>
    <w:p>
      <w:pPr>
        <w:spacing w:after="0" w:line="200" w:lineRule="exact"/>
        <w:rPr>
          <w:sz w:val="20"/>
          <w:szCs w:val="20"/>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toxicology studies;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initiation, enrollment in, and completion of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211" w:lineRule="exact"/>
        <w:rPr>
          <w:rFonts w:ascii="Arial" w:cs="Arial" w:eastAsia="Arial" w:hAnsi="Arial"/>
          <w:sz w:val="18"/>
          <w:szCs w:val="18"/>
          <w:color w:val="auto"/>
        </w:rPr>
      </w:pPr>
    </w:p>
    <w:p>
      <w:pPr>
        <w:ind w:left="1380" w:right="959" w:hanging="331"/>
        <w:spacing w:after="0" w:line="261"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13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AYVAKIT/AYVAKYT, GAVRETO and our drug candidates;</w:t>
      </w:r>
    </w:p>
    <w:p>
      <w:pPr>
        <w:spacing w:after="0" w:line="170"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commercializing AYVAKIT/AYVAKYT, GAVRETO and our drug candidates, if and when approved, whether alone or in collaboration with others;</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acceptance of AYVAKIT/AYVAKYT, GAVRETO and any future drug we may commercialize;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252"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87"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and as we conduct and continue our clinical trials to evaluate our approved drugs for additional indications. However, we do not believe that it is possible at this time to accurately project total program-specific expenses through commercialization. There are numerous factors associated with the successful commercialization of any of our approved drugs or drug candidates for which we may receive marketing approval,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98"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 for internal research and development expenses related to collaboration agreements, we do not track our internal research and development expenses on a program-by-program basis as they are deployed across multiple projects under development.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firstLine="648"/>
        <w:spacing w:after="0" w:line="270" w:lineRule="auto"/>
        <w:rPr>
          <w:sz w:val="20"/>
          <w:szCs w:val="20"/>
          <w:color w:val="auto"/>
        </w:rPr>
      </w:pPr>
      <w:r>
        <w:rPr>
          <w:rFonts w:ascii="Arial" w:cs="Arial" w:eastAsia="Arial" w:hAnsi="Arial"/>
          <w:sz w:val="17"/>
          <w:szCs w:val="17"/>
          <w:color w:val="auto"/>
        </w:rPr>
        <w:t>The following table summarizes our external research and development expenses by program for the three and six months ended June 30, 2021 and 2020. Other development and pre-development candidate expenses, unallocated expenses and internal research and development expenses have been classified separately.</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w w:val="93"/>
              </w:rPr>
              <w:t>Three Months Ended June 30,</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52"/>
              <w:spacing w:after="0"/>
              <w:rPr>
                <w:sz w:val="20"/>
                <w:szCs w:val="20"/>
                <w:color w:val="auto"/>
              </w:rPr>
            </w:pPr>
            <w:r>
              <w:rPr>
                <w:rFonts w:ascii="Arial" w:cs="Arial" w:eastAsia="Arial" w:hAnsi="Arial"/>
                <w:sz w:val="14"/>
                <w:szCs w:val="14"/>
                <w:b w:val="1"/>
                <w:bCs w:val="1"/>
                <w:color w:val="auto"/>
                <w:w w:val="98"/>
              </w:rPr>
              <w:t>Six Months Ended June 30,</w:t>
            </w:r>
          </w:p>
        </w:tc>
      </w:tr>
      <w:tr>
        <w:trPr>
          <w:trHeight w:val="155"/>
        </w:trPr>
        <w:tc>
          <w:tcPr>
            <w:tcW w:w="3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2020</w:t>
            </w:r>
          </w:p>
        </w:tc>
      </w:tr>
      <w:tr>
        <w:trPr>
          <w:trHeight w:val="142"/>
        </w:trPr>
        <w:tc>
          <w:tcPr>
            <w:tcW w:w="3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r>
      <w:tr>
        <w:trPr>
          <w:trHeight w:val="202"/>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Avapritinib external expenses</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16,640</w:t>
            </w:r>
          </w:p>
        </w:tc>
        <w:tc>
          <w:tcPr>
            <w:tcW w:w="52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17,882</w:t>
            </w:r>
          </w:p>
        </w:tc>
        <w:tc>
          <w:tcPr>
            <w:tcW w:w="440" w:type="dxa"/>
            <w:vAlign w:val="bottom"/>
            <w:gridSpan w:val="2"/>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32,504</w:t>
            </w:r>
          </w:p>
        </w:tc>
        <w:tc>
          <w:tcPr>
            <w:tcW w:w="2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38,935</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Pralsetinib external expenses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1,868</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26,334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10,785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49,032</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Fisogatinib external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2,771</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BLU-263 external expenses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5,934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3,499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9,150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6,064</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BLU-701/945 external expenses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12,098</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3,403</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22,299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4,841</w:t>
            </w:r>
          </w:p>
        </w:tc>
      </w:tr>
      <w:tr>
        <w:trPr>
          <w:trHeight w:val="188"/>
        </w:trPr>
        <w:tc>
          <w:tcPr>
            <w:tcW w:w="3920" w:type="dxa"/>
            <w:vAlign w:val="bottom"/>
          </w:tcPr>
          <w:p>
            <w:pPr>
              <w:spacing w:after="0" w:line="189" w:lineRule="exact"/>
              <w:rPr>
                <w:sz w:val="20"/>
                <w:szCs w:val="20"/>
                <w:color w:val="auto"/>
              </w:rPr>
            </w:pPr>
            <w:r>
              <w:rPr>
                <w:rFonts w:ascii="Arial" w:cs="Arial" w:eastAsia="Arial" w:hAnsi="Arial"/>
                <w:sz w:val="18"/>
                <w:szCs w:val="18"/>
                <w:color w:val="auto"/>
                <w:w w:val="94"/>
              </w:rPr>
              <w:t>Other development and pre-development candidate</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7"/>
        </w:trPr>
        <w:tc>
          <w:tcPr>
            <w:tcW w:w="3920" w:type="dxa"/>
            <w:vAlign w:val="bottom"/>
          </w:tcPr>
          <w:p>
            <w:pPr>
              <w:spacing w:after="0"/>
              <w:rPr>
                <w:sz w:val="20"/>
                <w:szCs w:val="20"/>
                <w:color w:val="auto"/>
              </w:rPr>
            </w:pPr>
            <w:r>
              <w:rPr>
                <w:rFonts w:ascii="Arial" w:cs="Arial" w:eastAsia="Arial" w:hAnsi="Arial"/>
                <w:sz w:val="18"/>
                <w:szCs w:val="18"/>
                <w:color w:val="auto"/>
              </w:rPr>
              <w:t>expenses and unallocated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19,489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14,648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36,427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26,158</w:t>
            </w:r>
          </w:p>
        </w:tc>
      </w:tr>
      <w:tr>
        <w:trPr>
          <w:trHeight w:val="203"/>
        </w:trPr>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Internal research and development expenses</w:t>
            </w: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23,883</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24,698</w:t>
            </w:r>
          </w:p>
        </w:tc>
        <w:tc>
          <w:tcPr>
            <w:tcW w:w="2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47,555</w:t>
            </w:r>
          </w:p>
        </w:tc>
        <w:tc>
          <w:tcPr>
            <w:tcW w:w="2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47,424</w:t>
            </w:r>
          </w:p>
        </w:tc>
      </w:tr>
      <w:tr>
        <w:trPr>
          <w:trHeight w:val="196"/>
        </w:trPr>
        <w:tc>
          <w:tcPr>
            <w:tcW w:w="3920" w:type="dxa"/>
            <w:vAlign w:val="bottom"/>
          </w:tcPr>
          <w:p>
            <w:pPr>
              <w:spacing w:after="0" w:line="196" w:lineRule="exact"/>
              <w:rPr>
                <w:sz w:val="20"/>
                <w:szCs w:val="20"/>
                <w:color w:val="auto"/>
              </w:rPr>
            </w:pPr>
            <w:r>
              <w:rPr>
                <w:rFonts w:ascii="Arial" w:cs="Arial" w:eastAsia="Arial" w:hAnsi="Arial"/>
                <w:sz w:val="18"/>
                <w:szCs w:val="18"/>
                <w:color w:val="auto"/>
              </w:rPr>
              <w:t>Total research and development expenses</w:t>
            </w:r>
          </w:p>
        </w:tc>
        <w:tc>
          <w:tcPr>
            <w:tcW w:w="2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80,027</w:t>
            </w:r>
          </w:p>
        </w:tc>
        <w:tc>
          <w:tcPr>
            <w:tcW w:w="1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91,079</w:t>
            </w:r>
          </w:p>
        </w:tc>
        <w:tc>
          <w:tcPr>
            <w:tcW w:w="2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159,738</w:t>
            </w:r>
          </w:p>
        </w:tc>
        <w:tc>
          <w:tcPr>
            <w:tcW w:w="200" w:type="dxa"/>
            <w:vAlign w:val="bottom"/>
          </w:tcPr>
          <w:p>
            <w:pPr>
              <w:spacing w:after="0"/>
              <w:rPr>
                <w:sz w:val="17"/>
                <w:szCs w:val="17"/>
                <w:color w:val="auto"/>
              </w:rPr>
            </w:pPr>
          </w:p>
        </w:tc>
        <w:tc>
          <w:tcPr>
            <w:tcW w:w="380" w:type="dxa"/>
            <w:vAlign w:val="bottom"/>
            <w:tcBorders>
              <w:bottom w:val="single" w:sz="8" w:color="auto"/>
            </w:tcBorders>
            <w:gridSpan w:val="2"/>
          </w:tcPr>
          <w:p>
            <w:pPr>
              <w:jc w:val="right"/>
              <w:ind w:right="28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175,225</w:t>
            </w:r>
          </w:p>
        </w:tc>
      </w:tr>
      <w:tr>
        <w:trPr>
          <w:trHeight w:val="20"/>
        </w:trPr>
        <w:tc>
          <w:tcPr>
            <w:tcW w:w="3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1020" w:right="259" w:hanging="322"/>
        <w:spacing w:after="0" w:line="270" w:lineRule="auto"/>
        <w:tabs>
          <w:tab w:leader="none" w:pos="10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Pralsetinib external expenses includes reduction for reimbursable expenses under our collaboration for pralsetinib with Roche, and other development and pre-development candidate expenses includes reduction for reimbursable expenses under our other collaboration agreement.</w:t>
      </w:r>
    </w:p>
    <w:p>
      <w:pPr>
        <w:spacing w:after="0" w:line="204"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active pharmaceutical ingredient, 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immunotherapy collaboration with Roche, development activities under our collaboration with CStone, development activities under our collaboration for pralsetinib with Roche and development activities for companion diagnostic tests for any current and future drug candidates.</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39"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Selling, general and administrative expenses consist primarily of compensation and benefits, including stock-based compensation, for commercial operations and for personnel in executive, finance, accounting, commercial, business development, information technology, legal and human resources functions. Other significant costs include facility costs not otherwise included in research and development expenses, commercial development activities, legal fees related to intellectual property and corporate matters and fees for accounting and consulting services.</w:t>
      </w:r>
    </w:p>
    <w:p>
      <w:pPr>
        <w:spacing w:after="0" w:line="200"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7"/>
          <w:szCs w:val="17"/>
          <w:color w:val="auto"/>
        </w:rPr>
        <w:t>We expect that our selling,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for additional indications or in additional geographies and expanding our operations globally. These increases will likely include increased costs related to the hiring of additional personnel, legal, auditing and filing fees and general compliance and consulting expenses, among other expenses. We have incurred and will continue to incur substantial costs associated with operating as a public company and expanding the scope of our operations.</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39" w:lineRule="exact"/>
        <w:rPr>
          <w:sz w:val="20"/>
          <w:szCs w:val="20"/>
          <w:color w:val="auto"/>
        </w:rPr>
      </w:pPr>
    </w:p>
    <w:p>
      <w:pPr>
        <w:jc w:val="both"/>
        <w:ind w:left="60" w:right="419" w:firstLine="648"/>
        <w:spacing w:after="0" w:line="248" w:lineRule="auto"/>
        <w:rPr>
          <w:sz w:val="20"/>
          <w:szCs w:val="20"/>
          <w:color w:val="auto"/>
        </w:rPr>
      </w:pPr>
      <w:r>
        <w:rPr>
          <w:rFonts w:ascii="Arial" w:cs="Arial" w:eastAsia="Arial" w:hAnsi="Arial"/>
          <w:sz w:val="18"/>
          <w:szCs w:val="18"/>
          <w:color w:val="auto"/>
        </w:rPr>
        <w:t>Interest income, net consists primarily of income earned on cash equivalents and investments. We expect our interest income, net, will decrease in future periods due to anticipated lower rate of return on investments in the capital markets.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expense, net consists primarily of foreign currency transaction gains or losses.</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expense consists primarily of federal and foreign income taxes incurred.</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52"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stock-based compensation and leases.</w:t>
      </w:r>
    </w:p>
    <w:p>
      <w:pPr>
        <w:spacing w:after="0" w:line="215" w:lineRule="exact"/>
        <w:rPr>
          <w:sz w:val="20"/>
          <w:szCs w:val="20"/>
          <w:color w:val="auto"/>
        </w:rPr>
      </w:pPr>
    </w:p>
    <w:p>
      <w:pPr>
        <w:ind w:left="60" w:right="419" w:firstLine="648"/>
        <w:spacing w:after="0" w:line="243" w:lineRule="auto"/>
        <w:rPr>
          <w:sz w:val="20"/>
          <w:szCs w:val="20"/>
          <w:color w:val="auto"/>
        </w:rPr>
      </w:pPr>
      <w:r>
        <w:rPr>
          <w:rFonts w:ascii="Arial" w:cs="Arial" w:eastAsia="Arial" w:hAnsi="Arial"/>
          <w:sz w:val="18"/>
          <w:szCs w:val="18"/>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2020. There have been no significant changes to our critical accounting policies since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212" w:lineRule="exact"/>
        <w:rPr>
          <w:sz w:val="20"/>
          <w:szCs w:val="20"/>
          <w:color w:val="auto"/>
        </w:rPr>
      </w:pPr>
    </w:p>
    <w:p>
      <w:pPr>
        <w:ind w:left="60" w:right="43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three months ended June 30, 2021 and 2020, together with the changes in those items in dollars and as a percentage: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 Change</w:t>
            </w:r>
          </w:p>
        </w:tc>
        <w:tc>
          <w:tcPr>
            <w:tcW w:w="880" w:type="dxa"/>
            <w:vAlign w:val="bottom"/>
            <w:gridSpan w:val="2"/>
            <w:vMerge w:val="restart"/>
          </w:tcPr>
          <w:p>
            <w:pPr>
              <w:jc w:val="right"/>
              <w:ind w:right="11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3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11,433</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5,680</w:t>
            </w:r>
          </w:p>
        </w:tc>
        <w:tc>
          <w:tcPr>
            <w:tcW w:w="360" w:type="dxa"/>
            <w:vAlign w:val="bottom"/>
            <w:gridSpan w:val="2"/>
          </w:tcPr>
          <w:p>
            <w:pPr>
              <w:jc w:val="right"/>
              <w:ind w:right="39"/>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5,753</w:t>
            </w:r>
          </w:p>
        </w:tc>
        <w:tc>
          <w:tcPr>
            <w:tcW w:w="1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15,862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13,199</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27,295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8,343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18,952</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and operating expenses: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6,493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6,366</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5,013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80,027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91,079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(11,052)</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49,286</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42,174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7,112</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cost and operating expenses</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135,806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133,380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2,426</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expense, net</w:t>
            </w:r>
          </w:p>
        </w:tc>
        <w:tc>
          <w:tcPr>
            <w:tcW w:w="10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(373)</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(350)</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(1,522)</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other income</w:t>
            </w:r>
          </w:p>
        </w:tc>
        <w:tc>
          <w:tcPr>
            <w:tcW w:w="1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1,563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(1,303)</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95"/>
              </w:rPr>
              <w:t>(108,251)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90"/>
              </w:rPr>
              <w:t>(123,474)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444444"/>
              </w:rPr>
              <w:t>15,223</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60" w:type="dxa"/>
            <w:vAlign w:val="bottom"/>
          </w:tcPr>
          <w:p>
            <w:pPr>
              <w:spacing w:after="0" w:line="196" w:lineRule="exact"/>
              <w:rPr>
                <w:sz w:val="20"/>
                <w:szCs w:val="20"/>
                <w:color w:val="auto"/>
              </w:rPr>
            </w:pPr>
            <w:r>
              <w:rPr>
                <w:rFonts w:ascii="Arial" w:cs="Arial" w:eastAsia="Arial" w:hAnsi="Arial"/>
                <w:sz w:val="18"/>
                <w:szCs w:val="18"/>
                <w:color w:val="auto"/>
              </w:rPr>
              <w:t>Net loss</w:t>
            </w:r>
          </w:p>
        </w:tc>
        <w:tc>
          <w:tcPr>
            <w:tcW w:w="10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(108,444)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(123,474)</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15,030</w:t>
            </w:r>
          </w:p>
        </w:tc>
        <w:tc>
          <w:tcPr>
            <w:tcW w:w="140" w:type="dxa"/>
            <w:vAlign w:val="bottom"/>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Product revenue, net increased by $5.8 million from $5.7 million for three months ended June 30, 2020 to $11.4 million for three months ended June 30, 2021. For the three months ended June 30, 2021, our product revenue consisted of $8.5 million net product revenue from the sale of AYVAKIT/AYVAKYT and $2.9 million net product revenue from the sale of GAVRETO. We started generating revenue from sales of AYVAKIT in the first quarter of 2020 following the initial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For the three months ended June 30, 2020, we recorded net product revenue from the sale of AYVAKIT of $5.7 million.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Collaboration revenue increased by $13.2 million from $2.7 million for the three months ended June 30, 2020 to $15.9 million for the three months ended June 30, 2021. For the three months ended June 30, 2021, our collaboration revenue consisted of $12.3 million in revenue under our CStone collaboration, $1.9 million in revenue under our collaboration agreement with Roche for pralsetinib, $1.3 million revenue under our cancer immunotherapy collaboration with Roche. Revenue recognized under our CStone collaboration for the three months ended June 30, 2021 primarily generated by the manufacturing services associated with CStone territory-specific activities during the quarter, including supply of drug substance and drug product to CStone for sale in their territory. Revenue recognized under our collaboration with Roche for pralsetinib for the three months ended June 30, 2021 was associated with manufacturing</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48" w:lineRule="auto"/>
        <w:rPr>
          <w:sz w:val="20"/>
          <w:szCs w:val="20"/>
          <w:color w:val="auto"/>
        </w:rPr>
      </w:pPr>
      <w:r>
        <w:rPr>
          <w:rFonts w:ascii="Arial" w:cs="Arial" w:eastAsia="Arial" w:hAnsi="Arial"/>
          <w:sz w:val="18"/>
          <w:szCs w:val="18"/>
          <w:color w:val="auto"/>
        </w:rPr>
        <w:t>and other services related to Roche territory-specific activities. Revenue recognized under our cancer immunotherapy collaboration with Roche for the three months ended June 30, 2021 was primarily related to amortization of the total $64.5 million of upfront and milestone payments received as of such period.</w:t>
      </w:r>
    </w:p>
    <w:p>
      <w:pPr>
        <w:spacing w:after="0" w:line="182"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Collaboration revenue for the three months ended June 30, 2020 consisted of $1.3 million in revenue under our CStone collaboration and $1.1 million in revenue under our cancer immunotherapy collaboration with Roche. Revenue recognized under our CStone collaboration for the three months ended June 30, 2020 primarily related to manufacturing services provided for territory-specific activities during the quarter. Revenue recognized under our cancer immunotherapy collaboration with Roche for the three months ended June 30, 2020 primarily related to amortization of the total $63.0 million of upfront and milestone payments received as of such period.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Cost of product sales increased by $6.4 million from $0.1 million during the three months ended June 30, 2020 to $6.5 million for the three months ended June 30, 2021 and was related to manufacturing costs associated with our products sales as well as costs associated with the sale of drug product to our collaboration partners. The increase in costs of product sales was primarily driven by the lower margin product sales to our collaboration partners during the three months ended June 30, 2021. Costs associated with product revenue, net remain at higher margins as costs associated with the manufacture of our drugs prior to FDA approval were recorded as research and development expenses and, therefore, are not included in cost of sales during such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Research and development expense decreased by $11.1 million from $91.1 million for the three months ended June 30, 2020 to $80.0 million for the three months ended June 30, 2021. The decrease in research and development expense was primarily related to approximately $12.7 million in decreased expenses associated with the manufacturing of clinical supply and approximately $2.1 million reimbursement from the global development cost sharing arrangement under our collaboration with Roche for pralsetinib. This decrease in research and development expense was primarily offset by an increase of approximately $3.6 million in costs related to early discovery efforts and an increase in personnel expenses, primarily consisting of an increase of $1.8 million in stock-based compensation expense.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7"/>
          <w:szCs w:val="17"/>
          <w:color w:val="auto"/>
        </w:rPr>
        <w:t>Selling, general and administrative expense increased by $7.1 million from $42.2 million for the three months ended June 30, 2020 to $49.3 million for the three months ended June 30, 2021. The increase in selling, general and administrative expense was primarily related to increased costs and personnel expenses, including an increase of $3.0 million in stock-based compensation expense, as well as an increase of $4.0 million in commercial expenses to build our commercial infrastructure for commercialization of AYVAKIT/AYVAKYT and GAVRETO. The increase in selling, general and administrative expense was partially offset by a $2.2 million reimbursement in connection with the commercialization of GAVRETO in the U.S. under our collaboration with Roche for pralsetinib.</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12" w:lineRule="exact"/>
        <w:rPr>
          <w:sz w:val="20"/>
          <w:szCs w:val="20"/>
          <w:color w:val="auto"/>
        </w:rPr>
      </w:pPr>
    </w:p>
    <w:p>
      <w:pPr>
        <w:ind w:left="60" w:right="419" w:firstLine="648"/>
        <w:spacing w:after="0" w:line="248" w:lineRule="auto"/>
        <w:rPr>
          <w:sz w:val="20"/>
          <w:szCs w:val="20"/>
          <w:color w:val="auto"/>
        </w:rPr>
      </w:pPr>
      <w:r>
        <w:rPr>
          <w:rFonts w:ascii="Arial" w:cs="Arial" w:eastAsia="Arial" w:hAnsi="Arial"/>
          <w:sz w:val="18"/>
          <w:szCs w:val="18"/>
          <w:color w:val="auto"/>
        </w:rPr>
        <w:t>Interest income, net, decreased by $1.0 million from $1.6 million for the three months ended June 30, 2020 to $0.6 million for the three months ended June 30, 2021. The decrease was primarily due to a lower rate of return on investments in the capital markets.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left="60" w:right="999" w:firstLine="648"/>
        <w:spacing w:after="0" w:line="261" w:lineRule="auto"/>
        <w:rPr>
          <w:sz w:val="20"/>
          <w:szCs w:val="20"/>
          <w:color w:val="auto"/>
        </w:rPr>
      </w:pPr>
      <w:r>
        <w:rPr>
          <w:rFonts w:ascii="Arial" w:cs="Arial" w:eastAsia="Arial" w:hAnsi="Arial"/>
          <w:sz w:val="18"/>
          <w:szCs w:val="18"/>
          <w:color w:val="auto"/>
        </w:rPr>
        <w:t>Other expenses, net, increased by $0.4 million from an immaterial amount for the three months ended June 30, 2020 to $0.4 million for the three months ended June 30,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12" w:lineRule="exact"/>
        <w:rPr>
          <w:sz w:val="20"/>
          <w:szCs w:val="20"/>
          <w:color w:val="auto"/>
        </w:rPr>
      </w:pPr>
    </w:p>
    <w:p>
      <w:pPr>
        <w:ind w:left="60" w:right="419" w:firstLine="648"/>
        <w:spacing w:after="0" w:line="261" w:lineRule="auto"/>
        <w:rPr>
          <w:sz w:val="20"/>
          <w:szCs w:val="20"/>
          <w:color w:val="auto"/>
        </w:rPr>
      </w:pPr>
      <w:r>
        <w:rPr>
          <w:rFonts w:ascii="Arial" w:cs="Arial" w:eastAsia="Arial" w:hAnsi="Arial"/>
          <w:sz w:val="18"/>
          <w:szCs w:val="18"/>
          <w:color w:val="auto"/>
        </w:rPr>
        <w:t>Income tax expense consisted of $0.2 million for the three months ended June 30, 2021, related to federal and international income tax provisions.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p>
      <w:pPr>
        <w:spacing w:after="0" w:line="212" w:lineRule="exact"/>
        <w:rPr>
          <w:sz w:val="20"/>
          <w:szCs w:val="20"/>
          <w:color w:val="auto"/>
        </w:rPr>
      </w:pPr>
    </w:p>
    <w:p>
      <w:pPr>
        <w:ind w:left="60" w:right="579" w:firstLine="648"/>
        <w:spacing w:after="0" w:line="261" w:lineRule="auto"/>
        <w:rPr>
          <w:sz w:val="20"/>
          <w:szCs w:val="20"/>
          <w:color w:val="auto"/>
        </w:rPr>
      </w:pPr>
      <w:r>
        <w:rPr>
          <w:rFonts w:ascii="Arial" w:cs="Arial" w:eastAsia="Arial" w:hAnsi="Arial"/>
          <w:sz w:val="18"/>
          <w:szCs w:val="18"/>
          <w:color w:val="auto"/>
        </w:rPr>
        <w:t>The following table summarizes our results of operations for the six months ended June 30, 2021 and 2020, together with the changes in those items in dollars and as a percentage:</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Dollar Change</w:t>
            </w:r>
          </w:p>
        </w:tc>
        <w:tc>
          <w:tcPr>
            <w:tcW w:w="140" w:type="dxa"/>
            <w:vAlign w:val="bottom"/>
            <w:vMerge w:val="restart"/>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18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940" w:type="dxa"/>
            <w:vAlign w:val="bottom"/>
            <w:tcBorders>
              <w:bottom w:val="single" w:sz="8" w:color="auto"/>
            </w:tcBorders>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Product revenue, net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20,388</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9,138</w:t>
            </w:r>
          </w:p>
        </w:tc>
        <w:tc>
          <w:tcPr>
            <w:tcW w:w="160" w:type="dxa"/>
            <w:vAlign w:val="bottom"/>
          </w:tcPr>
          <w:p>
            <w:pPr>
              <w:spacing w:after="0"/>
              <w:rPr>
                <w:sz w:val="17"/>
                <w:szCs w:val="17"/>
                <w:color w:val="auto"/>
              </w:rPr>
            </w:pP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11,250</w:t>
            </w:r>
          </w:p>
        </w:tc>
        <w:tc>
          <w:tcPr>
            <w:tcW w:w="14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Collaboration revenue</w:t>
            </w: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28,483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5,372</w:t>
            </w:r>
          </w:p>
        </w:tc>
        <w:tc>
          <w:tcPr>
            <w:tcW w:w="1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23,111</w:t>
            </w:r>
          </w:p>
        </w:tc>
        <w:tc>
          <w:tcPr>
            <w:tcW w:w="14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48,871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14,510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34,361</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Cost and operating expenses: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6,595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150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6,445</w:t>
            </w:r>
          </w:p>
        </w:tc>
        <w:tc>
          <w:tcPr>
            <w:tcW w:w="1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4,297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159,738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175,225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(15,487)</w:t>
            </w:r>
          </w:p>
        </w:tc>
        <w:tc>
          <w:tcPr>
            <w:tcW w:w="8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3"/>
        </w:trPr>
        <w:tc>
          <w:tcPr>
            <w:tcW w:w="48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91,288</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77,829</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13,459</w:t>
            </w:r>
          </w:p>
        </w:tc>
        <w:tc>
          <w:tcPr>
            <w:tcW w:w="1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cost and operating expenses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257,621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253,204</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4,417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4,490</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(3,119)</w:t>
            </w:r>
          </w:p>
        </w:tc>
        <w:tc>
          <w:tcPr>
            <w:tcW w:w="880" w:type="dxa"/>
            <w:vAlign w:val="bottom"/>
            <w:gridSpan w:val="2"/>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4820" w:type="dxa"/>
            <w:vAlign w:val="bottom"/>
          </w:tcPr>
          <w:p>
            <w:pPr>
              <w:ind w:left="220"/>
              <w:spacing w:after="0" w:line="202"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(587)</w:t>
            </w:r>
          </w:p>
        </w:tc>
        <w:tc>
          <w:tcPr>
            <w:tcW w:w="180" w:type="dxa"/>
            <w:vAlign w:val="bottom"/>
          </w:tcPr>
          <w:p>
            <w:pPr>
              <w:spacing w:after="0"/>
              <w:rPr>
                <w:sz w:val="17"/>
                <w:szCs w:val="17"/>
                <w:color w:val="auto"/>
              </w:rPr>
            </w:pPr>
          </w:p>
        </w:tc>
        <w:tc>
          <w:tcPr>
            <w:tcW w:w="8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(224)</w:t>
            </w:r>
          </w:p>
        </w:tc>
        <w:tc>
          <w:tcPr>
            <w:tcW w:w="20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(363)</w:t>
            </w:r>
          </w:p>
        </w:tc>
        <w:tc>
          <w:tcPr>
            <w:tcW w:w="8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other income (expense), net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4,266</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(3,482)</w:t>
            </w: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95"/>
              </w:rPr>
              <w:t>(207,966)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w w:val="90"/>
              </w:rPr>
              <w:t>(234,428)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444444"/>
              </w:rPr>
              <w:t>26,462</w:t>
            </w: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(193)</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(208,159)</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(234,428)</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26,269</w:t>
            </w:r>
          </w:p>
        </w:tc>
        <w:tc>
          <w:tcPr>
            <w:tcW w:w="1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Revenue, Net</w:t>
      </w:r>
    </w:p>
    <w:p>
      <w:pPr>
        <w:spacing w:after="0" w:line="212"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Product revenue, net increased by $11.3 million from $9.1 million for the six months ended June 30, 2020 to $20.4 million for the six months ended June 30, 2021. For the six months ended June 30, 2021, our product revenue consisted of $15.7 million net product revenue from the sale of AYVAKIT/AYVAKYT and $4.7 million net product revenue from the sale of GAVRETO. We started generating revenue from sales of AYVAKIT in the first quarter of 2020 following the initial FDA approval of AYVAKIT for the treatment of adults with unresectable or metastatic GIST harboring a PDGFRA exon 18 mutation, including PDGFRA D842V mutations. In September 2020, the European Commission granted conditional marketing authorization to avapritinib under the brand name AYVAKYT as a monotherapy for the treatment of adult patients with unresectable or metastatic GIST harboring the PDGFRA D842V mutation. In June 2021, the FDA granted a subsequent approval for AYVAKIT, expanding the labeled indications to include adult patients with Advanced SM, including aggressive SM, SM with an associated hematological neoplasm and mast cell leukemia. We started generating revenue from sales of GAVRETO in the third quarter of 2020 following the initial FDA approval of GAVRETO. GAVRETO was originally approved for the treatment of adult patients with metastatic RET fusion-positive NSCLC and subsequently approved for adult and pediatric patients 12 years of age and older with advanced or metastatic thyroid cancer who require systemic therapy and who are radioactive iodine-refractory (if radioactive iodine is appropriate). For the six months ended June 30, 2020, we recorded net product revenue from the sale of AYVAKIT of $9.1 million.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212" w:lineRule="exact"/>
        <w:rPr>
          <w:sz w:val="20"/>
          <w:szCs w:val="20"/>
          <w:color w:val="auto"/>
        </w:rPr>
      </w:pPr>
    </w:p>
    <w:p>
      <w:pPr>
        <w:ind w:left="60" w:right="219" w:firstLine="648"/>
        <w:spacing w:after="0" w:line="272" w:lineRule="auto"/>
        <w:rPr>
          <w:sz w:val="20"/>
          <w:szCs w:val="20"/>
          <w:color w:val="auto"/>
        </w:rPr>
      </w:pPr>
      <w:r>
        <w:rPr>
          <w:rFonts w:ascii="Arial" w:cs="Arial" w:eastAsia="Arial" w:hAnsi="Arial"/>
          <w:sz w:val="16"/>
          <w:szCs w:val="16"/>
          <w:color w:val="auto"/>
        </w:rPr>
        <w:t>Collaboration revenue increased by $23.1 million from $5.4 million for the six months ended June 30, 2020 to $28.5 million for the six months ended June 30, 2021. For the six months ended June 30, 2021, our collaboration revenue consisted of $21.6 million in revenue under our CStone collaboration, $3.7 million in revenue under our collaboration agreement with Roche for pralsetinib, $2.9 million revenue under our cancer immunotherapy collaboration with Roche. Revenue recognized under our CStone collaboration for the six months ended June 30, 2021 primarily consisted of $9.0 million in milestone revenue related to regulatory and development milestones that were achieved during the period and $10.5 million related to manufacturing services associated with CStone territory-specific activities during the period, including supply of drug substance and drug product to CStone for sale in their territory. Revenue</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2" w:lineRule="auto"/>
        <w:rPr>
          <w:sz w:val="20"/>
          <w:szCs w:val="20"/>
          <w:color w:val="auto"/>
        </w:rPr>
      </w:pPr>
      <w:r>
        <w:rPr>
          <w:rFonts w:ascii="Arial" w:cs="Arial" w:eastAsia="Arial" w:hAnsi="Arial"/>
          <w:sz w:val="17"/>
          <w:szCs w:val="17"/>
          <w:color w:val="auto"/>
        </w:rPr>
        <w:t>recognized under our collaboration with Roche for pralsetinib for the six months ended June 30, 2021 was associated with manufacturing and other services related to Roche territory-specific activities. Revenue recognized under our cancer immunotherapy collaboration with Roche for the six months ended June 30, 2021 was primarily related to amortization of the $64.5 million of upfront and milestone payments received as of such period.</w:t>
      </w:r>
    </w:p>
    <w:p>
      <w:pPr>
        <w:spacing w:after="0" w:line="172" w:lineRule="exact"/>
        <w:rPr>
          <w:sz w:val="20"/>
          <w:szCs w:val="20"/>
          <w:color w:val="auto"/>
        </w:rPr>
      </w:pPr>
    </w:p>
    <w:p>
      <w:pPr>
        <w:ind w:left="60" w:right="259" w:firstLine="693"/>
        <w:spacing w:after="0" w:line="257" w:lineRule="auto"/>
        <w:rPr>
          <w:sz w:val="20"/>
          <w:szCs w:val="20"/>
          <w:color w:val="auto"/>
        </w:rPr>
      </w:pPr>
      <w:r>
        <w:rPr>
          <w:rFonts w:ascii="Arial" w:cs="Arial" w:eastAsia="Arial" w:hAnsi="Arial"/>
          <w:sz w:val="17"/>
          <w:szCs w:val="17"/>
          <w:color w:val="auto"/>
        </w:rPr>
        <w:t>Collaboration revenue for the six months ended June 30, 2020 consisted of $3.4 million in revenue under our CStone collaboration and $1.7 million in revenue under our cancer immunotherapy collaboration with Roche. Revenue recognized under our CStone collaboration for the six months ended June 30, 2020 primarily consisted of $2.0 million in revenue related to a milestone achieved during the quarter. The revenue recognized under our cancer immunotherapy collaboration with Roche for the six months ended June 30, 2020 was primarily related to amortization of the total $63.0 million of upfront and milestone payments received as of such period.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Cost of Product Sales</w:t>
      </w:r>
    </w:p>
    <w:p>
      <w:pPr>
        <w:spacing w:after="0" w:line="212"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7"/>
          <w:szCs w:val="17"/>
          <w:color w:val="auto"/>
        </w:rPr>
        <w:t>Cost of product sales increased by $6.4 million from $0.2 million during the six months ended June 30, 2020 to $6.6 million for the six months ended June 30, 2021 and was related to manufacturing costs associated with our products sales as well as costs associated with the sale of drug product to our collaboration partners. The increase in costs of product sales was primarily driven by the lower margin product sales to our collaboration partners during the six months ended June 30, 2021. Costs associated with product revenue, net remain at higher margins as costs associated with the manufacture of our drugs prior to FDA approval were recorded as research and development expenses and, therefore, are not included in cost of sales during such period.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w:t>
      </w:r>
    </w:p>
    <w:p>
      <w:pPr>
        <w:spacing w:after="0" w:line="212"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Research and development expense decreased by $15.5 million from $175.2 million for the six months ended June 30, 2020 to $159.7 million for the six months ended June 30, 2021. The decrease in research and development expense was primarily related to approximately $14.5 million in decreased expenses associated with the manufacturing of clinical supply and approximately $6.2 million reimbursement from the global development cost sharing arrangement under our collaboration with Roche for pralsetinib. This decrease in research and development expense was primarily offset by an increase of approximately $8.2 million in costs related to early discovery efforts and an increase in personnel expenses, primarily consisting of an increase of $2.9 million in stock-based compensation expense.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212"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7"/>
          <w:szCs w:val="17"/>
          <w:color w:val="auto"/>
        </w:rPr>
        <w:t>Selling, general and administrative expense increased by $13.5 million from $77.8 million for the six months ended June 30, 2020 to $91.3 million for the six months ended June 30, 2021. The increase in selling, general and administrative expense was primarily related to increased costs and personnel expenses, including an increase of $5.7 million in stock-based compensation expense, as well as an increase of $8.0 million in commercial expenses to build our commercial infrastructure for commercialization of AYVAKIT/AYVAKYT and GAVRETO. The increase in selling, general and administrative expense was partially offset by a $5.2 million reimbursement in connection with the commercialization of GAVRETO in the U.S. under our collaboration with Roche for pralsetinib.</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 Net</w:t>
      </w:r>
    </w:p>
    <w:p>
      <w:pPr>
        <w:spacing w:after="0" w:line="212" w:lineRule="exact"/>
        <w:rPr>
          <w:sz w:val="20"/>
          <w:szCs w:val="20"/>
          <w:color w:val="auto"/>
        </w:rPr>
      </w:pPr>
    </w:p>
    <w:p>
      <w:pPr>
        <w:jc w:val="both"/>
        <w:ind w:left="60" w:right="139" w:firstLine="648"/>
        <w:spacing w:after="0" w:line="248" w:lineRule="auto"/>
        <w:rPr>
          <w:sz w:val="20"/>
          <w:szCs w:val="20"/>
          <w:color w:val="auto"/>
        </w:rPr>
      </w:pPr>
      <w:r>
        <w:rPr>
          <w:rFonts w:ascii="Arial" w:cs="Arial" w:eastAsia="Arial" w:hAnsi="Arial"/>
          <w:sz w:val="18"/>
          <w:szCs w:val="18"/>
          <w:color w:val="auto"/>
        </w:rPr>
        <w:t>Interest income, net, decreased by $3.1 million from $4.5 million for the six months ended June 30, 2020 to $1.4 million for the six months ended June 30, 2021. The decrease was primarily due to a lower rate of return on investments in the capital markets.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Expense, Net</w:t>
      </w:r>
    </w:p>
    <w:p>
      <w:pPr>
        <w:spacing w:after="0" w:line="212" w:lineRule="exact"/>
        <w:rPr>
          <w:sz w:val="20"/>
          <w:szCs w:val="20"/>
          <w:color w:val="auto"/>
        </w:rPr>
      </w:pPr>
    </w:p>
    <w:p>
      <w:pPr>
        <w:ind w:left="60" w:right="259" w:firstLine="648"/>
        <w:spacing w:after="0" w:line="261" w:lineRule="auto"/>
        <w:rPr>
          <w:sz w:val="20"/>
          <w:szCs w:val="20"/>
          <w:color w:val="auto"/>
        </w:rPr>
      </w:pPr>
      <w:r>
        <w:rPr>
          <w:rFonts w:ascii="Arial" w:cs="Arial" w:eastAsia="Arial" w:hAnsi="Arial"/>
          <w:sz w:val="18"/>
          <w:szCs w:val="18"/>
          <w:color w:val="auto"/>
        </w:rPr>
        <w:t>Other expenses, net, increased by $0.4 million from $0.2 million for the six months ended June 30, 2020 to $0.6 million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 Expense</w:t>
      </w:r>
    </w:p>
    <w:p>
      <w:pPr>
        <w:spacing w:after="0" w:line="212" w:lineRule="exact"/>
        <w:rPr>
          <w:sz w:val="20"/>
          <w:szCs w:val="20"/>
          <w:color w:val="auto"/>
        </w:rPr>
      </w:pPr>
    </w:p>
    <w:p>
      <w:pPr>
        <w:ind w:left="60" w:right="579" w:firstLine="648"/>
        <w:spacing w:after="0" w:line="261" w:lineRule="auto"/>
        <w:rPr>
          <w:sz w:val="20"/>
          <w:szCs w:val="20"/>
          <w:color w:val="auto"/>
        </w:rPr>
      </w:pPr>
      <w:r>
        <w:rPr>
          <w:rFonts w:ascii="Arial" w:cs="Arial" w:eastAsia="Arial" w:hAnsi="Arial"/>
          <w:sz w:val="18"/>
          <w:szCs w:val="18"/>
          <w:color w:val="auto"/>
        </w:rPr>
        <w:t>Income tax expense consisted of $0.2 million for the six months ended June 30, 2021, related to federal and international income tax provisions.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119"/>
        <w:spacing w:after="0" w:line="237" w:lineRule="auto"/>
        <w:rPr>
          <w:sz w:val="20"/>
          <w:szCs w:val="20"/>
          <w:color w:val="auto"/>
        </w:rPr>
      </w:pPr>
      <w:r>
        <w:rPr>
          <w:rFonts w:ascii="Arial" w:cs="Arial" w:eastAsia="Arial" w:hAnsi="Arial"/>
          <w:sz w:val="18"/>
          <w:szCs w:val="18"/>
          <w:color w:val="auto"/>
        </w:rPr>
        <w:t>June 30, 2021, we have received an aggregate of $2.9 billion from such transactions, including $1.9 billion in aggregate gross proceeds from the sale of common stock in our IPO, follow-on public offerings, through our “at the market” stock offering program and the equity investment by Roche, $115.1 million in gross proceeds from the issuance of convertible preferred stock, $921.3 million in upfront payments and milestone payments under our collaborations with Roche and CStone, our license agreement with Clementia and our former collaboration with Alexion. In addition, since January 2020, we have generated limited product revenue.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June 30, 2021, we had cash, cash equivalents and marketable securities of $1,380.1 million.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provides information regarding our cash flows for the six months ended June 30, 2021 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2020:</w:t>
      </w:r>
    </w:p>
    <w:p>
      <w:pPr>
        <w:spacing w:after="0" w:line="201"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ind w:left="2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940" w:type="dxa"/>
            <w:vAlign w:val="bottom"/>
            <w:tcBorders>
              <w:bottom w:val="single" w:sz="8" w:color="CCEEFF"/>
            </w:tcBorders>
            <w:vMerge w:val="continue"/>
          </w:tcPr>
          <w:p>
            <w:pPr>
              <w:spacing w:after="0"/>
              <w:rPr>
                <w:sz w:val="13"/>
                <w:szCs w:val="13"/>
                <w:color w:val="auto"/>
              </w:rPr>
            </w:pPr>
          </w:p>
        </w:tc>
        <w:tc>
          <w:tcPr>
            <w:tcW w:w="19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19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(188,943)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(210,492)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1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17,021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71,421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19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21,865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313,325</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line="196" w:lineRule="exact"/>
              <w:rPr>
                <w:sz w:val="20"/>
                <w:szCs w:val="20"/>
                <w:color w:val="auto"/>
              </w:rPr>
            </w:pPr>
            <w:r>
              <w:rPr>
                <w:rFonts w:ascii="Arial" w:cs="Arial" w:eastAsia="Arial" w:hAnsi="Arial"/>
                <w:sz w:val="18"/>
                <w:szCs w:val="18"/>
                <w:color w:val="auto"/>
              </w:rPr>
              <w:t>Net increase in cash and cash equivalents</w:t>
            </w:r>
          </w:p>
        </w:tc>
        <w:tc>
          <w:tcPr>
            <w:tcW w:w="19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(150,057)</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174,254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239" w:firstLine="648"/>
        <w:spacing w:after="0" w:line="248" w:lineRule="auto"/>
        <w:rPr>
          <w:sz w:val="20"/>
          <w:szCs w:val="20"/>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For the six months ended June 30, 2021, compared to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$21.5 million decrease in net cash used in operating activities was primarily due to a decrease in net loss driven by an increase in revenue.</w:t>
      </w:r>
    </w:p>
    <w:p>
      <w:pPr>
        <w:spacing w:after="0" w:line="155" w:lineRule="exact"/>
        <w:rPr>
          <w:sz w:val="20"/>
          <w:szCs w:val="20"/>
          <w:color w:val="auto"/>
        </w:rPr>
      </w:pPr>
    </w:p>
    <w:p>
      <w:pPr>
        <w:ind w:left="60" w:right="199" w:firstLine="648"/>
        <w:spacing w:after="0" w:line="248" w:lineRule="auto"/>
        <w:rPr>
          <w:sz w:val="20"/>
          <w:szCs w:val="20"/>
          <w:color w:val="auto"/>
        </w:rPr>
      </w:pPr>
      <w:r>
        <w:rPr>
          <w:rFonts w:ascii="Arial" w:cs="Arial" w:eastAsia="Arial" w:hAnsi="Arial"/>
          <w:sz w:val="18"/>
          <w:szCs w:val="18"/>
          <w:i w:val="1"/>
          <w:iCs w:val="1"/>
          <w:color w:val="auto"/>
        </w:rPr>
        <w:t xml:space="preserve">Net Cash Provided by Investing Activities. </w:t>
      </w:r>
      <w:r>
        <w:rPr>
          <w:rFonts w:ascii="Arial" w:cs="Arial" w:eastAsia="Arial" w:hAnsi="Arial"/>
          <w:sz w:val="18"/>
          <w:szCs w:val="18"/>
          <w:color w:val="auto"/>
        </w:rPr>
        <w:t>For the six months ended June 30, 2021,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the $54.4 million decrease in net cash provided by investing activities was primarily due to a decrease in net purchases of available-for-sale investments.</w:t>
      </w:r>
    </w:p>
    <w:p>
      <w:pPr>
        <w:spacing w:after="0" w:line="155"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For the six months ended June 30, 2021,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in 2020, the $291.5 million decrease in net cash provided by financing activities was primarily due to the $308.4 million in net proceeds received from January 2020 follow-on public offering, which was partially offset by a $16.9 million increase in net proceeds received from stock option exercises and the issuance of common stock under our employee stock purchase plan.</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Funding Requirements</w:t>
      </w:r>
    </w:p>
    <w:p>
      <w:pPr>
        <w:spacing w:after="0" w:line="252" w:lineRule="exact"/>
        <w:rPr>
          <w:sz w:val="20"/>
          <w:szCs w:val="20"/>
          <w:color w:val="auto"/>
        </w:rPr>
      </w:pPr>
    </w:p>
    <w:p>
      <w:pPr>
        <w:ind w:left="60" w:right="119" w:firstLine="648"/>
        <w:spacing w:after="0" w:line="274"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avapritinib and pralsetinib for additional indications or in additional geographies.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will also incur additional significant costs if we choose to pursue additional indications or geographies for any of our</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approved drugs or drug candidates or otherwise expand more rapidly than we presently anticipate. Accordingly, we may seek to obtain additional funding from time to time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228" w:lineRule="exact"/>
        <w:rPr>
          <w:sz w:val="20"/>
          <w:szCs w:val="20"/>
          <w:color w:val="auto"/>
        </w:rPr>
      </w:pPr>
    </w:p>
    <w:p>
      <w:pPr>
        <w:ind w:left="60" w:right="279" w:firstLine="648"/>
        <w:spacing w:after="0" w:line="243" w:lineRule="auto"/>
        <w:rPr>
          <w:sz w:val="20"/>
          <w:szCs w:val="20"/>
          <w:color w:val="auto"/>
        </w:rPr>
      </w:pPr>
      <w:r>
        <w:rPr>
          <w:rFonts w:ascii="Arial" w:cs="Arial" w:eastAsia="Arial" w:hAnsi="Arial"/>
          <w:sz w:val="18"/>
          <w:szCs w:val="18"/>
          <w:color w:val="auto"/>
        </w:rPr>
        <w:t>As of June 30, 2021, we had cash, cash equivalents and marketable securities of $1,380.1 million. Based on our current operating plans, we anticipate our existing cash, cash equivalents and marketable securities, together with anticipated future product revenues, will provide sufficient capital to enable us to achieve a self-sustainable financial profile.</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212" w:lineRule="exact"/>
        <w:rPr>
          <w:sz w:val="20"/>
          <w:szCs w:val="20"/>
          <w:color w:val="auto"/>
        </w:rPr>
      </w:pPr>
    </w:p>
    <w:p>
      <w:pPr>
        <w:ind w:left="1380" w:right="379" w:hanging="331"/>
        <w:spacing w:after="0" w:line="32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80" w:right="33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as applicable;</w:t>
      </w:r>
    </w:p>
    <w:p>
      <w:pPr>
        <w:spacing w:after="0" w:line="147" w:lineRule="exact"/>
        <w:rPr>
          <w:rFonts w:ascii="Arial" w:cs="Arial" w:eastAsia="Arial" w:hAnsi="Arial"/>
          <w:sz w:val="16"/>
          <w:szCs w:val="16"/>
          <w:color w:val="auto"/>
        </w:rPr>
      </w:pPr>
    </w:p>
    <w:p>
      <w:pPr>
        <w:ind w:left="1380" w:right="15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80" w:right="33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181" w:lineRule="exact"/>
        <w:rPr>
          <w:rFonts w:ascii="Arial" w:cs="Arial" w:eastAsia="Arial" w:hAnsi="Arial"/>
          <w:sz w:val="18"/>
          <w:szCs w:val="18"/>
          <w:color w:val="auto"/>
        </w:rPr>
      </w:pPr>
    </w:p>
    <w:p>
      <w:pPr>
        <w:ind w:left="1380" w:right="23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80" w:right="119" w:hanging="331"/>
        <w:spacing w:after="0" w:line="24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80" w:right="25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80" w:right="699" w:hanging="331"/>
        <w:spacing w:after="0" w:line="261"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80" w:right="759" w:hanging="331"/>
        <w:spacing w:after="0" w:line="291" w:lineRule="auto"/>
        <w:tabs>
          <w:tab w:leader="none" w:pos="1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80" w:hanging="331"/>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39"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7"/>
          <w:szCs w:val="17"/>
          <w:color w:val="auto"/>
        </w:rPr>
        <w:t>Identifying potential drug candidates, conducting pre-clinical development and testing and clinical trials and, for any drug candidates that receive marketing approval, establishing and maintaining commercial infrastructure is a</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74" w:lineRule="auto"/>
        <w:rPr>
          <w:sz w:val="20"/>
          <w:szCs w:val="20"/>
          <w:color w:val="auto"/>
        </w:rPr>
      </w:pPr>
      <w:r>
        <w:rPr>
          <w:rFonts w:ascii="Arial" w:cs="Arial" w:eastAsia="Arial" w:hAnsi="Arial"/>
          <w:sz w:val="16"/>
          <w:szCs w:val="16"/>
          <w:color w:val="auto"/>
        </w:rPr>
        <w:t>time-consuming, expensive and uncertain process that takes years to complete, and we may never generate the necessary data or results required to obtain additional marketing approvals, including for avapritinib and pralsetinib in additional indications or in additional geographies, and achieve substantial revenues for any of our drugs that receive marketing approval, including for AYVAKIT/AYVAKYT and GAVRETO. In addition, our drugs and any current or future drug candidates that receive marketing approvals, including avapritinib and pralsetinib for additional indications or in additional geographies, may not achieve commercial success. Accordingly, we may need to rely on additional financing to achieve our business objectives. Adequate additional financing may not be available to us on acceptable terms, or at all.</w:t>
      </w:r>
    </w:p>
    <w:p>
      <w:pPr>
        <w:spacing w:after="0" w:line="204"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12"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left="60" w:right="619" w:firstLine="648"/>
        <w:spacing w:after="0" w:line="261" w:lineRule="auto"/>
        <w:rPr>
          <w:sz w:val="20"/>
          <w:szCs w:val="20"/>
          <w:color w:val="auto"/>
        </w:rPr>
      </w:pPr>
      <w:r>
        <w:rPr>
          <w:rFonts w:ascii="Arial" w:cs="Arial" w:eastAsia="Arial" w:hAnsi="Arial"/>
          <w:sz w:val="18"/>
          <w:szCs w:val="18"/>
          <w:color w:val="auto"/>
        </w:rPr>
        <w:t>Our contractual obligations primarily consist of our obligations under non-cancellable operating leases and unconditional purchase obligations related to certain commercial manufacturing agreements.</w:t>
      </w:r>
    </w:p>
    <w:p>
      <w:pPr>
        <w:spacing w:after="0" w:line="211"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During the six months ended June 30, 2021, there were no material changes to our contractual obligations and commitments described under “Management’s Discussion and Analysis of Financial Condition and Results of Operations” included in the Annual Report on Form 10-K for the year ended December 31, 2020.</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16"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0" w:right="119" w:firstLine="648"/>
        <w:spacing w:after="0" w:line="248" w:lineRule="auto"/>
        <w:rPr>
          <w:sz w:val="20"/>
          <w:szCs w:val="20"/>
          <w:color w:val="auto"/>
        </w:rPr>
      </w:pPr>
      <w:r>
        <w:rPr>
          <w:rFonts w:ascii="Arial" w:cs="Arial" w:eastAsia="Arial" w:hAnsi="Arial"/>
          <w:sz w:val="18"/>
          <w:szCs w:val="18"/>
          <w:color w:val="auto"/>
        </w:rPr>
        <w:t>As of June 30, 2021 and December 31, 2020, we had cash, cash equivalents and marketable securities of $1,380.1 million and $1,549.7 million, respectively, consisting primarily of money market funds and investments in U.S. government agency and treasury obligations.</w:t>
      </w:r>
    </w:p>
    <w:p>
      <w:pPr>
        <w:spacing w:after="0" w:line="155"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Our primary exposure to market risk is interest rate sensitivity, which is affected by changes in the general level of U.S. interest rates, including recent changes resulting from the impact of the COVID-19 pandemic.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We are also exposed to market risk related to changes in foreign currency exchange rates, including recent changes resulting from the impact of the COVID-19 pandemic.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June 30, 2021 and December 31, 2020, we held limited funds and future obligations denominated in foreign currencies.</w:t>
      </w:r>
    </w:p>
    <w:p>
      <w:pPr>
        <w:spacing w:after="0" w:line="132" w:lineRule="exact"/>
        <w:rPr>
          <w:sz w:val="20"/>
          <w:szCs w:val="20"/>
          <w:color w:val="auto"/>
        </w:rPr>
      </w:pPr>
    </w:p>
    <w:p>
      <w:pPr>
        <w:ind w:left="60" w:right="159" w:firstLine="648"/>
        <w:spacing w:after="0" w:line="248" w:lineRule="auto"/>
        <w:rPr>
          <w:sz w:val="20"/>
          <w:szCs w:val="20"/>
          <w:color w:val="auto"/>
        </w:rPr>
      </w:pPr>
      <w:r>
        <w:rPr>
          <w:rFonts w:ascii="Arial" w:cs="Arial" w:eastAsia="Arial" w:hAnsi="Arial"/>
          <w:sz w:val="18"/>
          <w:szCs w:val="18"/>
          <w:color w:val="auto"/>
        </w:rPr>
        <w:t>Inflation generally affects us by increasing our cost of labor, clinical trial and manufacturing costs. We do not believe that inflation had a material effect on our business, financial condition or results of operations during the three and six months ended June 30, 2021 and 2020.</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212"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0"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2021. Based upon such evaluation, our Chief Executive Officer and Chief Financial Officer have concluded that, as of June 30, 2021, our disclosure controls and procedures were effective at the reasonable assurance level.</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12" w:lineRule="exact"/>
        <w:rPr>
          <w:sz w:val="20"/>
          <w:szCs w:val="20"/>
          <w:color w:val="auto"/>
        </w:rPr>
      </w:pPr>
    </w:p>
    <w:p>
      <w:pPr>
        <w:ind w:left="60" w:right="539" w:firstLine="648"/>
        <w:spacing w:after="0" w:line="248"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left="60" w:right="119" w:firstLine="648"/>
        <w:spacing w:after="0" w:line="276" w:lineRule="auto"/>
        <w:rPr>
          <w:sz w:val="20"/>
          <w:szCs w:val="20"/>
          <w:color w:val="auto"/>
        </w:rPr>
      </w:pPr>
      <w:r>
        <w:rPr>
          <w:rFonts w:ascii="Arial" w:cs="Arial" w:eastAsia="Arial" w:hAnsi="Arial"/>
          <w:sz w:val="16"/>
          <w:szCs w:val="16"/>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the Section titled “Forward-Looking Statements”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16"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Below is a summary of the material risks to our business, operations and the investment in our common stock. This summary does not address all of the risks that we face. Risks and uncertainties not presently known to us or that we presently deem less significant may also impair our business operations. Additional discussion of the risks summarized in this risk factor summary, and other risks that we face, can be found below and should be carefully considered, together with other information in this Quarterly Report on Form 10-Q in its entirety before making investment decisions regarding our common stock.</w:t>
      </w:r>
    </w:p>
    <w:p>
      <w:pPr>
        <w:spacing w:after="0" w:line="189" w:lineRule="exact"/>
        <w:rPr>
          <w:sz w:val="20"/>
          <w:szCs w:val="20"/>
          <w:color w:val="auto"/>
        </w:rPr>
      </w:pPr>
    </w:p>
    <w:p>
      <w:pPr>
        <w:ind w:left="1380" w:right="57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AYVAKIT/ AYVAKYT, GAVRETO or any future approved drugs may be unsuccessful or less successful than anticipated.</w:t>
      </w:r>
    </w:p>
    <w:p>
      <w:pPr>
        <w:spacing w:after="0" w:line="181" w:lineRule="exact"/>
        <w:rPr>
          <w:rFonts w:ascii="Arial" w:cs="Arial" w:eastAsia="Arial" w:hAnsi="Arial"/>
          <w:sz w:val="18"/>
          <w:szCs w:val="18"/>
          <w:color w:val="auto"/>
        </w:rPr>
      </w:pPr>
    </w:p>
    <w:p>
      <w:pPr>
        <w:ind w:left="1380" w:right="799" w:hanging="331"/>
        <w:spacing w:after="0" w:line="32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commercial success of our current and future drugs will depend upon the degree of market acceptance by physicians, patients, third-party payors and others in the medical community.</w:t>
      </w:r>
    </w:p>
    <w:p>
      <w:pPr>
        <w:spacing w:after="0" w:line="124" w:lineRule="exact"/>
        <w:rPr>
          <w:rFonts w:ascii="Arial" w:cs="Arial" w:eastAsia="Arial" w:hAnsi="Arial"/>
          <w:sz w:val="16"/>
          <w:szCs w:val="16"/>
          <w:color w:val="auto"/>
        </w:rPr>
      </w:pPr>
    </w:p>
    <w:p>
      <w:pPr>
        <w:ind w:left="1380" w:right="19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spacing w:after="0" w:line="170" w:lineRule="exact"/>
        <w:rPr>
          <w:rFonts w:ascii="Arial" w:cs="Arial" w:eastAsia="Arial" w:hAnsi="Arial"/>
          <w:sz w:val="18"/>
          <w:szCs w:val="18"/>
          <w:color w:val="auto"/>
        </w:rPr>
      </w:pPr>
    </w:p>
    <w:p>
      <w:pPr>
        <w:jc w:val="both"/>
        <w:ind w:left="1380" w:right="179" w:hanging="331"/>
        <w:spacing w:after="0" w:line="248"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1" w:lineRule="exact"/>
        <w:rPr>
          <w:rFonts w:ascii="Arial" w:cs="Arial" w:eastAsia="Arial" w:hAnsi="Arial"/>
          <w:sz w:val="18"/>
          <w:szCs w:val="18"/>
          <w:color w:val="auto"/>
        </w:rPr>
      </w:pPr>
    </w:p>
    <w:p>
      <w:pPr>
        <w:ind w:left="1380" w:right="11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commercializing, developing or discovering drugs before or more successfully than we do.</w:t>
      </w:r>
    </w:p>
    <w:p>
      <w:pPr>
        <w:spacing w:after="0" w:line="170" w:lineRule="exact"/>
        <w:rPr>
          <w:rFonts w:ascii="Arial" w:cs="Arial" w:eastAsia="Arial" w:hAnsi="Arial"/>
          <w:sz w:val="18"/>
          <w:szCs w:val="18"/>
          <w:color w:val="auto"/>
        </w:rPr>
      </w:pPr>
    </w:p>
    <w:p>
      <w:pPr>
        <w:ind w:left="1380" w:right="739" w:hanging="331"/>
        <w:spacing w:after="0" w:line="324" w:lineRule="auto"/>
        <w:tabs>
          <w:tab w:leader="none" w:pos="1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 liability lawsuits against us could cause us to incur substantial liabilities and could limit commercialization of any of our approved drugs or drug candidates that we may develop.</w:t>
      </w:r>
    </w:p>
    <w:p>
      <w:pPr>
        <w:spacing w:after="0" w:line="124" w:lineRule="exact"/>
        <w:rPr>
          <w:rFonts w:ascii="Arial" w:cs="Arial" w:eastAsia="Arial" w:hAnsi="Arial"/>
          <w:sz w:val="16"/>
          <w:szCs w:val="16"/>
          <w:color w:val="auto"/>
        </w:rPr>
      </w:pPr>
    </w:p>
    <w:p>
      <w:pPr>
        <w:ind w:left="1380" w:right="219" w:hanging="331"/>
        <w:spacing w:after="0" w:line="243"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are unable to advance our drug candidates to clinical development, obtain regulatory approval for our drug candidates, including for avapritinib and pralsetinib for additional indications or in additional geographies, and ultimately commercialize them, or experience significant delays in doing so, our business will be materially harmed.</w:t>
      </w:r>
    </w:p>
    <w:p>
      <w:pPr>
        <w:spacing w:after="0" w:line="187"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170" w:lineRule="exact"/>
        <w:rPr>
          <w:rFonts w:ascii="Arial" w:cs="Arial" w:eastAsia="Arial" w:hAnsi="Arial"/>
          <w:sz w:val="18"/>
          <w:szCs w:val="18"/>
          <w:color w:val="auto"/>
        </w:rPr>
      </w:pPr>
    </w:p>
    <w:p>
      <w:pPr>
        <w:ind w:left="1380" w:right="99" w:hanging="331"/>
        <w:spacing w:after="0" w:line="291" w:lineRule="auto"/>
        <w:tabs>
          <w:tab w:leader="none" w:pos="13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are not able to obtain, or if there are delays in obtaining, required regulatory approvals for our drug candidates and, if applicable, for any related companion diagnostic tests, we will not be able to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159"/>
        <w:spacing w:after="0" w:line="261" w:lineRule="auto"/>
        <w:rPr>
          <w:sz w:val="20"/>
          <w:szCs w:val="20"/>
          <w:color w:val="auto"/>
        </w:rPr>
      </w:pPr>
      <w:r>
        <w:rPr>
          <w:rFonts w:ascii="Arial" w:cs="Arial" w:eastAsia="Arial" w:hAnsi="Arial"/>
          <w:sz w:val="18"/>
          <w:szCs w:val="18"/>
          <w:color w:val="auto"/>
        </w:rPr>
        <w:t>commercialize, or may be delayed in commercializing, such drug candidates, and our ability to generate revenue will be materially impaired.</w:t>
      </w:r>
    </w:p>
    <w:p>
      <w:pPr>
        <w:spacing w:after="0" w:line="171" w:lineRule="exact"/>
        <w:rPr>
          <w:sz w:val="20"/>
          <w:szCs w:val="20"/>
          <w:color w:val="auto"/>
        </w:rPr>
      </w:pPr>
    </w:p>
    <w:p>
      <w:pPr>
        <w:ind w:left="1380" w:right="99" w:hanging="331"/>
        <w:spacing w:after="0" w:line="248"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1" w:lineRule="exact"/>
        <w:rPr>
          <w:rFonts w:ascii="Arial" w:cs="Arial" w:eastAsia="Arial" w:hAnsi="Arial"/>
          <w:sz w:val="18"/>
          <w:szCs w:val="18"/>
          <w:color w:val="auto"/>
        </w:rPr>
      </w:pPr>
    </w:p>
    <w:p>
      <w:pPr>
        <w:ind w:left="1380" w:hanging="331"/>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successful in our efforts to expand our pipeline of drug candidates.</w:t>
      </w:r>
    </w:p>
    <w:p>
      <w:pPr>
        <w:spacing w:after="0" w:line="211" w:lineRule="exact"/>
        <w:rPr>
          <w:rFonts w:ascii="Arial" w:cs="Arial" w:eastAsia="Arial" w:hAnsi="Arial"/>
          <w:sz w:val="18"/>
          <w:szCs w:val="18"/>
          <w:color w:val="auto"/>
        </w:rPr>
      </w:pPr>
    </w:p>
    <w:p>
      <w:pPr>
        <w:ind w:left="1380" w:right="359" w:hanging="331"/>
        <w:spacing w:after="0" w:line="279"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59" w:lineRule="exact"/>
        <w:rPr>
          <w:rFonts w:ascii="Arial" w:cs="Arial" w:eastAsia="Arial" w:hAnsi="Arial"/>
          <w:sz w:val="16"/>
          <w:szCs w:val="16"/>
          <w:color w:val="auto"/>
        </w:rPr>
      </w:pPr>
    </w:p>
    <w:p>
      <w:pPr>
        <w:ind w:left="1380" w:right="99" w:hanging="331"/>
        <w:spacing w:after="0" w:line="248"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a precision therapy company with a limited operating history. We have incurred significant operating losses since our inception and anticipate that we will incur continued losses for the foreseeable future.</w:t>
      </w:r>
    </w:p>
    <w:p>
      <w:pPr>
        <w:spacing w:after="0" w:line="181" w:lineRule="exact"/>
        <w:rPr>
          <w:rFonts w:ascii="Arial" w:cs="Arial" w:eastAsia="Arial" w:hAnsi="Arial"/>
          <w:sz w:val="18"/>
          <w:szCs w:val="18"/>
          <w:color w:val="auto"/>
        </w:rPr>
      </w:pPr>
    </w:p>
    <w:p>
      <w:pPr>
        <w:ind w:left="1380" w:right="219" w:hanging="331"/>
        <w:spacing w:after="0" w:line="294"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47" w:lineRule="exact"/>
        <w:rPr>
          <w:rFonts w:ascii="Arial" w:cs="Arial" w:eastAsia="Arial" w:hAnsi="Arial"/>
          <w:sz w:val="16"/>
          <w:szCs w:val="16"/>
          <w:color w:val="auto"/>
        </w:rPr>
      </w:pPr>
    </w:p>
    <w:p>
      <w:pPr>
        <w:ind w:left="1380" w:right="99" w:hanging="331"/>
        <w:spacing w:after="0" w:line="243"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87" w:lineRule="exact"/>
        <w:rPr>
          <w:rFonts w:ascii="Arial" w:cs="Arial" w:eastAsia="Arial" w:hAnsi="Arial"/>
          <w:sz w:val="18"/>
          <w:szCs w:val="18"/>
          <w:color w:val="auto"/>
        </w:rPr>
      </w:pPr>
    </w:p>
    <w:p>
      <w:pPr>
        <w:ind w:left="1380" w:right="159" w:hanging="331"/>
        <w:spacing w:after="0" w:line="284"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55" w:lineRule="exact"/>
        <w:rPr>
          <w:rFonts w:ascii="Arial" w:cs="Arial" w:eastAsia="Arial" w:hAnsi="Arial"/>
          <w:sz w:val="16"/>
          <w:szCs w:val="16"/>
          <w:color w:val="auto"/>
        </w:rPr>
      </w:pPr>
    </w:p>
    <w:p>
      <w:pPr>
        <w:ind w:left="1380" w:right="339" w:hanging="331"/>
        <w:spacing w:after="0" w:line="24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89" w:lineRule="exact"/>
        <w:rPr>
          <w:rFonts w:ascii="Arial" w:cs="Arial" w:eastAsia="Arial" w:hAnsi="Arial"/>
          <w:sz w:val="18"/>
          <w:szCs w:val="18"/>
          <w:color w:val="auto"/>
        </w:rPr>
      </w:pPr>
    </w:p>
    <w:p>
      <w:pPr>
        <w:ind w:left="1380" w:right="139" w:hanging="331"/>
        <w:spacing w:after="0" w:line="248"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81" w:lineRule="exact"/>
        <w:rPr>
          <w:rFonts w:ascii="Arial" w:cs="Arial" w:eastAsia="Arial" w:hAnsi="Arial"/>
          <w:sz w:val="18"/>
          <w:szCs w:val="18"/>
          <w:color w:val="auto"/>
        </w:rPr>
      </w:pPr>
    </w:p>
    <w:p>
      <w:pPr>
        <w:ind w:left="1380" w:right="639" w:hanging="331"/>
        <w:spacing w:after="0" w:line="261"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results of operations and future growth prospects could be materially and adversely affected by the ongoing COVID-19 pandemic.</w:t>
      </w:r>
    </w:p>
    <w:p>
      <w:pPr>
        <w:spacing w:after="0" w:line="170" w:lineRule="exact"/>
        <w:rPr>
          <w:rFonts w:ascii="Arial" w:cs="Arial" w:eastAsia="Arial" w:hAnsi="Arial"/>
          <w:sz w:val="18"/>
          <w:szCs w:val="18"/>
          <w:color w:val="auto"/>
        </w:rPr>
      </w:pPr>
    </w:p>
    <w:p>
      <w:pPr>
        <w:ind w:left="1380" w:right="79" w:hanging="331"/>
        <w:spacing w:after="0" w:line="294" w:lineRule="auto"/>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price of our common stock has been and may in the future be volatile and fluctuate substantially.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216" w:lineRule="exact"/>
        <w:rPr>
          <w:sz w:val="20"/>
          <w:szCs w:val="20"/>
          <w:color w:val="auto"/>
        </w:rPr>
      </w:pPr>
    </w:p>
    <w:p>
      <w:pPr>
        <w:ind w:left="60" w:right="179"/>
        <w:spacing w:after="0" w:line="291" w:lineRule="auto"/>
        <w:rPr>
          <w:sz w:val="20"/>
          <w:szCs w:val="20"/>
          <w:color w:val="auto"/>
        </w:rPr>
      </w:pPr>
      <w:r>
        <w:rPr>
          <w:rFonts w:ascii="Arial" w:cs="Arial" w:eastAsia="Arial" w:hAnsi="Arial"/>
          <w:sz w:val="17"/>
          <w:szCs w:val="17"/>
          <w:b w:val="1"/>
          <w:bCs w:val="1"/>
          <w:i w:val="1"/>
          <w:iCs w:val="1"/>
          <w:color w:val="auto"/>
        </w:rPr>
        <w:t>We have limited experience as a commercial company and the marketing and sale of AYVAKIT/AYVAKYT, GAVRETO or any future approved drugs may be unsuccessful or less successful than anticipated.</w:t>
      </w:r>
    </w:p>
    <w:p>
      <w:pPr>
        <w:spacing w:after="0" w:line="147"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We have two approved precision therapies, AYVAKIT/AYVAKYT and GAVRETO. While we have been commercializing AYVAKIT and GAVRETO in the U.S. and AYVAKYT in Europe,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and pralsetinib are currently under review or planned in the U.S. or globally. To execute our business plan, in addition to successfully marketing and selling our approved drugs, we will need to successfully:</w:t>
      </w:r>
    </w:p>
    <w:p>
      <w:pPr>
        <w:spacing w:after="0" w:line="175" w:lineRule="exact"/>
        <w:rPr>
          <w:sz w:val="20"/>
          <w:szCs w:val="20"/>
          <w:color w:val="auto"/>
        </w:rPr>
      </w:pPr>
    </w:p>
    <w:p>
      <w:pPr>
        <w:ind w:left="1340" w:right="13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and maintain our relationships with healthcare providers who will be treating patients who may receive our drugs and any future drugs;</w:t>
      </w:r>
    </w:p>
    <w:p>
      <w:pPr>
        <w:spacing w:after="0" w:line="170" w:lineRule="exact"/>
        <w:rPr>
          <w:rFonts w:ascii="Arial" w:cs="Arial" w:eastAsia="Arial" w:hAnsi="Arial"/>
          <w:sz w:val="18"/>
          <w:szCs w:val="18"/>
          <w:color w:val="auto"/>
        </w:rPr>
      </w:pPr>
    </w:p>
    <w:p>
      <w:pPr>
        <w:ind w:left="1340" w:right="7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and maintain adequate pricing and reimbursement for AYVAKIT/AYVAKYT, GAVRETO and any future drugs;</w:t>
      </w:r>
    </w:p>
    <w:p>
      <w:pPr>
        <w:spacing w:after="0" w:line="170" w:lineRule="exact"/>
        <w:rPr>
          <w:rFonts w:ascii="Arial" w:cs="Arial" w:eastAsia="Arial" w:hAnsi="Arial"/>
          <w:sz w:val="18"/>
          <w:szCs w:val="18"/>
          <w:color w:val="auto"/>
        </w:rPr>
      </w:pPr>
    </w:p>
    <w:p>
      <w:pPr>
        <w:ind w:left="1340" w:right="159" w:hanging="318"/>
        <w:spacing w:after="0" w:line="248"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gain regulatory acceptance for the development and commercialization of current or future drug candidates in our pipeline, including for additional indications or in additional geographies for marketed drugs in our portfolio;</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our existing collaborations with Roche and CStone Pharmaceuticals, or CStone;</w:t>
      </w:r>
    </w:p>
    <w:p>
      <w:pPr>
        <w:spacing w:after="0" w:line="211" w:lineRule="exact"/>
        <w:rPr>
          <w:rFonts w:ascii="Arial" w:cs="Arial" w:eastAsia="Arial" w:hAnsi="Arial"/>
          <w:sz w:val="18"/>
          <w:szCs w:val="18"/>
          <w:color w:val="auto"/>
        </w:rPr>
      </w:pPr>
    </w:p>
    <w:p>
      <w:pPr>
        <w:ind w:left="1340" w:right="41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global operations or enter into collaboration, partnerships or distribution arrangements in geographies where we may not have current operations or expertise; and</w:t>
      </w:r>
    </w:p>
    <w:p>
      <w:pPr>
        <w:spacing w:after="0" w:line="170" w:lineRule="exact"/>
        <w:rPr>
          <w:rFonts w:ascii="Arial" w:cs="Arial" w:eastAsia="Arial" w:hAnsi="Arial"/>
          <w:sz w:val="18"/>
          <w:szCs w:val="18"/>
          <w:color w:val="auto"/>
        </w:rPr>
      </w:pPr>
    </w:p>
    <w:p>
      <w:pPr>
        <w:ind w:left="1340" w:right="519" w:hanging="318"/>
        <w:spacing w:after="0" w:line="261" w:lineRule="auto"/>
        <w:tabs>
          <w:tab w:leader="none" w:pos="1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marketing approvals, and commercialization.</w:t>
      </w:r>
    </w:p>
    <w:p>
      <w:pPr>
        <w:spacing w:after="0" w:line="171" w:lineRule="exact"/>
        <w:rPr>
          <w:sz w:val="20"/>
          <w:szCs w:val="20"/>
          <w:color w:val="auto"/>
        </w:rPr>
      </w:pPr>
    </w:p>
    <w:p>
      <w:pPr>
        <w:ind w:left="60" w:right="259" w:firstLine="648"/>
        <w:spacing w:after="0" w:line="248" w:lineRule="auto"/>
        <w:rPr>
          <w:sz w:val="20"/>
          <w:szCs w:val="20"/>
          <w:color w:val="auto"/>
        </w:rPr>
      </w:pPr>
      <w:r>
        <w:rPr>
          <w:rFonts w:ascii="Arial" w:cs="Arial" w:eastAsia="Arial" w:hAnsi="Arial"/>
          <w:sz w:val="18"/>
          <w:szCs w:val="18"/>
          <w:color w:val="auto"/>
        </w:rPr>
        <w:t>If we are unsuccessful in accomplishing these objectives, we may not be able to successfully commercialize our current or future approved drugs, develop current or future drug candidates, expand our business or continue our operations.</w:t>
      </w:r>
    </w:p>
    <w:p>
      <w:pPr>
        <w:spacing w:after="0" w:line="182" w:lineRule="exact"/>
        <w:rPr>
          <w:sz w:val="20"/>
          <w:szCs w:val="20"/>
          <w:color w:val="auto"/>
        </w:rPr>
      </w:pPr>
    </w:p>
    <w:p>
      <w:pPr>
        <w:jc w:val="both"/>
        <w:ind w:left="60" w:right="219"/>
        <w:spacing w:after="0" w:line="248" w:lineRule="auto"/>
        <w:rPr>
          <w:sz w:val="20"/>
          <w:szCs w:val="20"/>
          <w:color w:val="auto"/>
        </w:rPr>
      </w:pPr>
      <w:r>
        <w:rPr>
          <w:rFonts w:ascii="Arial" w:cs="Arial" w:eastAsia="Arial" w:hAnsi="Arial"/>
          <w:sz w:val="18"/>
          <w:szCs w:val="18"/>
          <w:b w:val="1"/>
          <w:bCs w:val="1"/>
          <w:i w:val="1"/>
          <w:iCs w:val="1"/>
          <w:color w:val="auto"/>
        </w:rPr>
        <w:t>The commercial success of AYVAKIT/AYVAKYT and GAVRETO, as well as any other drugs that we may bring to the market, will depend upon the degree of market acceptance by physicians, patients, third-party payors and others in the medical community.</w:t>
      </w:r>
    </w:p>
    <w:p>
      <w:pPr>
        <w:spacing w:after="0" w:line="18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7"/>
          <w:szCs w:val="17"/>
          <w:color w:val="auto"/>
        </w:rPr>
        <w:t>AYVAKIT/AYVAKYT and GAVRETO, as well any other drugs that we may bring to the market, may not gain market acceptance by physicians, patients, third-party payors and others in the medical community. If these drugs do not achieve an adequate level of acceptance, we may not generate significant product revenues and may not become profitable. The degree of market acceptance for AYVAKIT/AYVAKYT and GAVRETO, as well as any current or future drug candidates for which we receive marketing approval, will depend on a number of factors, including:</w:t>
      </w:r>
    </w:p>
    <w:p>
      <w:pPr>
        <w:spacing w:after="0" w:line="174" w:lineRule="exact"/>
        <w:rPr>
          <w:sz w:val="20"/>
          <w:szCs w:val="20"/>
          <w:color w:val="auto"/>
        </w:rPr>
      </w:pPr>
    </w:p>
    <w:p>
      <w:pPr>
        <w:ind w:left="1380" w:hanging="331"/>
        <w:spacing w:after="0"/>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the drug’s approved labeling;</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willingness of eligible patients to try new therapies and of physicians to prescribe these therapies;</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length of time that patients who are prescribed our drugs remain on treatment;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619" w:hanging="318"/>
        <w:spacing w:after="0" w:line="261" w:lineRule="auto"/>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pricing of our drugs and any current or future drug candidates for which we receive marketing approval;</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our current and future drugs, or competing products and treatments;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1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7"/>
          <w:szCs w:val="17"/>
          <w:color w:val="auto"/>
        </w:rPr>
        <w:t>Even if a drug candidate displays a favorable efficacy and safety profile in preclinical and clinical studies and the drug candidate receives marketing approval, market acceptance of the drug will not be known until after it is launched. Our efforts to educate the medical community and third-party payors on the benefits of our drugs may require significant resources, including more resources than those required for treatments marketed by competitors, and may never be successful. Any of these factors may cause our approved drugs, as well as any current or future drug candidates for which we receive marketing approval, to be unsuccessful or less successful than anticipated.</w:t>
      </w:r>
    </w:p>
    <w:p>
      <w:pPr>
        <w:spacing w:after="0" w:line="175" w:lineRule="exact"/>
        <w:rPr>
          <w:sz w:val="20"/>
          <w:szCs w:val="20"/>
          <w:color w:val="auto"/>
        </w:rPr>
      </w:pPr>
    </w:p>
    <w:p>
      <w:pPr>
        <w:ind w:left="60" w:right="579"/>
        <w:spacing w:after="0" w:line="261" w:lineRule="auto"/>
        <w:rPr>
          <w:sz w:val="20"/>
          <w:szCs w:val="20"/>
          <w:color w:val="auto"/>
        </w:rPr>
      </w:pPr>
      <w:r>
        <w:rPr>
          <w:rFonts w:ascii="Arial" w:cs="Arial" w:eastAsia="Arial" w:hAnsi="Arial"/>
          <w:sz w:val="18"/>
          <w:szCs w:val="18"/>
          <w:b w:val="1"/>
          <w:bCs w:val="1"/>
          <w:i w:val="1"/>
          <w:iCs w:val="1"/>
          <w:color w:val="auto"/>
        </w:rPr>
        <w:t>If we are unable to establish additional commercial capabilities and infrastructure, we may be unable to generate sufficient revenue to sustain our business.</w:t>
      </w:r>
    </w:p>
    <w:p>
      <w:pPr>
        <w:spacing w:after="0" w:line="171"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7"/>
          <w:szCs w:val="17"/>
          <w:color w:val="auto"/>
        </w:rPr>
        <w:t>Although we have established our initial commercial infrastructure, we are continuing to build out our commercial capabilities and infrastructure and have limited sales and distribution experience and limited capabilities for marketing and market access. To successfully commercialize our approved drugs or any current or future drug candidates for which we receive marketing approval,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8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We cannot be sure that we will be able to or can successfully compete with other companies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Factors that may inhibit our efforts to commercialize our drugs include:</w:t>
      </w:r>
    </w:p>
    <w:p>
      <w:pPr>
        <w:spacing w:after="0" w:line="212" w:lineRule="exact"/>
        <w:rPr>
          <w:sz w:val="20"/>
          <w:szCs w:val="20"/>
          <w:color w:val="auto"/>
        </w:rPr>
      </w:pPr>
    </w:p>
    <w:p>
      <w:pPr>
        <w:ind w:left="1340" w:hanging="318"/>
        <w:spacing w:after="0"/>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sales and marketing personnel;</w:t>
      </w:r>
    </w:p>
    <w:p>
      <w:pPr>
        <w:spacing w:after="0" w:line="211"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or to persuade adequate numbers of physicians to prescribe our drugs;</w:t>
      </w:r>
    </w:p>
    <w:p>
      <w:pPr>
        <w:spacing w:after="0" w:line="170" w:lineRule="exact"/>
        <w:rPr>
          <w:rFonts w:ascii="Arial" w:cs="Arial" w:eastAsia="Arial" w:hAnsi="Arial"/>
          <w:sz w:val="18"/>
          <w:szCs w:val="18"/>
          <w:color w:val="auto"/>
        </w:rPr>
      </w:pPr>
    </w:p>
    <w:p>
      <w:pPr>
        <w:ind w:left="1340" w:right="819" w:hanging="318"/>
        <w:spacing w:after="0" w:line="261" w:lineRule="auto"/>
        <w:tabs>
          <w:tab w:leader="none" w:pos="1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unforeseen costs and expenses associated with maintaining an independent sales and marketing organization;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delays or disruptions to sales and marketing activities, including due to the COVID-19 pandemic.</w:t>
      </w:r>
    </w:p>
    <w:p>
      <w:pPr>
        <w:spacing w:after="0" w:line="223" w:lineRule="exact"/>
        <w:rPr>
          <w:sz w:val="20"/>
          <w:szCs w:val="20"/>
          <w:color w:val="auto"/>
        </w:rPr>
      </w:pPr>
    </w:p>
    <w:p>
      <w:pPr>
        <w:jc w:val="both"/>
        <w:ind w:left="60" w:right="119" w:firstLine="648"/>
        <w:spacing w:after="0" w:line="248" w:lineRule="auto"/>
        <w:rPr>
          <w:sz w:val="20"/>
          <w:szCs w:val="20"/>
          <w:color w:val="auto"/>
        </w:rPr>
      </w:pPr>
      <w:r>
        <w:rPr>
          <w:rFonts w:ascii="Arial" w:cs="Arial" w:eastAsia="Arial" w:hAnsi="Arial"/>
          <w:sz w:val="18"/>
          <w:szCs w:val="18"/>
          <w:color w:val="auto"/>
        </w:rPr>
        <w:t>In the event that we are unable to effectively deploy our sales organization or distribution strategy on a timely and efficient basis, if at all, the commercialization of our drugs could be delayed which would negatively impact our ability to generate product revenues.</w:t>
      </w:r>
    </w:p>
    <w:p>
      <w:pPr>
        <w:spacing w:after="0" w:line="182"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If the market opportunities for our approved drugs or drug candidates are smaller than we estimate or if any approval that we obtain is based on a narrower definition of the patient population, our revenue and ability to achieve profitability will be adversely affected.</w:t>
      </w:r>
    </w:p>
    <w:p>
      <w:pPr>
        <w:spacing w:after="0" w:line="182"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The precise incidence and/or prevalence for SM, RET-altered cancers, EGFR-mutated NSCLC, CCNE-aberrant cancers, GIST and HCC are unknown. Our projections of the number of people who have these diseases, the frequency of the genetic alterations targeted by our drugs and drug candidates and the subset of patients who have the potential to benefit from our treatment options are based on estimates. These estimates have been derived from a variety of sources,</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4" w:lineRule="auto"/>
        <w:rPr>
          <w:sz w:val="20"/>
          <w:szCs w:val="20"/>
          <w:color w:val="auto"/>
        </w:rPr>
      </w:pPr>
      <w:r>
        <w:rPr>
          <w:rFonts w:ascii="Arial" w:cs="Arial" w:eastAsia="Arial" w:hAnsi="Arial"/>
          <w:sz w:val="16"/>
          <w:szCs w:val="16"/>
          <w:color w:val="auto"/>
        </w:rPr>
        <w:t>including scientific literature, surveys of clinics, patient foundations or third-party market research, and may prove to be incorrect. Further, new studies may change the estimated incidence or prevalence of these cancers and the number of patients may turn out to be lower than expected. Additionally, the potentially addressable patient population for our approved drugs and drug candidates may be limited or may not be amenable to treatment with our precision therapies.</w:t>
      </w:r>
    </w:p>
    <w:p>
      <w:pPr>
        <w:spacing w:after="0" w:line="155" w:lineRule="exact"/>
        <w:rPr>
          <w:sz w:val="20"/>
          <w:szCs w:val="20"/>
          <w:color w:val="auto"/>
        </w:rPr>
      </w:pPr>
    </w:p>
    <w:p>
      <w:pPr>
        <w:ind w:left="60" w:right="199" w:firstLine="648"/>
        <w:spacing w:after="0"/>
        <w:rPr>
          <w:sz w:val="20"/>
          <w:szCs w:val="20"/>
          <w:color w:val="auto"/>
        </w:rPr>
      </w:pPr>
      <w:r>
        <w:rPr>
          <w:rFonts w:ascii="Arial" w:cs="Arial" w:eastAsia="Arial" w:hAnsi="Arial"/>
          <w:sz w:val="18"/>
          <w:szCs w:val="18"/>
          <w:color w:val="auto"/>
        </w:rPr>
        <w:t>Accordingly, the number of patients in the U.S., France, Germany, Italy, Spain, the United Kingdom and Japan, which we collectively refer to as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189"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developing or discovering drugs before or more successfully than we do.</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Specifically, there are a large number of companies developing or marketing treatments for cancer, including many major pharmaceutical and biotechnology companies.</w:t>
      </w:r>
    </w:p>
    <w:p>
      <w:pPr>
        <w:spacing w:after="0" w:line="167" w:lineRule="exact"/>
        <w:rPr>
          <w:sz w:val="20"/>
          <w:szCs w:val="20"/>
          <w:color w:val="auto"/>
        </w:rPr>
      </w:pPr>
    </w:p>
    <w:p>
      <w:pPr>
        <w:ind w:left="60" w:right="139" w:firstLine="648"/>
        <w:spacing w:after="0" w:line="262" w:lineRule="auto"/>
        <w:rPr>
          <w:sz w:val="20"/>
          <w:szCs w:val="20"/>
          <w:color w:val="auto"/>
        </w:rPr>
      </w:pPr>
      <w:r>
        <w:rPr>
          <w:rFonts w:ascii="Arial" w:cs="Arial" w:eastAsia="Arial" w:hAnsi="Arial"/>
          <w:sz w:val="17"/>
          <w:szCs w:val="17"/>
          <w:color w:val="auto"/>
        </w:rPr>
        <w:t>AYVAKIT/AYVAKYT faces competition for advanced SM from Novartis AG’s midostaurin and imatinib, and may face competition from drug candidates in development, including that being developed by Cogent Biosciences, Inc. If avapritinib and BLU-263 are approved for non-advanced SM, they may face competition from drug candidates in development, including those being developed by AB Science S.A., Allakos Inc. and Cogent Biosciences, Inc.</w:t>
      </w:r>
    </w:p>
    <w:p>
      <w:pPr>
        <w:spacing w:after="0" w:line="172"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7"/>
          <w:szCs w:val="17"/>
          <w:color w:val="auto"/>
        </w:rPr>
        <w:t>GAVRETO faces competition for RET fusion-positive NSCLC and RET-altered thyroid carcinoma, including MTC, from Eli Lilly and Company’s selpercatinib. If pralsetinib receives marketing approval for patients with other solid tumors, it will also face competition from selpercatinib for these additional indications. In addition, pralsetinib may face competition from other drug candidates in development for RET-altered cancers, including those being developed by AstraZeneca plc, Boston Pharmaceuticals, Inc., Eisai Inc., Exelixis, Inc., GlaxoSmithKline plc, Mirati Therapeutics, Inc., Novartis AG, Pfizer Inc.,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81"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AYVAKIT/AYVAKYT may face competition from drug candidates in development for PDGFRA-driven GIST, including those being developed by AB Science S.A., ARIAD Pharmaceuticals, Inc., a wholly-owned subsidiary of Takeda Pharmaceutical Company Limited, AROG Pharmaceuticals, Inc., AstraZeneca plc, Celldex Therapeutics, Inc., Cogent Biosciences, Inc., Deciphera Pharmaceuticals, LLC, Exelixis, Inc., Ningbo Tai Kang Medical Technology Co. Ltd. and Xencor, Inc.</w:t>
      </w:r>
    </w:p>
    <w:p>
      <w:pPr>
        <w:spacing w:after="0" w:line="189" w:lineRule="exact"/>
        <w:rPr>
          <w:sz w:val="20"/>
          <w:szCs w:val="20"/>
          <w:color w:val="auto"/>
        </w:rPr>
      </w:pPr>
    </w:p>
    <w:p>
      <w:pPr>
        <w:ind w:left="60" w:right="59" w:firstLine="648"/>
        <w:spacing w:after="0" w:line="274" w:lineRule="auto"/>
        <w:rPr>
          <w:sz w:val="20"/>
          <w:szCs w:val="20"/>
          <w:color w:val="auto"/>
        </w:rPr>
      </w:pPr>
      <w:r>
        <w:rPr>
          <w:rFonts w:ascii="Arial" w:cs="Arial" w:eastAsia="Arial" w:hAnsi="Arial"/>
          <w:sz w:val="16"/>
          <w:szCs w:val="16"/>
          <w:color w:val="auto"/>
        </w:rPr>
        <w:t>We are developing fisogatinib for patients with advanced HCC. If fisogatinib receives marketing approval for patients with FGFR4-activated HCC, it will face competition from Bristol-Myers Squibb Company’s nivolumab and Merck</w:t>
      </w:r>
    </w:p>
    <w:p>
      <w:pPr>
        <w:spacing w:after="0" w:line="1" w:lineRule="exact"/>
        <w:rPr>
          <w:sz w:val="20"/>
          <w:szCs w:val="20"/>
          <w:color w:val="auto"/>
        </w:rPr>
      </w:pPr>
    </w:p>
    <w:p>
      <w:pPr>
        <w:ind w:left="60" w:right="79" w:hanging="10"/>
        <w:spacing w:after="0" w:line="253" w:lineRule="auto"/>
        <w:tabs>
          <w:tab w:leader="none" w:pos="245"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 Inc.’s pembrolizumab, immune checkpoint inhibitors approved by the FDA for the treatment of HCC, as well as sorafenib, cabozantinib, regorafenib and lenvatinib, multi-kinase inhibitors approved for the treatment of HCC and atezolizumab plus bevacizumab for the treatment of patients with advanced unresectable or metastatic HCC. In addition, fisogatinib may face competition from other drug candidates in development by Abbisko Therapeutics Co., Ltd, Bayer AG, CSPC Pharmaceutical Group, Eisai Inc., H3 Biomedicine Inc., InnoCare Pharma Limited, Johnson &amp; Johnson, Novartis AG, Orion Corporation, and Taiho Pharmaceutical Co., Ltd..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developing BLU-701 and BLU-945 for treatment-resistant EGFR-mutated NSCLC, which, if approved, will face competition from AstraZeneca plc’s osimertinib and aumolertinib, which is under collaboration between Jiangsu Hansoh Pharmaceutical Group Co., Ltd. and EQRX, Inc. and approved in China. In addition, BLU-701 and BLU-945 may face competition from drug candidates in development for EGFR-mutated NSCLC, including those being developed by Alpha Biopharma Inc., Astellas Pharma Inc., Betta Pharmaceuticals, Boehringer Ingelheim RCV GmbH &amp; Co KG, Bridge Biotherapeutics, Inc., C4 Therapeutics, Inc., Centessa Pharmaceuticals, Chia Tai Tianqing Pharmaceutical Group, Daiichi Sankyo Company, Limited, Genosco Inc., Genprex, Inc., Janssen Pharmaceuticals, Inc., Oscotec Inc. and Yuhan Corporation.</w:t>
      </w:r>
    </w:p>
    <w:p>
      <w:pPr>
        <w:spacing w:after="0" w:line="18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81" w:lineRule="exact"/>
        <w:rPr>
          <w:sz w:val="20"/>
          <w:szCs w:val="20"/>
          <w:color w:val="auto"/>
        </w:rPr>
      </w:pPr>
    </w:p>
    <w:p>
      <w:pPr>
        <w:ind w:left="60" w:right="219"/>
        <w:spacing w:after="0" w:line="261"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171"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174" w:lineRule="exact"/>
        <w:rPr>
          <w:sz w:val="20"/>
          <w:szCs w:val="20"/>
          <w:color w:val="auto"/>
        </w:rPr>
      </w:pPr>
    </w:p>
    <w:p>
      <w:pPr>
        <w:ind w:left="1380" w:right="899" w:hanging="331"/>
        <w:spacing w:after="0" w:line="261" w:lineRule="auto"/>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decreased demand for any of our approved drugs or drug candidates that we may develop and commercialize;</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commercialize any of approved drugs or drug candidates that we may develop.</w:t>
      </w:r>
    </w:p>
    <w:p>
      <w:pPr>
        <w:spacing w:after="0" w:line="212" w:lineRule="exact"/>
        <w:rPr>
          <w:sz w:val="20"/>
          <w:szCs w:val="20"/>
          <w:color w:val="auto"/>
        </w:rPr>
      </w:pPr>
    </w:p>
    <w:p>
      <w:pPr>
        <w:jc w:val="both"/>
        <w:ind w:left="60" w:right="179" w:firstLine="648"/>
        <w:spacing w:after="0" w:line="294"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61" w:lineRule="auto"/>
        <w:rPr>
          <w:sz w:val="20"/>
          <w:szCs w:val="20"/>
          <w:color w:val="auto"/>
        </w:rPr>
      </w:pPr>
      <w:r>
        <w:rPr>
          <w:rFonts w:ascii="Arial" w:cs="Arial" w:eastAsia="Arial" w:hAnsi="Arial"/>
          <w:sz w:val="18"/>
          <w:szCs w:val="18"/>
          <w:color w:val="auto"/>
        </w:rPr>
        <w:t>may not be able to maintain insurance coverage at a reasonable cost or in an amount adequate to satisfy any liability that may arise.</w:t>
      </w:r>
    </w:p>
    <w:p>
      <w:pPr>
        <w:spacing w:after="0" w:line="171" w:lineRule="exact"/>
        <w:rPr>
          <w:sz w:val="20"/>
          <w:szCs w:val="20"/>
          <w:color w:val="auto"/>
        </w:rPr>
      </w:pPr>
    </w:p>
    <w:p>
      <w:pPr>
        <w:ind w:left="60" w:right="199"/>
        <w:spacing w:after="0" w:line="261" w:lineRule="auto"/>
        <w:rPr>
          <w:sz w:val="20"/>
          <w:szCs w:val="20"/>
          <w:color w:val="auto"/>
        </w:rPr>
      </w:pPr>
      <w:r>
        <w:rPr>
          <w:rFonts w:ascii="Arial" w:cs="Arial" w:eastAsia="Arial" w:hAnsi="Arial"/>
          <w:sz w:val="18"/>
          <w:szCs w:val="18"/>
          <w:b w:val="1"/>
          <w:bCs w:val="1"/>
          <w:i w:val="1"/>
          <w:iCs w:val="1"/>
          <w:color w:val="auto"/>
        </w:rPr>
        <w:t>Increasing demand for compassionate use of our drug candidates could negatively affect our reputation and harm our business.</w:t>
      </w:r>
    </w:p>
    <w:p>
      <w:pPr>
        <w:spacing w:after="0" w:line="157"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We are developing drug candidates for the treatment of indications for which there are currently limited or no available therapeutic options. It is possible for individuals or groups to target companies with disruptive social media campaigns related to a request for access to unapproved drugs for patients with significant unmet medical need. If we experience a similar social media campaign regarding our decision to provide or not provide access to any of our current or future drug candidates under an expanded access policy, our reputation may be negatively affected and our business may be harmed.</w:t>
      </w:r>
    </w:p>
    <w:p>
      <w:pPr>
        <w:spacing w:after="0" w:line="189" w:lineRule="exact"/>
        <w:rPr>
          <w:sz w:val="20"/>
          <w:szCs w:val="20"/>
          <w:color w:val="auto"/>
        </w:rPr>
      </w:pPr>
    </w:p>
    <w:p>
      <w:pPr>
        <w:ind w:left="60" w:right="259" w:firstLine="648"/>
        <w:spacing w:after="0" w:line="279" w:lineRule="auto"/>
        <w:rPr>
          <w:sz w:val="20"/>
          <w:szCs w:val="20"/>
          <w:color w:val="auto"/>
        </w:rPr>
      </w:pPr>
      <w:r>
        <w:rPr>
          <w:rFonts w:ascii="Arial" w:cs="Arial" w:eastAsia="Arial" w:hAnsi="Arial"/>
          <w:sz w:val="16"/>
          <w:szCs w:val="16"/>
          <w:color w:val="auto"/>
        </w:rPr>
        <w:t>Recent media attention to individual patients’ expanded access requests has resulted in the introduction and enactment of legislation at the local and national level referred to as “Right to Try” laws, such as the federal Right to Try Act of 2017, which are intended to allow patients access to unapproved therapies earlier than traditional expanded access programs. A possible consequence of both activism and legislation in this area may be the need for us to initiate an unanticipated expanded access program or to make our drug candidates more widely available sooner than anticipated.</w:t>
      </w:r>
    </w:p>
    <w:p>
      <w:pPr>
        <w:spacing w:after="0" w:line="159"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167"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182" w:lineRule="exact"/>
        <w:rPr>
          <w:sz w:val="20"/>
          <w:szCs w:val="20"/>
          <w:color w:val="auto"/>
        </w:rPr>
      </w:pPr>
    </w:p>
    <w:p>
      <w:pPr>
        <w:ind w:left="60" w:right="119" w:firstLine="648"/>
        <w:spacing w:after="0" w:line="267"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and/or commercialize companion diagnostic tests with third parties for AYVAKIT/AYVAKYT in order to identify GIST patients with the PDGFRA D842V mutation, pralsetinib in order to identify NSCLC patients with RET fusions and MTC patients with RET mutations and fisogatinib in order to identify HCC patients with FGFR4 pathway activation. We have limited experience in the development and commercialization of companion diagnostic tests with third parties and may not be successful in developing and commercializing appropriate companion diagnostic tests with third parties to pair with our approved drugs or drug candidates that 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current and future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34" w:lineRule="exact"/>
        <w:rPr>
          <w:rFonts w:ascii="Arial" w:cs="Arial" w:eastAsia="Arial" w:hAnsi="Arial"/>
          <w:sz w:val="16"/>
          <w:szCs w:val="16"/>
          <w:color w:val="auto"/>
        </w:rPr>
      </w:pPr>
    </w:p>
    <w:p>
      <w:pPr>
        <w:ind w:left="1340" w:right="65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clearances or approvals;</w:t>
      </w:r>
    </w:p>
    <w:p>
      <w:pPr>
        <w:spacing w:after="0" w:line="170" w:lineRule="exact"/>
        <w:rPr>
          <w:rFonts w:ascii="Arial" w:cs="Arial" w:eastAsia="Arial" w:hAnsi="Arial"/>
          <w:sz w:val="18"/>
          <w:szCs w:val="18"/>
          <w:color w:val="auto"/>
        </w:rPr>
      </w:pPr>
    </w:p>
    <w:p>
      <w:pPr>
        <w:jc w:val="both"/>
        <w:ind w:left="1340" w:right="319" w:hanging="318"/>
        <w:spacing w:after="0" w:line="248"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81" w:lineRule="exact"/>
        <w:rPr>
          <w:rFonts w:ascii="Arial" w:cs="Arial" w:eastAsia="Arial" w:hAnsi="Arial"/>
          <w:sz w:val="18"/>
          <w:szCs w:val="18"/>
          <w:color w:val="auto"/>
        </w:rPr>
      </w:pPr>
    </w:p>
    <w:p>
      <w:pPr>
        <w:ind w:left="1340" w:right="359" w:hanging="318"/>
        <w:spacing w:after="0" w:line="261" w:lineRule="auto"/>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a companion diagnostic test; and</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212" w:lineRule="exact"/>
        <w:rPr>
          <w:sz w:val="20"/>
          <w:szCs w:val="20"/>
          <w:color w:val="auto"/>
        </w:rPr>
      </w:pPr>
    </w:p>
    <w:p>
      <w:pPr>
        <w:ind w:left="60" w:right="119" w:firstLine="648"/>
        <w:spacing w:after="0" w:line="262"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prevent or revoke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2" w:lineRule="exact"/>
        <w:rPr>
          <w:sz w:val="20"/>
          <w:szCs w:val="20"/>
          <w:color w:val="auto"/>
        </w:rPr>
      </w:pPr>
    </w:p>
    <w:p>
      <w:pPr>
        <w:ind w:left="1340" w:right="239" w:hanging="31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of our approved drugs and drug candidates may be adversely affected if we are unable to appropriately select patients for enrollment in our clinical trials;</w:t>
      </w:r>
    </w:p>
    <w:p>
      <w:pPr>
        <w:spacing w:after="0" w:line="170" w:lineRule="exact"/>
        <w:rPr>
          <w:rFonts w:ascii="Arial" w:cs="Arial" w:eastAsia="Arial" w:hAnsi="Arial"/>
          <w:sz w:val="18"/>
          <w:szCs w:val="18"/>
          <w:color w:val="auto"/>
        </w:rPr>
      </w:pPr>
    </w:p>
    <w:p>
      <w:pPr>
        <w:ind w:left="1340" w:right="319" w:hanging="318"/>
        <w:spacing w:after="0" w:line="261"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drug candidates may not receive marketing approval if safe and effective use of a therapeutic drug candidate depends on an in vitro diagnostic;</w:t>
      </w:r>
    </w:p>
    <w:p>
      <w:pPr>
        <w:spacing w:after="0" w:line="170" w:lineRule="exact"/>
        <w:rPr>
          <w:rFonts w:ascii="Arial" w:cs="Arial" w:eastAsia="Arial" w:hAnsi="Arial"/>
          <w:sz w:val="18"/>
          <w:szCs w:val="18"/>
          <w:color w:val="auto"/>
        </w:rPr>
      </w:pPr>
    </w:p>
    <w:p>
      <w:pPr>
        <w:ind w:left="1340" w:right="819" w:hanging="318"/>
        <w:spacing w:after="0" w:line="324" w:lineRule="auto"/>
        <w:tabs>
          <w:tab w:leader="none" w:pos="1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regulatory authorities may impose post-marketing requirements regarding the development and commercialization of companion diagnostic tests for our drugs and drug candidates; and</w:t>
      </w:r>
    </w:p>
    <w:p>
      <w:pPr>
        <w:spacing w:after="0" w:line="124" w:lineRule="exact"/>
        <w:rPr>
          <w:rFonts w:ascii="Arial" w:cs="Arial" w:eastAsia="Arial" w:hAnsi="Arial"/>
          <w:sz w:val="16"/>
          <w:szCs w:val="16"/>
          <w:color w:val="auto"/>
        </w:rPr>
      </w:pPr>
    </w:p>
    <w:p>
      <w:pPr>
        <w:ind w:left="1340" w:right="279" w:hanging="318"/>
        <w:spacing w:after="0" w:line="248" w:lineRule="auto"/>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a result, our business may be materially harmed.</w:t>
      </w:r>
    </w:p>
    <w:p>
      <w:pPr>
        <w:spacing w:after="0" w:line="21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 reasonable terms, which could adversely affect and/or delay the development or commercialization of our drugs and drug candidates.</w:t>
      </w:r>
    </w:p>
    <w:p>
      <w:pPr>
        <w:spacing w:after="0" w:line="171"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b w:val="1"/>
          <w:bCs w:val="1"/>
          <w:i w:val="1"/>
          <w:iCs w:val="1"/>
          <w:color w:val="auto"/>
        </w:rPr>
        <w:t>Our reliance on single-source third-party suppliers could harm our ability to commercialize our drugs or any drug candidates that may be approved in the future.</w:t>
      </w:r>
    </w:p>
    <w:p>
      <w:pPr>
        <w:spacing w:after="0" w:line="171" w:lineRule="exact"/>
        <w:rPr>
          <w:sz w:val="20"/>
          <w:szCs w:val="20"/>
          <w:color w:val="auto"/>
        </w:rPr>
      </w:pPr>
    </w:p>
    <w:p>
      <w:pPr>
        <w:ind w:left="60" w:right="159" w:firstLine="648"/>
        <w:spacing w:after="0" w:line="279" w:lineRule="auto"/>
        <w:rPr>
          <w:sz w:val="20"/>
          <w:szCs w:val="20"/>
          <w:color w:val="auto"/>
        </w:rPr>
      </w:pPr>
      <w:r>
        <w:rPr>
          <w:rFonts w:ascii="Arial" w:cs="Arial" w:eastAsia="Arial" w:hAnsi="Arial"/>
          <w:sz w:val="16"/>
          <w:szCs w:val="16"/>
          <w:color w:val="auto"/>
        </w:rPr>
        <w:t>We do not currently own or operate manufacturing facilities for the production of our drugs or any drug candidates that may be approved in the future. We primarily rely on single-source third-party suppliers to manufacture and supply our drugs,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61" w:lineRule="auto"/>
        <w:rPr>
          <w:sz w:val="20"/>
          <w:szCs w:val="20"/>
          <w:color w:val="auto"/>
        </w:rPr>
      </w:pPr>
      <w:r>
        <w:rPr>
          <w:rFonts w:ascii="Arial" w:cs="Arial" w:eastAsia="Arial" w:hAnsi="Arial"/>
          <w:sz w:val="18"/>
          <w:szCs w:val="18"/>
          <w:color w:val="auto"/>
        </w:rPr>
        <w:t>sufficient quantities of our drugs or any other drug candidates that may be approved in the future, which could have a material adverse effect on our business as a whole.</w:t>
      </w:r>
    </w:p>
    <w:p>
      <w:pPr>
        <w:spacing w:after="0" w:line="171" w:lineRule="exact"/>
        <w:rPr>
          <w:sz w:val="20"/>
          <w:szCs w:val="20"/>
          <w:color w:val="auto"/>
        </w:rPr>
      </w:pPr>
    </w:p>
    <w:p>
      <w:pPr>
        <w:ind w:left="60" w:right="199"/>
        <w:spacing w:after="0" w:line="248" w:lineRule="auto"/>
        <w:rPr>
          <w:sz w:val="20"/>
          <w:szCs w:val="20"/>
          <w:color w:val="auto"/>
        </w:rPr>
      </w:pPr>
      <w:r>
        <w:rPr>
          <w:rFonts w:ascii="Arial" w:cs="Arial" w:eastAsia="Arial" w:hAnsi="Arial"/>
          <w:sz w:val="18"/>
          <w:szCs w:val="18"/>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w:t>
      </w:r>
    </w:p>
    <w:p>
      <w:pPr>
        <w:spacing w:after="0" w:line="182"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establish marketing capabilities is delayed or does not occur for any reason, we would have prematurely or unnecessarily incurred these commercialization expenses, which may be costly.</w:t>
      </w:r>
    </w:p>
    <w:p>
      <w:pPr>
        <w:spacing w:after="0" w:line="189" w:lineRule="exact"/>
        <w:rPr>
          <w:sz w:val="20"/>
          <w:szCs w:val="20"/>
          <w:color w:val="auto"/>
        </w:rPr>
      </w:pPr>
    </w:p>
    <w:p>
      <w:pPr>
        <w:ind w:left="60" w:right="119" w:firstLine="648"/>
        <w:spacing w:after="0"/>
        <w:rPr>
          <w:sz w:val="20"/>
          <w:szCs w:val="20"/>
          <w:color w:val="auto"/>
        </w:rPr>
      </w:pPr>
      <w:r>
        <w:rPr>
          <w:rFonts w:ascii="Arial" w:cs="Arial" w:eastAsia="Arial" w:hAnsi="Arial"/>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We likely will have little control over such third parties, and any of them may fail to devote the necessary resources and attention to sell and market our drugs effectively. In addition, we may not be successful in entering into arrangements with third parties to sell and market our current and future drugs or may be unable to do so on terms that are favorable to us.</w:t>
      </w:r>
    </w:p>
    <w:p>
      <w:pPr>
        <w:spacing w:after="0" w:line="189" w:lineRule="exact"/>
        <w:rPr>
          <w:sz w:val="20"/>
          <w:szCs w:val="20"/>
          <w:color w:val="auto"/>
        </w:rPr>
      </w:pPr>
    </w:p>
    <w:p>
      <w:pPr>
        <w:ind w:left="60" w:right="239" w:firstLine="648"/>
        <w:spacing w:after="0" w:line="294" w:lineRule="auto"/>
        <w:rPr>
          <w:sz w:val="20"/>
          <w:szCs w:val="20"/>
          <w:color w:val="auto"/>
        </w:rPr>
      </w:pPr>
      <w:r>
        <w:rPr>
          <w:rFonts w:ascii="Arial" w:cs="Arial" w:eastAsia="Arial" w:hAnsi="Arial"/>
          <w:sz w:val="16"/>
          <w:szCs w:val="16"/>
          <w:color w:val="auto"/>
        </w:rPr>
        <w:t>If we do not establish and maintain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216" w:lineRule="exact"/>
        <w:rPr>
          <w:sz w:val="20"/>
          <w:szCs w:val="20"/>
          <w:color w:val="auto"/>
        </w:rPr>
      </w:pPr>
    </w:p>
    <w:p>
      <w:pPr>
        <w:ind w:left="60" w:right="399"/>
        <w:spacing w:after="0" w:line="322"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and pralsetinib in additional indications or in additional geographies, and ultimately commercialize them, or experience significant delays in doing so, our business will be materially harmed.</w:t>
      </w:r>
    </w:p>
    <w:p>
      <w:pPr>
        <w:spacing w:after="0" w:line="1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Our ability to generate substantial drug revenues, if ever, will depend heavily on the successful development and commercialization of our drugs and drug candidates. Each of our drug candidates will require additional pre-clinical or clinical development, management of clinical, pre-clinical and manufacturing activities, regulatory approval in multiple jurisdictions, obtaining manufacturing supply, substantial investment and significant marketing efforts before we generate substantial revenues from sales for those drug candidates, if approved. In addition, for some of our drug candidates, in order to select patients most likely to respond to treatment and rapidly confirm mechanistic and clinical proof-of-concept, or to identify appropriate patients for our drugs or drug candidates for which we obtain approval, we may be required or we may seek to develop companion diagnostic tests, which are assays or tests to identify an appropriate patient population.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167" w:lineRule="exact"/>
        <w:rPr>
          <w:sz w:val="20"/>
          <w:szCs w:val="20"/>
          <w:color w:val="auto"/>
        </w:rPr>
      </w:pPr>
    </w:p>
    <w:p>
      <w:pPr>
        <w:ind w:left="1340" w:right="49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enrollment in, and initiation and completion of, clinical trials, including our ongoing and planned clinical trials for our drugs and drug candidates;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for our other drug candidates;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successful development of any companion diagnostic tests for use with our drugs and drug candidates;</w:t>
      </w:r>
    </w:p>
    <w:p>
      <w:pPr>
        <w:spacing w:after="0" w:line="234" w:lineRule="exact"/>
        <w:rPr>
          <w:rFonts w:ascii="Arial" w:cs="Arial" w:eastAsia="Arial" w:hAnsi="Arial"/>
          <w:sz w:val="16"/>
          <w:szCs w:val="16"/>
          <w:color w:val="auto"/>
        </w:rPr>
      </w:pPr>
    </w:p>
    <w:p>
      <w:pPr>
        <w:ind w:left="1340" w:right="279" w:hanging="318"/>
        <w:spacing w:after="0" w:line="261" w:lineRule="auto"/>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and transitioning any conditional marketing authorizations to full approvals;</w:t>
      </w:r>
    </w:p>
    <w:p>
      <w:pPr>
        <w:spacing w:after="0" w:line="170" w:lineRule="exact"/>
        <w:rPr>
          <w:rFonts w:ascii="Arial" w:cs="Arial" w:eastAsia="Arial" w:hAnsi="Arial"/>
          <w:sz w:val="18"/>
          <w:szCs w:val="18"/>
          <w:color w:val="auto"/>
        </w:rPr>
      </w:pPr>
    </w:p>
    <w:p>
      <w:pPr>
        <w:ind w:left="1340" w:right="339" w:hanging="318"/>
        <w:spacing w:after="0" w:line="291" w:lineRule="auto"/>
        <w:tabs>
          <w:tab w:leader="none" w:pos="1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in-house commercial manufacturing capabilities or arrangements with third-parties for clinical supply and commercial manufacturing, packaging and labeling and the receipt by such third-party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79"/>
        <w:spacing w:after="0" w:line="261" w:lineRule="auto"/>
        <w:rPr>
          <w:sz w:val="20"/>
          <w:szCs w:val="20"/>
          <w:color w:val="auto"/>
        </w:rPr>
      </w:pPr>
      <w:r>
        <w:rPr>
          <w:rFonts w:ascii="Arial" w:cs="Arial" w:eastAsia="Arial" w:hAnsi="Arial"/>
          <w:sz w:val="18"/>
          <w:szCs w:val="18"/>
          <w:color w:val="auto"/>
        </w:rPr>
        <w:t>manufacturers of requisite approvals to supply commercial inventories of our approved drugs and drug candidates;</w:t>
      </w:r>
    </w:p>
    <w:p>
      <w:pPr>
        <w:spacing w:after="0" w:line="171" w:lineRule="exact"/>
        <w:rPr>
          <w:sz w:val="20"/>
          <w:szCs w:val="20"/>
          <w:color w:val="auto"/>
        </w:rPr>
      </w:pPr>
    </w:p>
    <w:p>
      <w:pPr>
        <w:ind w:left="1340" w:right="239" w:hanging="318"/>
        <w:spacing w:after="0" w:line="261"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drugs and drug candidates;</w:t>
      </w:r>
    </w:p>
    <w:p>
      <w:pPr>
        <w:spacing w:after="0" w:line="170" w:lineRule="exact"/>
        <w:rPr>
          <w:rFonts w:ascii="Arial" w:cs="Arial" w:eastAsia="Arial" w:hAnsi="Arial"/>
          <w:sz w:val="18"/>
          <w:szCs w:val="18"/>
          <w:color w:val="auto"/>
        </w:rPr>
      </w:pPr>
    </w:p>
    <w:p>
      <w:pPr>
        <w:ind w:left="1340" w:right="99" w:hanging="318"/>
        <w:spacing w:after="0" w:line="261"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successful commercialization of our approved drugs and drug candidates, if and when approved, whether alone or in collaboration with others;</w:t>
      </w:r>
    </w:p>
    <w:p>
      <w:pPr>
        <w:spacing w:after="0" w:line="170" w:lineRule="exact"/>
        <w:rPr>
          <w:rFonts w:ascii="Arial" w:cs="Arial" w:eastAsia="Arial" w:hAnsi="Arial"/>
          <w:sz w:val="18"/>
          <w:szCs w:val="18"/>
          <w:color w:val="auto"/>
        </w:rPr>
      </w:pPr>
    </w:p>
    <w:p>
      <w:pPr>
        <w:ind w:left="1340" w:right="299" w:hanging="318"/>
        <w:spacing w:after="0" w:line="261" w:lineRule="auto"/>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acceptance of our approved drugs and drug candidates, if and when approved, by patients, the medical community and third-party payors;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maintaining a continued acceptable safety profile of our drugs and drug candidates following approval.</w:t>
      </w:r>
    </w:p>
    <w:p>
      <w:pPr>
        <w:spacing w:after="0" w:line="235" w:lineRule="exact"/>
        <w:rPr>
          <w:sz w:val="20"/>
          <w:szCs w:val="20"/>
          <w:color w:val="auto"/>
        </w:rPr>
      </w:pPr>
    </w:p>
    <w:p>
      <w:pPr>
        <w:ind w:left="60" w:right="119" w:firstLine="648"/>
        <w:spacing w:after="0" w:line="294" w:lineRule="auto"/>
        <w:rPr>
          <w:sz w:val="20"/>
          <w:szCs w:val="20"/>
          <w:color w:val="auto"/>
        </w:rPr>
      </w:pPr>
      <w:r>
        <w:rPr>
          <w:rFonts w:ascii="Arial" w:cs="Arial" w:eastAsia="Arial" w:hAnsi="Arial"/>
          <w:sz w:val="16"/>
          <w:szCs w:val="16"/>
          <w:color w:val="auto"/>
        </w:rPr>
        <w:t>If we do not achieve one or more of these factors in a timely manner or at all, we could experience significant delays or an inability to successfully commercialize our drugs and drug candidates, which would materially harm our business. If we do not receive regulatory approvals for our drug candidates, we may not be able to continue our operations.</w:t>
      </w:r>
    </w:p>
    <w:p>
      <w:pPr>
        <w:spacing w:after="0" w:line="147"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71"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We may not be able to initiate or continue clinical trials for our drug candidates, including avapritinib and pralsetinib for additional indications, if we are unable to locate and enroll a sufficient number of eligible patients to participate in these trials as required by the FDA or similar regulatory authorities outside the U.S. Because the target patient populations for our drug candidates and approved drugs in clinical development for additional indications are relatively small, it may be difficult to successfully identify patients. Although we have entered into or plan to enter into agreements with third parties to develop companion diagnostic tests for use in some of our other current or future clinical trials in order to help identify eligible patients, we may experience delays in reaching, or fail to reach, agreement on acceptable terms to develop such companion diagnostic tests.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67"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In addition, we have experienced some delays or disruptions in enrollment in our ongoing clinical trials due to the COVID-19 pandemic, and we anticipate we may experience additional delays or disruptions in the future due to the COVID-19 pandemic and changes in local site or IRB policies availabilities of site staff reprioritization of hospital resources, restricted access to healthcare professionals and testing sites and other containment measures or concerns among patients about participating in clinical trials during a pandemic. Furthermore, some of our competitors have ongoing clinical trials for drug candidates that treat the same indications as our drug candidates and approved drugs in clinical development for additional indications, and patients who would otherwise be eligible for our clinical trials may instead enroll in clinical trials of our competitors’ drug candidates.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212" w:lineRule="exact"/>
        <w:rPr>
          <w:sz w:val="20"/>
          <w:szCs w:val="20"/>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12"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Our inability to identify patients appropriate for enrollment in our clinical trials, or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81" w:lineRule="exact"/>
        <w:rPr>
          <w:sz w:val="20"/>
          <w:szCs w:val="20"/>
          <w:color w:val="auto"/>
        </w:rPr>
      </w:pPr>
    </w:p>
    <w:p>
      <w:pPr>
        <w:ind w:left="60" w:right="79"/>
        <w:spacing w:after="0" w:line="294"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drug candidates and, if applicable, for any related companion diagnostic tests, we will not be able to commercialize, or may be delayed in commercializing, such drug candidates, and our ability to generate revenue will be materially impaired.</w:t>
      </w:r>
    </w:p>
    <w:p>
      <w:pPr>
        <w:spacing w:after="0" w:line="147" w:lineRule="exact"/>
        <w:rPr>
          <w:sz w:val="20"/>
          <w:szCs w:val="20"/>
          <w:color w:val="auto"/>
        </w:rPr>
      </w:pPr>
    </w:p>
    <w:p>
      <w:pPr>
        <w:ind w:left="60" w:right="199" w:firstLine="648"/>
        <w:spacing w:after="0" w:line="253" w:lineRule="auto"/>
        <w:rPr>
          <w:sz w:val="20"/>
          <w:szCs w:val="20"/>
          <w:color w:val="auto"/>
        </w:rPr>
      </w:pPr>
      <w:r>
        <w:rPr>
          <w:rFonts w:ascii="Arial" w:cs="Arial" w:eastAsia="Arial" w:hAnsi="Arial"/>
          <w:sz w:val="17"/>
          <w:szCs w:val="17"/>
          <w:color w:val="auto"/>
        </w:rPr>
        <w:t>Our drug candidates and any companion diagnostic tests related to our approved drugs or drug candidates, including the companion diagnostic tests that we are developing or have developed for AYVAKIT/AYVAKYT in order to identify GIST patients with the PDGFRA D842V mutation, pralsetinib in order to identify NSCLC patients with RET fusions and MTC patients with RET mutations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and fisogatinib.</w:t>
      </w:r>
    </w:p>
    <w:p>
      <w:pPr>
        <w:spacing w:after="0" w:line="180"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We expect to rely on third-party CROs and/or regulatory consultants to assist us in filing and supporting the applications necessary to gain regulatory approvals.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7" w:lineRule="exact"/>
        <w:rPr>
          <w:sz w:val="20"/>
          <w:szCs w:val="20"/>
          <w:color w:val="auto"/>
        </w:rPr>
      </w:pPr>
    </w:p>
    <w:p>
      <w:pPr>
        <w:ind w:left="60" w:right="179" w:firstLine="648"/>
        <w:spacing w:after="0" w:line="279" w:lineRule="auto"/>
        <w:rPr>
          <w:sz w:val="20"/>
          <w:szCs w:val="20"/>
          <w:color w:val="auto"/>
        </w:rPr>
      </w:pPr>
      <w:r>
        <w:rPr>
          <w:rFonts w:ascii="Arial" w:cs="Arial" w:eastAsia="Arial" w:hAnsi="Arial"/>
          <w:sz w:val="16"/>
          <w:szCs w:val="16"/>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We currently have multiple marketing applications for our drug candidates under review across the world.</w:t>
      </w:r>
    </w:p>
    <w:p>
      <w:pPr>
        <w:spacing w:after="0" w:line="189" w:lineRule="exact"/>
        <w:rPr>
          <w:sz w:val="20"/>
          <w:szCs w:val="20"/>
          <w:color w:val="auto"/>
        </w:rPr>
      </w:pPr>
    </w:p>
    <w:p>
      <w:pPr>
        <w:ind w:left="60" w:right="599" w:firstLine="648"/>
        <w:spacing w:after="0" w:line="261" w:lineRule="auto"/>
        <w:rPr>
          <w:sz w:val="20"/>
          <w:szCs w:val="20"/>
          <w:color w:val="auto"/>
        </w:rPr>
      </w:pPr>
      <w:r>
        <w:rPr>
          <w:rFonts w:ascii="Arial" w:cs="Arial" w:eastAsia="Arial" w:hAnsi="Arial"/>
          <w:sz w:val="18"/>
          <w:szCs w:val="18"/>
          <w:color w:val="auto"/>
        </w:rPr>
        <w:t>Our drug candidates could be delayed in receiving, or fail to receive, regulatory approval for many reasons, including the following:</w:t>
      </w:r>
    </w:p>
    <w:p>
      <w:pPr>
        <w:spacing w:after="0" w:line="171" w:lineRule="exact"/>
        <w:rPr>
          <w:sz w:val="20"/>
          <w:szCs w:val="20"/>
          <w:color w:val="auto"/>
        </w:rPr>
      </w:pPr>
    </w:p>
    <w:p>
      <w:pPr>
        <w:ind w:left="1380" w:right="7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70" w:lineRule="exact"/>
        <w:rPr>
          <w:rFonts w:ascii="Arial" w:cs="Arial" w:eastAsia="Arial" w:hAnsi="Arial"/>
          <w:sz w:val="18"/>
          <w:szCs w:val="18"/>
          <w:color w:val="auto"/>
        </w:rPr>
      </w:pPr>
    </w:p>
    <w:p>
      <w:pPr>
        <w:ind w:left="1380" w:right="219" w:hanging="331"/>
        <w:spacing w:after="0" w:line="248"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81" w:lineRule="exact"/>
        <w:rPr>
          <w:rFonts w:ascii="Arial" w:cs="Arial" w:eastAsia="Arial" w:hAnsi="Arial"/>
          <w:sz w:val="18"/>
          <w:szCs w:val="18"/>
          <w:color w:val="auto"/>
        </w:rPr>
      </w:pPr>
    </w:p>
    <w:p>
      <w:pPr>
        <w:ind w:left="1380" w:right="47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70" w:lineRule="exact"/>
        <w:rPr>
          <w:rFonts w:ascii="Arial" w:cs="Arial" w:eastAsia="Arial" w:hAnsi="Arial"/>
          <w:sz w:val="18"/>
          <w:szCs w:val="18"/>
          <w:color w:val="auto"/>
        </w:rPr>
      </w:pPr>
    </w:p>
    <w:p>
      <w:pPr>
        <w:ind w:left="1380" w:right="25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70" w:lineRule="exact"/>
        <w:rPr>
          <w:rFonts w:ascii="Arial" w:cs="Arial" w:eastAsia="Arial" w:hAnsi="Arial"/>
          <w:sz w:val="18"/>
          <w:szCs w:val="18"/>
          <w:color w:val="auto"/>
        </w:rPr>
      </w:pPr>
    </w:p>
    <w:p>
      <w:pPr>
        <w:ind w:left="1380" w:right="19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70" w:lineRule="exact"/>
        <w:rPr>
          <w:rFonts w:ascii="Arial" w:cs="Arial" w:eastAsia="Arial" w:hAnsi="Arial"/>
          <w:sz w:val="18"/>
          <w:szCs w:val="18"/>
          <w:color w:val="auto"/>
        </w:rPr>
      </w:pPr>
    </w:p>
    <w:p>
      <w:pPr>
        <w:ind w:left="1380" w:right="379" w:hanging="331"/>
        <w:spacing w:after="0" w:line="324" w:lineRule="auto"/>
        <w:tabs>
          <w:tab w:leader="none" w:pos="1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U.S. or elsewhere;</w:t>
      </w:r>
    </w:p>
    <w:p>
      <w:pPr>
        <w:spacing w:after="0" w:line="124" w:lineRule="exact"/>
        <w:rPr>
          <w:rFonts w:ascii="Arial" w:cs="Arial" w:eastAsia="Arial" w:hAnsi="Arial"/>
          <w:sz w:val="16"/>
          <w:szCs w:val="16"/>
          <w:color w:val="auto"/>
        </w:rPr>
      </w:pPr>
    </w:p>
    <w:p>
      <w:pPr>
        <w:ind w:left="1380" w:right="279" w:hanging="331"/>
        <w:spacing w:after="0" w:line="248"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w:t>
      </w:r>
    </w:p>
    <w:p>
      <w:pPr>
        <w:spacing w:after="0" w:line="181" w:lineRule="exact"/>
        <w:rPr>
          <w:rFonts w:ascii="Arial" w:cs="Arial" w:eastAsia="Arial" w:hAnsi="Arial"/>
          <w:sz w:val="18"/>
          <w:szCs w:val="18"/>
          <w:color w:val="auto"/>
        </w:rPr>
      </w:pPr>
    </w:p>
    <w:p>
      <w:pPr>
        <w:ind w:left="1380" w:right="659" w:hanging="331"/>
        <w:spacing w:after="0" w:line="291" w:lineRule="auto"/>
        <w:tabs>
          <w:tab w:leader="none" w:pos="1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 and</w:t>
      </w:r>
    </w:p>
    <w:p>
      <w:pPr>
        <w:spacing w:after="0" w:line="146" w:lineRule="exact"/>
        <w:rPr>
          <w:rFonts w:ascii="Arial" w:cs="Arial" w:eastAsia="Arial" w:hAnsi="Arial"/>
          <w:sz w:val="17"/>
          <w:szCs w:val="17"/>
          <w:color w:val="auto"/>
        </w:rPr>
      </w:pPr>
    </w:p>
    <w:p>
      <w:pPr>
        <w:ind w:left="1380" w:right="719" w:hanging="331"/>
        <w:spacing w:after="0" w:line="261" w:lineRule="auto"/>
        <w:tabs>
          <w:tab w:leader="none" w:pos="1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delays or disruptions impacting the FDA or comparable foreign regulatory authorities due to the COVID-19 pandemic.</w:t>
      </w:r>
    </w:p>
    <w:p>
      <w:pPr>
        <w:spacing w:after="0" w:line="171"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As of May 26, 2021, the FDA noted it is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On July 16, 2020, FDA noted that it is continuing to expedite oncology product development with its staff teleworking full-time. However, FDA may not be able to continue its current pace and approval timelines could be extended, including where a pre-approval inspection or an inspection of clinical sites is required and due to the ongoing COVID-19 pandemic and travel restrictions FDA is unable to complete such required inspections during the review period. In 2020 and 2021, a number of companies announced receipt of complete response letters due to the FDA’s inability to complete required inspections for their applications. 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75"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b w:val="1"/>
          <w:bCs w:val="1"/>
          <w:i w:val="1"/>
          <w:iCs w:val="1"/>
          <w:color w:val="auto"/>
        </w:rPr>
        <w:t>Results from earlier stage trials may not be predictive of the results of later stage trials and interim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188"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The results of preclinical studies and early clinical trials of our drug candidates may not be predictive of the results of later-stage clinical trials. In addition, initial success in clinical trials may not be indicative of results obtained when such trials are completed. There is typically an extremely high rate of attrition from the failure of drug candidates proceeding through clinical trials. Drug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drug candidates that commence clinical trials are never approved as products and there can be no assurance that any of our future clinical trials will ultimately be successful or support further clinical development of any of our drug candidates. Drug candidates that appear promising in the early phases of development may fail to reach the market for several reasons, including:</w:t>
      </w:r>
    </w:p>
    <w:p>
      <w:pPr>
        <w:spacing w:after="0" w:line="171" w:lineRule="exact"/>
        <w:rPr>
          <w:sz w:val="20"/>
          <w:szCs w:val="20"/>
          <w:color w:val="auto"/>
        </w:rPr>
      </w:pPr>
    </w:p>
    <w:p>
      <w:pPr>
        <w:ind w:left="1380" w:right="119" w:hanging="331"/>
        <w:spacing w:after="0" w:line="248"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preclinical studies or clinical trials may show the drug candidates to be less effective than expected (e.g., a clinical trial could fail to meet its primary endpoint(s)) or to have unacceptable side effects or toxicities;</w:t>
      </w:r>
    </w:p>
    <w:p>
      <w:pPr>
        <w:spacing w:after="0" w:line="181" w:lineRule="exact"/>
        <w:rPr>
          <w:rFonts w:ascii="Arial" w:cs="Arial" w:eastAsia="Arial" w:hAnsi="Arial"/>
          <w:sz w:val="18"/>
          <w:szCs w:val="18"/>
          <w:color w:val="auto"/>
        </w:rPr>
      </w:pPr>
    </w:p>
    <w:p>
      <w:pPr>
        <w:ind w:left="1380" w:right="43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establish clinical endpoints that applicable regulatory authorities would consider clinically meaningful;</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receive the necessary regulatory approvals;</w:t>
      </w:r>
    </w:p>
    <w:p>
      <w:pPr>
        <w:spacing w:after="0" w:line="211" w:lineRule="exact"/>
        <w:rPr>
          <w:rFonts w:ascii="Arial" w:cs="Arial" w:eastAsia="Arial" w:hAnsi="Arial"/>
          <w:sz w:val="18"/>
          <w:szCs w:val="18"/>
          <w:color w:val="auto"/>
        </w:rPr>
      </w:pPr>
    </w:p>
    <w:p>
      <w:pPr>
        <w:ind w:left="1380" w:right="29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manufacturing issues, formulation issues, pricing or reimbursement issues or other factors that make a drug candidate uneconomical; and</w:t>
      </w:r>
    </w:p>
    <w:p>
      <w:pPr>
        <w:spacing w:after="0" w:line="170" w:lineRule="exact"/>
        <w:rPr>
          <w:rFonts w:ascii="Arial" w:cs="Arial" w:eastAsia="Arial" w:hAnsi="Arial"/>
          <w:sz w:val="18"/>
          <w:szCs w:val="18"/>
          <w:color w:val="auto"/>
        </w:rPr>
      </w:pPr>
    </w:p>
    <w:p>
      <w:pPr>
        <w:ind w:left="1380" w:right="279" w:hanging="331"/>
        <w:spacing w:after="0" w:line="261" w:lineRule="auto"/>
        <w:tabs>
          <w:tab w:leader="none" w:pos="1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proprietary rights of others and their competing products and technologies that may prevent one of our drug candidates from being commercialized.</w:t>
      </w:r>
    </w:p>
    <w:p>
      <w:pPr>
        <w:spacing w:after="0" w:line="171" w:lineRule="exact"/>
        <w:rPr>
          <w:sz w:val="20"/>
          <w:szCs w:val="20"/>
          <w:color w:val="auto"/>
        </w:rPr>
      </w:pPr>
    </w:p>
    <w:p>
      <w:pPr>
        <w:ind w:left="60" w:right="99" w:firstLine="648"/>
        <w:spacing w:after="0" w:line="262" w:lineRule="auto"/>
        <w:rPr>
          <w:sz w:val="20"/>
          <w:szCs w:val="20"/>
          <w:color w:val="auto"/>
        </w:rPr>
      </w:pPr>
      <w:r>
        <w:rPr>
          <w:rFonts w:ascii="Arial" w:cs="Arial" w:eastAsia="Arial" w:hAnsi="Arial"/>
          <w:sz w:val="17"/>
          <w:szCs w:val="17"/>
          <w:color w:val="auto"/>
        </w:rPr>
        <w:t>In addition, differences in trial design between early-stage clinical trials and later-stage clinical trials make it difficult to extrapolate the results of earlier clinical trials to later clinical trials. Moreover, clinical data are often susceptible to varying interpretations and analyses, and many companies that have believed their drug candidates performed satisfactorily in clinical trials have nonetheless failed to obtain marketing approval of their products.</w:t>
      </w:r>
    </w:p>
    <w:p>
      <w:pPr>
        <w:spacing w:after="0" w:line="172" w:lineRule="exact"/>
        <w:rPr>
          <w:sz w:val="20"/>
          <w:szCs w:val="20"/>
          <w:color w:val="auto"/>
        </w:rPr>
      </w:pPr>
    </w:p>
    <w:p>
      <w:pPr>
        <w:ind w:left="60" w:right="79" w:firstLine="648"/>
        <w:spacing w:after="0" w:line="239" w:lineRule="auto"/>
        <w:rPr>
          <w:sz w:val="20"/>
          <w:szCs w:val="20"/>
          <w:color w:val="auto"/>
        </w:rPr>
      </w:pPr>
      <w:r>
        <w:rPr>
          <w:rFonts w:ascii="Arial" w:cs="Arial" w:eastAsia="Arial" w:hAnsi="Arial"/>
          <w:sz w:val="18"/>
          <w:szCs w:val="18"/>
          <w:color w:val="auto"/>
        </w:rPr>
        <w:t>Additionally, 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 Preliminary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or interim data and final data could significantly harm our business prospects.</w:t>
      </w:r>
    </w:p>
    <w:p>
      <w:pPr>
        <w:spacing w:after="0" w:line="19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Our drugs and drug candidates may cause undesirable side effects that could delay or prevent their regulatory approval, limit the commercial profile of an approved label, result in restrictive distribution or result in significant negative consequences following marketing approval, if any.</w:t>
      </w:r>
    </w:p>
    <w:p>
      <w:pPr>
        <w:spacing w:after="0" w:line="182"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drugs and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drugs or drug candidates</w:t>
      </w:r>
    </w:p>
    <w:p>
      <w:pPr>
        <w:sectPr>
          <w:pgSz w:w="11900" w:h="16838" w:orient="portrait"/>
          <w:cols w:equalWidth="0" w:num="1">
            <w:col w:w="9019"/>
          </w:cols>
          <w:pgMar w:left="1440" w:top="517" w:right="1440"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39"/>
        <w:spacing w:after="0" w:line="248" w:lineRule="auto"/>
        <w:rPr>
          <w:sz w:val="20"/>
          <w:szCs w:val="20"/>
          <w:color w:val="auto"/>
        </w:rPr>
      </w:pPr>
      <w:r>
        <w:rPr>
          <w:rFonts w:ascii="Arial" w:cs="Arial" w:eastAsia="Arial" w:hAnsi="Arial"/>
          <w:sz w:val="18"/>
          <w:szCs w:val="18"/>
          <w:color w:val="auto"/>
        </w:rPr>
        <w:t>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182" w:lineRule="exact"/>
        <w:rPr>
          <w:sz w:val="20"/>
          <w:szCs w:val="20"/>
          <w:color w:val="auto"/>
        </w:rPr>
      </w:pPr>
    </w:p>
    <w:p>
      <w:pPr>
        <w:ind w:left="60" w:right="199" w:firstLine="648"/>
        <w:spacing w:after="0" w:line="276" w:lineRule="auto"/>
        <w:rPr>
          <w:sz w:val="20"/>
          <w:szCs w:val="20"/>
          <w:color w:val="auto"/>
        </w:rPr>
      </w:pPr>
      <w:r>
        <w:rPr>
          <w:rFonts w:ascii="Arial" w:cs="Arial" w:eastAsia="Arial" w:hAnsi="Arial"/>
          <w:sz w:val="16"/>
          <w:szCs w:val="16"/>
          <w:color w:val="auto"/>
        </w:rPr>
        <w:t>Further, our approved drugs and drug candidates could cause undesirable side effects in pre-clinical studies or clinical trials related to on-target toxicity. If on-target toxicity is observed, or if our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6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174" w:lineRule="exact"/>
        <w:rPr>
          <w:sz w:val="20"/>
          <w:szCs w:val="20"/>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w:t>
      </w:r>
    </w:p>
    <w:p>
      <w:pPr>
        <w:spacing w:after="0" w:line="211" w:lineRule="exact"/>
        <w:rPr>
          <w:rFonts w:ascii="Arial" w:cs="Arial" w:eastAsia="Arial" w:hAnsi="Arial"/>
          <w:sz w:val="18"/>
          <w:szCs w:val="18"/>
          <w:color w:val="auto"/>
        </w:rPr>
      </w:pPr>
    </w:p>
    <w:p>
      <w:pPr>
        <w:ind w:left="1380" w:right="339" w:hanging="331"/>
        <w:spacing w:after="0" w:line="261"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70" w:lineRule="exact"/>
        <w:rPr>
          <w:rFonts w:ascii="Arial" w:cs="Arial" w:eastAsia="Arial" w:hAnsi="Arial"/>
          <w:sz w:val="18"/>
          <w:szCs w:val="18"/>
          <w:color w:val="auto"/>
        </w:rPr>
      </w:pPr>
    </w:p>
    <w:p>
      <w:pPr>
        <w:ind w:left="1380" w:right="239" w:hanging="331"/>
        <w:spacing w:after="0" w:line="261"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70" w:lineRule="exact"/>
        <w:rPr>
          <w:rFonts w:ascii="Arial" w:cs="Arial" w:eastAsia="Arial" w:hAnsi="Arial"/>
          <w:sz w:val="18"/>
          <w:szCs w:val="18"/>
          <w:color w:val="auto"/>
        </w:rPr>
      </w:pPr>
    </w:p>
    <w:p>
      <w:pPr>
        <w:ind w:left="1380" w:right="559" w:hanging="331"/>
        <w:spacing w:after="0" w:line="261"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change the way such drug is distributed or administered, conduct additional clinical trials or change the labeling of such drug;</w:t>
      </w:r>
    </w:p>
    <w:p>
      <w:pPr>
        <w:spacing w:after="0" w:line="170" w:lineRule="exact"/>
        <w:rPr>
          <w:rFonts w:ascii="Arial" w:cs="Arial" w:eastAsia="Arial" w:hAnsi="Arial"/>
          <w:sz w:val="18"/>
          <w:szCs w:val="18"/>
          <w:color w:val="auto"/>
        </w:rPr>
      </w:pPr>
    </w:p>
    <w:p>
      <w:pPr>
        <w:jc w:val="both"/>
        <w:ind w:left="1380" w:right="99" w:hanging="331"/>
        <w:spacing w:after="0" w:line="294" w:lineRule="auto"/>
        <w:tabs>
          <w:tab w:leader="none" w:pos="13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47" w:lineRule="exact"/>
        <w:rPr>
          <w:rFonts w:ascii="Arial" w:cs="Arial" w:eastAsia="Arial" w:hAnsi="Arial"/>
          <w:sz w:val="16"/>
          <w:szCs w:val="16"/>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to remove such drug from the marketplace;</w:t>
      </w:r>
    </w:p>
    <w:p>
      <w:pPr>
        <w:spacing w:after="0" w:line="211" w:lineRule="exact"/>
        <w:rPr>
          <w:rFonts w:ascii="Arial" w:cs="Arial" w:eastAsia="Arial" w:hAnsi="Arial"/>
          <w:sz w:val="18"/>
          <w:szCs w:val="18"/>
          <w:color w:val="auto"/>
        </w:rPr>
      </w:pPr>
    </w:p>
    <w:p>
      <w:pPr>
        <w:ind w:left="1380" w:right="79" w:hanging="331"/>
        <w:spacing w:after="0" w:line="261" w:lineRule="auto"/>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drugs and drug candidates; and</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left="60" w:right="339" w:firstLine="648"/>
        <w:spacing w:after="0" w:line="24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188" w:lineRule="exact"/>
        <w:rPr>
          <w:sz w:val="20"/>
          <w:szCs w:val="20"/>
          <w:color w:val="auto"/>
        </w:rPr>
      </w:pPr>
    </w:p>
    <w:p>
      <w:pPr>
        <w:jc w:val="both"/>
        <w:ind w:left="60" w:right="539"/>
        <w:spacing w:after="0" w:line="248"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82"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may seek breakthrough therapy designation for some of our current or future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7" w:lineRule="auto"/>
        <w:rPr>
          <w:sz w:val="20"/>
          <w:szCs w:val="20"/>
          <w:color w:val="auto"/>
        </w:rPr>
      </w:pPr>
      <w:r>
        <w:rPr>
          <w:rFonts w:ascii="Arial" w:cs="Arial" w:eastAsia="Arial" w:hAnsi="Arial"/>
          <w:sz w:val="17"/>
          <w:szCs w:val="17"/>
          <w:color w:val="auto"/>
        </w:rPr>
        <w:t>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 FDA has granted breakthrough therapy designation to avapritinib for the treatment of moderate to severe indolent SM. In addition, the FDA previously granted breakthrough designation to our drugs, AYVAKIT and GAVRETO, for the treatment of certain patients with GIST, advanced SM and RET-altered cancers, respectively.</w:t>
      </w:r>
    </w:p>
    <w:p>
      <w:pPr>
        <w:spacing w:after="0" w:line="17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 On May 26. 2021, the FDA noted it is continuing to ensure timely reviews of applications for medical products during the COVID-19 pandemic in line with its user fee performance goals; however, the FDA may not be able to continue its current pace and review timelines could be extended, including due to the inability for the FDA to complete any inspections of manufacturing facilities or clinical sites that may be required for an approval.</w:t>
      </w:r>
    </w:p>
    <w:p>
      <w:pPr>
        <w:spacing w:after="0" w:line="180" w:lineRule="exact"/>
        <w:rPr>
          <w:sz w:val="20"/>
          <w:szCs w:val="20"/>
          <w:color w:val="auto"/>
        </w:rPr>
      </w:pPr>
    </w:p>
    <w:p>
      <w:pPr>
        <w:ind w:left="60" w:right="939"/>
        <w:spacing w:after="0" w:line="261" w:lineRule="auto"/>
        <w:rPr>
          <w:sz w:val="20"/>
          <w:szCs w:val="20"/>
          <w:color w:val="auto"/>
        </w:rPr>
      </w:pPr>
      <w:r>
        <w:rPr>
          <w:rFonts w:ascii="Arial" w:cs="Arial" w:eastAsia="Arial" w:hAnsi="Arial"/>
          <w:sz w:val="18"/>
          <w:szCs w:val="18"/>
          <w:b w:val="1"/>
          <w:bCs w:val="1"/>
          <w:i w:val="1"/>
          <w:iCs w:val="1"/>
          <w:color w:val="auto"/>
        </w:rPr>
        <w:t>We may be unsuccessful in obtaining or may be unable to maintain the benefits associated with orphan drug designation, including the potential for market exclusivity.</w:t>
      </w:r>
    </w:p>
    <w:p>
      <w:pPr>
        <w:spacing w:after="0" w:line="17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w:t>
      </w:r>
    </w:p>
    <w:p>
      <w:pPr>
        <w:spacing w:after="0" w:line="5"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18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71" w:lineRule="exact"/>
        <w:rPr>
          <w:sz w:val="20"/>
          <w:szCs w:val="20"/>
          <w:color w:val="auto"/>
        </w:rPr>
      </w:pPr>
    </w:p>
    <w:p>
      <w:pPr>
        <w:ind w:left="60" w:right="139" w:firstLine="648"/>
        <w:spacing w:after="0" w:line="276" w:lineRule="auto"/>
        <w:rPr>
          <w:sz w:val="20"/>
          <w:szCs w:val="20"/>
          <w:color w:val="auto"/>
        </w:rPr>
      </w:pPr>
      <w:r>
        <w:rPr>
          <w:rFonts w:ascii="Arial" w:cs="Arial" w:eastAsia="Arial" w:hAnsi="Arial"/>
          <w:sz w:val="16"/>
          <w:szCs w:val="16"/>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1" w:lineRule="exact"/>
        <w:rPr>
          <w:sz w:val="20"/>
          <w:szCs w:val="20"/>
          <w:color w:val="auto"/>
        </w:rPr>
      </w:pPr>
    </w:p>
    <w:p>
      <w:pPr>
        <w:ind w:left="60" w:right="279" w:firstLine="648"/>
        <w:spacing w:after="0" w:line="324" w:lineRule="auto"/>
        <w:rPr>
          <w:sz w:val="20"/>
          <w:szCs w:val="20"/>
          <w:color w:val="auto"/>
        </w:rPr>
      </w:pPr>
      <w:r>
        <w:rPr>
          <w:rFonts w:ascii="Arial" w:cs="Arial" w:eastAsia="Arial" w:hAnsi="Arial"/>
          <w:sz w:val="16"/>
          <w:szCs w:val="16"/>
          <w:color w:val="auto"/>
        </w:rPr>
        <w:t>Even if we obtain orphan drug exclusivity for a drug, that exclusivity may not effectively protect the designated drug from competition because different drugs can be approved for the same condition. Even after an orphan drug is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324" w:lineRule="auto"/>
        <w:rPr>
          <w:sz w:val="20"/>
          <w:szCs w:val="20"/>
          <w:color w:val="auto"/>
        </w:rPr>
      </w:pPr>
      <w:r>
        <w:rPr>
          <w:rFonts w:ascii="Arial" w:cs="Arial" w:eastAsia="Arial" w:hAnsi="Arial"/>
          <w:sz w:val="16"/>
          <w:szCs w:val="16"/>
          <w:color w:val="auto"/>
        </w:rPr>
        <w:t>approved, the FDA can subsequently approve the same drug for the same condition if the FDA concludes that the later drug is clinically superior in that it is shown to be safer, more effective or makes a major contribution to patient care.</w:t>
      </w:r>
    </w:p>
    <w:p>
      <w:pPr>
        <w:spacing w:after="0" w:line="124" w:lineRule="exact"/>
        <w:rPr>
          <w:sz w:val="20"/>
          <w:szCs w:val="20"/>
          <w:color w:val="auto"/>
        </w:rPr>
      </w:pPr>
    </w:p>
    <w:p>
      <w:pPr>
        <w:ind w:left="60" w:right="119" w:firstLine="648"/>
        <w:spacing w:after="0" w:line="251" w:lineRule="auto"/>
        <w:rPr>
          <w:sz w:val="20"/>
          <w:szCs w:val="20"/>
          <w:color w:val="auto"/>
        </w:rPr>
      </w:pPr>
      <w:r>
        <w:rPr>
          <w:rFonts w:ascii="Arial" w:cs="Arial" w:eastAsia="Arial" w:hAnsi="Arial"/>
          <w:sz w:val="17"/>
          <w:szCs w:val="17"/>
          <w:color w:val="auto"/>
        </w:rPr>
        <w:t>On August 3, 2017, Congress passed the FDA Reauthorization Act of 2017, or FDARA. FDARA, among other things, codified the FDA’s preexisting regulatory interpretation, to require that a drug Sponsor demonstrate the clinical superiority of an orphan drug that is otherwise the same as a previously approved drug for the same rare disease in order to receive orphan drug exclusivity. The law reverses prior precedent holding that the Orphan Drug Act unambiguously requires that the FDA recognize the orphan exclusivity period regardless of a showing of clinical superiority. Moreover, in the Consolidated Appropriations Act of 2021, Congress did not further change this interpretation when it clarified that the interpretation codified in FDARA would apply in cases where FDA issued an orphan designation before the enactment of FDARA but where product approval came after the enactment of FDARA.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85" w:lineRule="exact"/>
        <w:rPr>
          <w:sz w:val="20"/>
          <w:szCs w:val="20"/>
          <w:color w:val="auto"/>
        </w:rPr>
      </w:pPr>
    </w:p>
    <w:p>
      <w:pPr>
        <w:ind w:left="60" w:right="179" w:firstLine="648"/>
        <w:spacing w:after="0" w:line="243" w:lineRule="auto"/>
        <w:rPr>
          <w:sz w:val="20"/>
          <w:szCs w:val="20"/>
          <w:color w:val="auto"/>
        </w:rPr>
      </w:pPr>
      <w:r>
        <w:rPr>
          <w:rFonts w:ascii="Arial" w:cs="Arial" w:eastAsia="Arial" w:hAnsi="Arial"/>
          <w:sz w:val="18"/>
          <w:szCs w:val="18"/>
          <w:color w:val="auto"/>
        </w:rPr>
        <w:t>The FDA may further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successful in our efforts to expand our pipeline of drug candidates.</w:t>
      </w:r>
    </w:p>
    <w:p>
      <w:pPr>
        <w:spacing w:after="0" w:line="21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We may also pursue opportunities to acquire or in-license additional businesses, technologies or drugs, form strategic alliances or create joint ventures with third parties to complement or augment our existing business. However, we may not be able to identify any drug candidates for our pipeline through such acquisition or in-license.</w:t>
      </w:r>
    </w:p>
    <w:p>
      <w:pPr>
        <w:spacing w:after="0" w:line="180"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Even if we are successful in continuing to build and expand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we will not be able to obtain drug revenues in future periods, which likely would result in significant harm to our financial position and adversely affect our stock price.</w:t>
      </w:r>
    </w:p>
    <w:p>
      <w:pPr>
        <w:spacing w:after="0" w:line="189" w:lineRule="exact"/>
        <w:rPr>
          <w:sz w:val="20"/>
          <w:szCs w:val="20"/>
          <w:color w:val="auto"/>
        </w:rPr>
      </w:pPr>
    </w:p>
    <w:p>
      <w:pPr>
        <w:ind w:left="60" w:right="199"/>
        <w:spacing w:after="0" w:line="324"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Because we have limited human capital and financial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At any time and for any reason, we may determine that one or more of our discovery programs or pre-clinical or 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or clinical drug candidates or programs.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Government Legislations and Regulations</w:t>
      </w:r>
    </w:p>
    <w:p>
      <w:pPr>
        <w:spacing w:after="0" w:line="216"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b w:val="1"/>
          <w:bCs w:val="1"/>
          <w:i w:val="1"/>
          <w:iCs w:val="1"/>
          <w:color w:val="auto"/>
        </w:rPr>
        <w:t>We are required to comply with comprehensive and ongoing regulatory requirements for any of our current or future approved drugs, including conducting confirmatory clinical trials for any drug that receives accelerated approval. In addition, our current or future approved drugs could be subject to labeling and other restrictions and market withdrawal and we may be subject to penalties if we fail to comply with regulatory requirements or experience unanticipated problems with our drugs.</w:t>
      </w:r>
    </w:p>
    <w:p>
      <w:pPr>
        <w:spacing w:after="0" w:line="18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7"/>
          <w:szCs w:val="17"/>
          <w:color w:val="auto"/>
        </w:rPr>
        <w:t>Any current or future drug candidate for which we receive accelerated approval from the FDA, including GAVRETO, or similar conditional approval from the EMA, including AYVAKYT, or comparable regulatory authorities in other jurisdictions may be required to undergo one or more confirmatory clinical trials. If such drug candidate fails to meet its safety and efficacy endpoints in such confirmatory clinical trials, the regulatory authority may withdraw its approval. There is no assurance that any such drug candidate will successfully advance through its confirmatory clinical trial(s). Therefore, even if a drug candidate receives accelerated approval from the FDA or similar conditional approval from the EMA or comparable regulatory authorities, such approval may be withdrawn at a later date.</w:t>
      </w:r>
    </w:p>
    <w:p>
      <w:pPr>
        <w:spacing w:after="0" w:line="180" w:lineRule="exact"/>
        <w:rPr>
          <w:sz w:val="20"/>
          <w:szCs w:val="20"/>
          <w:color w:val="auto"/>
        </w:rPr>
      </w:pPr>
    </w:p>
    <w:p>
      <w:pPr>
        <w:ind w:left="60" w:right="119" w:firstLine="648"/>
        <w:spacing w:after="0" w:line="252" w:lineRule="auto"/>
        <w:rPr>
          <w:sz w:val="20"/>
          <w:szCs w:val="20"/>
          <w:color w:val="auto"/>
        </w:rPr>
      </w:pPr>
      <w:r>
        <w:rPr>
          <w:rFonts w:ascii="Arial" w:cs="Arial" w:eastAsia="Arial" w:hAnsi="Arial"/>
          <w:sz w:val="17"/>
          <w:szCs w:val="17"/>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86" w:lineRule="exact"/>
        <w:rPr>
          <w:sz w:val="20"/>
          <w:szCs w:val="20"/>
          <w:color w:val="auto"/>
        </w:rPr>
      </w:pPr>
    </w:p>
    <w:p>
      <w:pPr>
        <w:ind w:left="1340" w:right="59" w:hanging="318"/>
        <w:spacing w:after="0" w:line="261"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“dear doctor” letters or drug recalls;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211" w:lineRule="exact"/>
        <w:rPr>
          <w:rFonts w:ascii="Arial" w:cs="Arial" w:eastAsia="Arial" w:hAnsi="Arial"/>
          <w:sz w:val="18"/>
          <w:szCs w:val="18"/>
          <w:color w:val="auto"/>
        </w:rPr>
      </w:pPr>
    </w:p>
    <w:p>
      <w:pPr>
        <w:ind w:left="1340" w:right="139" w:hanging="318"/>
        <w:spacing w:after="0" w:line="261" w:lineRule="auto"/>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70" w:lineRule="exact"/>
        <w:rPr>
          <w:rFonts w:ascii="Arial" w:cs="Arial" w:eastAsia="Arial" w:hAnsi="Arial"/>
          <w:sz w:val="18"/>
          <w:szCs w:val="18"/>
          <w:color w:val="auto"/>
        </w:rPr>
      </w:pPr>
    </w:p>
    <w:p>
      <w:pPr>
        <w:ind w:left="1340" w:hanging="318"/>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60" w:right="79" w:firstLine="648"/>
        <w:spacing w:after="0" w:line="241"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Regulatory agencies may also impose requirements for costly post-marketing studies or clinical trials and surveillance to monitor the safety or efficacy of a product. The FDA and other agencies, including the Department of Justice, or DOJ, closely regulate and monitor the post-approval marketing and promotion of products to ensure that they are manufactured, marketed and distributed only for the approved indications and in accordance with the provisions of the approved labeling. The FDA imposes stringent restrictions on manufacturers’ communications regarding off-label use, and if we, or any future collaborators, do not market any of our products for which we, or they, receive marketing approval for only their approved indications, we, or they, may be subject to warnings or enforcement action for off-label marketing, government investigations, or litigation. Violation of the Federal Food, Drug, and Cosmetic Act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71" w:lineRule="exact"/>
        <w:rPr>
          <w:sz w:val="20"/>
          <w:szCs w:val="20"/>
          <w:color w:val="auto"/>
        </w:rPr>
      </w:pPr>
    </w:p>
    <w:p>
      <w:pPr>
        <w:ind w:left="60" w:right="239"/>
        <w:spacing w:after="0" w:line="248" w:lineRule="auto"/>
        <w:rPr>
          <w:sz w:val="20"/>
          <w:szCs w:val="20"/>
          <w:color w:val="auto"/>
        </w:rPr>
      </w:pPr>
      <w:r>
        <w:rPr>
          <w:rFonts w:ascii="Arial" w:cs="Arial" w:eastAsia="Arial" w:hAnsi="Arial"/>
          <w:sz w:val="18"/>
          <w:szCs w:val="18"/>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182" w:lineRule="exact"/>
        <w:rPr>
          <w:sz w:val="20"/>
          <w:szCs w:val="20"/>
          <w:color w:val="auto"/>
        </w:rPr>
      </w:pPr>
    </w:p>
    <w:p>
      <w:pPr>
        <w:ind w:left="60" w:right="139" w:firstLine="648"/>
        <w:spacing w:after="0" w:line="238" w:lineRule="auto"/>
        <w:rPr>
          <w:sz w:val="20"/>
          <w:szCs w:val="20"/>
          <w:color w:val="auto"/>
        </w:rPr>
      </w:pPr>
      <w:r>
        <w:rPr>
          <w:rFonts w:ascii="Arial" w:cs="Arial" w:eastAsia="Arial" w:hAnsi="Arial"/>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91" w:lineRule="exact"/>
        <w:rPr>
          <w:sz w:val="20"/>
          <w:szCs w:val="20"/>
          <w:color w:val="auto"/>
        </w:rPr>
      </w:pPr>
    </w:p>
    <w:p>
      <w:pPr>
        <w:ind w:left="60" w:right="79" w:firstLine="648"/>
        <w:spacing w:after="0" w:line="266" w:lineRule="auto"/>
        <w:rPr>
          <w:sz w:val="20"/>
          <w:szCs w:val="20"/>
          <w:color w:val="auto"/>
        </w:rPr>
      </w:pPr>
      <w:r>
        <w:rPr>
          <w:rFonts w:ascii="Arial" w:cs="Arial" w:eastAsia="Arial" w:hAnsi="Arial"/>
          <w:sz w:val="16"/>
          <w:szCs w:val="16"/>
          <w:color w:val="auto"/>
        </w:rPr>
        <w:t>Our ability to commercialize any drugs and drug candidates successfully also will depend in part on the extent to which coverage and reimbursement for these drugs and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additional products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other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 Further, due to the ongoing COVID-19 pandemic, many individuals have lost or will be losing employer-based insurance coverage, which may adversely affect our ability to commercialize our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products. It is unclear what effect, if any, American Rescue Plan and other government efforts to expand coverage will have on the number of covered individuals.</w:t>
      </w:r>
    </w:p>
    <w:p>
      <w:pPr>
        <w:spacing w:after="0" w:line="171"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Private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46" w:lineRule="exact"/>
        <w:rPr>
          <w:sz w:val="20"/>
          <w:szCs w:val="20"/>
          <w:color w:val="auto"/>
        </w:rPr>
      </w:pPr>
    </w:p>
    <w:p>
      <w:pPr>
        <w:jc w:val="both"/>
        <w:ind w:left="60" w:right="139" w:firstLine="648"/>
        <w:spacing w:after="0" w:line="271" w:lineRule="auto"/>
        <w:rPr>
          <w:sz w:val="20"/>
          <w:szCs w:val="20"/>
          <w:color w:val="auto"/>
        </w:rPr>
      </w:pPr>
      <w:r>
        <w:rPr>
          <w:rFonts w:ascii="Arial" w:cs="Arial" w:eastAsia="Arial" w:hAnsi="Arial"/>
          <w:sz w:val="16"/>
          <w:szCs w:val="16"/>
          <w:color w:val="auto"/>
        </w:rPr>
        <w:t>The United States has enacted or proposed legislative and regulatory changes affecting the healthcare system that could prevent or delay marketing approval of our current drug candidates or any future drug candidates, restrict or regulate post-approval activities and affect our ability to profitably sell any product for which we obtain marketing approval.</w:t>
      </w:r>
    </w:p>
    <w:p>
      <w:pPr>
        <w:ind w:left="60" w:right="179"/>
        <w:spacing w:after="0" w:line="264" w:lineRule="auto"/>
        <w:rPr>
          <w:sz w:val="20"/>
          <w:szCs w:val="20"/>
          <w:color w:val="auto"/>
        </w:rPr>
      </w:pPr>
      <w:r>
        <w:rPr>
          <w:rFonts w:ascii="Arial" w:cs="Arial" w:eastAsia="Arial" w:hAnsi="Arial"/>
          <w:sz w:val="16"/>
          <w:szCs w:val="16"/>
          <w:color w:val="auto"/>
        </w:rPr>
        <w:t>Changes in regulations, statutes or the interpretation of existing regulations could impact our business in the future by requiring, for example: (i) changes to our manufacturing arrangements; (ii) additions or modifications to product labeling;</w:t>
      </w:r>
    </w:p>
    <w:p>
      <w:pPr>
        <w:ind w:left="60" w:right="59" w:hanging="10"/>
        <w:spacing w:after="0" w:line="268" w:lineRule="auto"/>
        <w:tabs>
          <w:tab w:leader="none" w:pos="37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recall or discontinuation of our products; or (iv) additional record-keeping requirements. If any such changes were to be imposed, they could adversely affect the operation of our business. In the United States, there have been and continue to be a number of legislative initiatives to contain healthcare costs. For example, in March 2010, the ACA was passed, which substantially changes the way healthcare is financed by both governmental and private insurers, and significantly impacts the U.S. pharmaceutical industry. The ACA, among other things, made several changes to the Medicare Drug Rebate Program, establishes annual fees and taxes on manufacturers of certain branded prescription drugs, and creates a new Medicare Part D coverage gap discount program, in which manufacturers must agree to offer 50% (increased to 70% pursuant to the Bipartisan Budget Act of 2018,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reform through legislation and Executive Orders by the previous U.S. presidential administration and to judicial challenges. In 2012, the U.S. Supreme Court heard challenges to the constitutionality of the individual mandate and the viability of certain provisions of the ACA. The Supreme Court's decision upheld most of the ACA and determined that requiring individuals to maintain "minimum essential" health insurance coverage or pay a penalty to the Internal Revenue Service was within Congress's constitutional taxing authority. However, as a result of tax reform legislation enacted into law in late December 2017, the individual mandate has been eliminated, effective January 1, 2019. On December 14, 2018, a U.S. District Court Judge in the Northern District of Texas ruled that the individual mandate is a critical and inseverable feature of the ACA, and therefore, because it was repealed as part of the 2017 Tax Reform Act, the remaining provisions of the ACA are invalid as well. On December 18, 2019, the Fifth Circuit U.S. Court of Appeals held that the individual mandate is unconstitutional. On March 2, 2020, the United States Supreme Court granted the petitions for writs of certiorari to review this case, and held oral arguments on November 10, 2020.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the purpose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spacing w:after="0" w:line="261" w:lineRule="auto"/>
        <w:rPr>
          <w:sz w:val="20"/>
          <w:szCs w:val="20"/>
          <w:color w:val="auto"/>
        </w:rPr>
      </w:pPr>
      <w:r>
        <w:rPr>
          <w:rFonts w:ascii="Arial" w:cs="Arial" w:eastAsia="Arial" w:hAnsi="Arial"/>
          <w:sz w:val="18"/>
          <w:szCs w:val="18"/>
          <w:color w:val="auto"/>
        </w:rPr>
        <w:t>through Medicaid or the ACA. It is unclear how other healthcare reform measures of the Biden administration or other efforts, if any, to challenge, repeal or replace the ACA will impact our business.</w:t>
      </w:r>
    </w:p>
    <w:p>
      <w:pPr>
        <w:spacing w:after="0" w:line="171"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6"/>
          <w:szCs w:val="16"/>
          <w:color w:val="auto"/>
        </w:rPr>
        <w:t>In addition, 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HHS has already started the process of soliciting feedback on some of the Trump administration’s measures and, at the same time, is immediately implementing others under its existing authority. However, it is unclear whether the Biden administration will challenge, reverse, revoke or otherwise modify these executive and administrative actions. The Coronavirus Aid, Relief, and Economic Security, or CARES, Act suspended the sequestration payment adjustment percentage of 2% applied to all Medicare Fee-for-Service, or FFS, claims from May 1 through December 31, 2021. The Consolidated Appropriations Act of 2021, extended the suspension period to March 31, 2021. An Act to Prevent Across-the-Board Direct Spending Cuts, and for Other Purposes, signed into law on April 14, 2021, has extended the suspension period to December 31, 2021.</w:t>
      </w:r>
    </w:p>
    <w:p>
      <w:pPr>
        <w:spacing w:after="0" w:line="171" w:lineRule="exact"/>
        <w:rPr>
          <w:sz w:val="20"/>
          <w:szCs w:val="20"/>
          <w:color w:val="auto"/>
        </w:rPr>
      </w:pPr>
    </w:p>
    <w:p>
      <w:pPr>
        <w:ind w:left="60" w:right="59" w:firstLine="648"/>
        <w:spacing w:after="0" w:line="265" w:lineRule="auto"/>
        <w:rPr>
          <w:sz w:val="20"/>
          <w:szCs w:val="20"/>
          <w:color w:val="auto"/>
        </w:rPr>
      </w:pPr>
      <w:r>
        <w:rPr>
          <w:rFonts w:ascii="Arial" w:cs="Arial" w:eastAsia="Arial" w:hAnsi="Arial"/>
          <w:sz w:val="16"/>
          <w:szCs w:val="16"/>
          <w:color w:val="auto"/>
        </w:rPr>
        <w:t>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products. In addition, the U.S. government, state legislatures, and foreign governments have shown significant interest in implementing cost-containment programs, including price-controls, restrictions on reimbursement, and requirements for substitution of generic products for branded prescription drugs to limit the growth of government paid healthcare costs.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Among other things, the Executive Order also directs HHS to provide a report on actions to combat excessive pricing of prescription drugs, enhance the domestic drug supply chain, reduce the price that the Federal government pays for drugs, and address price gouging in the industry; and directs the FDA to work with states and Indian Tribes that propose to develop section 804 Importation Programs in accordance with the Medicare Prescription Drug, Improvement, and Modernization Act of 2003, and the FDA’s implementing regulations. FDA released such implementing regulations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The MFN is currently subject to ongoing litigation.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Further, implementation of this change and new safe harbors for point-of-sale reductions in price for prescription pharmaceutical products and pharmacy benefit manager service fees are currently under review by the Biden administration and may be amended or repealed. Although a number of these and other proposed measures may require authorization through additional legislation to become effective, and the Biden administration may reverse or otherwise change these measures, both the Biden administration and Congress have indicated that it will continue to seek new legislative measures to control drug costs.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39" w:firstLine="648"/>
        <w:spacing w:after="0" w:line="262" w:lineRule="auto"/>
        <w:rPr>
          <w:sz w:val="20"/>
          <w:szCs w:val="20"/>
          <w:color w:val="auto"/>
        </w:rPr>
      </w:pPr>
      <w:r>
        <w:rPr>
          <w:rFonts w:ascii="Arial" w:cs="Arial" w:eastAsia="Arial" w:hAnsi="Arial"/>
          <w:sz w:val="17"/>
          <w:szCs w:val="17"/>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2" w:lineRule="exact"/>
        <w:rPr>
          <w:sz w:val="20"/>
          <w:szCs w:val="20"/>
          <w:color w:val="auto"/>
        </w:rPr>
      </w:pPr>
    </w:p>
    <w:p>
      <w:pPr>
        <w:ind w:left="60" w:right="99" w:firstLine="648"/>
        <w:spacing w:after="0" w:line="266" w:lineRule="auto"/>
        <w:rPr>
          <w:sz w:val="20"/>
          <w:szCs w:val="20"/>
          <w:color w:val="auto"/>
        </w:rPr>
      </w:pPr>
      <w:r>
        <w:rPr>
          <w:rFonts w:ascii="Arial" w:cs="Arial" w:eastAsia="Arial" w:hAnsi="Arial"/>
          <w:sz w:val="16"/>
          <w:szCs w:val="16"/>
          <w:color w:val="auto"/>
        </w:rPr>
        <w:t>We may face competition in the U.S. for our development candidates and investigational medicines, if approved, from therapies sourced from foreign countries that have placed price controls on pharmaceutical products. In the United States, the Medicare Modernization Act, or MMA, contains provisions that call for the promulgation of regulations that expand pharmacists’ and wholesalers’ ability to import cheaper versions of an approved drug and competing products from Canada, where there are government price controls. Further, the MMA provides that these changes to U.S. importation laws will not take effect, unless and until the Secretary of the HHS certifies that the changes will pose no additional risk to the public’s health and safety and will result in a significant reduction in the cost of products to consumers. On September 23, 2020, the Secretary of the HHS made such certification to Congress, and on October 1, 2020, FDA published a final rule that allows for the importation of certain prescription drugs from Canada. Under the final rule, States and Indian Tribes, and in certain future circumstances pharmacists and wholesalers, may submit importation program proposals to the FDA for review and authorization. Since the issuance of the final rule, several industry groups have filed federal lawsuits challenging multiple aspects of the final rule, and authorities in Canada have passed rules designed to safeguard the Canadian drug supply from shortages. On September 25, 2020, CMS stated drugs imported by States under this rule will not be eligible for federal rebates under Section 1927 of the Social Security Act and manufacturers would not report these drugs for “best price” or Average Manufacturer Price purposes. Since these drugs are not considered covered outpatient drugs, CMS further stated it will not publish a National Average Drug Acquisition Cost for these drugs. Separately, the FDA also issued a final guidance document outlining a pathway for manufacturers to obtain an additional National Drug Code, or NDC, for an FDA-approved drug that was originally intended to be marketed in a foreign country and that was authorized for sale in that foreign country. The market implications of the final rule and guidance are unknown at this time. On July 9, 2021, President Biden issued an executive order directing the FDA to, among other things, work with states and tribes to safely import prescription drugs from Canada, continue to clarify and improve the approval framework for generic drugs and biosimilars, and identify and address any efforts to impede generic drug and biosimilar competition. Proponents of drug reimportation may attempt to pass legislation that would directly allow reimportation under certain circumstances. Legislation or regulations allowing the reimportation of drugs, if enacted, could decrease the price we receive for any products that we may develop and adversely affect our future revenues and prospects for profitability.</w:t>
      </w:r>
    </w:p>
    <w:p>
      <w:pPr>
        <w:spacing w:after="0" w:line="181" w:lineRule="exact"/>
        <w:rPr>
          <w:sz w:val="20"/>
          <w:szCs w:val="20"/>
          <w:color w:val="auto"/>
        </w:rPr>
      </w:pPr>
    </w:p>
    <w:p>
      <w:pPr>
        <w:ind w:left="60" w:right="119" w:firstLine="648"/>
        <w:spacing w:after="0" w:line="239" w:lineRule="auto"/>
        <w:rPr>
          <w:sz w:val="20"/>
          <w:szCs w:val="20"/>
          <w:color w:val="auto"/>
        </w:rPr>
      </w:pPr>
      <w:r>
        <w:rPr>
          <w:rFonts w:ascii="Arial" w:cs="Arial" w:eastAsia="Arial" w:hAnsi="Arial"/>
          <w:sz w:val="18"/>
          <w:szCs w:val="18"/>
          <w:color w:val="auto"/>
        </w:rPr>
        <w:t>The Creating and Restoring Equal Access to Equivalent Samples Act, or the CREATES Act, was enacted in 2019 requiring sponsors of approved new drug applications and biologics license applications to provide sufficient quantities of product samples on commercially reasonable, market-based terms to entities developing generic drugs and biosimilar biological products. The law establishes a private right of action allowing developers to sue application holders that refuse to sell them product samples needed to support their applications. If we are required to provide product samples or allocate additional resources to responding to such requests or any legal challenges under this law, our business could be adversely impacted.</w:t>
      </w:r>
    </w:p>
    <w:p>
      <w:pPr>
        <w:spacing w:after="0" w:line="191" w:lineRule="exact"/>
        <w:rPr>
          <w:sz w:val="20"/>
          <w:szCs w:val="20"/>
          <w:color w:val="auto"/>
        </w:rPr>
      </w:pPr>
    </w:p>
    <w:p>
      <w:pPr>
        <w:ind w:left="60" w:right="279" w:firstLine="648"/>
        <w:spacing w:after="0" w:line="259" w:lineRule="auto"/>
        <w:rPr>
          <w:sz w:val="20"/>
          <w:szCs w:val="20"/>
          <w:color w:val="auto"/>
        </w:rPr>
      </w:pPr>
      <w:r>
        <w:rPr>
          <w:rFonts w:ascii="Arial" w:cs="Arial" w:eastAsia="Arial" w:hAnsi="Arial"/>
          <w:sz w:val="17"/>
          <w:szCs w:val="17"/>
          <w:color w:val="auto"/>
        </w:rPr>
        <w:t>Other legislative measures have also been enacted that may impose additional pricing and product development pressures on our business, and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74"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174" w:lineRule="exact"/>
        <w:rPr>
          <w:sz w:val="20"/>
          <w:szCs w:val="20"/>
          <w:color w:val="auto"/>
        </w:rPr>
      </w:pPr>
    </w:p>
    <w:p>
      <w:pPr>
        <w:ind w:left="60" w:right="139"/>
        <w:spacing w:after="0" w:line="322"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Our arrangements with third-party payors and customers expose us to broadly applicable fraud and abuse and other healthcare laws and regulations, including but not limited to, the federal healthcare Anti-Kickback Statute, the False Claims Act, the federal Health Insurance Portability and Accountability Act of 1996, or HIPAA, the Physician Payment Sunshine Act, HIPAA, as amended by the Health Information Technology for Economic and Clinical Health Act of 2009, or HITECH, the federal false statements statute, federal consumer protection and unfair competition laws and similar state and foreign laws and regulations that may regulate the business or financial arrangements and relationships through which we market, sell and distribute our drugs. The number and complexity of federal, state, and foreign laws continue to increase, and additional governmental resources are being used to enforce these laws and to prosecute companies and individuals who are believed to be violating them.</w:t>
      </w:r>
    </w:p>
    <w:p>
      <w:pPr>
        <w:spacing w:after="0" w:line="18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In the U.S., to help patients who have no or inadequate insurance access our drug, we have a patient assistance program that we administer in conjunction with our patient support program vendor.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184"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80"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1"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Our future profitability may depend, in part, on our ability to commercialize current or future drug candidates in foreign markets for which we may rely on collaboration with third parties. We are not permitted to market or promote any of our drug candidates before we receive regulatory approval from the applicable regulatory authority in that foreign market.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8" w:lineRule="exact"/>
        <w:rPr>
          <w:sz w:val="20"/>
          <w:szCs w:val="20"/>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 including the European General Data Protection Regulation 2016/679, commonly referred to as GDPR;</w:t>
      </w:r>
    </w:p>
    <w:p>
      <w:pPr>
        <w:spacing w:after="0" w:line="181" w:lineRule="exact"/>
        <w:rPr>
          <w:rFonts w:ascii="Arial" w:cs="Arial" w:eastAsia="Arial" w:hAnsi="Arial"/>
          <w:sz w:val="18"/>
          <w:szCs w:val="18"/>
          <w:color w:val="auto"/>
        </w:rPr>
      </w:pPr>
    </w:p>
    <w:p>
      <w:pPr>
        <w:ind w:left="1340" w:hanging="318"/>
        <w:spacing w:after="0"/>
        <w:tabs>
          <w:tab w:leader="none" w:pos="1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23" w:lineRule="exact"/>
        <w:rPr>
          <w:rFonts w:ascii="Arial" w:cs="Arial" w:eastAsia="Arial" w:hAnsi="Arial"/>
          <w:sz w:val="17"/>
          <w:szCs w:val="17"/>
          <w:color w:val="auto"/>
        </w:rPr>
      </w:pPr>
    </w:p>
    <w:p>
      <w:pPr>
        <w:ind w:left="1340" w:hanging="318"/>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interpretation of contractual provisions governed by foreign laws in the event of a contract dispute.</w:t>
      </w:r>
    </w:p>
    <w:p>
      <w:pPr>
        <w:spacing w:after="0" w:line="235" w:lineRule="exact"/>
        <w:rPr>
          <w:sz w:val="20"/>
          <w:szCs w:val="20"/>
          <w:color w:val="auto"/>
        </w:rPr>
      </w:pPr>
    </w:p>
    <w:p>
      <w:pPr>
        <w:ind w:left="60" w:right="159" w:firstLine="648"/>
        <w:spacing w:after="0" w:line="261"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Governments outside the U.S. tend to impose strict price controls, which may adversely affect our revenues, if any.</w:t>
      </w:r>
    </w:p>
    <w:p>
      <w:pPr>
        <w:spacing w:after="0" w:line="235" w:lineRule="exact"/>
        <w:rPr>
          <w:sz w:val="20"/>
          <w:szCs w:val="20"/>
          <w:color w:val="auto"/>
        </w:rPr>
      </w:pPr>
    </w:p>
    <w:p>
      <w:pPr>
        <w:ind w:left="60" w:right="99" w:firstLine="648"/>
        <w:spacing w:after="0" w:line="251"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on June 23, 2016, the electorate in the United Kingdom voted in favor of leaving the European Union, commonly referred to as Brexit. Thereafter, on March 29, 2017, the country formally notified the European Union of its intention to withdraw pursuant to Article 50 of the Lisbon Treaty and the United Kingdom formally left the European Union on January 31, 2020. A transition period began on February 1, 2020, during which European Union pharmaceutical law remained applicable to the United Kingdom, however this ended on December 31, 2020. Since the regulatory framework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products in the United Kingdom, including the regulation of pricing of prescription pharmaceuticals, as the United Kingdom legislation now has the potential to diverge from European Union legislation.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81" w:lineRule="exact"/>
        <w:rPr>
          <w:sz w:val="20"/>
          <w:szCs w:val="20"/>
          <w:color w:val="auto"/>
        </w:rPr>
      </w:pPr>
    </w:p>
    <w:p>
      <w:pPr>
        <w:ind w:left="60" w:right="399"/>
        <w:spacing w:after="0" w:line="324"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1" w:lineRule="exact"/>
        <w:rPr>
          <w:sz w:val="20"/>
          <w:szCs w:val="20"/>
          <w:color w:val="auto"/>
        </w:rPr>
      </w:pPr>
    </w:p>
    <w:p>
      <w:pPr>
        <w:ind w:left="60" w:right="159" w:firstLine="648"/>
        <w:spacing w:after="0" w:line="284"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16" w:lineRule="exact"/>
        <w:rPr>
          <w:sz w:val="20"/>
          <w:szCs w:val="20"/>
          <w:color w:val="auto"/>
        </w:rPr>
      </w:pPr>
    </w:p>
    <w:p>
      <w:pPr>
        <w:ind w:left="60" w:right="459"/>
        <w:spacing w:after="0" w:line="324" w:lineRule="auto"/>
        <w:rPr>
          <w:sz w:val="20"/>
          <w:szCs w:val="20"/>
          <w:color w:val="auto"/>
        </w:rPr>
      </w:pPr>
      <w:r>
        <w:rPr>
          <w:rFonts w:ascii="Arial" w:cs="Arial" w:eastAsia="Arial" w:hAnsi="Arial"/>
          <w:sz w:val="16"/>
          <w:szCs w:val="16"/>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24" w:lineRule="exact"/>
        <w:rPr>
          <w:sz w:val="20"/>
          <w:szCs w:val="20"/>
          <w:color w:val="auto"/>
        </w:rPr>
      </w:pPr>
    </w:p>
    <w:p>
      <w:pPr>
        <w:ind w:left="60" w:right="139" w:firstLine="648"/>
        <w:spacing w:after="0" w:line="243" w:lineRule="auto"/>
        <w:rPr>
          <w:sz w:val="20"/>
          <w:szCs w:val="20"/>
          <w:color w:val="auto"/>
        </w:rPr>
      </w:pPr>
      <w:r>
        <w:rPr>
          <w:rFonts w:ascii="Arial" w:cs="Arial" w:eastAsia="Arial" w:hAnsi="Arial"/>
          <w:sz w:val="18"/>
          <w:szCs w:val="18"/>
          <w:color w:val="auto"/>
        </w:rPr>
        <w:t>We are a precision therapy company with a limited operating history. To date, we have not yet demonstrated our ability to conduct large-scale sales and marketing activities necessary for successful commercialization. We currently have two approved precision therapies and are transitioning to a company capable of supporting commercial activities. We may not be successful in such a transition.</w:t>
      </w:r>
    </w:p>
    <w:p>
      <w:pPr>
        <w:spacing w:after="0" w:line="188" w:lineRule="exact"/>
        <w:rPr>
          <w:sz w:val="20"/>
          <w:szCs w:val="20"/>
          <w:color w:val="auto"/>
        </w:rPr>
      </w:pPr>
    </w:p>
    <w:p>
      <w:pPr>
        <w:ind w:left="60" w:right="159" w:firstLine="648"/>
        <w:spacing w:after="0" w:line="274" w:lineRule="auto"/>
        <w:rPr>
          <w:sz w:val="20"/>
          <w:szCs w:val="20"/>
          <w:color w:val="auto"/>
        </w:rPr>
      </w:pPr>
      <w:r>
        <w:rPr>
          <w:rFonts w:ascii="Arial" w:cs="Arial" w:eastAsia="Arial" w:hAnsi="Arial"/>
          <w:sz w:val="16"/>
          <w:szCs w:val="16"/>
          <w:color w:val="auto"/>
        </w:rPr>
        <w:t>We commenced operations in April 2011 and we have focused substantially all of our efforts and financial resources to date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conducting pre-clinical studies and clinical development for our drug candidates, commencing pre-commercial activities and the commercial launches for AYVAKIT/AYVAKYT and GAVRETO, and producing the active pharmaceutical ingredient, or API, drug substance and drug product material for use in pre-clinical studies and clinical trials for our drug candidates and commercial sale of our approved drugs.</w:t>
      </w:r>
    </w:p>
    <w:p>
      <w:pPr>
        <w:spacing w:after="0" w:line="163" w:lineRule="exact"/>
        <w:rPr>
          <w:sz w:val="20"/>
          <w:szCs w:val="20"/>
          <w:color w:val="auto"/>
        </w:rPr>
      </w:pPr>
    </w:p>
    <w:p>
      <w:pPr>
        <w:ind w:left="60" w:right="679" w:firstLine="648"/>
        <w:spacing w:after="0" w:line="274" w:lineRule="auto"/>
        <w:rPr>
          <w:sz w:val="20"/>
          <w:szCs w:val="20"/>
          <w:color w:val="auto"/>
        </w:rPr>
      </w:pPr>
      <w:r>
        <w:rPr>
          <w:rFonts w:ascii="Arial" w:cs="Arial" w:eastAsia="Arial" w:hAnsi="Arial"/>
          <w:sz w:val="16"/>
          <w:szCs w:val="16"/>
          <w:color w:val="auto"/>
        </w:rPr>
        <w:t>To date, we have financed our operations primarily through public offerings of our common stock, private placements of our convertible preferred and common stock, collaborations and a license agreement. Through</w:t>
      </w:r>
    </w:p>
    <w:p>
      <w:pPr>
        <w:spacing w:after="0" w:line="1" w:lineRule="exact"/>
        <w:rPr>
          <w:sz w:val="20"/>
          <w:szCs w:val="20"/>
          <w:color w:val="auto"/>
        </w:rPr>
      </w:pPr>
    </w:p>
    <w:p>
      <w:pPr>
        <w:ind w:left="60" w:right="119"/>
        <w:spacing w:after="0" w:line="253" w:lineRule="auto"/>
        <w:rPr>
          <w:sz w:val="20"/>
          <w:szCs w:val="20"/>
          <w:color w:val="auto"/>
        </w:rPr>
      </w:pPr>
      <w:r>
        <w:rPr>
          <w:rFonts w:ascii="Arial" w:cs="Arial" w:eastAsia="Arial" w:hAnsi="Arial"/>
          <w:sz w:val="17"/>
          <w:szCs w:val="17"/>
          <w:color w:val="auto"/>
        </w:rPr>
        <w:t>June 30, 2021, we have received an aggregate of $2.9 billion from such transactions, including $1.9 billion in aggregate gross proceeds from the sale of common stock in our initial public offering, follow on public offerings, through our “at the market” stock offering program and the equity investment by Roche, $115.1 million in gross proceeds from the issuance of convertible preferred stock, $921.3 million in upfront payments and milestone payments under our collaborations with Roche and CStone, our license agreement with Clementia and our former collaboration with Alexion. In addition, since January 2020, we have generated limited product revenue.</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 inception, we have incurred significant operating losses, with the exception of the year ended</w:t>
      </w:r>
    </w:p>
    <w:p>
      <w:pPr>
        <w:spacing w:after="0" w:line="12"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2020. Our net loss was $108.4 million for the six months ended June 30, 2021. Our net income was $313.9</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million for the year ended December 31, 2020 primarily due to the collaboration revenue recorded under our collaboration</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color w:val="auto"/>
        </w:rPr>
        <w:t>with Roche for pralsetinib, and our net losses were $347.7 million and $236.6 million for the years ended December 31,</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2019 and 2018, respectively. As of June 30, 2021, we had an accumulated deficit of $839.5 million.</w:t>
      </w:r>
    </w:p>
    <w:p>
      <w:pPr>
        <w:spacing w:after="0" w:line="196"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6"/>
          <w:szCs w:val="16"/>
          <w:color w:val="auto"/>
        </w:rPr>
        <w:t>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few years. We anticipate that our expenses will continue to increase in connection with our ongoing activities.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drugs or any drug candidates for which we may receive marketing approval. In addition, we have incurred and will continue to incur substantial costs associated with operating as a public company.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68" w:lineRule="exact"/>
        <w:rPr>
          <w:sz w:val="20"/>
          <w:szCs w:val="20"/>
          <w:color w:val="auto"/>
        </w:rPr>
      </w:pPr>
    </w:p>
    <w:p>
      <w:pPr>
        <w:ind w:left="60" w:right="339" w:firstLine="648"/>
        <w:spacing w:after="0" w:line="261" w:lineRule="auto"/>
        <w:rPr>
          <w:sz w:val="20"/>
          <w:szCs w:val="20"/>
          <w:color w:val="auto"/>
        </w:rPr>
      </w:pPr>
      <w:r>
        <w:rPr>
          <w:rFonts w:ascii="Arial" w:cs="Arial" w:eastAsia="Arial" w:hAnsi="Arial"/>
          <w:sz w:val="18"/>
          <w:szCs w:val="18"/>
          <w:color w:val="auto"/>
        </w:rPr>
        <w:t>To date, we have not generated substantial revenue from drug sales. Our ability to generate substantial revenue depends on a number of factors, including, but not limited to, our ability to:</w:t>
      </w:r>
    </w:p>
    <w:p>
      <w:pPr>
        <w:spacing w:after="0" w:line="171" w:lineRule="exact"/>
        <w:rPr>
          <w:sz w:val="20"/>
          <w:szCs w:val="20"/>
          <w:color w:val="auto"/>
        </w:rPr>
      </w:pPr>
    </w:p>
    <w:p>
      <w:pPr>
        <w:ind w:left="1340" w:hanging="318"/>
        <w:spacing w:after="0"/>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21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 including for avapritinib and pralsetinib for additional indications or in additional geographies;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459" w:hanging="318"/>
        <w:spacing w:after="0" w:line="291" w:lineRule="auto"/>
        <w:tabs>
          <w:tab w:leader="none" w:pos="1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46" w:lineRule="exact"/>
        <w:rPr>
          <w:rFonts w:ascii="Arial" w:cs="Arial" w:eastAsia="Arial" w:hAnsi="Arial"/>
          <w:sz w:val="17"/>
          <w:szCs w:val="17"/>
          <w:color w:val="auto"/>
        </w:rPr>
      </w:pPr>
    </w:p>
    <w:p>
      <w:pPr>
        <w:ind w:left="1340" w:right="379" w:hanging="318"/>
        <w:spacing w:after="0" w:line="248"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and, if necessary, expand a sales, marketing and distribution infrastructure to commercialize AYVAKIT/AYVAKYT, GAVRETO and any current or future drug candidates for which we obtain marketing approval; and</w:t>
      </w:r>
    </w:p>
    <w:p>
      <w:pPr>
        <w:spacing w:after="0" w:line="181" w:lineRule="exact"/>
        <w:rPr>
          <w:rFonts w:ascii="Arial" w:cs="Arial" w:eastAsia="Arial" w:hAnsi="Arial"/>
          <w:sz w:val="18"/>
          <w:szCs w:val="18"/>
          <w:color w:val="auto"/>
        </w:rPr>
      </w:pPr>
    </w:p>
    <w:p>
      <w:pPr>
        <w:ind w:left="1340" w:right="519" w:hanging="318"/>
        <w:spacing w:after="0" w:line="248" w:lineRule="auto"/>
        <w:tabs>
          <w:tab w:leader="none" w:pos="1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achieve market acceptance in the medical community and with third-party payors for AYVAKIT/AYVAKYT, GAVRETO and any current or future drug candidates for which we receive marketing approval.</w:t>
      </w:r>
    </w:p>
    <w:p>
      <w:pPr>
        <w:spacing w:after="0" w:line="182" w:lineRule="exact"/>
        <w:rPr>
          <w:sz w:val="20"/>
          <w:szCs w:val="20"/>
          <w:color w:val="auto"/>
        </w:rPr>
      </w:pPr>
    </w:p>
    <w:p>
      <w:pPr>
        <w:ind w:left="60" w:right="79" w:firstLine="648"/>
        <w:spacing w:after="0" w:line="276" w:lineRule="auto"/>
        <w:rPr>
          <w:sz w:val="20"/>
          <w:szCs w:val="20"/>
          <w:color w:val="auto"/>
        </w:rPr>
      </w:pPr>
      <w:r>
        <w:rPr>
          <w:rFonts w:ascii="Arial" w:cs="Arial" w:eastAsia="Arial" w:hAnsi="Arial"/>
          <w:sz w:val="16"/>
          <w:szCs w:val="16"/>
          <w:color w:val="auto"/>
        </w:rPr>
        <w:t>We expect to incur significant sales and marketing costs as we commercialize AYVAKIT/AYVAKYT, jointly commercialize GAVRETO with Roche and commercialize any current or future drug candidates for which we receive marketing approval.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2" w:lineRule="exact"/>
        <w:rPr>
          <w:sz w:val="20"/>
          <w:szCs w:val="20"/>
          <w:color w:val="auto"/>
        </w:rPr>
      </w:pPr>
    </w:p>
    <w:p>
      <w:pPr>
        <w:ind w:left="60" w:right="379"/>
        <w:spacing w:after="0" w:line="324" w:lineRule="auto"/>
        <w:rPr>
          <w:sz w:val="20"/>
          <w:szCs w:val="20"/>
          <w:color w:val="auto"/>
        </w:rPr>
      </w:pPr>
      <w:r>
        <w:rPr>
          <w:rFonts w:ascii="Arial" w:cs="Arial" w:eastAsia="Arial" w:hAnsi="Arial"/>
          <w:sz w:val="16"/>
          <w:szCs w:val="16"/>
          <w:b w:val="1"/>
          <w:bCs w:val="1"/>
          <w:i w:val="1"/>
          <w:iCs w:val="1"/>
          <w:color w:val="auto"/>
        </w:rPr>
        <w:t>We may seek to raise additional funding from time to time. If we are unable to raise capital when needed, we may be forced to delay, reduce or eliminate some of our drug development programs or commercialization efforts.</w:t>
      </w:r>
    </w:p>
    <w:p>
      <w:pPr>
        <w:spacing w:after="0" w:line="124"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7"/>
          <w:szCs w:val="17"/>
          <w:color w:val="auto"/>
        </w:rPr>
        <w:t>The development and commercialization of pharmaceuticals is capital-intensive. We are currently advancing multiple drug candidates and development programs through clinical and preclinical development. We expect our expenses to increase in connection with our ongoing activities, particularly as we continue the research and development of, initiate or continue clinical trials of, and seek marketing approval for our drug candidates, including marketing approval for avapritinib for additional indications or in additional geographies and for pralsetinib. In addition, we expect to incur additional significant commercialization expenses for AYVAKIT/AYVAKYT, GAVRETO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if we choose to pursue additional indications or geographies for any of our approved drugs or drug candidates or otherwise expand more rapidly than we presently anticipate.</w:t>
      </w:r>
    </w:p>
    <w:p>
      <w:pPr>
        <w:spacing w:after="0" w:line="180" w:lineRule="exact"/>
        <w:rPr>
          <w:sz w:val="20"/>
          <w:szCs w:val="20"/>
          <w:color w:val="auto"/>
        </w:rPr>
      </w:pPr>
    </w:p>
    <w:p>
      <w:pPr>
        <w:ind w:left="60" w:right="639" w:firstLine="648"/>
        <w:spacing w:after="0" w:line="261" w:lineRule="auto"/>
        <w:rPr>
          <w:sz w:val="20"/>
          <w:szCs w:val="20"/>
          <w:color w:val="auto"/>
        </w:rPr>
      </w:pPr>
      <w:r>
        <w:rPr>
          <w:rFonts w:ascii="Arial" w:cs="Arial" w:eastAsia="Arial" w:hAnsi="Arial"/>
          <w:sz w:val="18"/>
          <w:szCs w:val="18"/>
          <w:color w:val="auto"/>
        </w:rPr>
        <w:t>Our future capital requirements will depend on and could increase significantly as a result of many factors, including:</w:t>
      </w:r>
    </w:p>
    <w:p>
      <w:pPr>
        <w:spacing w:after="0" w:line="171" w:lineRule="exact"/>
        <w:rPr>
          <w:sz w:val="20"/>
          <w:szCs w:val="20"/>
          <w:color w:val="auto"/>
        </w:rPr>
      </w:pPr>
    </w:p>
    <w:p>
      <w:pPr>
        <w:ind w:left="1340" w:right="399" w:hanging="318"/>
        <w:spacing w:after="0" w:line="324" w:lineRule="auto"/>
        <w:tabs>
          <w:tab w:leader="none" w:pos="1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success of our commercialization efforts and market acceptance for AYVAKIT/AYVAKYT, GAVRETO or any of our current or future drug candidates for which we receive marketing approval;</w:t>
      </w:r>
    </w:p>
    <w:p>
      <w:pPr>
        <w:spacing w:after="0" w:line="124" w:lineRule="exact"/>
        <w:rPr>
          <w:rFonts w:ascii="Arial" w:cs="Arial" w:eastAsia="Arial" w:hAnsi="Arial"/>
          <w:sz w:val="16"/>
          <w:szCs w:val="16"/>
          <w:color w:val="auto"/>
        </w:rPr>
      </w:pPr>
    </w:p>
    <w:p>
      <w:pPr>
        <w:ind w:left="1340" w:right="35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of maintaining, expanding or contracting for sales, marketing and distribution capabilities in connection with commercialization of AYVAKIT/AYVAKYT, GAVRETO and any of our current or future drug candidates for which we receive marketing approval;</w:t>
      </w:r>
    </w:p>
    <w:p>
      <w:pPr>
        <w:spacing w:after="0" w:line="181" w:lineRule="exact"/>
        <w:rPr>
          <w:rFonts w:ascii="Arial" w:cs="Arial" w:eastAsia="Arial" w:hAnsi="Arial"/>
          <w:sz w:val="18"/>
          <w:szCs w:val="18"/>
          <w:color w:val="auto"/>
        </w:rPr>
      </w:pPr>
    </w:p>
    <w:p>
      <w:pPr>
        <w:ind w:left="1340" w:right="99" w:hanging="318"/>
        <w:spacing w:after="0" w:line="294" w:lineRule="auto"/>
        <w:tabs>
          <w:tab w:leader="none" w:pos="1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 as applicable;</w:t>
      </w:r>
    </w:p>
    <w:p>
      <w:pPr>
        <w:spacing w:after="0" w:line="147" w:lineRule="exact"/>
        <w:rPr>
          <w:rFonts w:ascii="Arial" w:cs="Arial" w:eastAsia="Arial" w:hAnsi="Arial"/>
          <w:sz w:val="16"/>
          <w:szCs w:val="16"/>
          <w:color w:val="auto"/>
        </w:rPr>
      </w:pPr>
    </w:p>
    <w:p>
      <w:pPr>
        <w:ind w:left="1340" w:right="179" w:hanging="318"/>
        <w:spacing w:after="0" w:line="261"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approved drugs and drug candidates;</w:t>
      </w:r>
    </w:p>
    <w:p>
      <w:pPr>
        <w:spacing w:after="0" w:line="170" w:lineRule="exact"/>
        <w:rPr>
          <w:rFonts w:ascii="Arial" w:cs="Arial" w:eastAsia="Arial" w:hAnsi="Arial"/>
          <w:sz w:val="18"/>
          <w:szCs w:val="18"/>
          <w:color w:val="auto"/>
        </w:rPr>
      </w:pPr>
    </w:p>
    <w:p>
      <w:pPr>
        <w:ind w:left="1340" w:right="359" w:hanging="318"/>
        <w:spacing w:after="0" w:line="248" w:lineRule="auto"/>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marketing applications for our drug candidates, including seeking marketing approval for avapritinib and pralsetinib for additional indications or in additional geographies;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40" w:right="259" w:hanging="318"/>
        <w:spacing w:after="0" w:line="248"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81" w:lineRule="exact"/>
        <w:rPr>
          <w:rFonts w:ascii="Arial" w:cs="Arial" w:eastAsia="Arial" w:hAnsi="Arial"/>
          <w:sz w:val="18"/>
          <w:szCs w:val="18"/>
          <w:color w:val="auto"/>
        </w:rPr>
      </w:pPr>
    </w:p>
    <w:p>
      <w:pPr>
        <w:ind w:left="1340" w:right="139" w:hanging="318"/>
        <w:spacing w:after="0" w:line="248"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or license agreements, or any collaboration, partnership or license agreements that we may enter into in the future;</w:t>
      </w:r>
    </w:p>
    <w:p>
      <w:pPr>
        <w:spacing w:after="0" w:line="181" w:lineRule="exact"/>
        <w:rPr>
          <w:rFonts w:ascii="Arial" w:cs="Arial" w:eastAsia="Arial" w:hAnsi="Arial"/>
          <w:sz w:val="18"/>
          <w:szCs w:val="18"/>
          <w:color w:val="auto"/>
        </w:rPr>
      </w:pPr>
    </w:p>
    <w:p>
      <w:pPr>
        <w:ind w:left="1340" w:right="799" w:hanging="318"/>
        <w:spacing w:after="0" w:line="291" w:lineRule="auto"/>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research and development, clinical or other costs under future collaboration agreements, if any;</w:t>
      </w:r>
    </w:p>
    <w:p>
      <w:pPr>
        <w:spacing w:after="0" w:line="146" w:lineRule="exact"/>
        <w:rPr>
          <w:rFonts w:ascii="Arial" w:cs="Arial" w:eastAsia="Arial" w:hAnsi="Arial"/>
          <w:sz w:val="17"/>
          <w:szCs w:val="17"/>
          <w:color w:val="auto"/>
        </w:rPr>
      </w:pPr>
    </w:p>
    <w:p>
      <w:pPr>
        <w:ind w:left="1340" w:right="279" w:hanging="318"/>
        <w:spacing w:after="0" w:line="261"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approved drugs, drug candidates or technologies and the terms of any such arrangements;</w:t>
      </w:r>
    </w:p>
    <w:p>
      <w:pPr>
        <w:spacing w:after="0" w:line="170" w:lineRule="exact"/>
        <w:rPr>
          <w:rFonts w:ascii="Arial" w:cs="Arial" w:eastAsia="Arial" w:hAnsi="Arial"/>
          <w:sz w:val="18"/>
          <w:szCs w:val="18"/>
          <w:color w:val="auto"/>
        </w:rPr>
      </w:pPr>
    </w:p>
    <w:p>
      <w:pPr>
        <w:ind w:left="1340" w:right="719" w:hanging="318"/>
        <w:spacing w:after="0" w:line="261" w:lineRule="auto"/>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the development and commercialization of companion diagnostic tests;</w:t>
      </w:r>
    </w:p>
    <w:p>
      <w:pPr>
        <w:spacing w:after="0" w:line="170" w:lineRule="exact"/>
        <w:rPr>
          <w:rFonts w:ascii="Arial" w:cs="Arial" w:eastAsia="Arial" w:hAnsi="Arial"/>
          <w:sz w:val="18"/>
          <w:szCs w:val="18"/>
          <w:color w:val="auto"/>
        </w:rPr>
      </w:pPr>
    </w:p>
    <w:p>
      <w:pPr>
        <w:ind w:left="1340" w:right="779" w:hanging="318"/>
        <w:spacing w:after="0" w:line="291" w:lineRule="auto"/>
        <w:tabs>
          <w:tab w:leader="none" w:pos="1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46" w:lineRule="exact"/>
        <w:rPr>
          <w:rFonts w:ascii="Arial" w:cs="Arial" w:eastAsia="Arial" w:hAnsi="Arial"/>
          <w:sz w:val="17"/>
          <w:szCs w:val="17"/>
          <w:color w:val="auto"/>
        </w:rPr>
      </w:pPr>
    </w:p>
    <w:p>
      <w:pPr>
        <w:ind w:left="1340" w:hanging="318"/>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of continuing to expand our operations.</w:t>
      </w:r>
    </w:p>
    <w:p>
      <w:pPr>
        <w:spacing w:after="0" w:line="212" w:lineRule="exact"/>
        <w:rPr>
          <w:sz w:val="20"/>
          <w:szCs w:val="20"/>
          <w:color w:val="auto"/>
        </w:rPr>
      </w:pPr>
    </w:p>
    <w:p>
      <w:pPr>
        <w:ind w:left="60" w:right="159" w:firstLine="693"/>
        <w:spacing w:after="0" w:line="253" w:lineRule="auto"/>
        <w:rPr>
          <w:sz w:val="20"/>
          <w:szCs w:val="20"/>
          <w:color w:val="auto"/>
        </w:rPr>
      </w:pPr>
      <w:r>
        <w:rPr>
          <w:rFonts w:ascii="Arial" w:cs="Arial" w:eastAsia="Arial" w:hAnsi="Arial"/>
          <w:sz w:val="17"/>
          <w:szCs w:val="17"/>
          <w:color w:val="auto"/>
        </w:rPr>
        <w:t>Accordingly, we may seek additional funding in connection with our continuing operations or business objectives. Any additional fundraising efforts may divert our management from their day-to-day activities, which may adversely affect our ability to develop and commercialize any of our approved drugs or drug candidates.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80" w:lineRule="exact"/>
        <w:rPr>
          <w:sz w:val="20"/>
          <w:szCs w:val="20"/>
          <w:color w:val="auto"/>
        </w:rPr>
      </w:pPr>
    </w:p>
    <w:p>
      <w:pPr>
        <w:ind w:left="60" w:right="199" w:firstLine="648"/>
        <w:spacing w:after="0" w:line="284" w:lineRule="auto"/>
        <w:rPr>
          <w:sz w:val="20"/>
          <w:szCs w:val="20"/>
          <w:color w:val="auto"/>
        </w:rPr>
      </w:pPr>
      <w:r>
        <w:rPr>
          <w:rFonts w:ascii="Arial" w:cs="Arial" w:eastAsia="Arial" w:hAnsi="Arial"/>
          <w:sz w:val="16"/>
          <w:szCs w:val="16"/>
          <w:color w:val="auto"/>
        </w:rPr>
        <w:t>If we are unable to obtain funding on a timely basis or on attractive terms,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71"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71"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1" w:lineRule="auto"/>
        <w:rPr>
          <w:sz w:val="20"/>
          <w:szCs w:val="20"/>
          <w:color w:val="auto"/>
        </w:rPr>
      </w:pPr>
      <w:r>
        <w:rPr>
          <w:rFonts w:ascii="Arial" w:cs="Arial" w:eastAsia="Arial" w:hAnsi="Arial"/>
          <w:sz w:val="18"/>
          <w:szCs w:val="18"/>
          <w:color w:val="auto"/>
        </w:rPr>
        <w:t>our drug development or future commercialization efforts or grant rights to develop and market drugs and drug candidates that we would otherwise prefer to develop and market ourselves.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6" w:lineRule="exact"/>
        <w:rPr>
          <w:sz w:val="20"/>
          <w:szCs w:val="20"/>
          <w:color w:val="auto"/>
        </w:rPr>
      </w:pPr>
    </w:p>
    <w:p>
      <w:pPr>
        <w:ind w:left="60" w:right="259"/>
        <w:spacing w:after="0" w:line="270" w:lineRule="auto"/>
        <w:rPr>
          <w:sz w:val="20"/>
          <w:szCs w:val="20"/>
          <w:color w:val="auto"/>
        </w:rPr>
      </w:pPr>
      <w:r>
        <w:rPr>
          <w:rFonts w:ascii="Arial" w:cs="Arial" w:eastAsia="Arial" w:hAnsi="Arial"/>
          <w:sz w:val="17"/>
          <w:szCs w:val="17"/>
          <w:b w:val="1"/>
          <w:bCs w:val="1"/>
          <w:i w:val="1"/>
          <w:iCs w:val="1"/>
          <w:color w:val="auto"/>
        </w:rPr>
        <w:t>We have entered into collaborations and licenses with our partners for the development and commercialization of several of our drugs and drug candidates. If our collaborations are not successful, we may not be able to capitalize on the market potential of these drugs and drug candidates.</w:t>
      </w:r>
    </w:p>
    <w:p>
      <w:pPr>
        <w:spacing w:after="0" w:line="164"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6"/>
          <w:szCs w:val="16"/>
          <w:color w:val="auto"/>
        </w:rPr>
        <w:t>We have entered into collaborations and licenses with Roche, CStone and Clementia, for the development and commercialization of several of our drugs and drug candidates, and may enter into additional collaborations and licenses with other third parties in the future. The success of these arrangements will depend heavily on the efforts and activities of our collaborators and licensing partners. Collaborators generally have significant discretion in determining the efforts and resources that they will apply to these collaborations. In some situations, we may not be able to influence our collaboration partners’ decisions regarding the development and collaboration of our partnered drugs and drug candidates, and as a result, our collaboration partners may not pursue or prioritize the development and commercialization of those partnered drugs and drug candidates in a manner that is in our best interest.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or result in litigation or arbitration, which would be time-consuming and expensive. Licensors generally have sole discretion in determining the efforts and resources that they will apply to the licensed products.</w:t>
      </w:r>
    </w:p>
    <w:p>
      <w:pPr>
        <w:spacing w:after="0" w:line="171" w:lineRule="exact"/>
        <w:rPr>
          <w:sz w:val="20"/>
          <w:szCs w:val="20"/>
          <w:color w:val="auto"/>
        </w:rPr>
      </w:pPr>
    </w:p>
    <w:p>
      <w:pPr>
        <w:ind w:left="60" w:right="99" w:firstLine="648"/>
        <w:spacing w:after="0"/>
        <w:rPr>
          <w:sz w:val="20"/>
          <w:szCs w:val="20"/>
          <w:color w:val="auto"/>
        </w:rPr>
      </w:pPr>
      <w:r>
        <w:rPr>
          <w:rFonts w:ascii="Arial" w:cs="Arial" w:eastAsia="Arial" w:hAnsi="Arial"/>
          <w:sz w:val="18"/>
          <w:szCs w:val="18"/>
          <w:color w:val="auto"/>
        </w:rPr>
        <w:t>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or license agreements with Roche, CStone or Clementia, or of any future collaboration or license agreement, could adversely affect us financially or harm our business reputation.</w:t>
      </w:r>
    </w:p>
    <w:p>
      <w:pPr>
        <w:spacing w:after="0" w:line="189" w:lineRule="exact"/>
        <w:rPr>
          <w:sz w:val="20"/>
          <w:szCs w:val="20"/>
          <w:color w:val="auto"/>
        </w:rPr>
      </w:pPr>
    </w:p>
    <w:p>
      <w:pPr>
        <w:ind w:left="60" w:right="579"/>
        <w:spacing w:after="0" w:line="322" w:lineRule="auto"/>
        <w:rPr>
          <w:sz w:val="20"/>
          <w:szCs w:val="20"/>
          <w:color w:val="auto"/>
        </w:rPr>
      </w:pPr>
      <w:r>
        <w:rPr>
          <w:rFonts w:ascii="Arial" w:cs="Arial" w:eastAsia="Arial" w:hAnsi="Arial"/>
          <w:sz w:val="15"/>
          <w:szCs w:val="15"/>
          <w:b w:val="1"/>
          <w:bCs w:val="1"/>
          <w:i w:val="1"/>
          <w:iCs w:val="1"/>
          <w:color w:val="auto"/>
        </w:rPr>
        <w:t>We rely on third parties to conduct our clinical trials.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81"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6"/>
          <w:szCs w:val="16"/>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61" w:lineRule="auto"/>
        <w:rPr>
          <w:sz w:val="20"/>
          <w:szCs w:val="20"/>
          <w:color w:val="auto"/>
        </w:rPr>
      </w:pPr>
      <w:r>
        <w:rPr>
          <w:rFonts w:ascii="Arial" w:cs="Arial" w:eastAsia="Arial" w:hAnsi="Arial"/>
          <w:sz w:val="18"/>
          <w:szCs w:val="18"/>
          <w:color w:val="auto"/>
        </w:rPr>
        <w:t>clinical trials on a government-sponsored database, ClinicalTrials.gov, within certain timeframes. Failure to do so can result in fines, adverse publicity and civil and criminal sanctions.</w:t>
      </w:r>
    </w:p>
    <w:p>
      <w:pPr>
        <w:spacing w:after="0" w:line="171"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7"/>
          <w:szCs w:val="17"/>
          <w:color w:val="auto"/>
        </w:rPr>
        <w:t>Although we intend to design the clinical trials for our approved drugs and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75" w:lineRule="exact"/>
        <w:rPr>
          <w:sz w:val="20"/>
          <w:szCs w:val="20"/>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2" w:lineRule="exact"/>
        <w:rPr>
          <w:sz w:val="20"/>
          <w:szCs w:val="20"/>
          <w:color w:val="auto"/>
        </w:rPr>
      </w:pPr>
    </w:p>
    <w:p>
      <w:pPr>
        <w:ind w:left="60" w:right="99" w:firstLine="648"/>
        <w:spacing w:after="0" w:line="252" w:lineRule="auto"/>
        <w:rPr>
          <w:sz w:val="20"/>
          <w:szCs w:val="20"/>
          <w:color w:val="auto"/>
        </w:rPr>
      </w:pPr>
      <w:r>
        <w:rPr>
          <w:rFonts w:ascii="Arial" w:cs="Arial" w:eastAsia="Arial" w:hAnsi="Arial"/>
          <w:sz w:val="17"/>
          <w:szCs w:val="17"/>
          <w:color w:val="auto"/>
        </w:rPr>
        <w:t>Some of these factors may be beyond our control. For example, the performance of our CROs may also be delayed or disrupted by the ongoing COVID-19 pandemic, including due to travel or quarantine policies, availabilities of staff, exposure of CRO staff to COVID-19 or re-prioritization of CRO resources as a result of the pandemic. 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8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substantial revenue could be delayed.</w:t>
      </w:r>
    </w:p>
    <w:p>
      <w:pPr>
        <w:spacing w:after="0" w:line="168" w:lineRule="exact"/>
        <w:rPr>
          <w:sz w:val="20"/>
          <w:szCs w:val="20"/>
          <w:color w:val="auto"/>
        </w:rPr>
      </w:pPr>
    </w:p>
    <w:p>
      <w:pPr>
        <w:ind w:left="60" w:right="99"/>
        <w:spacing w:after="0" w:line="26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approved drugs and drug candidates, including for pre-clinical, clinical and commercial supply. This reliance on third parties increases the risk that we will not have sufficient quantities of our approved drugs or drug candidates or such quantities at an acceptable cost, which could delay, prevent or impair our development or commercialization efforts</w:t>
      </w:r>
    </w:p>
    <w:p>
      <w:pPr>
        <w:spacing w:after="0" w:line="172" w:lineRule="exact"/>
        <w:rPr>
          <w:sz w:val="20"/>
          <w:szCs w:val="20"/>
          <w:color w:val="auto"/>
        </w:rPr>
      </w:pPr>
    </w:p>
    <w:p>
      <w:pPr>
        <w:ind w:left="60" w:right="139" w:firstLine="648"/>
        <w:spacing w:after="0"/>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primarily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8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7"/>
          <w:szCs w:val="17"/>
          <w:color w:val="auto"/>
        </w:rPr>
        <w:t>The facilities used by our contract manufacturers to manufacture our drugs and drug candidates must be approved by the FDA pursuant to inspections that will be conducted after we submit our marketing applications to the</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67" w:lineRule="auto"/>
        <w:rPr>
          <w:sz w:val="20"/>
          <w:szCs w:val="20"/>
          <w:color w:val="auto"/>
        </w:rPr>
      </w:pPr>
      <w:r>
        <w:rPr>
          <w:rFonts w:ascii="Arial" w:cs="Arial" w:eastAsia="Arial" w:hAnsi="Arial"/>
          <w:sz w:val="16"/>
          <w:szCs w:val="16"/>
          <w:color w:val="auto"/>
        </w:rPr>
        <w:t>FDA. We do not control the manufacturing process of, and will be completely dependent on, our contract manufacturers for compliance with cGMPs in connection with the manufacture of our drugs and drug candidates. Manufacturers and manufacturers’ facilities are required to comply with extensive FDA, and comparable foreign regulatory authority requirements, including ensuring that quality control and manufacturing procedures conform to cGMP regulations and applicable product tracking and tracing requirements.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is unable to conduct inspections necessary to approve these facilities due to delays or disruptions caused by the ongoing COVID-19 pandemic, or if the FDA or a comparable regulatory authority withdraws any such approval in the future, we may be delayed in obtaining approval of these facilities for the manufacture of our drugs and drug candidates or need to find alternative manufacturing facilities, which would significantly impact our ability to develop, obtain regulatory approval for or market our drug candidates, if approved, and could require comparability studies for the setup of manufacturing operations at alternative facilities.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7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As of May 2021, certain inspections, such as foreign preapproval, surveillance, and for-cause inspections that are not deemed mission-critical, remain temporarily postponed. In April 2021, the FDA issued guidance for industry formally announcing plans to employ remote interactive evaluations, using risk management methods, to meet user fee commitments and goal dates and in May 2021 announced plans to continue progress toward resuming standard operational levels. Should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a complete response letter or defer action on the application until an inspection can be completed. Further, if there is inadequate information to make a determination on the acceptability of a facility, FDA may defer action on the application until an inspection can be completed. In 2020 and 2021, a number of companies announced receipt of complete response letters due to the FDA’s inability to complete required inspections for their applications. Regulatory authorities outside the U.S. may adopt similar restrictions or other policy measures in response to the COVID-19 pandemic and may experience delays in their regulatory activities.</w:t>
      </w:r>
    </w:p>
    <w:p>
      <w:pPr>
        <w:spacing w:after="0" w:line="172"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6"/>
          <w:szCs w:val="16"/>
          <w:color w:val="auto"/>
        </w:rPr>
        <w:t>We do not have long-term supply agreements with all of our contract manufacturers, and may purchase our required drug supply, including the API, drug product and drug substance used in our drugs and drug candidates, on a purchase order basis with certain contract manufacturers.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59" w:lineRule="exact"/>
        <w:rPr>
          <w:sz w:val="20"/>
          <w:szCs w:val="20"/>
          <w:color w:val="auto"/>
        </w:rPr>
      </w:pPr>
    </w:p>
    <w:p>
      <w:pPr>
        <w:ind w:left="1340" w:hanging="318"/>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11" w:lineRule="exact"/>
        <w:rPr>
          <w:rFonts w:ascii="Arial" w:cs="Arial" w:eastAsia="Arial" w:hAnsi="Arial"/>
          <w:sz w:val="18"/>
          <w:szCs w:val="18"/>
          <w:color w:val="auto"/>
        </w:rPr>
      </w:pPr>
    </w:p>
    <w:p>
      <w:pPr>
        <w:ind w:left="1340" w:right="159" w:hanging="318"/>
        <w:spacing w:after="0" w:line="261"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70" w:lineRule="exact"/>
        <w:rPr>
          <w:rFonts w:ascii="Arial" w:cs="Arial" w:eastAsia="Arial" w:hAnsi="Arial"/>
          <w:sz w:val="18"/>
          <w:szCs w:val="18"/>
          <w:color w:val="auto"/>
        </w:rPr>
      </w:pPr>
    </w:p>
    <w:p>
      <w:pPr>
        <w:ind w:left="1340" w:right="499" w:hanging="318"/>
        <w:spacing w:after="0" w:line="261" w:lineRule="auto"/>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71" w:lineRule="exact"/>
        <w:rPr>
          <w:sz w:val="20"/>
          <w:szCs w:val="20"/>
          <w:color w:val="auto"/>
        </w:rPr>
      </w:pPr>
    </w:p>
    <w:p>
      <w:pPr>
        <w:ind w:left="60" w:right="339" w:firstLine="648"/>
        <w:spacing w:after="0" w:line="294" w:lineRule="auto"/>
        <w:rPr>
          <w:sz w:val="20"/>
          <w:szCs w:val="20"/>
          <w:color w:val="auto"/>
        </w:rPr>
      </w:pPr>
      <w:r>
        <w:rPr>
          <w:rFonts w:ascii="Arial" w:cs="Arial" w:eastAsia="Arial" w:hAnsi="Arial"/>
          <w:sz w:val="16"/>
          <w:szCs w:val="16"/>
          <w:color w:val="auto"/>
        </w:rPr>
        <w:t>Any of our drugs and drug candidates that we may develop may compete with other approved drugs and drug candidates for access to manufacturing facilities. There are a limited number of manufacturers that operate under cGMP regulations and that might be capable of manufacturing for us. In March 2020, the U.S. enacted the CARES Act in</w:t>
      </w:r>
    </w:p>
    <w:p>
      <w:pPr>
        <w:sectPr>
          <w:pgSz w:w="11900" w:h="16838" w:orient="portrait"/>
          <w:cols w:equalWidth="0" w:num="1">
            <w:col w:w="9019"/>
          </w:cols>
          <w:pgMar w:left="1440" w:top="517" w:right="1440" w:bottom="1440" w:gutter="0" w:footer="0" w:header="0"/>
        </w:sect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response to the U.S. COVID-19 pandemic. Throughout the COVID-19 pandemic, there has been public concern over the availability and accessibility of critical medical products, and the CARES Act enhances FDA’s existing authority with respect to drug shortage measures. Under the CARES Act, we must have in place a risk management plan in place that identifies and evaluates the risks to the supply of approved drugs for certain serious diseases or conditions for each establishment where the drug or API is manufactured. The risk management plan will be subject to FDA review during an inspection.</w:t>
      </w:r>
    </w:p>
    <w:p>
      <w:pPr>
        <w:spacing w:after="0" w:line="189"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Any performance failure on the part of our existing or future manufacturers could delay clinical development or marketing approval. We do not currently have arrangements in place for redundant supply for all of our bulk drug substances. If our current contract manufacturers cannot perform as agreed, we may experience shortages that require reporting to the FDA or foreign regulatory authorities and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162" w:lineRule="exact"/>
        <w:rPr>
          <w:sz w:val="20"/>
          <w:szCs w:val="20"/>
          <w:color w:val="auto"/>
        </w:rPr>
      </w:pPr>
    </w:p>
    <w:p>
      <w:pPr>
        <w:ind w:left="60" w:right="319" w:firstLine="648"/>
        <w:spacing w:after="0" w:line="243" w:lineRule="auto"/>
        <w:rPr>
          <w:sz w:val="20"/>
          <w:szCs w:val="20"/>
          <w:color w:val="auto"/>
        </w:rPr>
      </w:pPr>
      <w:r>
        <w:rPr>
          <w:rFonts w:ascii="Arial" w:cs="Arial" w:eastAsia="Arial" w:hAnsi="Arial"/>
          <w:sz w:val="18"/>
          <w:szCs w:val="18"/>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88" w:lineRule="exact"/>
        <w:rPr>
          <w:sz w:val="20"/>
          <w:szCs w:val="20"/>
          <w:color w:val="auto"/>
        </w:rPr>
      </w:pPr>
    </w:p>
    <w:p>
      <w:pPr>
        <w:ind w:left="60" w:right="379"/>
        <w:spacing w:after="0" w:line="248"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82" w:lineRule="exact"/>
        <w:rPr>
          <w:sz w:val="20"/>
          <w:szCs w:val="20"/>
          <w:color w:val="auto"/>
        </w:rPr>
      </w:pPr>
    </w:p>
    <w:p>
      <w:pPr>
        <w:ind w:left="60" w:right="59" w:firstLine="648"/>
        <w:spacing w:after="0" w:line="253" w:lineRule="auto"/>
        <w:rPr>
          <w:sz w:val="20"/>
          <w:szCs w:val="20"/>
          <w:color w:val="auto"/>
        </w:rPr>
      </w:pPr>
      <w:r>
        <w:rPr>
          <w:rFonts w:ascii="Arial" w:cs="Arial" w:eastAsia="Arial" w:hAnsi="Arial"/>
          <w:sz w:val="17"/>
          <w:szCs w:val="17"/>
          <w:color w:val="auto"/>
        </w:rPr>
        <w:t>The API, drug substance and drug product used in our drug and drug candidates are supplied to us primarily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 API, drug product or drug substance in sufficient quantities or on the timelines necessary to meet our needs, including as a result of the ongoing COVID-19 pandemic, it could significantly and adversely affect our business, the supply of our drug candidates or approved drugs and our financial condition.</w:t>
      </w:r>
    </w:p>
    <w:p>
      <w:pPr>
        <w:spacing w:after="0" w:line="180" w:lineRule="exact"/>
        <w:rPr>
          <w:sz w:val="20"/>
          <w:szCs w:val="20"/>
          <w:color w:val="auto"/>
        </w:rPr>
      </w:pPr>
    </w:p>
    <w:p>
      <w:pPr>
        <w:ind w:left="60" w:right="159" w:firstLine="648"/>
        <w:spacing w:after="0" w:line="270" w:lineRule="auto"/>
        <w:rPr>
          <w:sz w:val="20"/>
          <w:szCs w:val="20"/>
          <w:color w:val="auto"/>
        </w:rPr>
      </w:pPr>
      <w:r>
        <w:rPr>
          <w:rFonts w:ascii="Arial" w:cs="Arial" w:eastAsia="Arial" w:hAnsi="Arial"/>
          <w:sz w:val="16"/>
          <w:szCs w:val="16"/>
          <w:color w:val="auto"/>
        </w:rPr>
        <w:t>For all of our drug candidates, we may from time to time explore opportunities to identify and qualify additional manufacturers to provide such API, drug substance and drug product prior to submission of an NDA to the FDA and/or an MAA to the EMA. We are not certain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 In addition, we currently have sufficient supply or plans for supply to meet our anticipated global commercial and clinical development needs for our approved drugs and clinical-stage drug candidates through 2022. However, the COVID-19 pandemic could adversely impact our suppliers and result in delays or disruptions in our current or future supply chain.</w:t>
      </w:r>
    </w:p>
    <w:p>
      <w:pPr>
        <w:spacing w:after="0" w:line="171"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Establishing additional or replacement suppliers for the API, drug substance and drug product used in our drug candidates or approved drugs,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and approved drugs,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94"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Certain of our research and development, clinical trials and manufacturing and supply for certain raw materials used in our drugs and our drug candidates takes place in China through third-party CROs, collaborators or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59"/>
        <w:spacing w:after="0" w:line="324" w:lineRule="auto"/>
        <w:rPr>
          <w:sz w:val="20"/>
          <w:szCs w:val="20"/>
          <w:color w:val="auto"/>
        </w:rPr>
      </w:pPr>
      <w:r>
        <w:rPr>
          <w:rFonts w:ascii="Arial" w:cs="Arial" w:eastAsia="Arial" w:hAnsi="Arial"/>
          <w:sz w:val="16"/>
          <w:szCs w:val="16"/>
          <w:b w:val="1"/>
          <w:bCs w:val="1"/>
          <w:i w:val="1"/>
          <w:iCs w:val="1"/>
          <w:color w:val="auto"/>
        </w:rPr>
        <w:t>manufacturers. A significant disruption in the operation of those CROs, collaborators or manufacturers, could materially adversely affect our business, financial condition and results of operations.</w:t>
      </w:r>
    </w:p>
    <w:p>
      <w:pPr>
        <w:spacing w:after="0" w:line="124"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We have relied on certain third parties located in China to manufacture and supply certain raw materials used in our drugs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ongoing COVID-19 pandemic, trade war, political unrest or other events in China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6" w:lineRule="exact"/>
        <w:rPr>
          <w:sz w:val="20"/>
          <w:szCs w:val="20"/>
          <w:color w:val="auto"/>
        </w:rPr>
      </w:pPr>
    </w:p>
    <w:p>
      <w:pPr>
        <w:ind w:left="60" w:right="319"/>
        <w:spacing w:after="0" w:line="26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72"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163"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 or patent term extension could result in a later expiration date for fisogatinib.</w:t>
      </w:r>
    </w:p>
    <w:p>
      <w:pPr>
        <w:spacing w:after="0" w:line="181" w:lineRule="exact"/>
        <w:rPr>
          <w:sz w:val="20"/>
          <w:szCs w:val="20"/>
          <w:color w:val="auto"/>
        </w:rPr>
      </w:pPr>
    </w:p>
    <w:p>
      <w:pPr>
        <w:ind w:left="60" w:right="59" w:firstLine="648"/>
        <w:spacing w:after="0"/>
        <w:rPr>
          <w:sz w:val="20"/>
          <w:szCs w:val="20"/>
          <w:color w:val="auto"/>
        </w:rPr>
      </w:pPr>
      <w:r>
        <w:rPr>
          <w:rFonts w:ascii="Arial" w:cs="Arial" w:eastAsia="Arial" w:hAnsi="Arial"/>
          <w:sz w:val="18"/>
          <w:szCs w:val="18"/>
          <w:color w:val="auto"/>
        </w:rPr>
        <w:t>As of July 15, 2021, we owned 13 issued U.S. patents, 15 issued foreign patents, including one European patent validated in 38 countries, three pending U.S. non-provisional patent applications, five pending U.S. provisional applications, five pending PCT international patent applications and 23 pending foreign patent applications directed to our KIT and PDGFRA program, including avapritinib and BLU-263. The patents that have issued or will issue covering our KIT and PDGFRA program will have a statutory expiration date between 2034 and 2042. Patent term adjustments or patent term extensions could result in later expiration dates.</w:t>
      </w:r>
    </w:p>
    <w:p>
      <w:pPr>
        <w:spacing w:after="0" w:line="189" w:lineRule="exact"/>
        <w:rPr>
          <w:sz w:val="20"/>
          <w:szCs w:val="20"/>
          <w:color w:val="auto"/>
        </w:rPr>
      </w:pPr>
    </w:p>
    <w:p>
      <w:pPr>
        <w:ind w:left="60" w:right="199" w:firstLine="648"/>
        <w:spacing w:after="0" w:line="294" w:lineRule="auto"/>
        <w:rPr>
          <w:sz w:val="20"/>
          <w:szCs w:val="20"/>
          <w:color w:val="auto"/>
        </w:rPr>
      </w:pPr>
      <w:r>
        <w:rPr>
          <w:rFonts w:ascii="Arial" w:cs="Arial" w:eastAsia="Arial" w:hAnsi="Arial"/>
          <w:sz w:val="16"/>
          <w:szCs w:val="16"/>
          <w:color w:val="auto"/>
        </w:rPr>
        <w:t>As of July 15, 2021, we owned seven issued U.S. patents, six pending U.S. non-provisional patent applications, three pending U.S. provisional patent applications, two pending PCT international applications, 57 pending foreign patent applications and six issued foreign patents directed to our RET program, including pralsetinib. The patents that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1" w:lineRule="auto"/>
        <w:rPr>
          <w:sz w:val="20"/>
          <w:szCs w:val="20"/>
          <w:color w:val="auto"/>
        </w:rPr>
      </w:pPr>
      <w:r>
        <w:rPr>
          <w:rFonts w:ascii="Arial" w:cs="Arial" w:eastAsia="Arial" w:hAnsi="Arial"/>
          <w:sz w:val="18"/>
          <w:szCs w:val="18"/>
          <w:color w:val="auto"/>
        </w:rPr>
        <w:t>have issued or will issue covering our RET program will have a statutory expiration date between 2036 and 2042. Patent term adjustments or patent term extensions could result in later expiration dates.</w:t>
      </w:r>
    </w:p>
    <w:p>
      <w:pPr>
        <w:spacing w:after="0" w:line="171" w:lineRule="exact"/>
        <w:rPr>
          <w:sz w:val="20"/>
          <w:szCs w:val="20"/>
          <w:color w:val="auto"/>
        </w:rPr>
      </w:pPr>
    </w:p>
    <w:p>
      <w:pPr>
        <w:ind w:left="60" w:right="319" w:firstLine="648"/>
        <w:spacing w:after="0" w:line="241" w:lineRule="auto"/>
        <w:rPr>
          <w:sz w:val="20"/>
          <w:szCs w:val="20"/>
          <w:color w:val="auto"/>
        </w:rPr>
      </w:pPr>
      <w:r>
        <w:rPr>
          <w:rFonts w:ascii="Arial" w:cs="Arial" w:eastAsia="Arial" w:hAnsi="Arial"/>
          <w:sz w:val="18"/>
          <w:szCs w:val="18"/>
          <w:color w:val="auto"/>
        </w:rPr>
        <w:t>As of July 15, 2021, we owned one issued foreign patent, eight pending U.S. provisional applications, one pending PCT international patent application and 10 pending foreign patent applications directed to our EGFR program, including BLU-945 and BLU-701. The patents that have issued or will issue covering our EGFR program will have a statutory expiration date between 2040 and 2042. Patent term adjustments or patent term extensions could result in later expiration dates.</w:t>
      </w:r>
    </w:p>
    <w:p>
      <w:pPr>
        <w:spacing w:after="0" w:line="189" w:lineRule="exact"/>
        <w:rPr>
          <w:sz w:val="20"/>
          <w:szCs w:val="20"/>
          <w:color w:val="auto"/>
        </w:rPr>
      </w:pPr>
    </w:p>
    <w:p>
      <w:pPr>
        <w:ind w:left="60" w:right="99" w:firstLine="648"/>
        <w:spacing w:after="0" w:line="241" w:lineRule="auto"/>
        <w:rPr>
          <w:sz w:val="20"/>
          <w:szCs w:val="20"/>
          <w:color w:val="auto"/>
        </w:rPr>
      </w:pPr>
      <w:r>
        <w:rPr>
          <w:rFonts w:ascii="Arial" w:cs="Arial" w:eastAsia="Arial" w:hAnsi="Arial"/>
          <w:sz w:val="18"/>
          <w:szCs w:val="18"/>
          <w:color w:val="auto"/>
        </w:rPr>
        <w:t>As of July 15, 2021, we owned nine issued U.S. patents, two pending U.S. non-provisional patent applications, one pending PCT international application, 27 pending foreign patent applications and 28 issued foreign patents directed to our FGFR4 program, including fisogatinib. The patents that have issued or will issue covering our FGFR4 program will have a statutory expiration date between 2033 and 2040. Patent term adjustments or patent term extensions could result in later expiration dates.</w:t>
      </w:r>
    </w:p>
    <w:p>
      <w:pPr>
        <w:spacing w:after="0" w:line="189" w:lineRule="exact"/>
        <w:rPr>
          <w:sz w:val="20"/>
          <w:szCs w:val="20"/>
          <w:color w:val="auto"/>
        </w:rPr>
      </w:pPr>
    </w:p>
    <w:p>
      <w:pPr>
        <w:ind w:left="60" w:right="159" w:firstLine="648"/>
        <w:spacing w:after="0"/>
        <w:rPr>
          <w:sz w:val="20"/>
          <w:szCs w:val="20"/>
          <w:color w:val="auto"/>
        </w:rPr>
      </w:pPr>
      <w:r>
        <w:rPr>
          <w:rFonts w:ascii="Arial" w:cs="Arial" w:eastAsia="Arial" w:hAnsi="Arial"/>
          <w:sz w:val="18"/>
          <w:szCs w:val="18"/>
          <w:color w:val="auto"/>
        </w:rPr>
        <w:t>The intellectual property portfolio directed to our platform includes patent applications directed to novel gene fusions and the uses of these fusions for detecting and treating conditions implicated with these fusions. As of July 15, 2021, we owned eight issued U.S. patents, five pending U.S. non-provisional patent applications, three pending European Union patent applications and six issued European patents directed to this technology. Any U.S. or ex-U.S. patent issuing from the pending applications directed to this technology, if issued, will have statutory expiration dates ranging from 2034 to 2035.</w:t>
      </w:r>
    </w:p>
    <w:p>
      <w:pPr>
        <w:spacing w:after="0" w:line="189" w:lineRule="exact"/>
        <w:rPr>
          <w:sz w:val="20"/>
          <w:szCs w:val="20"/>
          <w:color w:val="auto"/>
        </w:rPr>
      </w:pPr>
    </w:p>
    <w:p>
      <w:pPr>
        <w:ind w:left="60" w:right="599" w:firstLine="648"/>
        <w:spacing w:after="0" w:line="291"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47"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our drugs and drug candidates.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83"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there may be circumstances, when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75" w:lineRule="exact"/>
        <w:rPr>
          <w:sz w:val="20"/>
          <w:szCs w:val="20"/>
          <w:color w:val="auto"/>
        </w:rPr>
      </w:pPr>
    </w:p>
    <w:p>
      <w:pPr>
        <w:ind w:left="60" w:right="79" w:firstLine="648"/>
        <w:spacing w:after="0" w:line="238" w:lineRule="auto"/>
        <w:rPr>
          <w:sz w:val="20"/>
          <w:szCs w:val="20"/>
          <w:color w:val="auto"/>
        </w:rPr>
      </w:pPr>
      <w:r>
        <w:rPr>
          <w:rFonts w:ascii="Arial" w:cs="Arial" w:eastAsia="Arial" w:hAnsi="Arial"/>
          <w:sz w:val="18"/>
          <w:szCs w:val="18"/>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4"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 applications is threatened, it could dissuade companies from collaborating with us to license, develop or commercialize current or future drugs and drug candidates.</w:t>
      </w:r>
    </w:p>
    <w:p>
      <w:pPr>
        <w:spacing w:after="0" w:line="181"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99"/>
        <w:spacing w:after="0" w:line="362"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1"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37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6"/>
          <w:szCs w:val="16"/>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6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184"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6"/>
          <w:szCs w:val="16"/>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4" w:lineRule="auto"/>
        <w:rPr>
          <w:sz w:val="20"/>
          <w:szCs w:val="20"/>
          <w:color w:val="auto"/>
        </w:rPr>
      </w:pPr>
      <w:r>
        <w:rPr>
          <w:rFonts w:ascii="Arial" w:cs="Arial" w:eastAsia="Arial" w:hAnsi="Arial"/>
          <w:sz w:val="16"/>
          <w:szCs w:val="16"/>
          <w:color w:val="auto"/>
        </w:rPr>
        <w:t>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5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7"/>
          <w:szCs w:val="17"/>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0" w:lineRule="exact"/>
        <w:rPr>
          <w:sz w:val="20"/>
          <w:szCs w:val="20"/>
          <w:color w:val="auto"/>
        </w:rPr>
      </w:pPr>
    </w:p>
    <w:p>
      <w:pPr>
        <w:ind w:left="60" w:right="539"/>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7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9"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left="60" w:right="319"/>
        <w:spacing w:after="0" w:line="270"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drug candidates or procedures, we may not be able to stop a competitor from marketing drugs that are the same as or similar to our drugs or drug candidates, which would have a material adverse effect on our business.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212" w:lineRule="exact"/>
        <w:rPr>
          <w:sz w:val="20"/>
          <w:szCs w:val="20"/>
          <w:color w:val="auto"/>
        </w:rPr>
      </w:pPr>
    </w:p>
    <w:p>
      <w:pPr>
        <w:ind w:left="60" w:right="219" w:firstLine="648"/>
        <w:spacing w:after="0" w:line="262" w:lineRule="auto"/>
        <w:rPr>
          <w:sz w:val="20"/>
          <w:szCs w:val="20"/>
          <w:color w:val="auto"/>
        </w:rPr>
      </w:pPr>
      <w:r>
        <w:rPr>
          <w:rFonts w:ascii="Arial" w:cs="Arial" w:eastAsia="Arial" w:hAnsi="Arial"/>
          <w:sz w:val="17"/>
          <w:szCs w:val="17"/>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70" w:lineRule="auto"/>
        <w:rPr>
          <w:sz w:val="20"/>
          <w:szCs w:val="20"/>
          <w:color w:val="auto"/>
        </w:rPr>
      </w:pPr>
      <w:r>
        <w:rPr>
          <w:rFonts w:ascii="Arial" w:cs="Arial" w:eastAsia="Arial" w:hAnsi="Arial"/>
          <w:sz w:val="16"/>
          <w:szCs w:val="16"/>
          <w:color w:val="auto"/>
        </w:rPr>
        <w:t>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drugs, drug candidates and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167"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6"/>
          <w:szCs w:val="16"/>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9" w:lineRule="exact"/>
        <w:rPr>
          <w:sz w:val="20"/>
          <w:szCs w:val="20"/>
          <w:color w:val="auto"/>
        </w:rPr>
      </w:pPr>
    </w:p>
    <w:p>
      <w:pPr>
        <w:ind w:left="60" w:right="419"/>
        <w:spacing w:after="0" w:line="261" w:lineRule="auto"/>
        <w:rPr>
          <w:sz w:val="20"/>
          <w:szCs w:val="20"/>
          <w:color w:val="auto"/>
        </w:rPr>
      </w:pPr>
      <w:r>
        <w:rPr>
          <w:rFonts w:ascii="Arial" w:cs="Arial" w:eastAsia="Arial" w:hAnsi="Arial"/>
          <w:sz w:val="18"/>
          <w:szCs w:val="18"/>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171" w:lineRule="exact"/>
        <w:rPr>
          <w:sz w:val="20"/>
          <w:szCs w:val="20"/>
          <w:color w:val="auto"/>
        </w:rPr>
      </w:pPr>
    </w:p>
    <w:p>
      <w:pPr>
        <w:ind w:left="60" w:right="179" w:firstLine="648"/>
        <w:spacing w:after="0" w:line="252"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80"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ind w:left="60" w:right="719"/>
        <w:spacing w:after="0" w:line="26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1"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7"/>
          <w:szCs w:val="17"/>
          <w:color w:val="auto"/>
        </w:rPr>
        <w:t>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75"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drugs, and drug candidates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1" w:lineRule="exact"/>
        <w:rPr>
          <w:sz w:val="20"/>
          <w:szCs w:val="20"/>
          <w:color w:val="auto"/>
        </w:rPr>
      </w:pPr>
    </w:p>
    <w:p>
      <w:pPr>
        <w:ind w:left="60" w:right="79"/>
        <w:spacing w:after="0" w:line="248"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2" w:lineRule="exact"/>
        <w:rPr>
          <w:sz w:val="20"/>
          <w:szCs w:val="20"/>
          <w:color w:val="auto"/>
        </w:rPr>
      </w:pPr>
    </w:p>
    <w:p>
      <w:pPr>
        <w:ind w:left="60" w:right="139" w:firstLine="648"/>
        <w:spacing w:after="0" w:line="267"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drugs or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Business, including Employee Matters, Managing Growth and Others</w:t>
      </w:r>
    </w:p>
    <w:p>
      <w:pPr>
        <w:spacing w:after="0" w:line="216" w:lineRule="exact"/>
        <w:rPr>
          <w:sz w:val="20"/>
          <w:szCs w:val="20"/>
          <w:color w:val="auto"/>
        </w:rPr>
      </w:pPr>
    </w:p>
    <w:p>
      <w:pPr>
        <w:ind w:left="60" w:right="619"/>
        <w:spacing w:after="0" w:line="261" w:lineRule="auto"/>
        <w:rPr>
          <w:sz w:val="20"/>
          <w:szCs w:val="20"/>
          <w:color w:val="auto"/>
        </w:rPr>
      </w:pPr>
      <w:r>
        <w:rPr>
          <w:rFonts w:ascii="Arial" w:cs="Arial" w:eastAsia="Arial" w:hAnsi="Arial"/>
          <w:sz w:val="18"/>
          <w:szCs w:val="18"/>
          <w:b w:val="1"/>
          <w:bCs w:val="1"/>
          <w:i w:val="1"/>
          <w:iCs w:val="1"/>
          <w:color w:val="auto"/>
        </w:rPr>
        <w:t>Our business, results of operations and future growth prospects could be materially and adversely affected by the COVID-19 pandemic.</w:t>
      </w:r>
    </w:p>
    <w:p>
      <w:pPr>
        <w:spacing w:after="0" w:line="171" w:lineRule="exact"/>
        <w:rPr>
          <w:sz w:val="20"/>
          <w:szCs w:val="20"/>
          <w:color w:val="auto"/>
        </w:rPr>
      </w:pPr>
    </w:p>
    <w:p>
      <w:pPr>
        <w:ind w:left="60" w:right="79" w:firstLine="648"/>
        <w:spacing w:after="0" w:line="274" w:lineRule="auto"/>
        <w:rPr>
          <w:sz w:val="20"/>
          <w:szCs w:val="20"/>
          <w:color w:val="auto"/>
        </w:rPr>
      </w:pPr>
      <w:r>
        <w:rPr>
          <w:rFonts w:ascii="Arial" w:cs="Arial" w:eastAsia="Arial" w:hAnsi="Arial"/>
          <w:sz w:val="16"/>
          <w:szCs w:val="16"/>
          <w:color w:val="auto"/>
        </w:rPr>
        <w:t>Due to the continued evolution and uncertain global impacts of the ongoing COVID-19 pandemic and the identification of new variants of COVID-19, we cannot precisely determine or quantify the impact this pandemic will have on our business, operations and financial performance. The extent to which COVID-19 may impact our business, results of operations and future growth prospects will depend on a variety of factors and future developments, which are highly uncertain and cannot be predicted with confidence, including the duration, scope and severity of the pandemic, the duration and extent of travel restrictions and social distancing in the U.S. and other countries, business closures or business disruptions and the effectiveness of actions taken in the U.S. and other countries to contain and treat COVID-19.</w:t>
      </w:r>
    </w:p>
    <w:p>
      <w:pPr>
        <w:spacing w:after="0" w:line="163" w:lineRule="exact"/>
        <w:rPr>
          <w:sz w:val="20"/>
          <w:szCs w:val="20"/>
          <w:color w:val="auto"/>
        </w:rPr>
      </w:pPr>
    </w:p>
    <w:p>
      <w:pPr>
        <w:ind w:left="60" w:right="239" w:firstLine="648"/>
        <w:spacing w:after="0" w:line="284" w:lineRule="auto"/>
        <w:rPr>
          <w:sz w:val="20"/>
          <w:szCs w:val="20"/>
          <w:color w:val="auto"/>
        </w:rPr>
      </w:pPr>
      <w:r>
        <w:rPr>
          <w:rFonts w:ascii="Arial" w:cs="Arial" w:eastAsia="Arial" w:hAnsi="Arial"/>
          <w:sz w:val="16"/>
          <w:szCs w:val="16"/>
          <w:color w:val="auto"/>
        </w:rPr>
        <w:t>For example, public health actions being undertaken globally in response to the COVID-19 pandemic, including quarantines, stay-at-home, executive and similar government orders and the prioritization of healthcare resources, could adversely impact our business, results of operations and future growth prospects. For ongoing and planned clinical trials, we anticipate and have experienced some temporary delays or disruptions due to the COVID-19</w:t>
      </w:r>
    </w:p>
    <w:p>
      <w:pPr>
        <w:sectPr>
          <w:pgSz w:w="11900" w:h="16838" w:orient="portrait"/>
          <w:cols w:equalWidth="0" w:num="1">
            <w:col w:w="9019"/>
          </w:cols>
          <w:pgMar w:left="1440" w:top="517" w:right="1440"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pandemic, including limited or reduced patient access to trial investigators, hospitals and trial sites, delayed initiation of new clinical trial sites and limited on-site personnel support at various trial sites, which could adversely impact our development plans, including the initiation of planned clinical trials, the rate of enrollment and our ability to conduct ongoing clinical trials. There may also be local orders affecting one or more trial sites, which may trigger mandated changes to our clinical trial protocols or temporary suspensions in the affected trial sites. In addition, quarantines, stay-at-home, executive and similar government orders, or the perception that such orders, shutdowns or other restrictions on the conduct of business operations have occurred and could continue to occur or be expanded in scope or duration, which could adversely impact:</w:t>
      </w:r>
    </w:p>
    <w:p>
      <w:pPr>
        <w:spacing w:after="0" w:line="194" w:lineRule="exact"/>
        <w:rPr>
          <w:sz w:val="20"/>
          <w:szCs w:val="20"/>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ongoing and planned clinical trials;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employees and business operations;</w:t>
      </w:r>
    </w:p>
    <w:p>
      <w:pPr>
        <w:spacing w:after="0" w:line="211" w:lineRule="exact"/>
        <w:rPr>
          <w:rFonts w:ascii="Arial" w:cs="Arial" w:eastAsia="Arial" w:hAnsi="Arial"/>
          <w:sz w:val="18"/>
          <w:szCs w:val="18"/>
          <w:color w:val="auto"/>
        </w:rPr>
      </w:pPr>
    </w:p>
    <w:p>
      <w:pPr>
        <w:ind w:left="1340" w:hanging="318"/>
        <w:spacing w:after="0"/>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personnel at our third-party suppliers and other vendors in the U.S. and other countries;</w:t>
      </w:r>
    </w:p>
    <w:p>
      <w:pPr>
        <w:spacing w:after="0" w:line="211" w:lineRule="exact"/>
        <w:rPr>
          <w:rFonts w:ascii="Arial" w:cs="Arial" w:eastAsia="Arial" w:hAnsi="Arial"/>
          <w:sz w:val="18"/>
          <w:szCs w:val="18"/>
          <w:color w:val="auto"/>
        </w:rPr>
      </w:pPr>
    </w:p>
    <w:p>
      <w:pPr>
        <w:jc w:val="both"/>
        <w:ind w:left="1340" w:right="159" w:hanging="318"/>
        <w:spacing w:after="0" w:line="248" w:lineRule="auto"/>
        <w:tabs>
          <w:tab w:leader="none" w:pos="1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availability, cost or supply of materials, which may cause delays or disruptions to development plans for our drug candidates or clinical or commercial supply chains for our current or future approved drugs and drug candidates; and</w:t>
      </w:r>
    </w:p>
    <w:p>
      <w:pPr>
        <w:spacing w:after="0" w:line="181" w:lineRule="exact"/>
        <w:rPr>
          <w:rFonts w:ascii="Arial" w:cs="Arial" w:eastAsia="Arial" w:hAnsi="Arial"/>
          <w:sz w:val="18"/>
          <w:szCs w:val="18"/>
          <w:color w:val="auto"/>
        </w:rPr>
      </w:pPr>
    </w:p>
    <w:p>
      <w:pPr>
        <w:ind w:left="1340" w:right="159" w:hanging="318"/>
        <w:spacing w:after="0" w:line="291" w:lineRule="auto"/>
        <w:tabs>
          <w:tab w:leader="none" w:pos="1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sales and marketing activities related to AYVAKIT/AYVAKYT, GAVRETO and any drug candidates for which we may receive marketing approval in the U.S. or other geographies in the future.</w:t>
      </w:r>
    </w:p>
    <w:p>
      <w:pPr>
        <w:spacing w:after="0" w:line="147" w:lineRule="exact"/>
        <w:rPr>
          <w:sz w:val="20"/>
          <w:szCs w:val="20"/>
          <w:color w:val="auto"/>
        </w:rPr>
      </w:pPr>
    </w:p>
    <w:p>
      <w:pPr>
        <w:ind w:left="60" w:right="439" w:firstLine="648"/>
        <w:spacing w:after="0" w:line="324" w:lineRule="auto"/>
        <w:rPr>
          <w:sz w:val="20"/>
          <w:szCs w:val="20"/>
          <w:color w:val="auto"/>
        </w:rPr>
      </w:pPr>
      <w:r>
        <w:rPr>
          <w:rFonts w:ascii="Arial" w:cs="Arial" w:eastAsia="Arial" w:hAnsi="Arial"/>
          <w:sz w:val="16"/>
          <w:szCs w:val="16"/>
          <w:color w:val="auto"/>
        </w:rPr>
        <w:t>To the extent the COVID-19 pandemic adversely affects our business, results of operations and future growth prospects, it may also have the effect of heightening many of the other risks described in this “Risk Factors” section.</w:t>
      </w:r>
    </w:p>
    <w:p>
      <w:pPr>
        <w:spacing w:after="0" w:line="124" w:lineRule="exact"/>
        <w:rPr>
          <w:sz w:val="20"/>
          <w:szCs w:val="20"/>
          <w:color w:val="auto"/>
        </w:rPr>
      </w:pPr>
    </w:p>
    <w:p>
      <w:pPr>
        <w:ind w:left="60" w:right="839"/>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71" w:lineRule="exact"/>
        <w:rPr>
          <w:sz w:val="20"/>
          <w:szCs w:val="20"/>
          <w:color w:val="auto"/>
        </w:rPr>
      </w:pPr>
    </w:p>
    <w:p>
      <w:pPr>
        <w:ind w:left="60" w:right="99" w:firstLine="648"/>
        <w:spacing w:after="0" w:line="238" w:lineRule="auto"/>
        <w:rPr>
          <w:sz w:val="20"/>
          <w:szCs w:val="20"/>
          <w:color w:val="auto"/>
        </w:rPr>
      </w:pPr>
      <w:r>
        <w:rPr>
          <w:rFonts w:ascii="Arial" w:cs="Arial" w:eastAsia="Arial" w:hAnsi="Arial"/>
          <w:sz w:val="18"/>
          <w:szCs w:val="18"/>
          <w:color w:val="auto"/>
        </w:rPr>
        <w:t>We are highly dependent on the research and development, clinical, business development, financial and legal expertise of our executive officers,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91" w:lineRule="exact"/>
        <w:rPr>
          <w:sz w:val="20"/>
          <w:szCs w:val="20"/>
          <w:color w:val="auto"/>
        </w:rPr>
      </w:pPr>
    </w:p>
    <w:p>
      <w:pPr>
        <w:ind w:left="60" w:right="119" w:firstLine="648"/>
        <w:spacing w:after="0" w:line="241"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1"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71"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6"/>
          <w:szCs w:val="16"/>
          <w:color w:val="auto"/>
        </w:rPr>
        <w:t>As of July 15, 2021, we had 462 full-time and part-time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75" w:lineRule="exact"/>
        <w:rPr>
          <w:sz w:val="20"/>
          <w:szCs w:val="20"/>
          <w:color w:val="auto"/>
        </w:rPr>
      </w:pPr>
    </w:p>
    <w:p>
      <w:pPr>
        <w:ind w:left="60" w:right="899"/>
        <w:spacing w:after="0" w:line="261"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1"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ongoing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75"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7"/>
          <w:szCs w:val="17"/>
          <w:color w:val="auto"/>
        </w:rPr>
        <w:t>Political development can also lead to uncertainty to regulations and rules that may materially affect our business. For example, Brexit could result in the United Kingdom or the European Union significantly altering its regulations affecting the clearance or approval of our drug or drug candidates that are developed in the United Kingdom. Any new regulations could add time and expense to the conduct of our business, as well as the process by which our 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80" w:lineRule="exact"/>
        <w:rPr>
          <w:sz w:val="20"/>
          <w:szCs w:val="20"/>
          <w:color w:val="auto"/>
        </w:rPr>
      </w:pPr>
    </w:p>
    <w:p>
      <w:pPr>
        <w:ind w:left="60" w:right="219"/>
        <w:spacing w:after="0" w:line="362"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01" w:lineRule="exact"/>
        <w:rPr>
          <w:sz w:val="20"/>
          <w:szCs w:val="20"/>
          <w:color w:val="auto"/>
        </w:rPr>
      </w:pPr>
    </w:p>
    <w:p>
      <w:pPr>
        <w:ind w:left="60" w:right="59" w:firstLine="648"/>
        <w:spacing w:after="0" w:line="272"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88" w:lineRule="exact"/>
        <w:rPr>
          <w:sz w:val="20"/>
          <w:szCs w:val="20"/>
          <w:color w:val="auto"/>
        </w:rPr>
      </w:pPr>
    </w:p>
    <w:p>
      <w:pPr>
        <w:ind w:left="60" w:right="59" w:firstLine="648"/>
        <w:spacing w:after="0" w:line="267" w:lineRule="auto"/>
        <w:rPr>
          <w:sz w:val="20"/>
          <w:szCs w:val="20"/>
          <w:color w:val="auto"/>
        </w:rPr>
      </w:pPr>
      <w:r>
        <w:rPr>
          <w:rFonts w:ascii="Arial" w:cs="Arial" w:eastAsia="Arial" w:hAnsi="Arial"/>
          <w:sz w:val="16"/>
          <w:szCs w:val="16"/>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77"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6"/>
          <w:szCs w:val="16"/>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7" w:lineRule="exact"/>
        <w:rPr>
          <w:sz w:val="20"/>
          <w:szCs w:val="20"/>
          <w:color w:val="auto"/>
        </w:rPr>
      </w:pPr>
    </w:p>
    <w:p>
      <w:pPr>
        <w:jc w:val="both"/>
        <w:ind w:left="60" w:right="119"/>
        <w:spacing w:after="0" w:line="362"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01"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6"/>
          <w:szCs w:val="16"/>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69" w:lineRule="exact"/>
        <w:rPr>
          <w:sz w:val="20"/>
          <w:szCs w:val="20"/>
          <w:color w:val="auto"/>
        </w:rPr>
      </w:pPr>
    </w:p>
    <w:p>
      <w:pPr>
        <w:ind w:left="60" w:right="79" w:firstLine="648"/>
        <w:spacing w:after="0" w:line="262"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19"/>
        <w:spacing w:after="0" w:line="294"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left="60" w:right="79" w:firstLine="648"/>
        <w:spacing w:after="0" w:line="267" w:lineRule="auto"/>
        <w:rPr>
          <w:sz w:val="20"/>
          <w:szCs w:val="20"/>
          <w:color w:val="auto"/>
        </w:rPr>
      </w:pPr>
      <w:r>
        <w:rPr>
          <w:rFonts w:ascii="Arial" w:cs="Arial" w:eastAsia="Arial" w:hAnsi="Arial"/>
          <w:sz w:val="16"/>
          <w:szCs w:val="16"/>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w:t>
      </w:r>
    </w:p>
    <w:p>
      <w:pPr>
        <w:spacing w:after="0" w:line="17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6"/>
          <w:szCs w:val="16"/>
          <w:color w:val="auto"/>
        </w:rPr>
        <w:t>In addition, we are subject to the California Consumer Privacy Act, or CCPA,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CCPA became enforceable as of July 1, 2020, but there continues to be uncertainty about how the law will be interpreted and enforced.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71"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Additionally, a new California ballot initiative, the California Privacy Rights Act, or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 The CPRA also creates a new state agency that will be vested with authority to implement and enforce the CCPA and the CPRA. The effects of the CCPA and the CPRA are potentially significant and may require us to modify our data collection or processing practices and policies and to incur substantial costs and expenses in an effort to comply and increase our potential exposure to regulatory enforcement and/or litigation.</w:t>
      </w:r>
    </w:p>
    <w:p>
      <w:pPr>
        <w:spacing w:after="0" w:line="163"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6"/>
          <w:szCs w:val="16"/>
          <w:color w:val="auto"/>
        </w:rPr>
        <w:t>Also. on March 2, 2021, Virginia enacted the Consumer Data Protection Act, or CDPA. The CDPA will become effective January 1, 2023. The CDPA will regulate how businesses, which the CDPA refers to as “controllers”, collect and share personal information. While the CDPA incorporates many similar concepts of the CCPA and CPRA, there are also several key differences in the scope, application, and enforcement of the law that will change the operational practices of controllers. The new law will impact how controllers collect and process personal sensitive data, conduct data protection assessments, transfer personal data to affiliates, and respond to consumer rights requests. In addition, on July 8, 2021, Colorado’s governor signed the Colorado Privacy Act, or CPA, into law. The CPA is rather similar to the Virginia’s CPDA but also contains additional requirements. The new measure applies to companies conducting business in Colorado or who produce or deliver commercial products or services intentionally targeted to its residents of the state that either: (1) control or process the personal data of at least 100,000 consumers during a calendar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639"/>
        <w:spacing w:after="0" w:line="261" w:lineRule="auto"/>
        <w:rPr>
          <w:sz w:val="20"/>
          <w:szCs w:val="20"/>
          <w:color w:val="auto"/>
        </w:rPr>
      </w:pPr>
      <w:r>
        <w:rPr>
          <w:rFonts w:ascii="Arial" w:cs="Arial" w:eastAsia="Arial" w:hAnsi="Arial"/>
          <w:sz w:val="18"/>
          <w:szCs w:val="18"/>
          <w:color w:val="auto"/>
        </w:rPr>
        <w:t>year; or (2) derive revenue or receive a discount on the price of goods or services from the sale of personal data and process or control the personal data of at least 25,000 consumers.</w:t>
      </w:r>
    </w:p>
    <w:p>
      <w:pPr>
        <w:spacing w:after="0" w:line="17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7"/>
          <w:szCs w:val="17"/>
          <w:color w:val="auto"/>
        </w:rPr>
        <w:t>With the CPA, Colorado became the third state to enact a comprehensive privacy law but it is quite possible that other states will follow suit. We expect anticipate that more states to may enact legislation similar to the CCPA and the other recent consumer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will make our compliance obligations more complex and costly and may increase the likelihood that we may be subject to enforcement actions or otherwise incur liability for noncompliance.</w:t>
      </w:r>
    </w:p>
    <w:p>
      <w:pPr>
        <w:spacing w:after="0" w:line="181" w:lineRule="exact"/>
        <w:rPr>
          <w:sz w:val="20"/>
          <w:szCs w:val="20"/>
          <w:color w:val="auto"/>
        </w:rPr>
      </w:pPr>
    </w:p>
    <w:p>
      <w:pPr>
        <w:ind w:left="60" w:right="239"/>
        <w:spacing w:after="0" w:line="324"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70" w:lineRule="exact"/>
        <w:rPr>
          <w:sz w:val="20"/>
          <w:szCs w:val="20"/>
          <w:color w:val="auto"/>
        </w:rPr>
      </w:pPr>
    </w:p>
    <w:p>
      <w:pPr>
        <w:jc w:val="both"/>
        <w:ind w:left="60" w:right="119"/>
        <w:spacing w:after="0" w:line="270" w:lineRule="auto"/>
        <w:rPr>
          <w:sz w:val="20"/>
          <w:szCs w:val="20"/>
          <w:color w:val="auto"/>
        </w:rPr>
      </w:pPr>
      <w:r>
        <w:rPr>
          <w:rFonts w:ascii="Arial" w:cs="Arial" w:eastAsia="Arial" w:hAnsi="Arial"/>
          <w:sz w:val="17"/>
          <w:szCs w:val="17"/>
          <w:b w:val="1"/>
          <w:bCs w:val="1"/>
          <w:i w:val="1"/>
          <w:iCs w:val="1"/>
          <w:color w:val="auto"/>
        </w:rPr>
        <w:t>We may acquire or in-license businesses, technologies or platforms, approved drugs, drug candidates or discovery-stage programs, or form strategic alliances, collaborations or partnerships, in the future, and we may not realize the benefits of such acquisitions, in-licenses, alliances, collaborations or partnerships.</w:t>
      </w:r>
    </w:p>
    <w:p>
      <w:pPr>
        <w:spacing w:after="0" w:line="164"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6"/>
          <w:szCs w:val="16"/>
          <w:color w:val="auto"/>
        </w:rPr>
        <w:t>We may acquire or in-license additional businesses, technologies or platforms, approved drugs, drug candidates or discovery-stage programs, or form strategic alliances, collaborations or partnerships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or drug candidates resulting from a strategic alliance, collaboration, partnership or acquisition that delay or prevent us from realizing their expected benefits or enhancing our business. In addition, we cannot assure you that, following any such transaction, we will achieve the expected synergies to justify the transaction.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6" w:lineRule="exact"/>
        <w:rPr>
          <w:sz w:val="20"/>
          <w:szCs w:val="20"/>
          <w:color w:val="auto"/>
        </w:rPr>
      </w:pPr>
    </w:p>
    <w:p>
      <w:pPr>
        <w:ind w:left="60" w:right="619" w:firstLine="648"/>
        <w:spacing w:after="0" w:line="324" w:lineRule="auto"/>
        <w:rPr>
          <w:sz w:val="20"/>
          <w:szCs w:val="20"/>
          <w:color w:val="auto"/>
        </w:rPr>
      </w:pPr>
      <w:r>
        <w:rPr>
          <w:rFonts w:ascii="Arial" w:cs="Arial" w:eastAsia="Arial" w:hAnsi="Arial"/>
          <w:sz w:val="16"/>
          <w:szCs w:val="16"/>
          <w:color w:val="auto"/>
        </w:rPr>
        <w:t>The rules dealing with U.S. federal, state and local income taxation are constantly under review by persons involved in the legislative process and by the IRS and the U.S. Treasury Department. Changes to tax laws (which</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8" w:lineRule="auto"/>
        <w:rPr>
          <w:sz w:val="20"/>
          <w:szCs w:val="20"/>
          <w:color w:val="auto"/>
        </w:rPr>
      </w:pPr>
      <w:r>
        <w:rPr>
          <w:rFonts w:ascii="Arial" w:cs="Arial" w:eastAsia="Arial" w:hAnsi="Arial"/>
          <w:sz w:val="16"/>
          <w:szCs w:val="16"/>
          <w:color w:val="auto"/>
        </w:rPr>
        <w:t>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For example, in December 2017, the U.S. enacted the Tax Cuts and Jobs Act of 2017, or TCJA. The TCJA significantly reformed the Internal Revenue Code of 1986, as amended, and among other things, included changes to U.S. federal tax rates, imposed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Additionally, in March 2020, the U.S. enacted the CARES Act, which included certain changes in tax law intended to stimulate the U.S. economy in light of the COVID-19 pandemic, including delaying the effective date of the net operating loss restrictions imposed by the TJCA, temporarily relaxing (but not eliminating) the TJCA’s interest deductibility limitations, and making temporary beneficial changes to the payroll tax regime. We continue to examine the impact this tax reform legislation may have on our business. The impact of these and other future changes in tax laws is uncertain and could have an adverse effect on our business, cash flow, financial condition or results of operations.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Common Stock</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212" w:lineRule="exact"/>
        <w:rPr>
          <w:sz w:val="20"/>
          <w:szCs w:val="20"/>
          <w:color w:val="auto"/>
        </w:rPr>
      </w:pPr>
    </w:p>
    <w:p>
      <w:pPr>
        <w:ind w:left="60" w:right="259" w:firstLine="648"/>
        <w:spacing w:after="0" w:line="243" w:lineRule="auto"/>
        <w:rPr>
          <w:sz w:val="20"/>
          <w:szCs w:val="20"/>
          <w:color w:val="auto"/>
        </w:rPr>
      </w:pPr>
      <w:r>
        <w:rPr>
          <w:rFonts w:ascii="Arial" w:cs="Arial" w:eastAsia="Arial" w:hAnsi="Arial"/>
          <w:sz w:val="18"/>
          <w:szCs w:val="18"/>
          <w:color w:val="auto"/>
        </w:rPr>
        <w:t>Our stock price has been and may in the future be subject to substantial volatility. For example, our stock traded within a range of a high price of $125.61 and a low price of $13.04 per share for the period beginning on April 30, 2015, our first day of trading on The Nasdaq Global Select Market, through July 28, 2021. As a result of this volatility, our stockholders could incur substantial losses.</w:t>
      </w:r>
    </w:p>
    <w:p>
      <w:pPr>
        <w:spacing w:after="0" w:line="188" w:lineRule="exact"/>
        <w:rPr>
          <w:sz w:val="20"/>
          <w:szCs w:val="20"/>
          <w:color w:val="auto"/>
        </w:rPr>
      </w:pPr>
    </w:p>
    <w:p>
      <w:pPr>
        <w:ind w:left="60" w:right="79" w:firstLine="648"/>
        <w:spacing w:after="0"/>
        <w:rPr>
          <w:sz w:val="20"/>
          <w:szCs w:val="20"/>
          <w:color w:val="auto"/>
        </w:rPr>
      </w:pPr>
      <w:r>
        <w:rPr>
          <w:rFonts w:ascii="Arial" w:cs="Arial" w:eastAsia="Arial" w:hAnsi="Arial"/>
          <w:sz w:val="18"/>
          <w:szCs w:val="18"/>
          <w:color w:val="auto"/>
        </w:rPr>
        <w:t>The stock market in general has recently experienced relatively large price and volume fluctuations, particularly in response to the COVID-19 outbreak. In particular, the market prices of securities of Nasdaq listed and biopharmaceutical companies have experienced extreme fluctuations that often have been unrelated or disproportionate to the operating results of these companies. Continued market fluctuations could result in extreme volatility in the price of our common stock, which could include a decline in the value of our common stock. In addition, the market price for our common stock may be influenced by many factors, including:</w:t>
      </w:r>
    </w:p>
    <w:p>
      <w:pPr>
        <w:spacing w:after="0" w:line="189" w:lineRule="exact"/>
        <w:rPr>
          <w:sz w:val="20"/>
          <w:szCs w:val="20"/>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commercialization of our drugs and drug candidates, if approved;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223" w:lineRule="exact"/>
        <w:rPr>
          <w:rFonts w:ascii="Arial" w:cs="Arial" w:eastAsia="Arial" w:hAnsi="Arial"/>
          <w:sz w:val="17"/>
          <w:szCs w:val="17"/>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results of our efforts to discover, develop, acquire or in-license additional drug candidates or drugs;</w:t>
      </w:r>
    </w:p>
    <w:p>
      <w:pPr>
        <w:spacing w:after="0" w:line="234" w:lineRule="exact"/>
        <w:rPr>
          <w:rFonts w:ascii="Arial" w:cs="Arial" w:eastAsia="Arial" w:hAnsi="Arial"/>
          <w:sz w:val="16"/>
          <w:szCs w:val="16"/>
          <w:color w:val="auto"/>
        </w:rPr>
      </w:pPr>
    </w:p>
    <w:p>
      <w:pPr>
        <w:ind w:left="1380" w:right="1179" w:hanging="331"/>
        <w:spacing w:after="0" w:line="261" w:lineRule="auto"/>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rFonts w:ascii="Arial" w:cs="Arial" w:eastAsia="Arial" w:hAnsi="Arial"/>
          <w:sz w:val="18"/>
          <w:szCs w:val="18"/>
          <w:color w:val="auto"/>
        </w:rPr>
      </w:pPr>
    </w:p>
    <w:p>
      <w:pPr>
        <w:ind w:left="1380" w:right="399" w:hanging="331"/>
        <w:spacing w:after="0" w:line="261" w:lineRule="auto"/>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including the COVID-19 pandemic, trade wars, political unrest or other similar events;</w:t>
      </w:r>
    </w:p>
    <w:p>
      <w:pPr>
        <w:spacing w:after="0" w:line="170" w:lineRule="exact"/>
        <w:rPr>
          <w:rFonts w:ascii="Arial" w:cs="Arial" w:eastAsia="Arial" w:hAnsi="Arial"/>
          <w:sz w:val="18"/>
          <w:szCs w:val="18"/>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7"/>
          <w:szCs w:val="17"/>
          <w:color w:val="auto"/>
        </w:rPr>
        <w:t>Future sales or issuances of common stock or other equity related securities may also adversely affect the market price of our common stock. For example, In July 2020, we entered into a sales agreement with Cowen through which we may, from time to time, issue and sell shares of our common stock having an aggregate offering price of up to $250.0 million, subject to the terms and conditions of the sales agreement. In the year ended December 31, 2020, we issued and sold 1,784,926 shares of our common stock under the sales agreement at an average price of $112.05 per share for net and gross proceeds of $194.7 million and $200.0 million, respectively. We did not sell any shares of common stock under the sales agreement in the six months ended June 30, 2021. If we seek authorization to sell additional shares of common stock under the sales agreement, enter into new “at the market” stock offering programs, or conduct a public offering or private offering through other means, it could lead to additional dilution for our stockholders and may impact our stock price adversely.</w:t>
      </w:r>
    </w:p>
    <w:p>
      <w:pPr>
        <w:spacing w:after="0" w:line="180" w:lineRule="exact"/>
        <w:rPr>
          <w:sz w:val="20"/>
          <w:szCs w:val="20"/>
          <w:color w:val="auto"/>
        </w:rPr>
      </w:pPr>
    </w:p>
    <w:p>
      <w:pPr>
        <w:ind w:left="60" w:right="259" w:firstLine="648"/>
        <w:spacing w:after="0" w:line="276"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left="60" w:right="259"/>
        <w:spacing w:after="0" w:line="261"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71" w:lineRule="exact"/>
        <w:rPr>
          <w:sz w:val="20"/>
          <w:szCs w:val="20"/>
          <w:color w:val="auto"/>
        </w:rPr>
      </w:pPr>
    </w:p>
    <w:p>
      <w:pPr>
        <w:ind w:left="60" w:right="299" w:firstLine="648"/>
        <w:spacing w:after="0" w:line="241"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89" w:lineRule="exact"/>
        <w:rPr>
          <w:sz w:val="20"/>
          <w:szCs w:val="20"/>
          <w:color w:val="auto"/>
        </w:rPr>
      </w:pPr>
    </w:p>
    <w:p>
      <w:pPr>
        <w:ind w:left="60" w:right="279"/>
        <w:spacing w:after="0" w:line="291"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380" w:hanging="331"/>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380" w:hanging="331"/>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211" w:lineRule="exact"/>
        <w:rPr>
          <w:rFonts w:ascii="Arial" w:cs="Arial" w:eastAsia="Arial" w:hAnsi="Arial"/>
          <w:sz w:val="18"/>
          <w:szCs w:val="18"/>
          <w:color w:val="auto"/>
        </w:rPr>
      </w:pPr>
    </w:p>
    <w:p>
      <w:pPr>
        <w:ind w:left="1380" w:right="99" w:hanging="331"/>
        <w:spacing w:after="0" w:line="261" w:lineRule="auto"/>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discouraging a potential acquiror from making a tender offer or otherwise attempting to obtain control of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48"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82" w:lineRule="exact"/>
        <w:rPr>
          <w:sz w:val="20"/>
          <w:szCs w:val="20"/>
          <w:color w:val="auto"/>
        </w:rPr>
      </w:pPr>
    </w:p>
    <w:p>
      <w:pPr>
        <w:ind w:left="60" w:right="59" w:firstLine="648"/>
        <w:spacing w:after="0" w:line="252"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86" w:lineRule="exact"/>
        <w:rPr>
          <w:sz w:val="20"/>
          <w:szCs w:val="20"/>
          <w:color w:val="auto"/>
        </w:rPr>
      </w:pPr>
    </w:p>
    <w:p>
      <w:pPr>
        <w:ind w:left="60" w:right="379"/>
        <w:spacing w:after="0" w:line="261" w:lineRule="auto"/>
        <w:rPr>
          <w:sz w:val="20"/>
          <w:szCs w:val="20"/>
          <w:color w:val="auto"/>
        </w:rPr>
      </w:pPr>
      <w:r>
        <w:rPr>
          <w:rFonts w:ascii="Arial" w:cs="Arial" w:eastAsia="Arial" w:hAnsi="Arial"/>
          <w:sz w:val="18"/>
          <w:szCs w:val="18"/>
          <w:b w:val="1"/>
          <w:bCs w:val="1"/>
          <w:i w:val="1"/>
          <w:iCs w:val="1"/>
          <w:color w:val="auto"/>
        </w:rPr>
        <w:t>Our bylaws contain exclusive forum provisions, which may limit a stockholder’s ability to bring a claim in a judicial forum it finds favorable and may discourage lawsuits with respect to such claims.</w:t>
      </w:r>
    </w:p>
    <w:p>
      <w:pPr>
        <w:spacing w:after="0" w:line="21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amended and restated bylaws, as amended, or bylaws, provide that unless we consent in writing to an alternative forum, the Court of Chancery of the State of Delaware will be the sole and exclusive forum for state law claims for (1) any derivative action, (2) any claim of breach of fiduciary duty, (3) any claim against a current or former director, officer, employee or stockholder, and (4) any action against our company governed by the internal affairs doctrine, which we refer to collectively as the Delaware forum provision. The Delaware forum provision does not apply to any claims arising under the Securities Exchange Act of 1934 or the Securities Act of 1933, as amended, or the Securities Act. Our bylaws further provide that, unless we consent in writing to an alternative forum, the United States District Court for the District of Massachusetts will be the exclusive forum for resolving any complaint asserting a cause of action arising under the Securities Act, which we refer to as the federal forum provision. We have chosen the United States District Court for the District of Massachusetts as the exclusive forum for such Securities Act causes of action because our principal executive offices are located in Massachusetts. In addition, our bylaws provide that any person or entity purchasing or otherwise acquiring any interest in shares of our common stock is deemed to have notice of and consented to the Delaware forum provision and the federal forum provision.</w:t>
      </w:r>
    </w:p>
    <w:p>
      <w:pPr>
        <w:spacing w:after="0" w:line="221" w:lineRule="exact"/>
        <w:rPr>
          <w:sz w:val="20"/>
          <w:szCs w:val="20"/>
          <w:color w:val="auto"/>
        </w:rPr>
      </w:pPr>
    </w:p>
    <w:p>
      <w:pPr>
        <w:ind w:left="60" w:right="159" w:firstLine="648"/>
        <w:spacing w:after="0" w:line="268" w:lineRule="auto"/>
        <w:rPr>
          <w:sz w:val="20"/>
          <w:szCs w:val="20"/>
          <w:color w:val="auto"/>
        </w:rPr>
      </w:pPr>
      <w:r>
        <w:rPr>
          <w:rFonts w:ascii="Arial" w:cs="Arial" w:eastAsia="Arial" w:hAnsi="Arial"/>
          <w:sz w:val="16"/>
          <w:szCs w:val="16"/>
          <w:color w:val="auto"/>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Commonwealth of Massachusetts.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The federal forum provision may also impose additional litigation costs on stockholders who assert the provision is not enforceable or invalid. Alternatively, if the federal forum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Court of Chancery of the State of Delaware and the United States District Court for the District of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75" w:lineRule="exact"/>
        <w:rPr>
          <w:sz w:val="20"/>
          <w:szCs w:val="20"/>
          <w:color w:val="auto"/>
        </w:rPr>
      </w:pPr>
    </w:p>
    <w:p>
      <w:pPr>
        <w:ind w:left="60" w:right="399"/>
        <w:spacing w:after="0" w:line="261"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w:t>
      </w:r>
    </w:p>
    <w:p>
      <w:pPr>
        <w:sectPr>
          <w:pgSz w:w="11900" w:h="16838" w:orient="portrait"/>
          <w:cols w:equalWidth="0" w:num="1">
            <w:col w:w="9019"/>
          </w:cols>
          <w:pgMar w:left="1440" w:top="517" w:right="1440" w:bottom="144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363855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89" w:lineRule="exact"/>
        <w:rPr>
          <w:sz w:val="20"/>
          <w:szCs w:val="20"/>
          <w:color w:val="auto"/>
        </w:rPr>
      </w:pPr>
    </w:p>
    <w:p>
      <w:pPr>
        <w:ind w:left="60" w:right="319"/>
        <w:spacing w:after="0" w:line="362" w:lineRule="auto"/>
        <w:rPr>
          <w:sz w:val="20"/>
          <w:szCs w:val="20"/>
          <w:color w:val="auto"/>
        </w:rPr>
      </w:pPr>
      <w:r>
        <w:rPr>
          <w:rFonts w:ascii="Arial" w:cs="Arial" w:eastAsia="Arial" w:hAnsi="Arial"/>
          <w:sz w:val="15"/>
          <w:szCs w:val="15"/>
          <w:b w:val="1"/>
          <w:bCs w:val="1"/>
          <w:i w:val="1"/>
          <w:iCs w:val="1"/>
          <w:color w:val="auto"/>
        </w:rPr>
        <w:t>We have incurred and will continue to incur substantial costs as a result of operating as a public company, and our management is required to devote substantial time to new compliance initiatives and corporate governance practices.</w:t>
      </w:r>
    </w:p>
    <w:p>
      <w:pPr>
        <w:spacing w:after="0" w:line="101" w:lineRule="exact"/>
        <w:rPr>
          <w:sz w:val="20"/>
          <w:szCs w:val="20"/>
          <w:color w:val="auto"/>
        </w:rPr>
      </w:pPr>
    </w:p>
    <w:p>
      <w:pPr>
        <w:ind w:left="60" w:right="59" w:firstLine="648"/>
        <w:spacing w:after="0" w:line="239" w:lineRule="auto"/>
        <w:rPr>
          <w:sz w:val="20"/>
          <w:szCs w:val="20"/>
          <w:color w:val="auto"/>
        </w:rPr>
      </w:pPr>
      <w:r>
        <w:rPr>
          <w:rFonts w:ascii="Arial" w:cs="Arial" w:eastAsia="Arial" w:hAnsi="Arial"/>
          <w:sz w:val="18"/>
          <w:szCs w:val="18"/>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91"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81"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86" w:lineRule="exact"/>
        <w:rPr>
          <w:sz w:val="20"/>
          <w:szCs w:val="20"/>
          <w:color w:val="auto"/>
        </w:rPr>
      </w:pPr>
    </w:p>
    <w:p>
      <w:pPr>
        <w:ind w:left="60" w:right="879"/>
        <w:spacing w:after="0" w:line="291"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left="60" w:right="159" w:firstLine="648"/>
        <w:spacing w:after="0" w:line="24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23" w:lineRule="exact"/>
        <w:rPr>
          <w:sz w:val="20"/>
          <w:szCs w:val="20"/>
          <w:color w:val="auto"/>
        </w:rPr>
      </w:pPr>
    </w:p>
    <w:p>
      <w:pPr>
        <w:ind w:left="60" w:right="79" w:firstLine="648"/>
        <w:spacing w:after="0" w:line="252" w:lineRule="auto"/>
        <w:rPr>
          <w:sz w:val="20"/>
          <w:szCs w:val="20"/>
          <w:color w:val="auto"/>
        </w:rPr>
      </w:pPr>
      <w:r>
        <w:rPr>
          <w:rFonts w:ascii="Arial" w:cs="Arial" w:eastAsia="Arial" w:hAnsi="Arial"/>
          <w:sz w:val="17"/>
          <w:szCs w:val="17"/>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analyzed shifts in the stock ownership to determine if its net operating losses and tax credit carryforwards may be subject to limitation under Sections 382 and 383. Based on this analysis, we determined that it is more likely than not that an ownership change occurred on the following dates: March 24, 2011; April 5, 2011; November 10, 2014; and February 7, 2017. As a consequence of these ownership changes, our net operating loss carryforwards allocable for the period preceding each ownership change are subject to limitations under Section 382. In addition, pursuant to the TCJA (as modified by the CARES Act), we may not use net operating loss carry-forwards generated in taxable years beginning after December 31, 2017 to reduce our taxable income in any year beginning after December 31, 2020 by more than 80%, and we may not carry back any net operating losses generated in taxable years beginning after December 31, 2020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7"/>
          </w:tcPr>
          <w:p>
            <w:pPr>
              <w:ind w:left="264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86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240" w:type="dxa"/>
            <w:vAlign w:val="bottom"/>
          </w:tcPr>
          <w:p>
            <w:pPr>
              <w:spacing w:after="0"/>
              <w:rPr>
                <w:sz w:val="20"/>
                <w:szCs w:val="20"/>
                <w:color w:val="auto"/>
              </w:rPr>
            </w:pPr>
          </w:p>
        </w:tc>
        <w:tc>
          <w:tcPr>
            <w:tcW w:w="7800" w:type="dxa"/>
            <w:vAlign w:val="bottom"/>
            <w:tcBorders>
              <w:bottom w:val="single" w:sz="8" w:color="auto"/>
            </w:tcBorders>
            <w:gridSpan w:val="7"/>
          </w:tcPr>
          <w:p>
            <w:pPr>
              <w:ind w:left="3040"/>
              <w:spacing w:after="0"/>
              <w:rPr>
                <w:sz w:val="20"/>
                <w:szCs w:val="20"/>
                <w:color w:val="auto"/>
              </w:rPr>
            </w:pPr>
            <w:r>
              <w:rPr>
                <w:rFonts w:ascii="Arial" w:cs="Arial" w:eastAsia="Arial" w:hAnsi="Arial"/>
                <w:sz w:val="18"/>
                <w:szCs w:val="18"/>
                <w:b w:val="1"/>
                <w:bCs w:val="1"/>
                <w:color w:val="auto"/>
              </w:rPr>
              <w:t>Description of Exhibit</w:t>
            </w:r>
          </w:p>
        </w:tc>
      </w:tr>
      <w:tr>
        <w:trPr>
          <w:trHeight w:val="466"/>
        </w:trPr>
        <w:tc>
          <w:tcPr>
            <w:tcW w:w="86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Employment Agreement, effective as of May 19, 2021, by and between the Registrant and Percy Carter</w:t>
              </w:r>
            </w:hyperlink>
          </w:p>
        </w:tc>
        <w:tc>
          <w:tcPr>
            <w:tcW w:w="340" w:type="dxa"/>
            <w:vAlign w:val="bottom"/>
            <w:gridSpan w:val="4"/>
          </w:tcPr>
          <w:p>
            <w:pPr>
              <w:spacing w:after="0"/>
              <w:rPr>
                <w:sz w:val="24"/>
                <w:szCs w:val="24"/>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7800" w:type="dxa"/>
            <w:vAlign w:val="bottom"/>
            <w:gridSpan w:val="7"/>
          </w:tcPr>
          <w:p>
            <w:pPr>
              <w:spacing w:after="0"/>
              <w:rPr>
                <w:rFonts w:ascii="Arial" w:cs="Arial" w:eastAsia="Arial" w:hAnsi="Arial"/>
                <w:sz w:val="18"/>
                <w:szCs w:val="18"/>
                <w:color w:val="0000EE"/>
                <w:w w:val="93"/>
              </w:rPr>
            </w:pPr>
            <w:hyperlink w:anchor="page109">
              <w:r>
                <w:rPr>
                  <w:rFonts w:ascii="Arial" w:cs="Arial" w:eastAsia="Arial" w:hAnsi="Arial"/>
                  <w:sz w:val="18"/>
                  <w:szCs w:val="18"/>
                  <w:color w:val="0000EE"/>
                  <w:w w:val="93"/>
                </w:rPr>
                <w:t>Certification of Principal Executive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09">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800" w:type="dxa"/>
            <w:vAlign w:val="bottom"/>
            <w:gridSpan w:val="7"/>
          </w:tcPr>
          <w:p>
            <w:pPr>
              <w:spacing w:after="0"/>
              <w:rPr>
                <w:rFonts w:ascii="Arial" w:cs="Arial" w:eastAsia="Arial" w:hAnsi="Arial"/>
                <w:sz w:val="18"/>
                <w:szCs w:val="18"/>
                <w:color w:val="0000EE"/>
                <w:w w:val="94"/>
              </w:rPr>
            </w:pPr>
            <w:hyperlink w:anchor="page110">
              <w:r>
                <w:rPr>
                  <w:rFonts w:ascii="Arial" w:cs="Arial" w:eastAsia="Arial" w:hAnsi="Arial"/>
                  <w:sz w:val="18"/>
                  <w:szCs w:val="18"/>
                  <w:color w:val="0000EE"/>
                  <w:w w:val="94"/>
                </w:rPr>
                <w:t>Certification of Principal Financial Officer pursuant to Rule 13a-14(a) or Rule 15d-14(a) of the Exchange</w:t>
              </w:r>
            </w:hyperlink>
          </w:p>
        </w:tc>
      </w:tr>
      <w:tr>
        <w:trPr>
          <w:trHeight w:val="183"/>
        </w:trPr>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110">
              <w:r>
                <w:rPr>
                  <w:rFonts w:ascii="Arial" w:cs="Arial" w:eastAsia="Arial" w:hAnsi="Arial"/>
                  <w:sz w:val="18"/>
                  <w:szCs w:val="18"/>
                  <w:color w:val="0000EE"/>
                </w:rPr>
                <w:t>Act, as adopted pursuant to Section 302 of the Sarbanes-Oxley Act of 2002</w:t>
              </w:r>
            </w:hyperlink>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6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Certifications of Principal Executive Officer and Principal Financial Officer pursuant to 18 U.S.C. Section</w:t>
              </w:r>
            </w:hyperlink>
          </w:p>
        </w:tc>
        <w:tc>
          <w:tcPr>
            <w:tcW w:w="12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0" w:type="dxa"/>
            <w:vAlign w:val="bottom"/>
            <w:gridSpan w:val="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1350, as adopted pursuant to Section 906 of the Sarbanes-Oxley Act of 2002</w:t>
              </w:r>
            </w:hyperlink>
          </w:p>
        </w:tc>
      </w:tr>
      <w:tr>
        <w:trPr>
          <w:trHeight w:val="20"/>
        </w:trPr>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gridSpan w:val="2"/>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r>
      <w:tr>
        <w:trPr>
          <w:trHeight w:val="303"/>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w:t>
            </w:r>
          </w:p>
        </w:tc>
      </w:tr>
      <w:tr>
        <w:trPr>
          <w:trHeight w:val="230"/>
        </w:trPr>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97"/>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11"/>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1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240" w:type="dxa"/>
            <w:vAlign w:val="bottom"/>
          </w:tcPr>
          <w:p>
            <w:pPr>
              <w:spacing w:after="0"/>
              <w:rPr>
                <w:sz w:val="24"/>
                <w:szCs w:val="24"/>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0" w:lineRule="exact"/>
        <w:rPr>
          <w:sz w:val="20"/>
          <w:szCs w:val="20"/>
          <w:color w:val="auto"/>
        </w:rPr>
      </w:pPr>
    </w:p>
    <w:p>
      <w:pPr>
        <w:ind w:left="1160" w:right="339" w:hanging="1104"/>
        <w:spacing w:after="0" w:line="277" w:lineRule="auto"/>
        <w:tabs>
          <w:tab w:leader="none" w:pos="11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-198755</wp:posOffset>
            </wp:positionV>
            <wp:extent cx="141414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84" w:lineRule="exact"/>
        <w:rPr>
          <w:sz w:val="20"/>
          <w:szCs w:val="20"/>
          <w:color w:val="auto"/>
        </w:rPr>
      </w:pPr>
    </w:p>
    <w:p>
      <w:pPr>
        <w:ind w:left="60"/>
        <w:spacing w:after="0"/>
        <w:tabs>
          <w:tab w:leader="none" w:pos="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 or arrangement.</w:t>
      </w:r>
    </w:p>
    <w:p>
      <w:pPr>
        <w:spacing w:after="0" w:line="104" w:lineRule="exact"/>
        <w:rPr>
          <w:sz w:val="20"/>
          <w:szCs w:val="20"/>
          <w:color w:val="auto"/>
        </w:rPr>
      </w:pPr>
    </w:p>
    <w:p>
      <w:pPr>
        <w:ind w:left="300" w:right="499" w:hanging="250"/>
        <w:spacing w:after="0" w:line="261" w:lineRule="auto"/>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Certain portions of the exhibit have been omitted pursuant to Regulation S-K Item 601(b) because it is both (i) not material to investors and (ii) information that the Company treats as private or confidential.</w:t>
      </w:r>
    </w:p>
    <w:p>
      <w:pPr>
        <w:spacing w:after="0" w:line="63" w:lineRule="exact"/>
        <w:rPr>
          <w:sz w:val="20"/>
          <w:szCs w:val="20"/>
          <w:color w:val="auto"/>
        </w:rPr>
      </w:pPr>
    </w:p>
    <w:p>
      <w:pPr>
        <w:ind w:left="300" w:right="119" w:hanging="250"/>
        <w:spacing w:after="0" w:line="262" w:lineRule="auto"/>
        <w:tabs>
          <w:tab w:leader="none" w:pos="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of 1933, as amended,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60" w:right="279" w:firstLine="441"/>
        <w:spacing w:after="0" w:line="291"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BLUEPRINT MEDICINES CORPORATION</w:t>
      </w:r>
    </w:p>
    <w:p>
      <w:pPr>
        <w:spacing w:after="0" w:line="256"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Executive Officer)</w:t>
      </w:r>
    </w:p>
    <w:p>
      <w:pPr>
        <w:spacing w:after="0" w:line="252" w:lineRule="exact"/>
        <w:rPr>
          <w:sz w:val="20"/>
          <w:szCs w:val="20"/>
          <w:color w:val="auto"/>
        </w:rPr>
      </w:pPr>
    </w:p>
    <w:p>
      <w:pPr>
        <w:ind w:left="60"/>
        <w:spacing w:after="0"/>
        <w:tabs>
          <w:tab w:leader="none" w:pos="4300" w:val="left"/>
          <w:tab w:leader="none" w:pos="472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23495</wp:posOffset>
            </wp:positionV>
            <wp:extent cx="26657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Michael Landsittel</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Chief Financial Officer</w:t>
      </w:r>
    </w:p>
    <w:p>
      <w:pPr>
        <w:spacing w:after="0" w:line="36" w:lineRule="exact"/>
        <w:rPr>
          <w:sz w:val="20"/>
          <w:szCs w:val="20"/>
          <w:color w:val="auto"/>
        </w:rPr>
      </w:pPr>
    </w:p>
    <w:p>
      <w:pPr>
        <w:ind w:left="47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jc w:val="right"/>
        <w:ind w:right="219"/>
        <w:spacing w:after="0"/>
        <w:rPr>
          <w:sz w:val="20"/>
          <w:szCs w:val="20"/>
          <w:color w:val="auto"/>
        </w:rPr>
      </w:pPr>
      <w:r>
        <w:rPr>
          <w:rFonts w:ascii="Arial" w:cs="Arial" w:eastAsia="Arial" w:hAnsi="Arial"/>
          <w:sz w:val="22"/>
          <w:szCs w:val="22"/>
          <w:b w:val="1"/>
          <w:bCs w:val="1"/>
          <w:color w:val="auto"/>
        </w:rPr>
        <w:t>Exhibit 10.1</w:t>
      </w:r>
    </w:p>
    <w:p>
      <w:pPr>
        <w:spacing w:after="0" w:line="396" w:lineRule="exact"/>
        <w:rPr>
          <w:sz w:val="20"/>
          <w:szCs w:val="20"/>
          <w:color w:val="auto"/>
        </w:rPr>
      </w:pPr>
    </w:p>
    <w:p>
      <w:pPr>
        <w:jc w:val="both"/>
        <w:ind w:left="280" w:right="279" w:firstLine="56"/>
        <w:spacing w:after="0" w:line="334" w:lineRule="auto"/>
        <w:tabs>
          <w:tab w:leader="none" w:pos="865"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Certain information in this document has been omitted from this exhibit because it is both (i) not material and (ii) information that the Company treats as private or confidential.</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EMPLOYMENT AGREEMENT</w:t>
      </w:r>
    </w:p>
    <w:p>
      <w:pPr>
        <w:spacing w:after="0" w:line="212" w:lineRule="exact"/>
        <w:rPr>
          <w:sz w:val="20"/>
          <w:szCs w:val="20"/>
          <w:color w:val="auto"/>
        </w:rPr>
      </w:pPr>
    </w:p>
    <w:p>
      <w:pPr>
        <w:ind w:left="200" w:right="299" w:firstLine="648"/>
        <w:spacing w:after="0" w:line="238" w:lineRule="auto"/>
        <w:rPr>
          <w:sz w:val="20"/>
          <w:szCs w:val="20"/>
          <w:color w:val="auto"/>
        </w:rPr>
      </w:pPr>
      <w:r>
        <w:rPr>
          <w:rFonts w:ascii="Arial" w:cs="Arial" w:eastAsia="Arial" w:hAnsi="Arial"/>
          <w:sz w:val="22"/>
          <w:szCs w:val="22"/>
          <w:color w:val="auto"/>
        </w:rPr>
        <w:t>This Employment Agreement (“Agreement”) is between Blueprint Medicines Corporation, a Delaware corporation (the “Company”), and Percy H. Carter, Ph. D., MBA (the “Executive”) and is effective on the first date of the Executive’s employment with the Company (the “Start Date”).</w:t>
      </w:r>
    </w:p>
    <w:p>
      <w:pPr>
        <w:spacing w:after="0" w:line="185" w:lineRule="exact"/>
        <w:rPr>
          <w:sz w:val="20"/>
          <w:szCs w:val="20"/>
          <w:color w:val="auto"/>
        </w:rPr>
      </w:pPr>
    </w:p>
    <w:p>
      <w:pPr>
        <w:ind w:left="200" w:right="299" w:firstLine="648"/>
        <w:spacing w:after="0" w:line="250" w:lineRule="auto"/>
        <w:rPr>
          <w:sz w:val="20"/>
          <w:szCs w:val="20"/>
          <w:color w:val="auto"/>
        </w:rPr>
      </w:pPr>
      <w:r>
        <w:rPr>
          <w:rFonts w:ascii="Arial" w:cs="Arial" w:eastAsia="Arial" w:hAnsi="Arial"/>
          <w:sz w:val="22"/>
          <w:szCs w:val="22"/>
          <w:color w:val="auto"/>
        </w:rPr>
        <w:t>WHEREAS, the Company desires to employ the Executive and the Executive desires to be employed by the Company on the terms and conditions contained herein.</w:t>
      </w:r>
    </w:p>
    <w:p>
      <w:pPr>
        <w:spacing w:after="0" w:line="175" w:lineRule="exact"/>
        <w:rPr>
          <w:sz w:val="20"/>
          <w:szCs w:val="20"/>
          <w:color w:val="auto"/>
        </w:rPr>
      </w:pPr>
    </w:p>
    <w:p>
      <w:pPr>
        <w:ind w:left="200" w:right="699" w:firstLine="648"/>
        <w:spacing w:after="0" w:line="257" w:lineRule="auto"/>
        <w:rPr>
          <w:sz w:val="20"/>
          <w:szCs w:val="20"/>
          <w:color w:val="auto"/>
        </w:rPr>
      </w:pPr>
      <w:r>
        <w:rPr>
          <w:rFonts w:ascii="Arial" w:cs="Arial" w:eastAsia="Arial" w:hAnsi="Arial"/>
          <w:sz w:val="21"/>
          <w:szCs w:val="21"/>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9" w:lineRule="exact"/>
        <w:rPr>
          <w:sz w:val="20"/>
          <w:szCs w:val="20"/>
          <w:color w:val="auto"/>
        </w:rPr>
      </w:pPr>
    </w:p>
    <w:p>
      <w:pPr>
        <w:ind w:left="1500" w:hanging="643"/>
        <w:spacing w:after="0"/>
        <w:tabs>
          <w:tab w:leader="none" w:pos="1500" w:val="left"/>
        </w:tabs>
        <w:numPr>
          <w:ilvl w:val="0"/>
          <w:numId w:val="51"/>
        </w:numPr>
        <w:rPr>
          <w:rFonts w:ascii="Arial" w:cs="Arial" w:eastAsia="Arial" w:hAnsi="Arial"/>
          <w:sz w:val="20"/>
          <w:szCs w:val="20"/>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59" w:firstLine="1305"/>
        <w:spacing w:after="0" w:line="234" w:lineRule="auto"/>
        <w:tabs>
          <w:tab w:leader="none" w:pos="2144" w:val="left"/>
        </w:tabs>
        <w:numPr>
          <w:ilvl w:val="1"/>
          <w:numId w:val="51"/>
        </w:numPr>
        <w:rPr>
          <w:rFonts w:ascii="Arial" w:cs="Arial" w:eastAsia="Arial" w:hAnsi="Arial"/>
          <w:sz w:val="20"/>
          <w:szCs w:val="20"/>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commence on the Start Date and continue until terminated in accordance with the provisions of Section 3 (the “Term”). The Company and Executive anticipate that the Start Date will be on or about May 10, 2021, or as otherwise agreed to by the parties.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90" w:lineRule="exact"/>
        <w:rPr>
          <w:rFonts w:ascii="Arial" w:cs="Arial" w:eastAsia="Arial" w:hAnsi="Arial"/>
          <w:sz w:val="20"/>
          <w:szCs w:val="20"/>
          <w:color w:val="auto"/>
        </w:rPr>
      </w:pPr>
    </w:p>
    <w:p>
      <w:pPr>
        <w:ind w:left="200" w:right="259" w:firstLine="1305"/>
        <w:spacing w:after="0" w:line="270" w:lineRule="auto"/>
        <w:tabs>
          <w:tab w:leader="none" w:pos="2144" w:val="left"/>
        </w:tabs>
        <w:numPr>
          <w:ilvl w:val="1"/>
          <w:numId w:val="51"/>
        </w:numPr>
        <w:rPr>
          <w:rFonts w:ascii="Arial" w:cs="Arial" w:eastAsia="Arial" w:hAnsi="Arial"/>
          <w:sz w:val="18"/>
          <w:szCs w:val="18"/>
          <w:color w:val="auto"/>
        </w:rPr>
      </w:pPr>
      <w:r>
        <w:rPr>
          <w:rFonts w:ascii="Arial" w:cs="Arial" w:eastAsia="Arial" w:hAnsi="Arial"/>
          <w:sz w:val="19"/>
          <w:szCs w:val="19"/>
          <w:u w:val="single" w:color="auto"/>
          <w:color w:val="auto"/>
        </w:rPr>
        <w:t>Position and Duties</w:t>
      </w:r>
      <w:r>
        <w:rPr>
          <w:rFonts w:ascii="Arial" w:cs="Arial" w:eastAsia="Arial" w:hAnsi="Arial"/>
          <w:sz w:val="19"/>
          <w:szCs w:val="19"/>
          <w:color w:val="auto"/>
        </w:rPr>
        <w:t>. During the Term, the Executive shall serve as the Chief Scientific Officer of the Company (“CSO”), and shall have such duties as are consistent with such position. The Executive shall report to the President, Research and Development of the Company (the “President, R&amp;D”) or another executive designated by the Company. The Executive shall devote the Executive’s full working time and efforts to the business and affairs of the Company. Notwithstanding the foregoing, the Executive may serve on other boards of directors (for profit or not-for-profit), with the approval of the Board of Directors of the Company (the “Board”), or engage in religious, charitable or other activities as long as such services and activities are approved by the Board and do not interfere with the Executive’s performance of duties to the Company as provided in this Agreement. Currently, Executive has been requested to join and serve on the scientific advisory board for multiple companies that will not be engaged in oncology and will not be competitive in any manner with the business of the Company. Subject to approval by the Board, which shall not be unreasonably withheld, the Company hereby expressly approves of Executive’s service on such scientific advisory boards, as long as Executive’s services for such scientific advisory boards do not interfere with the performance of his duties to the Company under this Agreement and do not create a conflict of interest with the business of the Company (including its affiliates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94" w:name="page95"/>
    <w:bookmarkEnd w:id="94"/>
    <w:p>
      <w:pPr>
        <w:ind w:left="1500" w:hanging="643"/>
        <w:spacing w:after="0"/>
        <w:tabs>
          <w:tab w:leader="none" w:pos="1500" w:val="left"/>
        </w:tabs>
        <w:numPr>
          <w:ilvl w:val="1"/>
          <w:numId w:val="52"/>
        </w:numPr>
        <w:rPr>
          <w:rFonts w:ascii="Arial" w:cs="Arial" w:eastAsia="Arial" w:hAnsi="Arial"/>
          <w:sz w:val="20"/>
          <w:szCs w:val="20"/>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399" w:firstLine="1305"/>
        <w:spacing w:after="0" w:line="246" w:lineRule="auto"/>
        <w:tabs>
          <w:tab w:leader="none" w:pos="2144" w:val="left"/>
        </w:tabs>
        <w:numPr>
          <w:ilvl w:val="2"/>
          <w:numId w:val="52"/>
        </w:numPr>
        <w:rPr>
          <w:rFonts w:ascii="Arial" w:cs="Arial" w:eastAsia="Arial" w:hAnsi="Arial"/>
          <w:sz w:val="19"/>
          <w:szCs w:val="19"/>
          <w:color w:val="auto"/>
        </w:rPr>
      </w:pPr>
      <w:r>
        <w:rPr>
          <w:rFonts w:ascii="Arial" w:cs="Arial" w:eastAsia="Arial" w:hAnsi="Arial"/>
          <w:sz w:val="21"/>
          <w:szCs w:val="21"/>
          <w:u w:val="single" w:color="auto"/>
          <w:color w:val="auto"/>
        </w:rPr>
        <w:t>Base Salary</w:t>
      </w:r>
      <w:r>
        <w:rPr>
          <w:rFonts w:ascii="Arial" w:cs="Arial" w:eastAsia="Arial" w:hAnsi="Arial"/>
          <w:sz w:val="21"/>
          <w:szCs w:val="21"/>
          <w:color w:val="auto"/>
        </w:rPr>
        <w:t>. During the Term, the Executive’s annualized base salary shall be $550,000.00. The Executive’s base salary shall be re-determined annually by the Board or the Compensation Committee of the Board and shall be subject to increase but not decrease (unless such diminution is in connection with a proportional reduction in compensation to all or substantially all of the Company’s employees) while Executive is serving in the CSO role. The annualized base salary in effect at any given time is referred to herein as “Base Salary.” The Base Salary shall be payable in a manner that is consistent with the Company’s usual payroll practices for senior executives.</w:t>
      </w:r>
    </w:p>
    <w:p>
      <w:pPr>
        <w:spacing w:after="0" w:line="179" w:lineRule="exact"/>
        <w:rPr>
          <w:rFonts w:ascii="Arial" w:cs="Arial" w:eastAsia="Arial" w:hAnsi="Arial"/>
          <w:sz w:val="19"/>
          <w:szCs w:val="19"/>
          <w:color w:val="auto"/>
        </w:rPr>
      </w:pPr>
    </w:p>
    <w:p>
      <w:pPr>
        <w:ind w:left="200" w:right="219" w:firstLine="1305"/>
        <w:spacing w:after="0" w:line="269" w:lineRule="auto"/>
        <w:tabs>
          <w:tab w:leader="none" w:pos="2198" w:val="left"/>
        </w:tabs>
        <w:numPr>
          <w:ilvl w:val="2"/>
          <w:numId w:val="52"/>
        </w:numPr>
        <w:rPr>
          <w:rFonts w:ascii="Arial" w:cs="Arial" w:eastAsia="Arial" w:hAnsi="Arial"/>
          <w:sz w:val="18"/>
          <w:szCs w:val="18"/>
          <w:color w:val="auto"/>
        </w:rPr>
      </w:pPr>
      <w:r>
        <w:rPr>
          <w:rFonts w:ascii="Arial" w:cs="Arial" w:eastAsia="Arial" w:hAnsi="Arial"/>
          <w:sz w:val="19"/>
          <w:szCs w:val="19"/>
          <w:u w:val="single" w:color="auto"/>
          <w:color w:val="auto"/>
        </w:rPr>
        <w:t>Sign-On Bonus</w:t>
      </w:r>
      <w:r>
        <w:rPr>
          <w:rFonts w:ascii="Arial" w:cs="Arial" w:eastAsia="Arial" w:hAnsi="Arial"/>
          <w:sz w:val="19"/>
          <w:szCs w:val="19"/>
          <w:color w:val="auto"/>
        </w:rPr>
        <w:t>. Executive shall be eligible to receive a one-time cash sign-on bonus in the gross amount of up to $200,000 (the “ Sign-On Bonus”), subject to legally required tax and withholdings, plus a gross-up payment to make Executive whole for income taxes he is required to pay on such Sign-On Bonus in an amount to be determined by the Company based on applicable income and payroll tax rates in effect at the time of Executive’s receipt of the Sign-On Bonus. The Sign-On Bonus shall be payable if and only if, prior to the conclusion of the 90-day period following Executive’s Start Date: [***]. If Executive becomes entitled to the Sign-On Bonus, it will be paid to him by the Company within 30 days after the preceding conditions are satisfied, provided that Executive remains employed through such date. Executive agrees that (i) if within 12 months of the Start Date the Executive either (A) is terminated by the Company for Cause (as defined below) or (B) voluntarily terminates his employment for any reason other than for Good Reason (as defined in this Agreement), Executive shall repay a pro-rata portion of the Sign-On Bonus and the gross-up payment, which shall be calculated by taking the aggregate amount of the Sign On Bonus and gross-up payment actually paid by the Company to Executive or on his behalf, divided by 12, multiplied by the number of full months remaining through the first anniversary of the Start Date. Except where prohibited by applicable law, Executive authorizes the Company to deduct the amount to be repaid under this subsection as a salary offset or from any monies owed to Executive, including but not limited to any expense reimbursements, vacation, wages, bonus, commissions, severance or any other monetary obligations. If such deduction does not fully satisfy the amount owed to the Company pursuant to this Section 2(b) or such deduction is otherwise prohibited by applicable law, then Executive agrees to repay such remaining unpaid balance to the Company within sixty (60) days of the termination of employment.</w:t>
      </w:r>
    </w:p>
    <w:p>
      <w:pPr>
        <w:spacing w:after="0" w:line="174" w:lineRule="exact"/>
        <w:rPr>
          <w:rFonts w:ascii="Arial" w:cs="Arial" w:eastAsia="Arial" w:hAnsi="Arial"/>
          <w:sz w:val="18"/>
          <w:szCs w:val="18"/>
          <w:color w:val="auto"/>
        </w:rPr>
      </w:pPr>
    </w:p>
    <w:p>
      <w:pPr>
        <w:ind w:left="200" w:right="219" w:firstLine="1305"/>
        <w:spacing w:after="0" w:line="269" w:lineRule="auto"/>
        <w:tabs>
          <w:tab w:leader="none" w:pos="2144" w:val="left"/>
        </w:tabs>
        <w:numPr>
          <w:ilvl w:val="2"/>
          <w:numId w:val="52"/>
        </w:numPr>
        <w:rPr>
          <w:rFonts w:ascii="Arial" w:cs="Arial" w:eastAsia="Arial" w:hAnsi="Arial"/>
          <w:sz w:val="18"/>
          <w:szCs w:val="18"/>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In connection with and as an inducement for the commencement of the Executive’s employment, subject to the approval of the Board or the Compensation Committee of the Board, which such approval shall not be unreasonably withheld, the Executive shall be granted (i) a non-qualified stock option to purchase 39,200 shares of the Company’s common stock (the “Stock Option Award”) at an exercise price per share equal to the closing price of the Company’s common stock on the Nasdaq Global Select Market on the date of grant (or if no closing market price is reported for such date, the closing market price on the immediately preceding date for which a closing market price is reported), (ii) 19,600 restricted stock units and</w:t>
      </w:r>
    </w:p>
    <w:p>
      <w:pPr>
        <w:spacing w:after="0" w:line="2" w:lineRule="exact"/>
        <w:rPr>
          <w:rFonts w:ascii="Arial" w:cs="Arial" w:eastAsia="Arial" w:hAnsi="Arial"/>
          <w:sz w:val="18"/>
          <w:szCs w:val="18"/>
          <w:color w:val="auto"/>
        </w:rPr>
      </w:pPr>
    </w:p>
    <w:p>
      <w:pPr>
        <w:jc w:val="both"/>
        <w:ind w:left="200" w:right="719" w:firstLine="9"/>
        <w:spacing w:after="0" w:line="287" w:lineRule="auto"/>
        <w:tabs>
          <w:tab w:leader="none" w:pos="578" w:val="left"/>
        </w:tabs>
        <w:numPr>
          <w:ilvl w:val="0"/>
          <w:numId w:val="53"/>
        </w:numPr>
        <w:rPr>
          <w:rFonts w:ascii="Arial" w:cs="Arial" w:eastAsia="Arial" w:hAnsi="Arial"/>
          <w:sz w:val="19"/>
          <w:szCs w:val="19"/>
          <w:color w:val="auto"/>
        </w:rPr>
      </w:pPr>
      <w:r>
        <w:rPr>
          <w:rFonts w:ascii="Arial" w:cs="Arial" w:eastAsia="Arial" w:hAnsi="Arial"/>
          <w:sz w:val="19"/>
          <w:szCs w:val="19"/>
          <w:color w:val="auto"/>
        </w:rPr>
        <w:t>restricted stock units with an aggregate grant date fair value of $200,000.00 (collectively, clauses (ii) and (iii), the “RSU Award”). For purposes of clause (iii), the aggregate number of shares of the Company’s common stock subject to the RSU Award will be calculated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5" w:name="page96"/>
    <w:bookmarkEnd w:id="95"/>
    <w:p>
      <w:pPr>
        <w:ind w:left="200" w:right="219"/>
        <w:spacing w:after="0" w:line="269" w:lineRule="auto"/>
        <w:rPr>
          <w:sz w:val="20"/>
          <w:szCs w:val="20"/>
          <w:color w:val="auto"/>
        </w:rPr>
      </w:pPr>
      <w:r>
        <w:rPr>
          <w:rFonts w:ascii="Arial" w:cs="Arial" w:eastAsia="Arial" w:hAnsi="Arial"/>
          <w:sz w:val="19"/>
          <w:szCs w:val="19"/>
          <w:color w:val="auto"/>
        </w:rPr>
        <w:t>by dividing $200,000.00 by the closing market price on the Nasdaq Global Select Market of a share of the Company’s common stock on the effective date of grant (or if no closing market price is reported for such date, the closing market price on the immediately preceding date for which a closing market price is reported), rounded down to the nearest whole share. Subject to the approval by the Board or the Compensation Committee of the Board, which such approval shall not be unreasonably withheld, the date of grant for the Stock Option Award and RSU Award is anticipated to be the first day of the month after the Start Date. Each restricted stock unit will entitle the Executive to one share of the Company’s common stock if and when the restricted stock unit vests. The Stock Option Award will vest with respect to 25% of the shares of Company common stock underlying the Stock Option Award on the first anniversary of the date of grant (the “Vesting Commencement Date”), and the remaining 75% of the shares of Company common stock underlying the Stock Option Award shall vest in 36 equal monthly installments following the Vesting Commencement Date, subject to the Executive’s continued employment with the Company through each applicable vesting date. The RSU Award shall vest in four equal annual installments beginning on the Vesting Commencement Date, subject to the Executive’s continued employment with the Company through each applicable vesting date or as set forth in Section 5(a)(iii) of this Agreement. The Stock Option Award and the RSU Award will each be subject to all terms and conditions and other provisions set forth in the Company’s 2020 Inducement Plan (as amended and/or restated from time to time) and a separate agreement for the Stock Option Award and for the RSU Award, which the Executive will be required to sign as a condition to receiving the Stock Option Award and RSU Award (collectively the “Equity Documents”). The Executive may also be eligible to receive future equity awards under the Company’s 2015 Stock Option and Incentive Plan (as amended and/or restated from time to time) or such other equity plan as then in effect, in the sole discretion of the Board or the Compensation Committee of the Board.</w:t>
      </w:r>
    </w:p>
    <w:p>
      <w:pPr>
        <w:spacing w:after="0" w:line="200" w:lineRule="exact"/>
        <w:rPr>
          <w:sz w:val="20"/>
          <w:szCs w:val="20"/>
          <w:color w:val="auto"/>
        </w:rPr>
      </w:pPr>
    </w:p>
    <w:p>
      <w:pPr>
        <w:spacing w:after="0" w:line="216" w:lineRule="exact"/>
        <w:rPr>
          <w:sz w:val="20"/>
          <w:szCs w:val="20"/>
          <w:color w:val="auto"/>
        </w:rPr>
      </w:pPr>
    </w:p>
    <w:p>
      <w:pPr>
        <w:ind w:left="200" w:right="219" w:firstLine="1305"/>
        <w:spacing w:after="0" w:line="274" w:lineRule="auto"/>
        <w:tabs>
          <w:tab w:leader="none" w:pos="2144" w:val="left"/>
        </w:tabs>
        <w:numPr>
          <w:ilvl w:val="0"/>
          <w:numId w:val="54"/>
        </w:numPr>
        <w:rPr>
          <w:rFonts w:ascii="Arial" w:cs="Arial" w:eastAsia="Arial" w:hAnsi="Arial"/>
          <w:sz w:val="18"/>
          <w:szCs w:val="18"/>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earn cash incentive compensation as determined by the Board or the Compensation Committee of the Board from time to time. Executive’s target annual incentive compensation shall be 45% of the Base Salary (the “Target Incentive Compensation”). The Board shall weigh its bonus determination as follows: 75% on Company performance and 25% on Executive’s individual performance. To earn incentive compensation, the Executive must remain employed by the Company in good standing through the day such incentive compensation is paid. For the year 2021, the Executive shall be eligible to earn incentive compensation pro-rated for the period of time Executive is employed at the Company during the 2021 calendar year.</w:t>
      </w:r>
    </w:p>
    <w:p>
      <w:pPr>
        <w:spacing w:after="0" w:line="158" w:lineRule="exact"/>
        <w:rPr>
          <w:rFonts w:ascii="Arial" w:cs="Arial" w:eastAsia="Arial" w:hAnsi="Arial"/>
          <w:sz w:val="18"/>
          <w:szCs w:val="18"/>
          <w:color w:val="auto"/>
        </w:rPr>
      </w:pPr>
    </w:p>
    <w:p>
      <w:pPr>
        <w:ind w:left="2160" w:hanging="655"/>
        <w:spacing w:after="0"/>
        <w:tabs>
          <w:tab w:leader="none" w:pos="2160" w:val="left"/>
        </w:tabs>
        <w:numPr>
          <w:ilvl w:val="0"/>
          <w:numId w:val="54"/>
        </w:numPr>
        <w:rPr>
          <w:rFonts w:ascii="Arial" w:cs="Arial" w:eastAsia="Arial" w:hAnsi="Arial"/>
          <w:sz w:val="20"/>
          <w:szCs w:val="20"/>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59" w:firstLine="1953"/>
        <w:spacing w:after="0" w:line="275" w:lineRule="auto"/>
        <w:tabs>
          <w:tab w:leader="none" w:pos="2792" w:val="left"/>
        </w:tabs>
        <w:numPr>
          <w:ilvl w:val="1"/>
          <w:numId w:val="54"/>
        </w:numPr>
        <w:rPr>
          <w:rFonts w:ascii="Arial" w:cs="Arial" w:eastAsia="Arial" w:hAnsi="Arial"/>
          <w:sz w:val="18"/>
          <w:szCs w:val="18"/>
          <w:color w:val="424242"/>
        </w:rPr>
      </w:pPr>
      <w:r>
        <w:rPr>
          <w:rFonts w:ascii="Arial" w:cs="Arial" w:eastAsia="Arial" w:hAnsi="Arial"/>
          <w:sz w:val="19"/>
          <w:szCs w:val="19"/>
          <w:color w:val="auto"/>
        </w:rPr>
        <w:t>Executive’s regular place of work will be the Company’s headquarters located in Cambridge, MA, provided that the Executive may work partly from his home office located in Princeton, NJ, in accordance with an arrangement to be mutually agreed upon with the President, R&amp;D. If Executive relocates to the Cambridge, MA area by September 1, 2022 or any later date as mutually agreed upon by the Company and Executive prior to such date (the “Relocation Period”), the Executive will be eligible for the relocation benefits pursuant to Section 2(e)(ii)-(iv) of this Agreement. For the avoidance of doubt, until the date Executive so relocates, the Executive will be required to travel to and work at the Company’s Cambridge, MA</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6" w:name="page97"/>
    <w:bookmarkEnd w:id="96"/>
    <w:p>
      <w:pPr>
        <w:ind w:left="200" w:right="419"/>
        <w:spacing w:after="0" w:line="279" w:lineRule="auto"/>
        <w:rPr>
          <w:sz w:val="20"/>
          <w:szCs w:val="20"/>
          <w:color w:val="auto"/>
        </w:rPr>
      </w:pPr>
      <w:r>
        <w:rPr>
          <w:rFonts w:ascii="Arial" w:cs="Arial" w:eastAsia="Arial" w:hAnsi="Arial"/>
          <w:sz w:val="19"/>
          <w:szCs w:val="19"/>
          <w:color w:val="auto"/>
        </w:rPr>
        <w:t>office as reasonably necessary to perform his job duties and consistent with the above-referenced arrangement. The Company shall pay or reimburse Executive for all legitimate and reasonable business expenses including, but not limited to, travel, lodging and other expenses related to Executive’s travel to, and work at, the Company’s Cambridge, MA office prior to Executive relocating to the Cambridge, MA area, and such payments or reimbursements will be subject to taxes and withholdings to the extent required by applicable law.</w:t>
      </w:r>
    </w:p>
    <w:p>
      <w:pPr>
        <w:spacing w:after="0" w:line="150" w:lineRule="exact"/>
        <w:rPr>
          <w:sz w:val="20"/>
          <w:szCs w:val="20"/>
          <w:color w:val="auto"/>
        </w:rPr>
      </w:pPr>
    </w:p>
    <w:p>
      <w:pPr>
        <w:ind w:left="200" w:right="259" w:firstLine="1953"/>
        <w:spacing w:after="0" w:line="270" w:lineRule="auto"/>
        <w:tabs>
          <w:tab w:leader="none" w:pos="2792" w:val="left"/>
        </w:tabs>
        <w:numPr>
          <w:ilvl w:val="0"/>
          <w:numId w:val="55"/>
        </w:numPr>
        <w:rPr>
          <w:rFonts w:ascii="Arial" w:cs="Arial" w:eastAsia="Arial" w:hAnsi="Arial"/>
          <w:sz w:val="18"/>
          <w:szCs w:val="18"/>
          <w:color w:val="424242"/>
        </w:rPr>
      </w:pPr>
      <w:r>
        <w:rPr>
          <w:rFonts w:ascii="Arial" w:cs="Arial" w:eastAsia="Arial" w:hAnsi="Arial"/>
          <w:sz w:val="19"/>
          <w:szCs w:val="19"/>
          <w:color w:val="auto"/>
        </w:rPr>
        <w:t>Subject to the Executive relocating to the Cambridge, MA area within the Relocation Period, the Company agrees to reimburse Executive or pay to one or more third parties on Executive’s behalf, as applicable, reasonable and documented expenses incurred in connection with the relocation of Executive (including Executive’s immediate family) to the Cambridge, MA area, up to a maximum aggregate amount of $150,000 (excluding any tax gross up, as described below), including without limitation, (A) the cost of moving Executive’s household goods and up to two (2) vehicles; (B) up to ninety (90) days’ rental expense for a temporary residence in the Cambridge, MA area; (C) non-recurring closing costs associated with the sale of Executive’s primary residence in Princeton, NJ, including without limitation, real estate agent fees incurred by Executive in selling his existing primary residence (up to a maximum of 5% of the sales price) and mandatory sellers’ closing costs; and (D) such other reasonable and documented expenses for travel, lodging, meals and other expenses directly related to Executive’s relocation to the Cambridge, MA area, all in accordance with the Company’s relocation allowance policy as then in effect (collectively, “Relocation Expenses”). In addition, subject to Executive relocating to the Cambridge, MA area with the Relocation Period and upon confirmation of such relocation, Company will pay to Executive a one-time, lump sum in the amount of $10,000 to use in Executive’s discretion to cover expenses related to the relocation of Executive (including Executive’s immediate family) to the Cambridge, MA area, subject to applicable taxes and withholdings and in accordance with the Company’s normal payroll practices (the “Relocation Allowance”).</w:t>
      </w:r>
    </w:p>
    <w:p>
      <w:pPr>
        <w:spacing w:after="0" w:line="200" w:lineRule="exact"/>
        <w:rPr>
          <w:rFonts w:ascii="Arial" w:cs="Arial" w:eastAsia="Arial" w:hAnsi="Arial"/>
          <w:sz w:val="18"/>
          <w:szCs w:val="18"/>
          <w:color w:val="424242"/>
        </w:rPr>
      </w:pPr>
    </w:p>
    <w:p>
      <w:pPr>
        <w:spacing w:after="0" w:line="205" w:lineRule="exact"/>
        <w:rPr>
          <w:rFonts w:ascii="Arial" w:cs="Arial" w:eastAsia="Arial" w:hAnsi="Arial"/>
          <w:sz w:val="18"/>
          <w:szCs w:val="18"/>
          <w:color w:val="424242"/>
        </w:rPr>
      </w:pPr>
    </w:p>
    <w:p>
      <w:pPr>
        <w:ind w:left="200" w:right="219" w:firstLine="1953"/>
        <w:spacing w:after="0" w:line="271" w:lineRule="auto"/>
        <w:tabs>
          <w:tab w:leader="none" w:pos="2792" w:val="left"/>
        </w:tabs>
        <w:numPr>
          <w:ilvl w:val="0"/>
          <w:numId w:val="55"/>
        </w:numPr>
        <w:rPr>
          <w:rFonts w:ascii="Arial" w:cs="Arial" w:eastAsia="Arial" w:hAnsi="Arial"/>
          <w:sz w:val="18"/>
          <w:szCs w:val="18"/>
          <w:color w:val="424242"/>
        </w:rPr>
      </w:pPr>
      <w:r>
        <w:rPr>
          <w:rFonts w:ascii="Arial" w:cs="Arial" w:eastAsia="Arial" w:hAnsi="Arial"/>
          <w:sz w:val="19"/>
          <w:szCs w:val="19"/>
          <w:color w:val="auto"/>
        </w:rPr>
        <w:t>To the extent the reimbursement or payment of Relocation Expenses is taxable, Executive acknowledges that the Company will provide Executive with a Form W-2 reporting any taxable portion of such Relocation Expenses, and Executive will be responsible for any taxes or other withholdings associated with the Relocation Expenses; provided that the Company will gross up the taxes incurred on eligible Relocation Expenses reimbursed or paid by the Company, at the then current supplemental Federal tax rate and applicable state, local, Social Security, and Medicare tax rates, and will remit such taxes on Executive’s behalf to the taxing authorities. For the avoidance of doubt, the Company will provide Executive with a Form W-2 reporting any taxable portion of the Relocation Allowance but will not gross up any taxes incurred on the Relocation Allowance, and Executive will be responsible for any taxes or other withholdings associated with the Relocation Allowance. The Form W-2s provided by the Company to Executive will reflect the Relocation Expenses and Relocation Allowance-related income, as applicable, including amounts for grossed-up taxes with respect to the Relocation Expenses and any taxes withheld by the Company with respect to the Relocation Expenses and Relocation Allowance.</w:t>
      </w:r>
    </w:p>
    <w:p>
      <w:pPr>
        <w:spacing w:after="0" w:line="200" w:lineRule="exact"/>
        <w:rPr>
          <w:rFonts w:ascii="Arial" w:cs="Arial" w:eastAsia="Arial" w:hAnsi="Arial"/>
          <w:sz w:val="18"/>
          <w:szCs w:val="18"/>
          <w:color w:val="424242"/>
        </w:rPr>
      </w:pPr>
    </w:p>
    <w:p>
      <w:pPr>
        <w:spacing w:after="0" w:line="207" w:lineRule="exact"/>
        <w:rPr>
          <w:rFonts w:ascii="Arial" w:cs="Arial" w:eastAsia="Arial" w:hAnsi="Arial"/>
          <w:sz w:val="18"/>
          <w:szCs w:val="18"/>
          <w:color w:val="424242"/>
        </w:rPr>
      </w:pPr>
    </w:p>
    <w:p>
      <w:pPr>
        <w:ind w:left="200" w:right="499" w:firstLine="1953"/>
        <w:spacing w:after="0" w:line="328" w:lineRule="auto"/>
        <w:tabs>
          <w:tab w:leader="none" w:pos="2792" w:val="left"/>
        </w:tabs>
        <w:numPr>
          <w:ilvl w:val="0"/>
          <w:numId w:val="55"/>
        </w:numPr>
        <w:rPr>
          <w:rFonts w:ascii="Arial" w:cs="Arial" w:eastAsia="Arial" w:hAnsi="Arial"/>
          <w:sz w:val="18"/>
          <w:szCs w:val="18"/>
          <w:color w:val="424242"/>
        </w:rPr>
      </w:pPr>
      <w:r>
        <w:rPr>
          <w:rFonts w:ascii="Arial" w:cs="Arial" w:eastAsia="Arial" w:hAnsi="Arial"/>
          <w:sz w:val="19"/>
          <w:szCs w:val="19"/>
          <w:color w:val="auto"/>
        </w:rPr>
        <w:t>Executive agrees that if (A) within 12 months of the date that Executive relocates to the Cambridge, MA area, the Executive either (x) is terminated for Cause</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7" w:name="page98"/>
    <w:bookmarkEnd w:id="97"/>
    <w:p>
      <w:pPr>
        <w:ind w:left="200" w:right="259"/>
        <w:spacing w:after="0" w:line="269" w:lineRule="auto"/>
        <w:rPr>
          <w:sz w:val="20"/>
          <w:szCs w:val="20"/>
          <w:color w:val="auto"/>
        </w:rPr>
      </w:pPr>
      <w:r>
        <w:rPr>
          <w:rFonts w:ascii="Arial" w:cs="Arial" w:eastAsia="Arial" w:hAnsi="Arial"/>
          <w:sz w:val="19"/>
          <w:szCs w:val="19"/>
          <w:color w:val="auto"/>
        </w:rPr>
        <w:t>(as defined in this Agreement) or (y) terminates his employment without Good Reason (as defined in this Agreement), Executive shall repay 100% of the aggregate amount of Relocation Expenses reimbursed by the Company to Executive or paid by the Company to any third party on Executive’s behalf (including any taxes and applicable withholdings with respect to such amounts) and the Relocation Allowance, and (B) at any time after the first 12 months following the date Executive relocates to the Cambridge, MA area, but within 24 months following the date that Executive relocates to the Cambridge, MA area, the Executive either (x) is terminated for Cause or</w:t>
      </w:r>
    </w:p>
    <w:p>
      <w:pPr>
        <w:spacing w:after="0" w:line="5" w:lineRule="exact"/>
        <w:rPr>
          <w:sz w:val="20"/>
          <w:szCs w:val="20"/>
          <w:color w:val="auto"/>
        </w:rPr>
      </w:pPr>
    </w:p>
    <w:p>
      <w:pPr>
        <w:ind w:left="200" w:right="279" w:firstLine="9"/>
        <w:spacing w:after="0" w:line="242" w:lineRule="auto"/>
        <w:tabs>
          <w:tab w:leader="none" w:pos="506" w:val="left"/>
        </w:tabs>
        <w:numPr>
          <w:ilvl w:val="0"/>
          <w:numId w:val="56"/>
        </w:numPr>
        <w:rPr>
          <w:rFonts w:ascii="Arial" w:cs="Arial" w:eastAsia="Arial" w:hAnsi="Arial"/>
          <w:sz w:val="21"/>
          <w:szCs w:val="21"/>
          <w:color w:val="auto"/>
        </w:rPr>
      </w:pPr>
      <w:r>
        <w:rPr>
          <w:rFonts w:ascii="Arial" w:cs="Arial" w:eastAsia="Arial" w:hAnsi="Arial"/>
          <w:sz w:val="21"/>
          <w:szCs w:val="21"/>
          <w:color w:val="auto"/>
        </w:rPr>
        <w:t>terminates his employment without Good Reason, Executive shall repay 50% of the aggregate amount of Relocation Expenses reimbursed by the Company to Executive or paid by the Company to any third party on Executive’s behalf (including any taxes and applicable withholdings with respect to such amounts) and the Relocation Allowance. Except where prohibited by applicable law, Executive authorizes the Company to deduct any and all amounts to be repaid hereunder as a salary offset or from any monies owed to Executive, including but not limited to any expense reimbursements, vacation, wages, commissions, severance or any other monetary obligations. If such deduction does not fully satisfy the amount owed to the Company pursuant to this Section 2(e) or such deduction is otherwise prohibited by applicable law, then Executive agrees to repay such remaining unpaid balance to the Company within sixty (60) days of the termination of employment.</w:t>
      </w:r>
    </w:p>
    <w:p>
      <w:pPr>
        <w:spacing w:after="0" w:line="192" w:lineRule="exact"/>
        <w:rPr>
          <w:rFonts w:ascii="Arial" w:cs="Arial" w:eastAsia="Arial" w:hAnsi="Arial"/>
          <w:sz w:val="21"/>
          <w:szCs w:val="21"/>
          <w:color w:val="auto"/>
        </w:rPr>
      </w:pPr>
    </w:p>
    <w:p>
      <w:pPr>
        <w:ind w:left="200" w:right="339" w:firstLine="1305"/>
        <w:spacing w:after="0" w:line="248" w:lineRule="auto"/>
        <w:tabs>
          <w:tab w:leader="none" w:pos="2144" w:val="left"/>
        </w:tabs>
        <w:numPr>
          <w:ilvl w:val="2"/>
          <w:numId w:val="56"/>
        </w:numPr>
        <w:rPr>
          <w:rFonts w:ascii="Arial" w:cs="Arial" w:eastAsia="Arial" w:hAnsi="Arial"/>
          <w:sz w:val="19"/>
          <w:szCs w:val="19"/>
          <w:color w:val="auto"/>
        </w:rPr>
      </w:pPr>
      <w:r>
        <w:rPr>
          <w:rFonts w:ascii="Arial" w:cs="Arial" w:eastAsia="Arial" w:hAnsi="Arial"/>
          <w:sz w:val="21"/>
          <w:szCs w:val="21"/>
          <w:u w:val="single" w:color="auto"/>
          <w:color w:val="auto"/>
        </w:rPr>
        <w:t>Expenses</w:t>
      </w:r>
      <w:r>
        <w:rPr>
          <w:rFonts w:ascii="Arial" w:cs="Arial" w:eastAsia="Arial" w:hAnsi="Arial"/>
          <w:sz w:val="21"/>
          <w:szCs w:val="21"/>
          <w:color w:val="auto"/>
        </w:rPr>
        <w:t>. The Executive shall be entitled to receive prompt reimbursement for all reasonable business expenses incurred by the Executive during the Term in performing services hereunder, including but not limited to Executive’s travel to the Company’s Cambridge, MA office, and related lodging and expenses, prior to the Executive’s relocation in accordance with Section 2(e), in accordance with the policies and procedures then in effect and established by the Company for its senior executive officers.</w:t>
      </w:r>
    </w:p>
    <w:p>
      <w:pPr>
        <w:spacing w:after="0" w:line="176" w:lineRule="exact"/>
        <w:rPr>
          <w:rFonts w:ascii="Arial" w:cs="Arial" w:eastAsia="Arial" w:hAnsi="Arial"/>
          <w:sz w:val="19"/>
          <w:szCs w:val="19"/>
          <w:color w:val="auto"/>
        </w:rPr>
      </w:pPr>
    </w:p>
    <w:p>
      <w:pPr>
        <w:ind w:left="200" w:right="239" w:firstLine="1305"/>
        <w:spacing w:after="0" w:line="238" w:lineRule="auto"/>
        <w:tabs>
          <w:tab w:leader="none" w:pos="2144" w:val="left"/>
        </w:tabs>
        <w:numPr>
          <w:ilvl w:val="2"/>
          <w:numId w:val="56"/>
        </w:numPr>
        <w:rPr>
          <w:rFonts w:ascii="Arial" w:cs="Arial" w:eastAsia="Arial" w:hAnsi="Arial"/>
          <w:sz w:val="20"/>
          <w:szCs w:val="20"/>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at the same level as the Company’s other executives, subject to the terms of such plans and except as otherwise set forth in this Agreement.</w:t>
      </w:r>
    </w:p>
    <w:p>
      <w:pPr>
        <w:spacing w:after="0" w:line="184" w:lineRule="exact"/>
        <w:rPr>
          <w:rFonts w:ascii="Arial" w:cs="Arial" w:eastAsia="Arial" w:hAnsi="Arial"/>
          <w:sz w:val="20"/>
          <w:szCs w:val="20"/>
          <w:color w:val="auto"/>
        </w:rPr>
      </w:pPr>
    </w:p>
    <w:p>
      <w:pPr>
        <w:ind w:left="200" w:right="579" w:firstLine="1305"/>
        <w:spacing w:after="0" w:line="250" w:lineRule="auto"/>
        <w:tabs>
          <w:tab w:leader="none" w:pos="2144" w:val="left"/>
        </w:tabs>
        <w:numPr>
          <w:ilvl w:val="2"/>
          <w:numId w:val="56"/>
        </w:numPr>
        <w:rPr>
          <w:rFonts w:ascii="Arial" w:cs="Arial" w:eastAsia="Arial" w:hAnsi="Arial"/>
          <w:sz w:val="20"/>
          <w:szCs w:val="20"/>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4" w:lineRule="exact"/>
        <w:rPr>
          <w:rFonts w:ascii="Arial" w:cs="Arial" w:eastAsia="Arial" w:hAnsi="Arial"/>
          <w:sz w:val="20"/>
          <w:szCs w:val="20"/>
          <w:color w:val="auto"/>
        </w:rPr>
      </w:pPr>
    </w:p>
    <w:p>
      <w:pPr>
        <w:ind w:left="200" w:right="739" w:firstLine="657"/>
        <w:spacing w:after="0" w:line="328" w:lineRule="auto"/>
        <w:tabs>
          <w:tab w:leader="none" w:pos="1496" w:val="left"/>
        </w:tabs>
        <w:numPr>
          <w:ilvl w:val="1"/>
          <w:numId w:val="56"/>
        </w:numPr>
        <w:rPr>
          <w:rFonts w:ascii="Arial" w:cs="Arial" w:eastAsia="Arial" w:hAnsi="Arial"/>
          <w:sz w:val="18"/>
          <w:szCs w:val="18"/>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4" w:lineRule="exact"/>
        <w:rPr>
          <w:rFonts w:ascii="Arial" w:cs="Arial" w:eastAsia="Arial" w:hAnsi="Arial"/>
          <w:sz w:val="18"/>
          <w:szCs w:val="18"/>
          <w:color w:val="auto"/>
        </w:rPr>
      </w:pPr>
    </w:p>
    <w:p>
      <w:pPr>
        <w:ind w:left="2160" w:hanging="655"/>
        <w:spacing w:after="0"/>
        <w:tabs>
          <w:tab w:leader="none" w:pos="2160" w:val="left"/>
        </w:tabs>
        <w:numPr>
          <w:ilvl w:val="2"/>
          <w:numId w:val="57"/>
        </w:numPr>
        <w:rPr>
          <w:rFonts w:ascii="Arial" w:cs="Arial" w:eastAsia="Arial" w:hAnsi="Arial"/>
          <w:sz w:val="18"/>
          <w:szCs w:val="18"/>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hereunder shall terminate upon the</w:t>
      </w:r>
    </w:p>
    <w:p>
      <w:pPr>
        <w:spacing w:after="0" w:line="42"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2"/>
          <w:szCs w:val="22"/>
          <w:color w:val="auto"/>
        </w:rPr>
        <w:t>Executive’s death.</w:t>
      </w:r>
    </w:p>
    <w:p>
      <w:pPr>
        <w:spacing w:after="0" w:line="188" w:lineRule="exact"/>
        <w:rPr>
          <w:rFonts w:ascii="Arial" w:cs="Arial" w:eastAsia="Arial" w:hAnsi="Arial"/>
          <w:sz w:val="18"/>
          <w:szCs w:val="18"/>
          <w:color w:val="auto"/>
        </w:rPr>
      </w:pPr>
    </w:p>
    <w:p>
      <w:pPr>
        <w:ind w:left="200" w:right="259" w:firstLine="1305"/>
        <w:spacing w:after="0" w:line="279" w:lineRule="auto"/>
        <w:tabs>
          <w:tab w:leader="none" w:pos="2144" w:val="left"/>
        </w:tabs>
        <w:numPr>
          <w:ilvl w:val="2"/>
          <w:numId w:val="57"/>
        </w:numPr>
        <w:rPr>
          <w:rFonts w:ascii="Arial" w:cs="Arial" w:eastAsia="Arial" w:hAnsi="Arial"/>
          <w:sz w:val="18"/>
          <w:szCs w:val="18"/>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the Executive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8" w:name="page99"/>
    <w:bookmarkEnd w:id="98"/>
    <w:p>
      <w:pPr>
        <w:ind w:left="200" w:right="219"/>
        <w:spacing w:after="0" w:line="273" w:lineRule="auto"/>
        <w:rPr>
          <w:sz w:val="20"/>
          <w:szCs w:val="20"/>
          <w:color w:val="auto"/>
        </w:rPr>
      </w:pPr>
      <w:r>
        <w:rPr>
          <w:rFonts w:ascii="Arial" w:cs="Arial" w:eastAsia="Arial" w:hAnsi="Arial"/>
          <w:sz w:val="19"/>
          <w:szCs w:val="19"/>
          <w:color w:val="auto"/>
        </w:rPr>
        <w:t xml:space="preserve">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§260l </w:t>
      </w:r>
      <w:r>
        <w:rPr>
          <w:rFonts w:ascii="Arial" w:cs="Arial" w:eastAsia="Arial" w:hAnsi="Arial"/>
          <w:sz w:val="19"/>
          <w:szCs w:val="19"/>
          <w:i w:val="1"/>
          <w:iCs w:val="1"/>
          <w:color w:val="auto"/>
        </w:rPr>
        <w:t>et seq.</w:t>
      </w:r>
      <w:r>
        <w:rPr>
          <w:rFonts w:ascii="Arial" w:cs="Arial" w:eastAsia="Arial" w:hAnsi="Arial"/>
          <w:sz w:val="19"/>
          <w:szCs w:val="19"/>
          <w:color w:val="auto"/>
        </w:rPr>
        <w:t xml:space="preserve"> and the Americans with Disabilities Act, 42 U.S.C. §12101 </w:t>
      </w:r>
      <w:r>
        <w:rPr>
          <w:rFonts w:ascii="Arial" w:cs="Arial" w:eastAsia="Arial" w:hAnsi="Arial"/>
          <w:sz w:val="19"/>
          <w:szCs w:val="19"/>
          <w:i w:val="1"/>
          <w:iCs w:val="1"/>
          <w:color w:val="auto"/>
        </w:rPr>
        <w:t>et seq.</w:t>
      </w:r>
    </w:p>
    <w:p>
      <w:pPr>
        <w:spacing w:after="0" w:line="155" w:lineRule="exact"/>
        <w:rPr>
          <w:sz w:val="20"/>
          <w:szCs w:val="20"/>
          <w:color w:val="auto"/>
        </w:rPr>
      </w:pPr>
    </w:p>
    <w:p>
      <w:pPr>
        <w:ind w:left="200" w:right="219" w:firstLine="1305"/>
        <w:spacing w:after="0" w:line="269" w:lineRule="auto"/>
        <w:tabs>
          <w:tab w:leader="none" w:pos="2144" w:val="left"/>
        </w:tabs>
        <w:numPr>
          <w:ilvl w:val="0"/>
          <w:numId w:val="58"/>
        </w:numPr>
        <w:rPr>
          <w:rFonts w:ascii="Arial" w:cs="Arial" w:eastAsia="Arial" w:hAnsi="Arial"/>
          <w:sz w:val="18"/>
          <w:szCs w:val="18"/>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the Executive’s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the Executive were retained in the Executive’s position; (iii) continued non-performance of duties by the Executive (other than by reason of the Executive’s physical or mental illness, incapacity or disability) which has continued uncured for more than 30 days following written notice of such non-performance from the President, R&amp;D or the Chief Executive Officer; (iv) a material breach by the Executive of any of the provisions contained in Section 7 of this Agreement; (v) a material violation by the Executive of the Company’s written employment policies which has continued uncured for more than 30 days following written notice of such material violation from the President, R&amp;D or other duly authorized representative of the Company; or (vi) the Executive’s failure to cooperate with a bona fide internal investigation or an investigation by regulatory or law enforcement authorities, after being instructed by the Company to cooperate, or the willful destruction of or failure to preserve documents or other materials that Executive knows are relevant to such investigation, or the inducement of others to fail to cooperate or to produce documents or other materials in connection with such investigation.</w:t>
      </w: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200" w:right="359" w:firstLine="1305"/>
        <w:spacing w:after="0" w:line="282" w:lineRule="auto"/>
        <w:tabs>
          <w:tab w:leader="none" w:pos="2144" w:val="left"/>
        </w:tabs>
        <w:numPr>
          <w:ilvl w:val="0"/>
          <w:numId w:val="58"/>
        </w:numPr>
        <w:rPr>
          <w:rFonts w:ascii="Arial" w:cs="Arial" w:eastAsia="Arial" w:hAnsi="Arial"/>
          <w:sz w:val="18"/>
          <w:szCs w:val="18"/>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8"/>
          <w:szCs w:val="18"/>
          <w:color w:val="auto"/>
        </w:rPr>
      </w:pPr>
    </w:p>
    <w:p>
      <w:pPr>
        <w:ind w:left="200" w:right="479" w:firstLine="1305"/>
        <w:spacing w:after="0" w:line="287" w:lineRule="auto"/>
        <w:tabs>
          <w:tab w:leader="none" w:pos="2144" w:val="left"/>
        </w:tabs>
        <w:numPr>
          <w:ilvl w:val="0"/>
          <w:numId w:val="58"/>
        </w:numPr>
        <w:rPr>
          <w:rFonts w:ascii="Arial" w:cs="Arial" w:eastAsia="Arial" w:hAnsi="Arial"/>
          <w:sz w:val="18"/>
          <w:szCs w:val="18"/>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9" w:name="page100"/>
    <w:bookmarkEnd w:id="99"/>
    <w:p>
      <w:pPr>
        <w:ind w:left="200" w:right="239"/>
        <w:spacing w:after="0" w:line="269" w:lineRule="auto"/>
        <w:rPr>
          <w:sz w:val="20"/>
          <w:szCs w:val="20"/>
          <w:color w:val="auto"/>
        </w:rPr>
      </w:pPr>
      <w:r>
        <w:rPr>
          <w:rFonts w:ascii="Arial" w:cs="Arial" w:eastAsia="Arial" w:hAnsi="Arial"/>
          <w:sz w:val="19"/>
          <w:szCs w:val="19"/>
          <w:color w:val="auto"/>
        </w:rPr>
        <w:t>without the Executive’s express written consent: (i) a material diminution in the Executive’s responsibilities, authority or duties; (ii) a material diminution in the Executive’s Base Salary and/or Target Incentive Compensation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w:t>
      </w:r>
    </w:p>
    <w:p>
      <w:pPr>
        <w:spacing w:after="0" w:line="1" w:lineRule="exact"/>
        <w:rPr>
          <w:sz w:val="20"/>
          <w:szCs w:val="20"/>
          <w:color w:val="auto"/>
        </w:rPr>
      </w:pPr>
    </w:p>
    <w:p>
      <w:pPr>
        <w:ind w:left="200" w:right="439" w:firstLine="9"/>
        <w:spacing w:after="0" w:line="277" w:lineRule="auto"/>
        <w:tabs>
          <w:tab w:leader="none" w:pos="578"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Executive cooperates in good faith with the Company’s efforts, for a period not less than 30 days following such notice (the “Cure Period “) to remedy the condition; (iv) notwithstanding such efforts, the Good Reason condition continues to exist; and (v) the Executive terminates employment within 60 days after the end of the Cure Period. If the Company cures the Good Reason condition during the Cure Period, Good Reason shall be deemed not to have occurred.</w:t>
      </w:r>
    </w:p>
    <w:p>
      <w:pPr>
        <w:spacing w:after="0" w:line="152" w:lineRule="exact"/>
        <w:rPr>
          <w:rFonts w:ascii="Arial" w:cs="Arial" w:eastAsia="Arial" w:hAnsi="Arial"/>
          <w:sz w:val="19"/>
          <w:szCs w:val="19"/>
          <w:color w:val="auto"/>
        </w:rPr>
      </w:pPr>
    </w:p>
    <w:p>
      <w:pPr>
        <w:ind w:left="200" w:right="439" w:firstLine="1305"/>
        <w:spacing w:after="0" w:line="249" w:lineRule="auto"/>
        <w:tabs>
          <w:tab w:leader="none" w:pos="2144" w:val="left"/>
        </w:tabs>
        <w:numPr>
          <w:ilvl w:val="2"/>
          <w:numId w:val="59"/>
        </w:numPr>
        <w:rPr>
          <w:rFonts w:ascii="Arial" w:cs="Arial" w:eastAsia="Arial" w:hAnsi="Arial"/>
          <w:sz w:val="19"/>
          <w:szCs w:val="19"/>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8" w:lineRule="exact"/>
        <w:rPr>
          <w:rFonts w:ascii="Arial" w:cs="Arial" w:eastAsia="Arial" w:hAnsi="Arial"/>
          <w:sz w:val="19"/>
          <w:szCs w:val="19"/>
          <w:color w:val="auto"/>
        </w:rPr>
      </w:pPr>
    </w:p>
    <w:p>
      <w:pPr>
        <w:ind w:left="200" w:right="259" w:firstLine="1305"/>
        <w:spacing w:after="0" w:line="272" w:lineRule="auto"/>
        <w:tabs>
          <w:tab w:leader="none" w:pos="2144" w:val="left"/>
        </w:tabs>
        <w:numPr>
          <w:ilvl w:val="2"/>
          <w:numId w:val="59"/>
        </w:numPr>
        <w:rPr>
          <w:rFonts w:ascii="Arial" w:cs="Arial" w:eastAsia="Arial" w:hAnsi="Arial"/>
          <w:sz w:val="18"/>
          <w:szCs w:val="18"/>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60" w:lineRule="exact"/>
        <w:rPr>
          <w:rFonts w:ascii="Arial" w:cs="Arial" w:eastAsia="Arial" w:hAnsi="Arial"/>
          <w:sz w:val="18"/>
          <w:szCs w:val="18"/>
          <w:color w:val="auto"/>
        </w:rPr>
      </w:pPr>
    </w:p>
    <w:p>
      <w:pPr>
        <w:ind w:left="1500" w:hanging="643"/>
        <w:spacing w:after="0"/>
        <w:tabs>
          <w:tab w:leader="none" w:pos="1500" w:val="left"/>
        </w:tabs>
        <w:numPr>
          <w:ilvl w:val="1"/>
          <w:numId w:val="59"/>
        </w:numPr>
        <w:rPr>
          <w:rFonts w:ascii="Arial" w:cs="Arial" w:eastAsia="Arial" w:hAnsi="Arial"/>
          <w:sz w:val="20"/>
          <w:szCs w:val="20"/>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99" w:firstLine="1305"/>
        <w:spacing w:after="0" w:line="275" w:lineRule="auto"/>
        <w:tabs>
          <w:tab w:leader="none" w:pos="2144" w:val="left"/>
        </w:tabs>
        <w:numPr>
          <w:ilvl w:val="2"/>
          <w:numId w:val="60"/>
        </w:numPr>
        <w:rPr>
          <w:rFonts w:ascii="Arial" w:cs="Arial" w:eastAsia="Arial" w:hAnsi="Arial"/>
          <w:sz w:val="18"/>
          <w:szCs w:val="18"/>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the Executive’s authorized representative or estate) (i) any Base Salary earned, and any unused vacation accrued, through the Date of Termination, and any unpaid expense reimbursements (subject to, and in accordance with, Section 2(f) of this Agreement), payable on or before the time required by applicable law but in no event more than 30 days after the Executive’s Date of Termination; and (ii) any vested benefits the Executive may have under any employee benefit plan of the Company through the Date of Termination, which vested benefits shall be paid and/or</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0" w:name="page101"/>
    <w:bookmarkEnd w:id="100"/>
    <w:p>
      <w:pPr>
        <w:ind w:left="200" w:right="399"/>
        <w:spacing w:after="0" w:line="250" w:lineRule="auto"/>
        <w:rPr>
          <w:sz w:val="20"/>
          <w:szCs w:val="20"/>
          <w:color w:val="auto"/>
        </w:rPr>
      </w:pPr>
      <w:r>
        <w:rPr>
          <w:rFonts w:ascii="Arial" w:cs="Arial" w:eastAsia="Arial" w:hAnsi="Arial"/>
          <w:sz w:val="22"/>
          <w:szCs w:val="22"/>
          <w:color w:val="auto"/>
        </w:rPr>
        <w:t>provided in accordance with the terms of such employee benefit plans (collectively, the “Accrued Benefit”).</w:t>
      </w:r>
    </w:p>
    <w:p>
      <w:pPr>
        <w:spacing w:after="0" w:line="175" w:lineRule="exact"/>
        <w:rPr>
          <w:sz w:val="20"/>
          <w:szCs w:val="20"/>
          <w:color w:val="auto"/>
        </w:rPr>
      </w:pPr>
    </w:p>
    <w:p>
      <w:pPr>
        <w:ind w:left="200" w:right="279" w:firstLine="1305"/>
        <w:spacing w:after="0" w:line="272" w:lineRule="auto"/>
        <w:tabs>
          <w:tab w:leader="none" w:pos="2144" w:val="left"/>
        </w:tabs>
        <w:numPr>
          <w:ilvl w:val="0"/>
          <w:numId w:val="61"/>
        </w:numPr>
        <w:rPr>
          <w:rFonts w:ascii="Arial" w:cs="Arial" w:eastAsia="Arial" w:hAnsi="Arial"/>
          <w:sz w:val="18"/>
          <w:szCs w:val="18"/>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employment for Good Reason as provided in Section 3(e), then the Company shall pay the Executive the Accrued Benefit. In addition and provided that the Date of Termination does not occur within the Protection Period as defined in Section 5 hereof, subject to the Executive signing a separation agreement containing a general release of claims in favor of the Company and related persons and entities, confidentiality, return of property and non-disparagement, and a noncompetition agreement with terms substantially similar to the Restrictive Covenants Agreement (defined in Section 7 hereof), such separation agreement to be in a form and manner satisfactory to the Company (the “Separation Agreement and Release”) and the Separation Agreement and Release becoming irrevocable, all within 60 days after the Date of Termination:</w:t>
      </w:r>
    </w:p>
    <w:p>
      <w:pPr>
        <w:spacing w:after="0" w:line="160" w:lineRule="exact"/>
        <w:rPr>
          <w:rFonts w:ascii="Arial" w:cs="Arial" w:eastAsia="Arial" w:hAnsi="Arial"/>
          <w:sz w:val="18"/>
          <w:szCs w:val="18"/>
          <w:color w:val="auto"/>
        </w:rPr>
      </w:pPr>
    </w:p>
    <w:p>
      <w:pPr>
        <w:ind w:left="860" w:right="259" w:firstLine="1293"/>
        <w:spacing w:after="0" w:line="282" w:lineRule="auto"/>
        <w:tabs>
          <w:tab w:leader="none" w:pos="2804" w:val="left"/>
        </w:tabs>
        <w:numPr>
          <w:ilvl w:val="1"/>
          <w:numId w:val="61"/>
        </w:numPr>
        <w:rPr>
          <w:rFonts w:ascii="Arial" w:cs="Arial" w:eastAsia="Arial" w:hAnsi="Arial"/>
          <w:sz w:val="18"/>
          <w:szCs w:val="18"/>
          <w:color w:val="424242"/>
        </w:rPr>
      </w:pPr>
      <w:r>
        <w:rPr>
          <w:rFonts w:ascii="Arial" w:cs="Arial" w:eastAsia="Arial" w:hAnsi="Arial"/>
          <w:sz w:val="19"/>
          <w:szCs w:val="19"/>
          <w:color w:val="auto"/>
        </w:rPr>
        <w:t>the Company shall pay the Executive an amount equal to one (1) times the Executive’s Base Salary (the “Severance Amount”), provided in the event the Executive is entitled to any payments pursuant to the Restrictive Covenants Agreement, the Severance Amount will be reduced by the amount the Executive is paid pursuant to the Restrictive Covenants Agreement (the “Restrictive Covenants Agreement Setoff”); and</w:t>
      </w:r>
    </w:p>
    <w:p>
      <w:pPr>
        <w:spacing w:after="0" w:line="147" w:lineRule="exact"/>
        <w:rPr>
          <w:rFonts w:ascii="Arial" w:cs="Arial" w:eastAsia="Arial" w:hAnsi="Arial"/>
          <w:sz w:val="18"/>
          <w:szCs w:val="18"/>
          <w:color w:val="424242"/>
        </w:rPr>
      </w:pPr>
    </w:p>
    <w:p>
      <w:pPr>
        <w:ind w:left="860" w:right="219" w:firstLine="1293"/>
        <w:spacing w:after="0" w:line="234" w:lineRule="auto"/>
        <w:tabs>
          <w:tab w:leader="none" w:pos="2804" w:val="left"/>
        </w:tabs>
        <w:numPr>
          <w:ilvl w:val="1"/>
          <w:numId w:val="61"/>
        </w:numPr>
        <w:rPr>
          <w:rFonts w:ascii="Arial" w:cs="Arial" w:eastAsia="Arial" w:hAnsi="Arial"/>
          <w:sz w:val="20"/>
          <w:szCs w:val="20"/>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91" w:lineRule="exact"/>
        <w:rPr>
          <w:sz w:val="20"/>
          <w:szCs w:val="20"/>
          <w:color w:val="auto"/>
        </w:rPr>
      </w:pPr>
    </w:p>
    <w:p>
      <w:pPr>
        <w:ind w:left="200" w:right="239"/>
        <w:spacing w:after="0" w:line="275"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57" w:lineRule="exact"/>
        <w:rPr>
          <w:sz w:val="20"/>
          <w:szCs w:val="20"/>
          <w:color w:val="auto"/>
        </w:rPr>
      </w:pPr>
    </w:p>
    <w:p>
      <w:pPr>
        <w:ind w:left="200" w:right="299"/>
        <w:spacing w:after="0" w:line="279" w:lineRule="auto"/>
        <w:rPr>
          <w:sz w:val="20"/>
          <w:szCs w:val="20"/>
          <w:color w:val="auto"/>
        </w:rPr>
      </w:pPr>
      <w:r>
        <w:rPr>
          <w:rFonts w:ascii="Arial" w:cs="Arial" w:eastAsia="Arial" w:hAnsi="Arial"/>
          <w:sz w:val="19"/>
          <w:szCs w:val="19"/>
          <w:color w:val="auto"/>
        </w:rPr>
        <w:t>The receipt of severance payments and benefits pursuant to Section 4 will be subject to Executive not violating the Restrictive Covenants Agreement and the Separation Agreement and Release. In the event an arbitrator or a court of competent jurisdiction determines that Executive breached any of the provisions of either such agreement, in addition to all other available legal and equitable remedies, the Company shall have the right to terminate or suspend all continuing payments and benefits to which Executive may otherwise be entitled pursuant to Section 4</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1" w:name="page102"/>
    <w:bookmarkEnd w:id="101"/>
    <w:p>
      <w:pPr>
        <w:ind w:left="200" w:right="419"/>
        <w:spacing w:after="0" w:line="250" w:lineRule="auto"/>
        <w:rPr>
          <w:sz w:val="20"/>
          <w:szCs w:val="20"/>
          <w:color w:val="auto"/>
        </w:rPr>
      </w:pPr>
      <w:r>
        <w:rPr>
          <w:rFonts w:ascii="Arial" w:cs="Arial" w:eastAsia="Arial" w:hAnsi="Arial"/>
          <w:sz w:val="22"/>
          <w:szCs w:val="22"/>
          <w:color w:val="auto"/>
        </w:rPr>
        <w:t>(including without limitation the Severance Amount) without affecting the Executive’s release or Executive’s obligations under the Separation Agreement and Release.</w:t>
      </w:r>
    </w:p>
    <w:p>
      <w:pPr>
        <w:spacing w:after="0" w:line="175" w:lineRule="exact"/>
        <w:rPr>
          <w:sz w:val="20"/>
          <w:szCs w:val="20"/>
          <w:color w:val="auto"/>
        </w:rPr>
      </w:pPr>
    </w:p>
    <w:p>
      <w:pPr>
        <w:ind w:left="200" w:right="319" w:firstLine="657"/>
        <w:spacing w:after="0" w:line="244" w:lineRule="auto"/>
        <w:tabs>
          <w:tab w:leader="none" w:pos="1496" w:val="left"/>
        </w:tabs>
        <w:numPr>
          <w:ilvl w:val="0"/>
          <w:numId w:val="62"/>
        </w:numPr>
        <w:rPr>
          <w:rFonts w:ascii="Arial" w:cs="Arial" w:eastAsia="Arial" w:hAnsi="Arial"/>
          <w:sz w:val="19"/>
          <w:szCs w:val="19"/>
          <w:color w:val="auto"/>
        </w:rPr>
      </w:pPr>
      <w:r>
        <w:rPr>
          <w:rFonts w:ascii="Arial" w:cs="Arial" w:eastAsia="Arial" w:hAnsi="Arial"/>
          <w:sz w:val="21"/>
          <w:szCs w:val="21"/>
          <w:u w:val="single" w:color="auto"/>
          <w:color w:val="auto"/>
        </w:rPr>
        <w:t>Sale Event Payment</w:t>
      </w:r>
      <w:r>
        <w:rPr>
          <w:rFonts w:ascii="Arial" w:cs="Arial" w:eastAsia="Arial" w:hAnsi="Arial"/>
          <w:sz w:val="21"/>
          <w:szCs w:val="21"/>
          <w:color w:val="auto"/>
        </w:rPr>
        <w:t>. This Section 5 is intended to assure and encourage in advance the Executive’s continued attention and dedication to the Executive’s assigned duties and objectivity during the pendency and after the occurrence of any Sale Event (as defined below). This Section 5 shall apply in lieu of, and expressly supersede, the provisions of Section 4(b) regarding severance pay and benefits upon a termination of employment, if the Date of Termination occurs within twelve (12) months after the occurrence of the first event constituting a Sale Event (the “Protection Period”). This Section 5 shall terminate and be of no further force or effect upon the later of (x) expiration of the Protection Period or (y) fulfillment of all obligations pursuant to this Section 5 arising from the Executive’s termination of employment under either Section 3(d) or Section 3(e) of this Agreement where the Date of Termination occurs during the Protection Period.</w:t>
      </w:r>
    </w:p>
    <w:p>
      <w:pPr>
        <w:spacing w:after="0" w:line="188" w:lineRule="exact"/>
        <w:rPr>
          <w:rFonts w:ascii="Arial" w:cs="Arial" w:eastAsia="Arial" w:hAnsi="Arial"/>
          <w:sz w:val="19"/>
          <w:szCs w:val="19"/>
          <w:color w:val="auto"/>
        </w:rPr>
      </w:pPr>
    </w:p>
    <w:p>
      <w:pPr>
        <w:ind w:left="200" w:right="219" w:firstLine="1305"/>
        <w:spacing w:after="0" w:line="282" w:lineRule="auto"/>
        <w:tabs>
          <w:tab w:leader="none" w:pos="2144" w:val="left"/>
        </w:tabs>
        <w:numPr>
          <w:ilvl w:val="1"/>
          <w:numId w:val="62"/>
        </w:numPr>
        <w:rPr>
          <w:rFonts w:ascii="Arial" w:cs="Arial" w:eastAsia="Arial" w:hAnsi="Arial"/>
          <w:sz w:val="18"/>
          <w:szCs w:val="18"/>
          <w:color w:val="auto"/>
        </w:rPr>
      </w:pPr>
      <w:r>
        <w:rPr>
          <w:rFonts w:ascii="Arial" w:cs="Arial" w:eastAsia="Arial" w:hAnsi="Arial"/>
          <w:sz w:val="19"/>
          <w:szCs w:val="19"/>
          <w:u w:val="single" w:color="auto"/>
          <w:color w:val="auto"/>
        </w:rPr>
        <w:t>Sale Event</w:t>
      </w:r>
      <w:r>
        <w:rPr>
          <w:rFonts w:ascii="Arial" w:cs="Arial" w:eastAsia="Arial" w:hAnsi="Arial"/>
          <w:sz w:val="19"/>
          <w:szCs w:val="19"/>
          <w:color w:val="auto"/>
        </w:rPr>
        <w:t>. During the Term, if during the Protection Period, the Executive’s employment is terminated by the Company without Cause as provided in Section 3(d) or the Executive terminates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7" w:lineRule="exact"/>
        <w:rPr>
          <w:rFonts w:ascii="Arial" w:cs="Arial" w:eastAsia="Arial" w:hAnsi="Arial"/>
          <w:sz w:val="18"/>
          <w:szCs w:val="18"/>
          <w:color w:val="auto"/>
        </w:rPr>
      </w:pPr>
    </w:p>
    <w:p>
      <w:pPr>
        <w:ind w:left="860" w:right="379" w:firstLine="1293"/>
        <w:spacing w:after="0" w:line="279" w:lineRule="auto"/>
        <w:tabs>
          <w:tab w:leader="none" w:pos="2804" w:val="left"/>
        </w:tabs>
        <w:numPr>
          <w:ilvl w:val="2"/>
          <w:numId w:val="62"/>
        </w:numPr>
        <w:rPr>
          <w:rFonts w:ascii="Arial" w:cs="Arial" w:eastAsia="Arial" w:hAnsi="Arial"/>
          <w:sz w:val="18"/>
          <w:szCs w:val="18"/>
          <w:color w:val="424242"/>
        </w:rPr>
      </w:pPr>
      <w:r>
        <w:rPr>
          <w:rFonts w:ascii="Arial" w:cs="Arial" w:eastAsia="Arial" w:hAnsi="Arial"/>
          <w:sz w:val="19"/>
          <w:szCs w:val="19"/>
          <w:color w:val="auto"/>
        </w:rPr>
        <w:t>the Company shall pay the Executive a lump sum in cash in an amount equal to the sum of (A) one (1) times the Executive’s current Base Salary (or the Executive’s Base Salary in effect immediately prior to the Sale Event, if higher) plus (B) one (1) times the Executive’s Target Incentive Compensation ((A) and (B) together, the “Change in Control Payment”), provided any Change in Control Payment shall be less the Restrictive Covenants Agreement Setoff, if applicable; and</w:t>
      </w:r>
    </w:p>
    <w:p>
      <w:pPr>
        <w:spacing w:after="0" w:line="150" w:lineRule="exact"/>
        <w:rPr>
          <w:rFonts w:ascii="Arial" w:cs="Arial" w:eastAsia="Arial" w:hAnsi="Arial"/>
          <w:sz w:val="18"/>
          <w:szCs w:val="18"/>
          <w:color w:val="424242"/>
        </w:rPr>
      </w:pPr>
    </w:p>
    <w:p>
      <w:pPr>
        <w:ind w:left="860" w:right="219" w:firstLine="1293"/>
        <w:spacing w:after="0" w:line="234" w:lineRule="auto"/>
        <w:tabs>
          <w:tab w:leader="none" w:pos="2804" w:val="left"/>
        </w:tabs>
        <w:numPr>
          <w:ilvl w:val="2"/>
          <w:numId w:val="62"/>
        </w:numPr>
        <w:rPr>
          <w:rFonts w:ascii="Arial" w:cs="Arial" w:eastAsia="Arial" w:hAnsi="Arial"/>
          <w:sz w:val="20"/>
          <w:szCs w:val="20"/>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90" w:lineRule="exact"/>
        <w:rPr>
          <w:rFonts w:ascii="Arial" w:cs="Arial" w:eastAsia="Arial" w:hAnsi="Arial"/>
          <w:sz w:val="20"/>
          <w:szCs w:val="20"/>
          <w:color w:val="424242"/>
        </w:rPr>
      </w:pPr>
    </w:p>
    <w:p>
      <w:pPr>
        <w:ind w:left="860" w:right="859" w:firstLine="1293"/>
        <w:spacing w:after="0"/>
        <w:tabs>
          <w:tab w:leader="none" w:pos="2804" w:val="left"/>
        </w:tabs>
        <w:numPr>
          <w:ilvl w:val="2"/>
          <w:numId w:val="62"/>
        </w:numPr>
        <w:rPr>
          <w:rFonts w:ascii="Arial" w:cs="Arial" w:eastAsia="Arial" w:hAnsi="Arial"/>
          <w:sz w:val="20"/>
          <w:szCs w:val="20"/>
          <w:color w:val="424242"/>
        </w:rPr>
      </w:pPr>
      <w:r>
        <w:rPr>
          <w:rFonts w:ascii="Arial" w:cs="Arial" w:eastAsia="Arial" w:hAnsi="Arial"/>
          <w:sz w:val="22"/>
          <w:szCs w:val="22"/>
          <w:color w:val="auto"/>
        </w:rPr>
        <w:t>all time-based stock options and other time-based stock-based awards held by the Executive shall accelerate and become fully exercisable or non-forfeitable as of the Date of Termination.</w:t>
      </w:r>
    </w:p>
    <w:p>
      <w:pPr>
        <w:spacing w:after="0" w:line="186" w:lineRule="exact"/>
        <w:rPr>
          <w:sz w:val="20"/>
          <w:szCs w:val="20"/>
          <w:color w:val="auto"/>
        </w:rPr>
      </w:pPr>
    </w:p>
    <w:p>
      <w:pPr>
        <w:jc w:val="both"/>
        <w:ind w:left="300" w:right="35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2" w:name="page103"/>
    <w:bookmarkEnd w:id="102"/>
    <w:p>
      <w:pPr>
        <w:ind w:left="2160" w:hanging="655"/>
        <w:spacing w:after="0"/>
        <w:tabs>
          <w:tab w:leader="none" w:pos="2160" w:val="left"/>
        </w:tabs>
        <w:numPr>
          <w:ilvl w:val="0"/>
          <w:numId w:val="63"/>
        </w:numPr>
        <w:rPr>
          <w:rFonts w:ascii="Arial" w:cs="Arial" w:eastAsia="Arial" w:hAnsi="Arial"/>
          <w:sz w:val="21"/>
          <w:szCs w:val="21"/>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1"/>
          <w:szCs w:val="21"/>
          <w:color w:val="auto"/>
        </w:rPr>
      </w:pPr>
    </w:p>
    <w:p>
      <w:pPr>
        <w:ind w:left="860" w:right="259" w:firstLine="1293"/>
        <w:spacing w:after="0" w:line="270" w:lineRule="auto"/>
        <w:tabs>
          <w:tab w:leader="none" w:pos="2804"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7" w:lineRule="exact"/>
        <w:rPr>
          <w:rFonts w:ascii="Arial" w:cs="Arial" w:eastAsia="Arial" w:hAnsi="Arial"/>
          <w:sz w:val="19"/>
          <w:szCs w:val="19"/>
          <w:color w:val="auto"/>
        </w:rPr>
      </w:pPr>
    </w:p>
    <w:p>
      <w:pPr>
        <w:ind w:left="860" w:right="239" w:firstLine="1293"/>
        <w:spacing w:after="0" w:line="274" w:lineRule="auto"/>
        <w:tabs>
          <w:tab w:leader="none" w:pos="2804" w:val="left"/>
        </w:tabs>
        <w:numPr>
          <w:ilvl w:val="1"/>
          <w:numId w:val="63"/>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8" w:lineRule="exact"/>
        <w:rPr>
          <w:rFonts w:ascii="Arial" w:cs="Arial" w:eastAsia="Arial" w:hAnsi="Arial"/>
          <w:sz w:val="19"/>
          <w:szCs w:val="19"/>
          <w:color w:val="auto"/>
        </w:rPr>
      </w:pPr>
    </w:p>
    <w:p>
      <w:pPr>
        <w:ind w:left="860" w:right="259" w:firstLine="1293"/>
        <w:spacing w:after="0" w:line="277" w:lineRule="auto"/>
        <w:tabs>
          <w:tab w:leader="none" w:pos="2804"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after the Date of Termination, if applicable, or at such earlier time as is reasonably requested by the Company or the Executive. Any determination by the Accounting Firm shall be binding upon the Company and the Executive.</w:t>
      </w:r>
    </w:p>
    <w:p>
      <w:pPr>
        <w:spacing w:after="0" w:line="151" w:lineRule="exact"/>
        <w:rPr>
          <w:rFonts w:ascii="Arial" w:cs="Arial" w:eastAsia="Arial" w:hAnsi="Arial"/>
          <w:sz w:val="19"/>
          <w:szCs w:val="19"/>
          <w:color w:val="auto"/>
        </w:rPr>
      </w:pPr>
    </w:p>
    <w:p>
      <w:pPr>
        <w:ind w:left="200" w:right="399" w:firstLine="1305"/>
        <w:spacing w:after="0" w:line="287" w:lineRule="auto"/>
        <w:tabs>
          <w:tab w:leader="none" w:pos="2144"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Sale Event Definition</w:t>
      </w:r>
      <w:r>
        <w:rPr>
          <w:rFonts w:ascii="Arial" w:cs="Arial" w:eastAsia="Arial" w:hAnsi="Arial"/>
          <w:sz w:val="19"/>
          <w:szCs w:val="19"/>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3" w:name="page104"/>
    <w:bookmarkEnd w:id="103"/>
    <w:p>
      <w:pPr>
        <w:ind w:left="200" w:right="339"/>
        <w:spacing w:after="0" w:line="246" w:lineRule="auto"/>
        <w:rPr>
          <w:sz w:val="20"/>
          <w:szCs w:val="20"/>
          <w:color w:val="auto"/>
        </w:rPr>
      </w:pPr>
      <w:r>
        <w:rPr>
          <w:rFonts w:ascii="Arial" w:cs="Arial" w:eastAsia="Arial" w:hAnsi="Arial"/>
          <w:sz w:val="21"/>
          <w:szCs w:val="21"/>
          <w:color w:val="auto"/>
        </w:rPr>
        <w:t>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0" w:lineRule="exact"/>
        <w:rPr>
          <w:sz w:val="20"/>
          <w:szCs w:val="20"/>
          <w:color w:val="auto"/>
        </w:rPr>
      </w:pPr>
    </w:p>
    <w:p>
      <w:pPr>
        <w:ind w:left="200" w:right="219"/>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“Sale Event” shall be deemed to have occurred for purposes of the foregoing clauses (ii) and (iv).</w:t>
      </w:r>
    </w:p>
    <w:p>
      <w:pPr>
        <w:spacing w:after="0" w:line="200" w:lineRule="exact"/>
        <w:rPr>
          <w:sz w:val="20"/>
          <w:szCs w:val="20"/>
          <w:color w:val="auto"/>
        </w:rPr>
      </w:pPr>
    </w:p>
    <w:p>
      <w:pPr>
        <w:spacing w:after="0" w:line="204" w:lineRule="exact"/>
        <w:rPr>
          <w:sz w:val="20"/>
          <w:szCs w:val="20"/>
          <w:color w:val="auto"/>
        </w:rPr>
      </w:pPr>
    </w:p>
    <w:p>
      <w:pPr>
        <w:ind w:left="1500" w:hanging="643"/>
        <w:spacing w:after="0"/>
        <w:tabs>
          <w:tab w:leader="none" w:pos="1500" w:val="left"/>
        </w:tabs>
        <w:numPr>
          <w:ilvl w:val="0"/>
          <w:numId w:val="64"/>
        </w:numPr>
        <w:rPr>
          <w:rFonts w:ascii="Arial" w:cs="Arial" w:eastAsia="Arial" w:hAnsi="Arial"/>
          <w:sz w:val="20"/>
          <w:szCs w:val="20"/>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99" w:firstLine="1305"/>
        <w:spacing w:after="0" w:line="272" w:lineRule="auto"/>
        <w:tabs>
          <w:tab w:leader="none" w:pos="2144" w:val="left"/>
        </w:tabs>
        <w:numPr>
          <w:ilvl w:val="1"/>
          <w:numId w:val="64"/>
        </w:numPr>
        <w:rPr>
          <w:rFonts w:ascii="Arial" w:cs="Arial" w:eastAsia="Arial" w:hAnsi="Arial"/>
          <w:sz w:val="18"/>
          <w:szCs w:val="18"/>
          <w:color w:val="auto"/>
        </w:rPr>
      </w:pPr>
      <w:r>
        <w:rPr>
          <w:rFonts w:ascii="Arial" w:cs="Arial" w:eastAsia="Arial" w:hAnsi="Arial"/>
          <w:sz w:val="19"/>
          <w:szCs w:val="19"/>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5" w:lineRule="exact"/>
        <w:rPr>
          <w:rFonts w:ascii="Arial" w:cs="Arial" w:eastAsia="Arial" w:hAnsi="Arial"/>
          <w:sz w:val="18"/>
          <w:szCs w:val="18"/>
          <w:color w:val="auto"/>
        </w:rPr>
      </w:pPr>
    </w:p>
    <w:p>
      <w:pPr>
        <w:ind w:left="200" w:right="259" w:firstLine="1305"/>
        <w:spacing w:after="0" w:line="275" w:lineRule="auto"/>
        <w:tabs>
          <w:tab w:leader="none" w:pos="2144" w:val="left"/>
        </w:tabs>
        <w:numPr>
          <w:ilvl w:val="1"/>
          <w:numId w:val="64"/>
        </w:numPr>
        <w:rPr>
          <w:rFonts w:ascii="Arial" w:cs="Arial" w:eastAsia="Arial" w:hAnsi="Arial"/>
          <w:sz w:val="18"/>
          <w:szCs w:val="18"/>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4" w:name="page105"/>
    <w:bookmarkEnd w:id="104"/>
    <w:p>
      <w:pPr>
        <w:ind w:left="200" w:right="659"/>
        <w:spacing w:after="0" w:line="250" w:lineRule="auto"/>
        <w:rPr>
          <w:sz w:val="20"/>
          <w:szCs w:val="20"/>
          <w:color w:val="auto"/>
        </w:rPr>
      </w:pPr>
      <w:r>
        <w:rPr>
          <w:rFonts w:ascii="Arial" w:cs="Arial" w:eastAsia="Arial" w:hAnsi="Arial"/>
          <w:sz w:val="22"/>
          <w:szCs w:val="22"/>
          <w:color w:val="auto"/>
        </w:rPr>
        <w:t>right to reimbursement or in-kind benefits is not subject to liquidation or exchange for another benefit.</w:t>
      </w:r>
    </w:p>
    <w:p>
      <w:pPr>
        <w:spacing w:after="0" w:line="175" w:lineRule="exact"/>
        <w:rPr>
          <w:sz w:val="20"/>
          <w:szCs w:val="20"/>
          <w:color w:val="auto"/>
        </w:rPr>
      </w:pPr>
    </w:p>
    <w:p>
      <w:pPr>
        <w:ind w:left="200" w:right="439" w:firstLine="1305"/>
        <w:spacing w:after="0" w:line="279" w:lineRule="auto"/>
        <w:tabs>
          <w:tab w:leader="none" w:pos="2144" w:val="left"/>
        </w:tabs>
        <w:numPr>
          <w:ilvl w:val="1"/>
          <w:numId w:val="65"/>
        </w:numPr>
        <w:rPr>
          <w:rFonts w:ascii="Arial" w:cs="Arial" w:eastAsia="Arial" w:hAnsi="Arial"/>
          <w:sz w:val="18"/>
          <w:szCs w:val="18"/>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spacing w:after="0" w:line="150" w:lineRule="exact"/>
        <w:rPr>
          <w:rFonts w:ascii="Arial" w:cs="Arial" w:eastAsia="Arial" w:hAnsi="Arial"/>
          <w:sz w:val="18"/>
          <w:szCs w:val="18"/>
          <w:color w:val="auto"/>
        </w:rPr>
      </w:pPr>
    </w:p>
    <w:p>
      <w:pPr>
        <w:ind w:left="200" w:right="239" w:firstLine="1305"/>
        <w:spacing w:after="0" w:line="274" w:lineRule="auto"/>
        <w:tabs>
          <w:tab w:leader="none" w:pos="2144" w:val="left"/>
        </w:tabs>
        <w:numPr>
          <w:ilvl w:val="1"/>
          <w:numId w:val="65"/>
        </w:numPr>
        <w:rPr>
          <w:rFonts w:ascii="Arial" w:cs="Arial" w:eastAsia="Arial" w:hAnsi="Arial"/>
          <w:sz w:val="18"/>
          <w:szCs w:val="18"/>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58" w:lineRule="exact"/>
        <w:rPr>
          <w:rFonts w:ascii="Arial" w:cs="Arial" w:eastAsia="Arial" w:hAnsi="Arial"/>
          <w:sz w:val="18"/>
          <w:szCs w:val="18"/>
          <w:color w:val="auto"/>
        </w:rPr>
      </w:pPr>
    </w:p>
    <w:p>
      <w:pPr>
        <w:ind w:left="200" w:right="259" w:firstLine="1305"/>
        <w:spacing w:after="0" w:line="238" w:lineRule="auto"/>
        <w:tabs>
          <w:tab w:leader="none" w:pos="2144" w:val="left"/>
        </w:tabs>
        <w:numPr>
          <w:ilvl w:val="1"/>
          <w:numId w:val="65"/>
        </w:numPr>
        <w:rPr>
          <w:rFonts w:ascii="Arial" w:cs="Arial" w:eastAsia="Arial" w:hAnsi="Arial"/>
          <w:sz w:val="20"/>
          <w:szCs w:val="20"/>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4" w:lineRule="exact"/>
        <w:rPr>
          <w:rFonts w:ascii="Arial" w:cs="Arial" w:eastAsia="Arial" w:hAnsi="Arial"/>
          <w:sz w:val="20"/>
          <w:szCs w:val="20"/>
          <w:color w:val="auto"/>
        </w:rPr>
      </w:pPr>
    </w:p>
    <w:p>
      <w:pPr>
        <w:ind w:left="200" w:right="299" w:firstLine="657"/>
        <w:spacing w:after="0" w:line="246" w:lineRule="auto"/>
        <w:tabs>
          <w:tab w:leader="none" w:pos="1496" w:val="left"/>
        </w:tabs>
        <w:numPr>
          <w:ilvl w:val="0"/>
          <w:numId w:val="66"/>
        </w:numPr>
        <w:rPr>
          <w:rFonts w:ascii="Arial" w:cs="Arial" w:eastAsia="Arial" w:hAnsi="Arial"/>
          <w:sz w:val="19"/>
          <w:szCs w:val="19"/>
          <w:color w:val="auto"/>
        </w:rPr>
      </w:pPr>
      <w:r>
        <w:rPr>
          <w:rFonts w:ascii="Arial" w:cs="Arial" w:eastAsia="Arial" w:hAnsi="Arial"/>
          <w:sz w:val="21"/>
          <w:szCs w:val="21"/>
          <w:u w:val="single" w:color="auto"/>
          <w:color w:val="auto"/>
        </w:rPr>
        <w:t>Restrictive Covenants Agreement</w:t>
      </w:r>
      <w:r>
        <w:rPr>
          <w:rFonts w:ascii="Arial" w:cs="Arial" w:eastAsia="Arial" w:hAnsi="Arial"/>
          <w:sz w:val="21"/>
          <w:szCs w:val="21"/>
          <w:color w:val="auto"/>
        </w:rPr>
        <w:t xml:space="preserve">. The Employee Confidentiality, Assignment and Non-Competition Agreement entered into by and between the Company and the Executive as a material inducement for this Employment Agreement and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“Restrictive Covenants Agreement”), is incorporated by reference, the terms of which are material terms of this Agreement. For the avoidance of doubt, in the event of a breach of the Restrictive Covenants Agreement by the Executive, the Company may discontinue any post-employment payments made pursuant to this Agreement, the Separation Agreement and Release, or the Restrictive Covenants Agreement.</w:t>
      </w:r>
    </w:p>
    <w:p>
      <w:pPr>
        <w:spacing w:after="0" w:line="179" w:lineRule="exact"/>
        <w:rPr>
          <w:rFonts w:ascii="Arial" w:cs="Arial" w:eastAsia="Arial" w:hAnsi="Arial"/>
          <w:sz w:val="19"/>
          <w:szCs w:val="19"/>
          <w:color w:val="auto"/>
        </w:rPr>
      </w:pPr>
    </w:p>
    <w:p>
      <w:pPr>
        <w:ind w:left="200" w:right="239" w:firstLine="657"/>
        <w:spacing w:after="0" w:line="272" w:lineRule="auto"/>
        <w:tabs>
          <w:tab w:leader="none" w:pos="1496" w:val="left"/>
        </w:tabs>
        <w:numPr>
          <w:ilvl w:val="0"/>
          <w:numId w:val="66"/>
        </w:numPr>
        <w:rPr>
          <w:rFonts w:ascii="Arial" w:cs="Arial" w:eastAsia="Arial" w:hAnsi="Arial"/>
          <w:sz w:val="18"/>
          <w:szCs w:val="18"/>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and to the payment of fees and expenses.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5" w:name="page106"/>
    <w:bookmarkEnd w:id="105"/>
    <w:p>
      <w:pPr>
        <w:ind w:left="200" w:right="259"/>
        <w:spacing w:after="0" w:line="279" w:lineRule="auto"/>
        <w:rPr>
          <w:sz w:val="20"/>
          <w:szCs w:val="20"/>
          <w:color w:val="auto"/>
        </w:rPr>
      </w:pPr>
      <w:r>
        <w:rPr>
          <w:rFonts w:ascii="Arial" w:cs="Arial" w:eastAsia="Arial" w:hAnsi="Arial"/>
          <w:sz w:val="19"/>
          <w:szCs w:val="19"/>
          <w:color w:val="auto"/>
        </w:rPr>
        <w:t>entered in any court having jurisdiction thereof. This Section 8 shall be specifically enforceable. The parties expressly waive the right to a jury trial for all claims subject to this arbitration provision.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0" w:lineRule="exact"/>
        <w:rPr>
          <w:sz w:val="20"/>
          <w:szCs w:val="20"/>
          <w:color w:val="auto"/>
        </w:rPr>
      </w:pPr>
    </w:p>
    <w:p>
      <w:pPr>
        <w:jc w:val="both"/>
        <w:ind w:left="200" w:right="219" w:firstLine="657"/>
        <w:spacing w:after="0" w:line="246" w:lineRule="auto"/>
        <w:tabs>
          <w:tab w:leader="none" w:pos="1496" w:val="left"/>
        </w:tabs>
        <w:numPr>
          <w:ilvl w:val="0"/>
          <w:numId w:val="67"/>
        </w:numPr>
        <w:rPr>
          <w:rFonts w:ascii="Arial" w:cs="Arial" w:eastAsia="Arial" w:hAnsi="Arial"/>
          <w:sz w:val="19"/>
          <w:szCs w:val="19"/>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4" w:lineRule="exact"/>
        <w:rPr>
          <w:rFonts w:ascii="Arial" w:cs="Arial" w:eastAsia="Arial" w:hAnsi="Arial"/>
          <w:sz w:val="19"/>
          <w:szCs w:val="19"/>
          <w:color w:val="auto"/>
        </w:rPr>
      </w:pPr>
    </w:p>
    <w:p>
      <w:pPr>
        <w:jc w:val="both"/>
        <w:ind w:left="200" w:right="219" w:firstLine="657"/>
        <w:spacing w:after="0" w:line="235" w:lineRule="auto"/>
        <w:tabs>
          <w:tab w:leader="none" w:pos="1496" w:val="left"/>
        </w:tabs>
        <w:numPr>
          <w:ilvl w:val="0"/>
          <w:numId w:val="67"/>
        </w:numPr>
        <w:rPr>
          <w:rFonts w:ascii="Arial" w:cs="Arial" w:eastAsia="Arial" w:hAnsi="Arial"/>
          <w:sz w:val="20"/>
          <w:szCs w:val="20"/>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the subject matter hereof and supersedes all other prior agreements, written or oral, between the parties concerning such subject matter (including without limitation any offer letter, employment agreement or severance agreement); provided that the Restrictive Covenants Agreement and the Equity Documents are expressly preserved and incorporated by reference herein.</w:t>
      </w:r>
    </w:p>
    <w:p>
      <w:pPr>
        <w:spacing w:after="0" w:line="187" w:lineRule="exact"/>
        <w:rPr>
          <w:rFonts w:ascii="Arial" w:cs="Arial" w:eastAsia="Arial" w:hAnsi="Arial"/>
          <w:sz w:val="20"/>
          <w:szCs w:val="20"/>
          <w:color w:val="auto"/>
        </w:rPr>
      </w:pPr>
    </w:p>
    <w:p>
      <w:pPr>
        <w:ind w:left="200" w:right="279" w:firstLine="657"/>
        <w:spacing w:after="0"/>
        <w:tabs>
          <w:tab w:leader="none" w:pos="1496" w:val="left"/>
        </w:tabs>
        <w:numPr>
          <w:ilvl w:val="0"/>
          <w:numId w:val="67"/>
        </w:numPr>
        <w:rPr>
          <w:rFonts w:ascii="Arial" w:cs="Arial" w:eastAsia="Arial" w:hAnsi="Arial"/>
          <w:sz w:val="20"/>
          <w:szCs w:val="20"/>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86" w:lineRule="exact"/>
        <w:rPr>
          <w:rFonts w:ascii="Arial" w:cs="Arial" w:eastAsia="Arial" w:hAnsi="Arial"/>
          <w:sz w:val="20"/>
          <w:szCs w:val="20"/>
          <w:color w:val="auto"/>
        </w:rPr>
      </w:pPr>
    </w:p>
    <w:p>
      <w:pPr>
        <w:ind w:left="200" w:right="239" w:firstLine="657"/>
        <w:spacing w:after="0" w:line="277" w:lineRule="auto"/>
        <w:tabs>
          <w:tab w:leader="none" w:pos="1496" w:val="left"/>
        </w:tabs>
        <w:numPr>
          <w:ilvl w:val="0"/>
          <w:numId w:val="67"/>
        </w:numPr>
        <w:rPr>
          <w:rFonts w:ascii="Arial" w:cs="Arial" w:eastAsia="Arial" w:hAnsi="Arial"/>
          <w:sz w:val="18"/>
          <w:szCs w:val="18"/>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not be assignable by the Executive but shall inure to the benefit of and be enforceable by the Executive’s personal representatives, executors, administrators, heirs, distributees, devisees and legatees. In the event of the Executive’s death after termination of employment but prior to the completion by the Company of all payments due under this Agreement, the Company shall continue such payments to the Executive’s beneficiary designated in writing to the Company prior to the Executive’s death (or to the Executive’s estate, if the Executive fails to make such designation).</w:t>
      </w:r>
    </w:p>
    <w:p>
      <w:pPr>
        <w:spacing w:after="0" w:line="151" w:lineRule="exact"/>
        <w:rPr>
          <w:rFonts w:ascii="Arial" w:cs="Arial" w:eastAsia="Arial" w:hAnsi="Arial"/>
          <w:sz w:val="18"/>
          <w:szCs w:val="18"/>
          <w:color w:val="auto"/>
        </w:rPr>
      </w:pPr>
    </w:p>
    <w:p>
      <w:pPr>
        <w:ind w:left="200" w:right="319" w:firstLine="657"/>
        <w:spacing w:after="0" w:line="279" w:lineRule="auto"/>
        <w:tabs>
          <w:tab w:leader="none" w:pos="1496" w:val="left"/>
        </w:tabs>
        <w:numPr>
          <w:ilvl w:val="0"/>
          <w:numId w:val="67"/>
        </w:numPr>
        <w:rPr>
          <w:rFonts w:ascii="Arial" w:cs="Arial" w:eastAsia="Arial" w:hAnsi="Arial"/>
          <w:sz w:val="18"/>
          <w:szCs w:val="18"/>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8"/>
          <w:szCs w:val="18"/>
          <w:color w:val="auto"/>
        </w:rPr>
      </w:pPr>
    </w:p>
    <w:p>
      <w:pPr>
        <w:ind w:left="200" w:right="659" w:firstLine="657"/>
        <w:spacing w:after="0"/>
        <w:tabs>
          <w:tab w:leader="none" w:pos="1496" w:val="left"/>
        </w:tabs>
        <w:numPr>
          <w:ilvl w:val="0"/>
          <w:numId w:val="67"/>
        </w:numPr>
        <w:rPr>
          <w:rFonts w:ascii="Arial" w:cs="Arial" w:eastAsia="Arial" w:hAnsi="Arial"/>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6" w:name="page107"/>
    <w:bookmarkEnd w:id="106"/>
    <w:p>
      <w:pPr>
        <w:ind w:left="200" w:right="259" w:firstLine="657"/>
        <w:spacing w:after="0" w:line="236" w:lineRule="auto"/>
        <w:tabs>
          <w:tab w:leader="none" w:pos="1496" w:val="left"/>
        </w:tabs>
        <w:numPr>
          <w:ilvl w:val="0"/>
          <w:numId w:val="68"/>
        </w:numPr>
        <w:rPr>
          <w:rFonts w:ascii="Arial" w:cs="Arial" w:eastAsia="Arial" w:hAnsi="Arial"/>
          <w:sz w:val="20"/>
          <w:szCs w:val="20"/>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87" w:lineRule="exact"/>
        <w:rPr>
          <w:rFonts w:ascii="Arial" w:cs="Arial" w:eastAsia="Arial" w:hAnsi="Arial"/>
          <w:sz w:val="20"/>
          <w:szCs w:val="20"/>
          <w:color w:val="auto"/>
        </w:rPr>
      </w:pPr>
    </w:p>
    <w:p>
      <w:pPr>
        <w:ind w:left="200" w:right="279" w:firstLine="657"/>
        <w:spacing w:after="0" w:line="282"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8"/>
          <w:szCs w:val="18"/>
          <w:color w:val="auto"/>
        </w:rPr>
      </w:pPr>
    </w:p>
    <w:p>
      <w:pPr>
        <w:jc w:val="both"/>
        <w:ind w:left="200" w:right="819" w:firstLine="657"/>
        <w:spacing w:after="0" w:line="328"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4" w:lineRule="exact"/>
        <w:rPr>
          <w:rFonts w:ascii="Arial" w:cs="Arial" w:eastAsia="Arial" w:hAnsi="Arial"/>
          <w:sz w:val="18"/>
          <w:szCs w:val="18"/>
          <w:color w:val="auto"/>
        </w:rPr>
      </w:pPr>
    </w:p>
    <w:p>
      <w:pPr>
        <w:ind w:left="200" w:right="379" w:firstLine="657"/>
        <w:spacing w:after="0" w:line="282"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8"/>
          <w:szCs w:val="18"/>
          <w:color w:val="auto"/>
        </w:rPr>
      </w:pPr>
    </w:p>
    <w:p>
      <w:pPr>
        <w:ind w:left="200" w:right="219" w:firstLine="657"/>
        <w:spacing w:after="0"/>
        <w:tabs>
          <w:tab w:leader="none" w:pos="1496" w:val="left"/>
        </w:tabs>
        <w:numPr>
          <w:ilvl w:val="0"/>
          <w:numId w:val="68"/>
        </w:numPr>
        <w:rPr>
          <w:rFonts w:ascii="Arial" w:cs="Arial" w:eastAsia="Arial" w:hAnsi="Arial"/>
          <w:sz w:val="20"/>
          <w:szCs w:val="20"/>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0"/>
          <w:szCs w:val="20"/>
          <w:color w:val="auto"/>
        </w:rPr>
      </w:pPr>
    </w:p>
    <w:p>
      <w:pPr>
        <w:ind w:left="200" w:right="219" w:firstLine="657"/>
        <w:spacing w:after="0" w:line="279"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7" w:name="page108"/>
    <w:bookmarkEnd w:id="107"/>
    <w:p>
      <w:pPr>
        <w:ind w:left="200" w:right="339" w:firstLine="648"/>
        <w:spacing w:after="0" w:line="250" w:lineRule="auto"/>
        <w:rPr>
          <w:sz w:val="20"/>
          <w:szCs w:val="20"/>
          <w:color w:val="auto"/>
        </w:rPr>
      </w:pPr>
      <w:r>
        <w:rPr>
          <w:rFonts w:ascii="Arial" w:cs="Arial" w:eastAsia="Arial" w:hAnsi="Arial"/>
          <w:sz w:val="22"/>
          <w:szCs w:val="22"/>
          <w:color w:val="auto"/>
        </w:rPr>
        <w:t>IN WITNESS WHEREOF, the parties have executed this Agreement effective on the Start Date as set forth in the first paragraph hereof.</w:t>
      </w:r>
    </w:p>
    <w:p>
      <w:pPr>
        <w:spacing w:after="0" w:line="200" w:lineRule="exact"/>
        <w:rPr>
          <w:sz w:val="20"/>
          <w:szCs w:val="20"/>
          <w:color w:val="auto"/>
        </w:rPr>
      </w:pPr>
    </w:p>
    <w:p>
      <w:pPr>
        <w:spacing w:after="0" w:line="212"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BLUEPRINT MEDICINES CORPORATION</w:t>
      </w:r>
    </w:p>
    <w:p>
      <w:pPr>
        <w:spacing w:after="0" w:line="229" w:lineRule="exact"/>
        <w:rPr>
          <w:sz w:val="20"/>
          <w:szCs w:val="20"/>
          <w:color w:val="auto"/>
        </w:rPr>
      </w:pPr>
    </w:p>
    <w:tbl>
      <w:tblPr>
        <w:tblLayout w:type="fixed"/>
        <w:tblInd w:w="426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0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380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380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r>
        <w:trPr>
          <w:trHeight w:val="476"/>
        </w:trPr>
        <w:tc>
          <w:tcPr>
            <w:tcW w:w="740" w:type="dxa"/>
            <w:vAlign w:val="bottom"/>
          </w:tcPr>
          <w:p>
            <w:pPr>
              <w:spacing w:after="0"/>
              <w:rPr>
                <w:sz w:val="20"/>
                <w:szCs w:val="20"/>
                <w:color w:val="auto"/>
              </w:rPr>
            </w:pPr>
            <w:r>
              <w:rPr>
                <w:rFonts w:ascii="Arial" w:cs="Arial" w:eastAsia="Arial" w:hAnsi="Arial"/>
                <w:sz w:val="22"/>
                <w:szCs w:val="22"/>
                <w:color w:val="auto"/>
              </w:rPr>
              <w:t>Date:</w:t>
            </w:r>
          </w:p>
        </w:tc>
        <w:tc>
          <w:tcPr>
            <w:tcW w:w="3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April 27, 2021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Percy H.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6985</wp:posOffset>
            </wp:positionV>
            <wp:extent cx="28803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  Percy H. Carter, Ph. D., MBA</w:t>
      </w:r>
    </w:p>
    <w:p>
      <w:pPr>
        <w:spacing w:after="0" w:line="215" w:lineRule="exact"/>
        <w:rPr>
          <w:sz w:val="20"/>
          <w:szCs w:val="20"/>
          <w:color w:val="auto"/>
        </w:rPr>
      </w:pPr>
    </w:p>
    <w:p>
      <w:pPr>
        <w:ind w:left="4260"/>
        <w:spacing w:after="0"/>
        <w:tabs>
          <w:tab w:leader="none" w:pos="4980" w:val="left"/>
        </w:tabs>
        <w:rPr>
          <w:sz w:val="20"/>
          <w:szCs w:val="20"/>
          <w:color w:val="auto"/>
        </w:rPr>
      </w:pPr>
      <w:r>
        <w:rPr>
          <w:rFonts w:ascii="Arial" w:cs="Arial" w:eastAsia="Arial" w:hAnsi="Arial"/>
          <w:sz w:val="22"/>
          <w:szCs w:val="22"/>
          <w:color w:val="auto"/>
        </w:rPr>
        <w:t>Date:</w:t>
        <w:tab/>
        <w:t>April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40855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8" w:name="page109"/>
    <w:bookmarkEnd w:id="108"/>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Jeffrey W. Albers, certify that:</w:t>
      </w:r>
    </w:p>
    <w:p>
      <w:pPr>
        <w:spacing w:after="0" w:line="212" w:lineRule="exact"/>
        <w:rPr>
          <w:sz w:val="20"/>
          <w:szCs w:val="20"/>
          <w:color w:val="auto"/>
        </w:rPr>
      </w:pPr>
    </w:p>
    <w:p>
      <w:pPr>
        <w:ind w:left="1500" w:hanging="643"/>
        <w:spacing w:after="0"/>
        <w:tabs>
          <w:tab w:leader="none" w:pos="15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6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00"/>
        <w:spacing w:after="0"/>
        <w:tabs>
          <w:tab w:leader="none" w:pos="448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6350</wp:posOffset>
            </wp:positionV>
            <wp:extent cx="25546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Michael Landsittel, certify that:</w:t>
      </w:r>
    </w:p>
    <w:p>
      <w:pPr>
        <w:spacing w:after="0" w:line="212" w:lineRule="exact"/>
        <w:rPr>
          <w:sz w:val="20"/>
          <w:szCs w:val="20"/>
          <w:color w:val="auto"/>
        </w:rPr>
      </w:pPr>
    </w:p>
    <w:p>
      <w:pPr>
        <w:ind w:left="1500" w:hanging="643"/>
        <w:spacing w:after="0"/>
        <w:tabs>
          <w:tab w:leader="none" w:pos="15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211" w:lineRule="exact"/>
        <w:rPr>
          <w:rFonts w:ascii="Arial" w:cs="Arial" w:eastAsia="Arial" w:hAnsi="Arial"/>
          <w:sz w:val="18"/>
          <w:szCs w:val="18"/>
          <w:color w:val="auto"/>
        </w:rPr>
      </w:pPr>
    </w:p>
    <w:p>
      <w:pPr>
        <w:ind w:left="200" w:right="299" w:firstLine="657"/>
        <w:spacing w:after="0" w:line="248"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200" w:right="459" w:firstLine="657"/>
        <w:spacing w:after="0" w:line="248"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200" w:right="459" w:firstLine="657"/>
        <w:spacing w:after="0" w:line="294" w:lineRule="auto"/>
        <w:tabs>
          <w:tab w:leader="none" w:pos="149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60" w:right="279" w:firstLine="645"/>
        <w:spacing w:after="0" w:line="243" w:lineRule="auto"/>
        <w:tabs>
          <w:tab w:leader="none" w:pos="21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ind w:left="860" w:right="259" w:firstLine="645"/>
        <w:spacing w:after="0" w:line="243" w:lineRule="auto"/>
        <w:tabs>
          <w:tab w:leader="none" w:pos="21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7" w:lineRule="exact"/>
        <w:rPr>
          <w:rFonts w:ascii="Arial" w:cs="Arial" w:eastAsia="Arial" w:hAnsi="Arial"/>
          <w:sz w:val="18"/>
          <w:szCs w:val="18"/>
          <w:color w:val="auto"/>
        </w:rPr>
      </w:pPr>
    </w:p>
    <w:p>
      <w:pPr>
        <w:ind w:left="860" w:right="399" w:firstLine="645"/>
        <w:spacing w:after="0" w:line="270" w:lineRule="auto"/>
        <w:tabs>
          <w:tab w:leader="none" w:pos="2156"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7"/>
          <w:szCs w:val="17"/>
          <w:color w:val="auto"/>
        </w:rPr>
      </w:pPr>
    </w:p>
    <w:p>
      <w:pPr>
        <w:ind w:left="860" w:right="379" w:firstLine="645"/>
        <w:spacing w:after="0" w:line="243" w:lineRule="auto"/>
        <w:tabs>
          <w:tab w:leader="none" w:pos="21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jc w:val="both"/>
        <w:ind w:left="200" w:right="259" w:firstLine="657"/>
        <w:spacing w:after="0" w:line="248"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860" w:right="439" w:firstLine="645"/>
        <w:spacing w:after="0" w:line="248" w:lineRule="auto"/>
        <w:tabs>
          <w:tab w:leader="none" w:pos="215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60" w:right="599" w:firstLine="645"/>
        <w:spacing w:after="0" w:line="291" w:lineRule="auto"/>
        <w:tabs>
          <w:tab w:leader="none" w:pos="2156"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3" w:lineRule="exact"/>
        <w:rPr>
          <w:sz w:val="20"/>
          <w:szCs w:val="20"/>
          <w:color w:val="auto"/>
        </w:rPr>
      </w:pPr>
    </w:p>
    <w:p>
      <w:pPr>
        <w:ind w:left="220"/>
        <w:spacing w:after="0"/>
        <w:tabs>
          <w:tab w:leader="none" w:pos="448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6"/>
          <w:szCs w:val="16"/>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6350</wp:posOffset>
            </wp:positionV>
            <wp:extent cx="2562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Michael Landsittel</w:t>
      </w:r>
    </w:p>
    <w:p>
      <w:pPr>
        <w:ind w:left="47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0" w:name="page111"/>
    <w:bookmarkEnd w:id="110"/>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ind w:left="200" w:right="219"/>
        <w:spacing w:after="0" w:line="25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1" w:lineRule="exact"/>
        <w:rPr>
          <w:sz w:val="20"/>
          <w:szCs w:val="20"/>
          <w:color w:val="auto"/>
        </w:rPr>
      </w:pPr>
    </w:p>
    <w:p>
      <w:pPr>
        <w:ind w:left="200" w:right="279" w:firstLine="648"/>
        <w:spacing w:after="0" w:line="243"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June 30, 2021 as filed with the Securities and Exchange Commission on the date hereof (the “Report”), each of the undersigned officers of the Company hereby certifies, pursuant to 18 U.S.C. Section 1350, that to his knowledge:</w:t>
      </w:r>
    </w:p>
    <w:p>
      <w:pPr>
        <w:spacing w:after="0" w:line="188" w:lineRule="exact"/>
        <w:rPr>
          <w:sz w:val="20"/>
          <w:szCs w:val="20"/>
          <w:color w:val="auto"/>
        </w:rPr>
      </w:pPr>
    </w:p>
    <w:p>
      <w:pPr>
        <w:ind w:left="1500" w:right="259" w:hanging="562"/>
        <w:spacing w:after="0" w:line="261" w:lineRule="auto"/>
        <w:tabs>
          <w:tab w:leader="none" w:pos="1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1500" w:right="899" w:hanging="562"/>
        <w:spacing w:after="0" w:line="261" w:lineRule="auto"/>
        <w:tabs>
          <w:tab w:leader="none" w:pos="15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220"/>
        <w:spacing w:after="0"/>
        <w:tabs>
          <w:tab w:leader="none" w:pos="456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6350</wp:posOffset>
            </wp:positionV>
            <wp:extent cx="25114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Jeffrey W. Albers</w:t>
      </w:r>
    </w:p>
    <w:p>
      <w:pPr>
        <w:ind w:left="48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i w:val="1"/>
          <w:iCs w:val="1"/>
          <w:color w:val="auto"/>
        </w:rPr>
        <w:t>(Principal Executive Officer)</w:t>
      </w:r>
    </w:p>
    <w:p>
      <w:pPr>
        <w:spacing w:after="0" w:line="196" w:lineRule="exact"/>
        <w:rPr>
          <w:sz w:val="20"/>
          <w:szCs w:val="20"/>
          <w:color w:val="auto"/>
        </w:rPr>
      </w:pPr>
    </w:p>
    <w:p>
      <w:pPr>
        <w:ind w:left="220"/>
        <w:spacing w:after="0"/>
        <w:tabs>
          <w:tab w:leader="none" w:pos="4540" w:val="left"/>
        </w:tabs>
        <w:rPr>
          <w:sz w:val="20"/>
          <w:szCs w:val="20"/>
          <w:color w:val="auto"/>
        </w:rPr>
      </w:pPr>
      <w:r>
        <w:rPr>
          <w:rFonts w:ascii="Arial" w:cs="Arial" w:eastAsia="Arial" w:hAnsi="Arial"/>
          <w:sz w:val="18"/>
          <w:szCs w:val="18"/>
          <w:color w:val="auto"/>
        </w:rPr>
        <w:t>Date: July 29, 2021</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6350</wp:posOffset>
            </wp:positionV>
            <wp:extent cx="25203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Michael Landsittel</w:t>
      </w:r>
    </w:p>
    <w:p>
      <w:pPr>
        <w:ind w:left="48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467360</wp:posOffset>
            </wp:positionV>
            <wp:extent cx="545211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lowerRoman"/>
      <w:start w:val="1"/>
    </w:lvl>
  </w:abstractNum>
  <w:abstractNum w:abstractNumId="7">
    <w:nsid w:val="51EAD36B"/>
    <w:multiLevelType w:val="hybridMultilevel"/>
    <w:lvl w:ilvl="0">
      <w:lvlJc w:val="left"/>
      <w:lvlText w:val="(%1)"/>
      <w:numFmt w:val="decimal"/>
      <w:start w:val="3"/>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lvl w:ilvl="1">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amp;"/>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1)"/>
      <w:numFmt w:val="lowerRoman"/>
      <w:start w:val="3"/>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lvl w:ilvl="1">
      <w:lvlJc w:val="left"/>
      <w:lvlText w:val="%2"/>
      <w:numFmt w:val="decimal"/>
      <w:start w:val="104"/>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lvl w:ilvl="1">
      <w:lvlJc w:val="left"/>
      <w:lvlText w:val="(%2)"/>
      <w:numFmt w:val="lowerLetter"/>
      <w:start w:val="1"/>
    </w:lvl>
  </w:abstractNum>
  <w:abstractNum w:abstractNumId="51">
    <w:nsid w:val="3F6AB60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52">
    <w:nsid w:val="6157409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53">
    <w:nsid w:val="7E0C57B1"/>
    <w:multiLevelType w:val="hybridMultilevel"/>
    <w:lvl w:ilvl="0">
      <w:lvlJc w:val="left"/>
      <w:lvlText w:val="(%1)"/>
      <w:numFmt w:val="lowerLetter"/>
      <w:start w:val="4"/>
    </w:lvl>
    <w:lvl w:ilvl="1">
      <w:lvlJc w:val="left"/>
      <w:lvlText w:val="(%2)"/>
      <w:numFmt w:val="lowerLetter"/>
      <w:start w:val="9"/>
    </w:lvl>
  </w:abstractNum>
  <w:abstractNum w:abstractNumId="54">
    <w:nsid w:val="77AE35EB"/>
    <w:multiLevelType w:val="hybridMultilevel"/>
    <w:lvl w:ilvl="0">
      <w:lvlJc w:val="left"/>
      <w:lvlText w:val="(%1)"/>
      <w:numFmt w:val="lowerRoman"/>
      <w:start w:val="2"/>
    </w:lvl>
  </w:abstractNum>
  <w:abstractNum w:abstractNumId="55">
    <w:nsid w:val="579BE4F1"/>
    <w:multiLevelType w:val="hybridMultilevel"/>
    <w:lvl w:ilvl="0">
      <w:lvlJc w:val="left"/>
      <w:lvlText w:val="(%1)"/>
      <w:numFmt w:val="lowerLetter"/>
      <w:start w:val="25"/>
    </w:lvl>
    <w:lvl w:ilvl="1">
      <w:lvlJc w:val="left"/>
      <w:lvlText w:val="%2."/>
      <w:numFmt w:val="decimal"/>
      <w:start w:val="2"/>
    </w:lvl>
    <w:lvl w:ilvl="2">
      <w:lvlJc w:val="left"/>
      <w:lvlText w:val="(%3)"/>
      <w:numFmt w:val="lowerLetter"/>
      <w:start w:val="6"/>
    </w:lvl>
  </w:abstractNum>
  <w:abstractNum w:abstractNumId="56">
    <w:nsid w:val="310C50B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57">
    <w:nsid w:val="5FF87E05"/>
    <w:multiLevelType w:val="hybridMultilevel"/>
    <w:lvl w:ilvl="0">
      <w:lvlJc w:val="left"/>
      <w:lvlText w:val="(%1)"/>
      <w:numFmt w:val="lowerLetter"/>
      <w:start w:val="3"/>
    </w:lvl>
  </w:abstractNum>
  <w:abstractNum w:abstractNumId="58">
    <w:nsid w:val="2F305DEF"/>
    <w:multiLevelType w:val="hybridMultilevel"/>
    <w:lvl w:ilvl="0">
      <w:lvlJc w:val="left"/>
      <w:lvlText w:val="(%1)"/>
      <w:numFmt w:val="lowerLetter"/>
      <w:start w:val="61"/>
    </w:lvl>
    <w:lvl w:ilvl="1">
      <w:lvlJc w:val="left"/>
      <w:lvlText w:val="%2."/>
      <w:numFmt w:val="decimal"/>
      <w:start w:val="3"/>
    </w:lvl>
    <w:lvl w:ilvl="2">
      <w:lvlJc w:val="left"/>
      <w:lvlText w:val="(%3)"/>
      <w:numFmt w:val="lowerLetter"/>
      <w:start w:val="6"/>
    </w:lvl>
  </w:abstractNum>
  <w:abstractNum w:abstractNumId="59">
    <w:nsid w:val="25A70BF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60">
    <w:nsid w:val="1DBABF00"/>
    <w:multiLevelType w:val="hybridMultilevel"/>
    <w:lvl w:ilvl="0">
      <w:lvlJc w:val="left"/>
      <w:lvlText w:val="(%1)"/>
      <w:numFmt w:val="lowerLetter"/>
      <w:start w:val="2"/>
    </w:lvl>
    <w:lvl w:ilvl="1">
      <w:lvlJc w:val="left"/>
      <w:lvlText w:val="(%2)"/>
      <w:numFmt w:val="lowerRoman"/>
      <w:start w:val="1"/>
    </w:lvl>
  </w:abstractNum>
  <w:abstractNum w:abstractNumId="61">
    <w:nsid w:val="4AD084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1F48EAA1"/>
    <w:multiLevelType w:val="hybridMultilevel"/>
    <w:lvl w:ilvl="0">
      <w:lvlJc w:val="left"/>
      <w:lvlText w:val="(%1)"/>
      <w:numFmt w:val="lowerLetter"/>
      <w:start w:val="2"/>
    </w:lvl>
    <w:lvl w:ilvl="1">
      <w:lvlJc w:val="left"/>
      <w:lvlText w:val="(%2)"/>
      <w:numFmt w:val="lowerRoman"/>
      <w:start w:val="1"/>
    </w:lvl>
  </w:abstractNum>
  <w:abstractNum w:abstractNumId="63">
    <w:nsid w:val="1381823A"/>
    <w:multiLevelType w:val="hybridMultilevel"/>
    <w:lvl w:ilvl="0">
      <w:lvlJc w:val="left"/>
      <w:lvlText w:val="%1."/>
      <w:numFmt w:val="decimal"/>
      <w:start w:val="6"/>
    </w:lvl>
    <w:lvl w:ilvl="1">
      <w:lvlJc w:val="left"/>
      <w:lvlText w:val="(%2)"/>
      <w:numFmt w:val="lowerLetter"/>
      <w:start w:val="1"/>
    </w:lvl>
  </w:abstractNum>
  <w:abstractNum w:abstractNumId="64">
    <w:nsid w:val="5DB70AE5"/>
    <w:multiLevelType w:val="hybridMultilevel"/>
    <w:lvl w:ilvl="0">
      <w:lvlJc w:val="left"/>
      <w:lvlText w:val="%1"/>
      <w:numFmt w:val="decimal"/>
      <w:start w:val="1"/>
    </w:lvl>
    <w:lvl w:ilvl="1">
      <w:lvlJc w:val="left"/>
      <w:lvlText w:val="(%2)"/>
      <w:numFmt w:val="lowerLetter"/>
      <w:start w:val="3"/>
    </w:lvl>
  </w:abstractNum>
  <w:abstractNum w:abstractNumId="65">
    <w:nsid w:val="100F8FCA"/>
    <w:multiLevelType w:val="hybridMultilevel"/>
    <w:lvl w:ilvl="0">
      <w:lvlJc w:val="left"/>
      <w:lvlText w:val="%1."/>
      <w:numFmt w:val="decimal"/>
      <w:start w:val="7"/>
    </w:lvl>
    <w:lvl w:ilvl="1">
      <w:lvlJc w:val="left"/>
      <w:lvlText w:val="%2"/>
      <w:numFmt w:val="lowerLetter"/>
      <w:start w:val="1"/>
    </w:lvl>
  </w:abstractNum>
  <w:abstractNum w:abstractNumId="66">
    <w:nsid w:val="6590700B"/>
    <w:multiLevelType w:val="hybridMultilevel"/>
    <w:lvl w:ilvl="0">
      <w:lvlJc w:val="left"/>
      <w:lvlText w:val="%1."/>
      <w:numFmt w:val="decimal"/>
      <w:start w:val="9"/>
    </w:lvl>
  </w:abstractNum>
  <w:abstractNum w:abstractNumId="67">
    <w:nsid w:val="15014ACB"/>
    <w:multiLevelType w:val="hybridMultilevel"/>
    <w:lvl w:ilvl="0">
      <w:lvlJc w:val="left"/>
      <w:lvlText w:val="%1."/>
      <w:numFmt w:val="decimal"/>
      <w:start w:val="15"/>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2021-07-29T16:36:49Z</dcterms:created>
  <dcterms:modified xsi:type="dcterms:W3CDTF">2021-07-29T16:36:49Z</dcterms:modified>
</cp:coreProperties>
</file>