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333-216573</w:t>
      </w:r>
    </w:p>
    <w:p>
      <w:pPr>
        <w:spacing w:after="0" w:line="200" w:lineRule="exact"/>
        <w:rPr>
          <w:sz w:val="24"/>
          <w:szCs w:val="24"/>
          <w:color w:val="auto"/>
        </w:rPr>
      </w:pP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72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236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192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rPr>
              <w:t>Amount to be</w:t>
            </w:r>
          </w:p>
        </w:tc>
        <w:tc>
          <w:tcPr>
            <w:tcW w:w="2360" w:type="dxa"/>
            <w:vAlign w:val="bottom"/>
          </w:tcPr>
          <w:p>
            <w:pPr>
              <w:jc w:val="center"/>
              <w:ind w:left="44"/>
              <w:spacing w:after="0" w:line="129" w:lineRule="exact"/>
              <w:rPr>
                <w:sz w:val="20"/>
                <w:szCs w:val="20"/>
                <w:color w:val="auto"/>
              </w:rPr>
            </w:pPr>
            <w:r>
              <w:rPr>
                <w:rFonts w:ascii="Arial" w:cs="Arial" w:eastAsia="Arial" w:hAnsi="Arial"/>
                <w:sz w:val="14"/>
                <w:szCs w:val="14"/>
                <w:b w:val="1"/>
                <w:bCs w:val="1"/>
                <w:color w:val="auto"/>
              </w:rPr>
              <w:t>Proposed Maximum</w:t>
            </w:r>
          </w:p>
        </w:tc>
        <w:tc>
          <w:tcPr>
            <w:tcW w:w="2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Proposed Maximum</w:t>
            </w:r>
          </w:p>
        </w:tc>
        <w:tc>
          <w:tcPr>
            <w:tcW w:w="214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27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rPr>
              <w:t>Title of Each Class of Securities</w:t>
            </w:r>
          </w:p>
        </w:tc>
        <w:tc>
          <w:tcPr>
            <w:tcW w:w="1920" w:type="dxa"/>
            <w:vAlign w:val="bottom"/>
            <w:vMerge w:val="continue"/>
          </w:tcPr>
          <w:p>
            <w:pPr>
              <w:spacing w:after="0"/>
              <w:rPr>
                <w:sz w:val="12"/>
                <w:szCs w:val="12"/>
                <w:color w:val="auto"/>
              </w:rPr>
            </w:pPr>
          </w:p>
        </w:tc>
        <w:tc>
          <w:tcPr>
            <w:tcW w:w="23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rPr>
              <w:t>Offering Price Per</w:t>
            </w: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Aggregate Offering</w:t>
            </w: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rPr>
              <w:t>to be Registered</w:t>
            </w:r>
          </w:p>
        </w:tc>
        <w:tc>
          <w:tcPr>
            <w:tcW w:w="1920" w:type="dxa"/>
            <w:vAlign w:val="bottom"/>
            <w:tcBorders>
              <w:bottom w:val="single" w:sz="8" w:color="auto"/>
            </w:tcBorders>
          </w:tcPr>
          <w:p>
            <w:pPr>
              <w:jc w:val="center"/>
              <w:ind w:right="43"/>
              <w:spacing w:after="0" w:line="216" w:lineRule="exact"/>
              <w:rPr>
                <w:sz w:val="20"/>
                <w:szCs w:val="20"/>
                <w:color w:val="auto"/>
              </w:rPr>
            </w:pPr>
            <w:r>
              <w:rPr>
                <w:rFonts w:ascii="Arial" w:cs="Arial" w:eastAsia="Arial" w:hAnsi="Arial"/>
                <w:sz w:val="14"/>
                <w:szCs w:val="14"/>
                <w:b w:val="1"/>
                <w:bCs w:val="1"/>
                <w:color w:val="auto"/>
                <w:w w:val="98"/>
              </w:rPr>
              <w:t>Registered</w:t>
            </w:r>
            <w:r>
              <w:rPr>
                <w:rFonts w:ascii="Arial" w:cs="Arial" w:eastAsia="Arial" w:hAnsi="Arial"/>
                <w:sz w:val="21"/>
                <w:szCs w:val="21"/>
                <w:b w:val="1"/>
                <w:bCs w:val="1"/>
                <w:color w:val="auto"/>
                <w:w w:val="98"/>
                <w:vertAlign w:val="superscript"/>
              </w:rPr>
              <w:t>(1)</w:t>
            </w:r>
          </w:p>
        </w:tc>
        <w:tc>
          <w:tcPr>
            <w:tcW w:w="236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Unit</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2140" w:type="dxa"/>
            <w:vAlign w:val="bottom"/>
            <w:tcBorders>
              <w:bottom w:val="single" w:sz="8" w:color="auto"/>
            </w:tcBorders>
          </w:tcPr>
          <w:p>
            <w:pPr>
              <w:jc w:val="center"/>
              <w:ind w:left="3"/>
              <w:spacing w:after="0" w:line="216" w:lineRule="exact"/>
              <w:rPr>
                <w:sz w:val="20"/>
                <w:szCs w:val="20"/>
                <w:color w:val="auto"/>
              </w:rPr>
            </w:pPr>
            <w:r>
              <w:rPr>
                <w:rFonts w:ascii="Arial" w:cs="Arial" w:eastAsia="Arial" w:hAnsi="Arial"/>
                <w:sz w:val="14"/>
                <w:szCs w:val="14"/>
                <w:b w:val="1"/>
                <w:bCs w:val="1"/>
                <w:color w:val="auto"/>
                <w:w w:val="99"/>
              </w:rPr>
              <w:t>Registration Fee</w:t>
            </w:r>
            <w:r>
              <w:rPr>
                <w:rFonts w:ascii="Arial" w:cs="Arial" w:eastAsia="Arial" w:hAnsi="Arial"/>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06"/>
        </w:trPr>
        <w:tc>
          <w:tcPr>
            <w:tcW w:w="2720" w:type="dxa"/>
            <w:vAlign w:val="bottom"/>
          </w:tcPr>
          <w:p>
            <w:pPr>
              <w:spacing w:after="0" w:line="206" w:lineRule="exact"/>
              <w:rPr>
                <w:sz w:val="20"/>
                <w:szCs w:val="20"/>
                <w:color w:val="auto"/>
              </w:rPr>
            </w:pPr>
            <w:r>
              <w:rPr>
                <w:rFonts w:ascii="Arial" w:cs="Arial" w:eastAsia="Arial" w:hAnsi="Arial"/>
                <w:sz w:val="18"/>
                <w:szCs w:val="18"/>
                <w:color w:val="auto"/>
              </w:rPr>
              <w:t>Common Stock, par value</w:t>
            </w:r>
          </w:p>
        </w:tc>
        <w:tc>
          <w:tcPr>
            <w:tcW w:w="19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$0.001 per share</w:t>
            </w:r>
          </w:p>
        </w:tc>
        <w:tc>
          <w:tcPr>
            <w:tcW w:w="1920" w:type="dxa"/>
            <w:vAlign w:val="bottom"/>
            <w:tcBorders>
              <w:bottom w:val="single" w:sz="8" w:color="auto"/>
            </w:tcBorders>
          </w:tcPr>
          <w:p>
            <w:pPr>
              <w:jc w:val="center"/>
              <w:ind w:right="23"/>
              <w:spacing w:after="0"/>
              <w:rPr>
                <w:sz w:val="20"/>
                <w:szCs w:val="20"/>
                <w:color w:val="auto"/>
              </w:rPr>
            </w:pPr>
            <w:r>
              <w:rPr>
                <w:rFonts w:ascii="Arial" w:cs="Arial" w:eastAsia="Arial" w:hAnsi="Arial"/>
                <w:sz w:val="18"/>
                <w:szCs w:val="18"/>
                <w:color w:val="auto"/>
                <w:w w:val="97"/>
              </w:rPr>
              <w:t>5,416,665</w:t>
            </w:r>
          </w:p>
        </w:tc>
        <w:tc>
          <w:tcPr>
            <w:tcW w:w="2360" w:type="dxa"/>
            <w:vAlign w:val="bottom"/>
            <w:tcBorders>
              <w:bottom w:val="single" w:sz="8" w:color="auto"/>
            </w:tcBorders>
          </w:tcPr>
          <w:p>
            <w:pPr>
              <w:jc w:val="center"/>
              <w:ind w:left="24"/>
              <w:spacing w:after="0"/>
              <w:rPr>
                <w:sz w:val="20"/>
                <w:szCs w:val="20"/>
                <w:color w:val="auto"/>
              </w:rPr>
            </w:pPr>
            <w:r>
              <w:rPr>
                <w:rFonts w:ascii="Arial" w:cs="Arial" w:eastAsia="Arial" w:hAnsi="Arial"/>
                <w:sz w:val="18"/>
                <w:szCs w:val="18"/>
                <w:color w:val="auto"/>
                <w:w w:val="98"/>
              </w:rPr>
              <w:t>$69.00</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$373,749,885</w:t>
            </w:r>
          </w:p>
        </w:tc>
        <w:tc>
          <w:tcPr>
            <w:tcW w:w="2140" w:type="dxa"/>
            <w:vAlign w:val="bottom"/>
            <w:tcBorders>
              <w:bottom w:val="single" w:sz="8" w:color="auto"/>
            </w:tcBorders>
          </w:tcPr>
          <w:p>
            <w:pPr>
              <w:jc w:val="center"/>
              <w:ind w:left="23"/>
              <w:spacing w:after="0"/>
              <w:rPr>
                <w:sz w:val="20"/>
                <w:szCs w:val="20"/>
                <w:color w:val="auto"/>
              </w:rPr>
            </w:pPr>
            <w:r>
              <w:rPr>
                <w:rFonts w:ascii="Arial" w:cs="Arial" w:eastAsia="Arial" w:hAnsi="Arial"/>
                <w:sz w:val="18"/>
                <w:szCs w:val="18"/>
                <w:color w:val="auto"/>
                <w:w w:val="97"/>
              </w:rPr>
              <w:t>$48,512.74</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4"/>
          <w:szCs w:val="24"/>
          <w:color w:val="auto"/>
        </w:rPr>
      </w:pPr>
    </w:p>
    <w:p>
      <w:pPr>
        <w:ind w:left="540" w:right="20" w:hanging="532"/>
        <w:spacing w:after="0" w:line="193" w:lineRule="auto"/>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Includes 706,521 shares of common stock, par value $0.001 per share, which may be purchased by the underwriters upon exercise of the underwriters' option to purchase additional shares.</w:t>
      </w:r>
    </w:p>
    <w:p>
      <w:pPr>
        <w:spacing w:after="0" w:line="72"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Calculated in accordance with Rule 456(b) and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to Prospectus dated March 9, 2017.</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4,710,144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selling 4,710,144 shares of our common stock.</w:t>
      </w:r>
    </w:p>
    <w:p>
      <w:pPr>
        <w:spacing w:after="0" w:line="212" w:lineRule="exact"/>
        <w:rPr>
          <w:sz w:val="20"/>
          <w:szCs w:val="20"/>
          <w:color w:val="auto"/>
        </w:rPr>
      </w:pPr>
    </w:p>
    <w:p>
      <w:pPr>
        <w:ind w:right="42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January 22, 2020 was $69.82 per share.</w:t>
      </w:r>
    </w:p>
    <w:p>
      <w:pPr>
        <w:spacing w:after="0" w:line="191" w:lineRule="exact"/>
        <w:rPr>
          <w:sz w:val="20"/>
          <w:szCs w:val="20"/>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S-14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0"/>
          <w:szCs w:val="20"/>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Per share</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r>
      <w:tr>
        <w:trPr>
          <w:trHeight w:val="205"/>
        </w:trPr>
        <w:tc>
          <w:tcPr>
            <w:tcW w:w="578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98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69.00</w:t>
            </w:r>
          </w:p>
        </w:tc>
        <w:tc>
          <w:tcPr>
            <w:tcW w:w="34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6" w:lineRule="exact"/>
              <w:rPr>
                <w:sz w:val="20"/>
                <w:szCs w:val="20"/>
                <w:color w:val="auto"/>
              </w:rPr>
            </w:pPr>
            <w:r>
              <w:rPr>
                <w:rFonts w:ascii="Arial" w:cs="Arial" w:eastAsia="Arial" w:hAnsi="Arial"/>
                <w:sz w:val="18"/>
                <w:szCs w:val="18"/>
                <w:color w:val="auto"/>
              </w:rPr>
              <w:t>324,999,936</w:t>
            </w:r>
          </w:p>
        </w:tc>
      </w:tr>
      <w:tr>
        <w:trPr>
          <w:trHeight w:val="244"/>
        </w:trPr>
        <w:tc>
          <w:tcPr>
            <w:tcW w:w="578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16,249,997</w:t>
            </w:r>
          </w:p>
        </w:tc>
      </w:tr>
      <w:tr>
        <w:trPr>
          <w:trHeight w:val="211"/>
        </w:trPr>
        <w:tc>
          <w:tcPr>
            <w:tcW w:w="578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65.55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308,749,939</w:t>
            </w:r>
          </w:p>
        </w:tc>
      </w:tr>
      <w:tr>
        <w:trPr>
          <w:trHeight w:val="97"/>
        </w:trPr>
        <w:tc>
          <w:tcPr>
            <w:tcW w:w="94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140" w:lineRule="exact"/>
        <w:rPr>
          <w:sz w:val="20"/>
          <w:szCs w:val="20"/>
          <w:color w:val="auto"/>
        </w:rPr>
      </w:pPr>
    </w:p>
    <w:p>
      <w:pPr>
        <w:ind w:left="1680" w:hanging="531"/>
        <w:spacing w:after="0"/>
        <w:tabs>
          <w:tab w:leader="none" w:pos="1680"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S-25 of this prospectus supplement for additional information regarding underwriter compensation.</w:t>
      </w:r>
    </w:p>
    <w:p>
      <w:pPr>
        <w:spacing w:after="0" w:line="204" w:lineRule="exact"/>
        <w:rPr>
          <w:sz w:val="20"/>
          <w:szCs w:val="20"/>
          <w:color w:val="auto"/>
        </w:rPr>
      </w:pPr>
    </w:p>
    <w:p>
      <w:pPr>
        <w:ind w:right="600" w:firstLine="488"/>
        <w:spacing w:after="0" w:line="239"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supplement to purchase up to an additional 706,521 shares of our common stock at the public offering price less the underwriting discounts and commissions.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expect to deliver the shares against payment in New York, New York on or about January 27,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Goldman Sachs &amp; Co. LLC</w:t>
            </w:r>
          </w:p>
        </w:tc>
        <w:tc>
          <w:tcPr>
            <w:tcW w:w="4120" w:type="dxa"/>
            <w:vAlign w:val="bottom"/>
          </w:tcPr>
          <w:p>
            <w:pPr>
              <w:spacing w:after="0"/>
              <w:rPr>
                <w:sz w:val="20"/>
                <w:szCs w:val="20"/>
                <w:color w:val="auto"/>
              </w:rPr>
            </w:pPr>
          </w:p>
        </w:tc>
        <w:tc>
          <w:tcPr>
            <w:tcW w:w="3540" w:type="dxa"/>
            <w:vAlign w:val="bottom"/>
          </w:tcPr>
          <w:p>
            <w:pPr>
              <w:jc w:val="center"/>
              <w:ind w:right="1472"/>
              <w:spacing w:after="0"/>
              <w:rPr>
                <w:sz w:val="20"/>
                <w:szCs w:val="20"/>
                <w:color w:val="auto"/>
              </w:rPr>
            </w:pPr>
            <w:r>
              <w:rPr>
                <w:rFonts w:ascii="Arial" w:cs="Arial" w:eastAsia="Arial" w:hAnsi="Arial"/>
                <w:sz w:val="18"/>
                <w:szCs w:val="18"/>
                <w:b w:val="1"/>
                <w:bCs w:val="1"/>
                <w:color w:val="auto"/>
                <w:w w:val="98"/>
              </w:rPr>
              <w:t>Cowen</w:t>
            </w:r>
          </w:p>
        </w:tc>
      </w:tr>
      <w:tr>
        <w:trPr>
          <w:trHeight w:val="446"/>
        </w:trPr>
        <w:tc>
          <w:tcPr>
            <w:tcW w:w="376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Canaccord Genuity</w:t>
            </w:r>
          </w:p>
        </w:tc>
        <w:tc>
          <w:tcPr>
            <w:tcW w:w="412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JMP Securities</w:t>
            </w:r>
          </w:p>
        </w:tc>
        <w:tc>
          <w:tcPr>
            <w:tcW w:w="3540" w:type="dxa"/>
            <w:vAlign w:val="bottom"/>
          </w:tcPr>
          <w:p>
            <w:pPr>
              <w:jc w:val="center"/>
              <w:ind w:right="1492"/>
              <w:spacing w:after="0"/>
              <w:rPr>
                <w:sz w:val="20"/>
                <w:szCs w:val="20"/>
                <w:color w:val="auto"/>
              </w:rPr>
            </w:pPr>
            <w:r>
              <w:rPr>
                <w:rFonts w:ascii="Arial" w:cs="Arial" w:eastAsia="Arial" w:hAnsi="Arial"/>
                <w:sz w:val="18"/>
                <w:szCs w:val="18"/>
                <w:b w:val="1"/>
                <w:bCs w:val="1"/>
                <w:color w:val="auto"/>
                <w:w w:val="97"/>
              </w:rPr>
              <w:t>Raymond James</w:t>
            </w:r>
          </w:p>
        </w:tc>
      </w:tr>
      <w:tr>
        <w:trPr>
          <w:trHeight w:val="702"/>
        </w:trPr>
        <w:tc>
          <w:tcPr>
            <w:tcW w:w="3760" w:type="dxa"/>
            <w:vAlign w:val="bottom"/>
          </w:tcPr>
          <w:p>
            <w:pPr>
              <w:spacing w:after="0"/>
              <w:rPr>
                <w:sz w:val="24"/>
                <w:szCs w:val="24"/>
                <w:color w:val="auto"/>
              </w:rPr>
            </w:pPr>
          </w:p>
        </w:tc>
        <w:tc>
          <w:tcPr>
            <w:tcW w:w="4120" w:type="dxa"/>
            <w:vAlign w:val="bottom"/>
          </w:tcPr>
          <w:p>
            <w:pPr>
              <w:jc w:val="center"/>
              <w:ind w:right="112"/>
              <w:spacing w:after="0"/>
              <w:rPr>
                <w:sz w:val="20"/>
                <w:szCs w:val="20"/>
                <w:color w:val="auto"/>
              </w:rPr>
            </w:pPr>
            <w:r>
              <w:rPr>
                <w:rFonts w:ascii="Arial" w:cs="Arial" w:eastAsia="Arial" w:hAnsi="Arial"/>
                <w:sz w:val="18"/>
                <w:szCs w:val="18"/>
                <w:color w:val="auto"/>
                <w:w w:val="97"/>
              </w:rPr>
              <w:t>Prospectus Supplement dated January 22, 2020</w:t>
            </w:r>
          </w:p>
        </w:tc>
        <w:tc>
          <w:tcPr>
            <w:tcW w:w="3540" w:type="dxa"/>
            <w:vAlign w:val="bottom"/>
          </w:tcPr>
          <w:p>
            <w:pPr>
              <w:spacing w:after="0"/>
              <w:rPr>
                <w:sz w:val="24"/>
                <w:szCs w:val="24"/>
                <w:color w:val="auto"/>
              </w:rPr>
            </w:pPr>
          </w:p>
        </w:tc>
      </w:tr>
      <w:tr>
        <w:trPr>
          <w:trHeight w:val="215"/>
        </w:trPr>
        <w:tc>
          <w:tcPr>
            <w:tcW w:w="3760" w:type="dxa"/>
            <w:vAlign w:val="bottom"/>
            <w:tcBorders>
              <w:bottom w:val="single" w:sz="8" w:color="808080"/>
            </w:tcBorders>
          </w:tcPr>
          <w:p>
            <w:pPr>
              <w:spacing w:after="0"/>
              <w:rPr>
                <w:sz w:val="18"/>
                <w:szCs w:val="18"/>
                <w:color w:val="auto"/>
              </w:rPr>
            </w:pPr>
          </w:p>
        </w:tc>
        <w:tc>
          <w:tcPr>
            <w:tcW w:w="4120" w:type="dxa"/>
            <w:vAlign w:val="bottom"/>
            <w:tcBorders>
              <w:bottom w:val="single" w:sz="8" w:color="808080"/>
            </w:tcBorders>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60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w w:val="95"/>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9"/>
              </w:rPr>
              <w:t>Page</w:t>
            </w:r>
          </w:p>
        </w:tc>
        <w:tc>
          <w:tcPr>
            <w:tcW w:w="1280" w:type="dxa"/>
            <w:vAlign w:val="bottom"/>
          </w:tcPr>
          <w:p>
            <w:pPr>
              <w:spacing w:after="0"/>
              <w:rPr>
                <w:sz w:val="24"/>
                <w:szCs w:val="24"/>
                <w:color w:val="auto"/>
              </w:rPr>
            </w:pP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S-2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1"/>
          </w:tcPr>
          <w:p>
            <w:pPr>
              <w:spacing w:after="0" w:line="182"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S-4</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THE OFFERING</w:t>
              </w:r>
            </w:hyperlink>
          </w:p>
        </w:tc>
        <w:tc>
          <w:tcPr>
            <w:tcW w:w="2040" w:type="dxa"/>
            <w:vAlign w:val="bottom"/>
            <w:gridSpan w:val="11"/>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S-12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RISK FACTORS</w:t>
              </w:r>
            </w:hyperlink>
          </w:p>
        </w:tc>
        <w:tc>
          <w:tcPr>
            <w:tcW w:w="716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S-14</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USE OF PROCEEDS</w:t>
              </w:r>
            </w:hyperlink>
          </w:p>
        </w:tc>
        <w:tc>
          <w:tcPr>
            <w:tcW w:w="6760" w:type="dxa"/>
            <w:vAlign w:val="bottom"/>
            <w:gridSpan w:val="15"/>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S-20</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S-22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DIVIDEND POLICY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S-24</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8">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S-25</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S-32</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S-36</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S-36</w:t>
              </w:r>
            </w:hyperlink>
          </w:p>
        </w:tc>
        <w:tc>
          <w:tcPr>
            <w:tcW w:w="1300" w:type="dxa"/>
            <w:vAlign w:val="bottom"/>
            <w:gridSpan w:val="2"/>
          </w:tcPr>
          <w:p>
            <w:pPr>
              <w:spacing w:after="0"/>
              <w:rPr>
                <w:sz w:val="15"/>
                <w:szCs w:val="15"/>
                <w:color w:val="auto"/>
              </w:rPr>
            </w:pPr>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540" w:type="dxa"/>
            <w:vAlign w:val="bottom"/>
            <w:tcBorders>
              <w:top w:val="single" w:sz="8" w:color="auto"/>
            </w:tcBorders>
            <w:gridSpan w:val="6"/>
          </w:tcPr>
          <w:p>
            <w:pPr>
              <w:jc w:val="right"/>
              <w:ind w:righ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1</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3"/>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2</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INCORPORATION BY REFERENCE</w:t>
              </w:r>
            </w:hyperlink>
          </w:p>
        </w:tc>
        <w:tc>
          <w:tcPr>
            <w:tcW w:w="900" w:type="dxa"/>
            <w:vAlign w:val="bottom"/>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FORWARD-LOOKING STATEMENTS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4</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BLUEPRINT MEDICINES CORPORATION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5</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RATIOS OF EARNINGS TO FIXED CHARGES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6</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USE OF PROCEEDS</w:t>
              </w:r>
            </w:hyperlink>
          </w:p>
        </w:tc>
        <w:tc>
          <w:tcPr>
            <w:tcW w:w="3400" w:type="dxa"/>
            <w:vAlign w:val="bottom"/>
            <w:gridSpan w:val="11"/>
          </w:tcPr>
          <w:p>
            <w:pPr>
              <w:spacing w:after="0"/>
              <w:rPr>
                <w:sz w:val="15"/>
                <w:szCs w:val="15"/>
                <w:color w:val="auto"/>
              </w:rPr>
            </w:pPr>
          </w:p>
        </w:tc>
        <w:tc>
          <w:tcPr>
            <w:tcW w:w="3360" w:type="dxa"/>
            <w:vAlign w:val="bottom"/>
            <w:gridSpan w:val="4"/>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DILUTION</w:t>
              </w:r>
            </w:hyperlink>
          </w:p>
        </w:tc>
        <w:tc>
          <w:tcPr>
            <w:tcW w:w="6760" w:type="dxa"/>
            <w:vAlign w:val="bottom"/>
            <w:gridSpan w:val="1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8</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DESCRIPTION OF CAPITAL STOCK</w:t>
              </w:r>
            </w:hyperlink>
          </w:p>
        </w:tc>
        <w:tc>
          <w:tcPr>
            <w:tcW w:w="5540" w:type="dxa"/>
            <w:vAlign w:val="bottom"/>
            <w:gridSpan w:val="10"/>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9</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DEBT SECURITIES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17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31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PURCHASE CONTRACTS AND PURCHASE UNITS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34</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35</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2"/>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36</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38</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6420" w:type="dxa"/>
            <w:vAlign w:val="bottom"/>
            <w:gridSpan w:val="14"/>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25"/>
        </w:trPr>
        <w:tc>
          <w:tcPr>
            <w:tcW w:w="1140" w:type="dxa"/>
            <w:vAlign w:val="bottom"/>
            <w:tcBorders>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580" w:type="dxa"/>
            <w:vAlign w:val="bottom"/>
            <w:tcBorders>
              <w:top w:val="single" w:sz="8" w:color="0000EE"/>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40" w:firstLine="485"/>
        <w:spacing w:after="0" w:line="271" w:lineRule="auto"/>
        <w:rPr>
          <w:sz w:val="20"/>
          <w:szCs w:val="20"/>
          <w:color w:val="auto"/>
        </w:rPr>
      </w:pPr>
      <w:r>
        <w:rPr>
          <w:rFonts w:ascii="Arial" w:cs="Arial" w:eastAsia="Arial" w:hAnsi="Arial"/>
          <w:sz w:val="16"/>
          <w:szCs w:val="16"/>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herein, which describes the specific terms of this offering.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8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firstLine="488"/>
        <w:spacing w:after="0" w:line="270" w:lineRule="auto"/>
        <w:rPr>
          <w:sz w:val="20"/>
          <w:szCs w:val="20"/>
          <w:color w:val="auto"/>
        </w:rPr>
      </w:pPr>
      <w:r>
        <w:rPr>
          <w:rFonts w:ascii="Arial" w:cs="Arial" w:eastAsia="Arial" w:hAnsi="Arial"/>
          <w:sz w:val="16"/>
          <w:szCs w:val="16"/>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herein or therein,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85"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We are not making offers to sell shares of our common stock or soliciting offers to purchase shares of our common stock in any jurisdiction in which such an offer or solicitation is not authorized or in which the person making such offer or solicitation is not qualified to do so or to anyone to whom it is unlawful to make an offer or solicitation.</w:t>
      </w:r>
    </w:p>
    <w:p>
      <w:pPr>
        <w:spacing w:after="0" w:line="190"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60" w:firstLine="488"/>
        <w:spacing w:after="0" w:line="242" w:lineRule="auto"/>
        <w:rPr>
          <w:sz w:val="20"/>
          <w:szCs w:val="20"/>
          <w:color w:val="auto"/>
        </w:rPr>
      </w:pPr>
      <w:r>
        <w:rPr>
          <w:rFonts w:ascii="Arial" w:cs="Arial" w:eastAsia="Arial" w:hAnsi="Arial"/>
          <w:sz w:val="18"/>
          <w:szCs w:val="18"/>
          <w:b w:val="1"/>
          <w:bCs w:val="1"/>
          <w:color w:val="auto"/>
        </w:rPr>
        <w:t>No action is being taken in any jurisdiction outside the U.S.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U.S. are required to inform themselves about and to observe any restrictions as to this offering and the distribution of this prospectus supplement or the accompanying prospectus applicable to that jurisdiction.</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jc w:val="both"/>
        <w:ind w:right="460" w:firstLine="488"/>
        <w:spacing w:after="0" w:line="23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w:t>
      </w:r>
    </w:p>
    <w:p>
      <w:pPr>
        <w:spacing w:after="0" w:line="209"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Annual Report on Form 10-K for the fiscal year ended December 31, 2018, filed with the SEC on February 26, 2019;</w:t>
        </w:r>
      </w:hyperlink>
    </w:p>
    <w:p>
      <w:pPr>
        <w:spacing w:after="0" w:line="211" w:lineRule="exact"/>
        <w:rPr>
          <w:rFonts w:ascii="Arial" w:cs="Arial" w:eastAsia="Arial" w:hAnsi="Arial"/>
          <w:sz w:val="18"/>
          <w:szCs w:val="18"/>
          <w:u w:val="single" w:color="auto"/>
          <w:color w:val="0000EE"/>
        </w:rPr>
      </w:pPr>
    </w:p>
    <w:p>
      <w:pPr>
        <w:ind w:left="1080" w:right="6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16">
        <w:r>
          <w:rPr>
            <w:rFonts w:ascii="Arial" w:cs="Arial" w:eastAsia="Arial" w:hAnsi="Arial"/>
            <w:sz w:val="18"/>
            <w:szCs w:val="18"/>
            <w:u w:val="single" w:color="auto"/>
            <w:color w:val="0000EE"/>
          </w:rPr>
          <w:t>Definitive Proxy Statement on Schedule 14A, filed with the SEC on April 29,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incorporated by reference into our </w:t>
      </w:r>
      <w:hyperlink r:id="rId15">
        <w:r>
          <w:rPr>
            <w:rFonts w:ascii="Arial" w:cs="Arial" w:eastAsia="Arial" w:hAnsi="Arial"/>
            <w:sz w:val="18"/>
            <w:szCs w:val="18"/>
            <w:u w:val="single" w:color="auto"/>
            <w:color w:val="0000EE"/>
          </w:rPr>
          <w:t>Annual Report on Form 10-K for the fiscal year ended December 31, 2018;</w:t>
        </w:r>
      </w:hyperlink>
    </w:p>
    <w:p>
      <w:pPr>
        <w:spacing w:after="0" w:line="20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March 31, 2019, June 30, 2019 and September 30, 2019, filed with the SEC on </w:t>
      </w:r>
      <w:hyperlink r:id="rId18">
        <w:r>
          <w:rPr>
            <w:rFonts w:ascii="Arial" w:cs="Arial" w:eastAsia="Arial" w:hAnsi="Arial"/>
            <w:sz w:val="18"/>
            <w:szCs w:val="18"/>
            <w:u w:val="single" w:color="auto"/>
            <w:color w:val="0000EE"/>
          </w:rPr>
          <w:t>May 9, 2019</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August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
        <w:r>
          <w:rPr>
            <w:rFonts w:ascii="Arial" w:cs="Arial" w:eastAsia="Arial" w:hAnsi="Arial"/>
            <w:sz w:val="18"/>
            <w:szCs w:val="18"/>
            <w:u w:val="single" w:color="auto"/>
            <w:color w:val="0000EE"/>
          </w:rPr>
          <w:t>November 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respectively;</w:t>
      </w:r>
    </w:p>
    <w:p>
      <w:pPr>
        <w:spacing w:after="0" w:line="208" w:lineRule="exact"/>
        <w:rPr>
          <w:rFonts w:ascii="Arial" w:cs="Arial" w:eastAsia="Arial" w:hAnsi="Arial"/>
          <w:sz w:val="18"/>
          <w:szCs w:val="18"/>
          <w:color w:val="auto"/>
        </w:rPr>
      </w:pPr>
    </w:p>
    <w:p>
      <w:pPr>
        <w:ind w:left="1080" w:right="40" w:hanging="532"/>
        <w:spacing w:after="0" w:line="237" w:lineRule="auto"/>
        <w:tabs>
          <w:tab w:leader="none" w:pos="1080" w:val="left"/>
        </w:tabs>
        <w:numPr>
          <w:ilvl w:val="0"/>
          <w:numId w:val="4"/>
        </w:numPr>
        <w:rPr>
          <w:rFonts w:ascii="Arial" w:cs="Arial" w:eastAsia="Arial" w:hAnsi="Arial"/>
          <w:sz w:val="18"/>
          <w:szCs w:val="18"/>
          <w:color w:val="000000"/>
        </w:rPr>
      </w:pPr>
      <w:hyperlink r:id="rId21">
        <w:r>
          <w:rPr>
            <w:rFonts w:ascii="Arial" w:cs="Arial" w:eastAsia="Arial" w:hAnsi="Arial"/>
            <w:sz w:val="18"/>
            <w:szCs w:val="18"/>
            <w:color w:val="auto"/>
          </w:rPr>
          <w:t xml:space="preserve">Current Reports on Form 8-K filed on </w:t>
        </w:r>
        <w:r>
          <w:rPr>
            <w:rFonts w:ascii="Arial" w:cs="Arial" w:eastAsia="Arial" w:hAnsi="Arial"/>
            <w:sz w:val="18"/>
            <w:szCs w:val="18"/>
            <w:u w:val="single" w:color="auto"/>
            <w:color w:val="0000EE"/>
          </w:rPr>
          <w:t>March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27,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29,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20, 2019, July 3,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October 16,</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2019</w:t>
        </w:r>
        <w:r>
          <w:rPr>
            <w:rFonts w:ascii="Arial" w:cs="Arial" w:eastAsia="Arial" w:hAnsi="Arial"/>
            <w:sz w:val="18"/>
            <w:szCs w:val="18"/>
            <w:color w:val="0000EE"/>
          </w:rPr>
          <w:t xml:space="preserve"> </w:t>
        </w:r>
        <w:r>
          <w:rPr>
            <w:rFonts w:ascii="Arial" w:cs="Arial" w:eastAsia="Arial" w:hAnsi="Arial"/>
            <w:sz w:val="18"/>
            <w:szCs w:val="18"/>
            <w:color w:val="000000"/>
          </w:rPr>
          <w:t>(solely with respect to Items 1.01 and 8.01),</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October 28, 2019</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December 9, 2019 </w:t>
        </w:r>
      </w:hyperlink>
      <w:hyperlink r:id="rId21">
        <w:r>
          <w:rPr>
            <w:rFonts w:ascii="Arial" w:cs="Arial" w:eastAsia="Arial" w:hAnsi="Arial"/>
            <w:sz w:val="18"/>
            <w:szCs w:val="18"/>
            <w:color w:val="000000"/>
          </w:rPr>
          <w:t>(solely with respect to the information</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included in Exhibit 99.1), </w:t>
      </w:r>
      <w:hyperlink r:id="rId24">
        <w:r>
          <w:rPr>
            <w:rFonts w:ascii="Arial" w:cs="Arial" w:eastAsia="Arial" w:hAnsi="Arial"/>
            <w:sz w:val="18"/>
            <w:szCs w:val="18"/>
            <w:u w:val="single" w:color="auto"/>
            <w:color w:val="0000EE"/>
          </w:rPr>
          <w:t>December 20, 2019</w:t>
        </w:r>
      </w:hyperlink>
      <w:r>
        <w:rPr>
          <w:rFonts w:ascii="Arial" w:cs="Arial" w:eastAsia="Arial" w:hAnsi="Arial"/>
          <w:sz w:val="18"/>
          <w:szCs w:val="18"/>
          <w:color w:val="000000"/>
        </w:rPr>
        <w:t xml:space="preserve">, </w:t>
      </w:r>
      <w:hyperlink r:id="rId25">
        <w:r>
          <w:rPr>
            <w:rFonts w:ascii="Arial" w:cs="Arial" w:eastAsia="Arial" w:hAnsi="Arial"/>
            <w:sz w:val="18"/>
            <w:szCs w:val="18"/>
            <w:u w:val="single" w:color="auto"/>
            <w:color w:val="0000EE"/>
          </w:rPr>
          <w:t>January 8, 2020</w:t>
        </w:r>
      </w:hyperlink>
      <w:r>
        <w:rPr>
          <w:rFonts w:ascii="Arial" w:cs="Arial" w:eastAsia="Arial" w:hAnsi="Arial"/>
          <w:sz w:val="18"/>
          <w:szCs w:val="18"/>
          <w:color w:val="000000"/>
        </w:rPr>
        <w:t xml:space="preserve">, </w:t>
      </w:r>
      <w:hyperlink r:id="rId26">
        <w:r>
          <w:rPr>
            <w:rFonts w:ascii="Arial" w:cs="Arial" w:eastAsia="Arial" w:hAnsi="Arial"/>
            <w:sz w:val="18"/>
            <w:szCs w:val="18"/>
            <w:u w:val="single" w:color="auto"/>
            <w:color w:val="0000EE"/>
          </w:rPr>
          <w:t>January 9, 2020</w:t>
        </w:r>
      </w:hyperlink>
      <w:r>
        <w:rPr>
          <w:rFonts w:ascii="Arial" w:cs="Arial" w:eastAsia="Arial" w:hAnsi="Arial"/>
          <w:sz w:val="18"/>
          <w:szCs w:val="18"/>
          <w:color w:val="000000"/>
        </w:rPr>
        <w:t xml:space="preserve">, </w:t>
      </w:r>
      <w:hyperlink r:id="rId27">
        <w:r>
          <w:rPr>
            <w:rFonts w:ascii="Arial" w:cs="Arial" w:eastAsia="Arial" w:hAnsi="Arial"/>
            <w:sz w:val="18"/>
            <w:szCs w:val="18"/>
            <w:u w:val="single" w:color="auto"/>
            <w:color w:val="0000EE"/>
          </w:rPr>
          <w:t>January 13,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(solely with respect to Item 8.01) and </w:t>
      </w:r>
      <w:hyperlink r:id="rId28">
        <w:r>
          <w:rPr>
            <w:rFonts w:ascii="Arial" w:cs="Arial" w:eastAsia="Arial" w:hAnsi="Arial"/>
            <w:sz w:val="18"/>
            <w:szCs w:val="18"/>
            <w:u w:val="single" w:color="auto"/>
            <w:color w:val="0000EE"/>
          </w:rPr>
          <w:t>January 21, 2020</w:t>
        </w:r>
      </w:hyperlink>
      <w:r>
        <w:rPr>
          <w:rFonts w:ascii="Arial" w:cs="Arial" w:eastAsia="Arial" w:hAnsi="Arial"/>
          <w:sz w:val="18"/>
          <w:szCs w:val="18"/>
          <w:color w:val="000000"/>
        </w:rPr>
        <w:t>; and</w:t>
      </w:r>
    </w:p>
    <w:p>
      <w:pPr>
        <w:spacing w:after="0" w:line="195" w:lineRule="exact"/>
        <w:rPr>
          <w:rFonts w:ascii="Arial" w:cs="Arial" w:eastAsia="Arial" w:hAnsi="Arial"/>
          <w:sz w:val="18"/>
          <w:szCs w:val="18"/>
          <w:color w:val="000000"/>
        </w:rPr>
      </w:pPr>
    </w:p>
    <w:p>
      <w:pPr>
        <w:ind w:left="1080" w:right="380" w:hanging="532"/>
        <w:spacing w:after="0" w:line="239" w:lineRule="auto"/>
        <w:tabs>
          <w:tab w:leader="none" w:pos="1080" w:val="left"/>
        </w:tabs>
        <w:numPr>
          <w:ilvl w:val="0"/>
          <w:numId w:val="4"/>
        </w:numPr>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The description of our common stock contained in our Registration Statement on Form 8-A filed on April 27, 2015, including any</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amendments or reports filed for the purpose of updating such description.</w:t>
        </w:r>
      </w:hyperlink>
    </w:p>
    <w:p>
      <w:pPr>
        <w:spacing w:after="0" w:line="209"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Blueprint Medicines Corporation</w:t>
      </w:r>
    </w:p>
    <w:p>
      <w:pPr>
        <w:jc w:val="center"/>
        <w:ind w:right="-59"/>
        <w:spacing w:after="0" w:line="234" w:lineRule="auto"/>
        <w:rPr>
          <w:sz w:val="20"/>
          <w:szCs w:val="20"/>
          <w:color w:val="auto"/>
        </w:rPr>
      </w:pPr>
      <w:r>
        <w:rPr>
          <w:rFonts w:ascii="Arial" w:cs="Arial" w:eastAsia="Arial" w:hAnsi="Arial"/>
          <w:sz w:val="18"/>
          <w:szCs w:val="18"/>
          <w:color w:val="auto"/>
        </w:rPr>
        <w:t>45 Sidney Street</w:t>
      </w:r>
    </w:p>
    <w:p>
      <w:pPr>
        <w:jc w:val="center"/>
        <w:ind w:right="-5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59"/>
        <w:spacing w:after="0" w:line="235" w:lineRule="auto"/>
        <w:rPr>
          <w:sz w:val="20"/>
          <w:szCs w:val="20"/>
          <w:color w:val="auto"/>
        </w:rPr>
      </w:pPr>
      <w:r>
        <w:rPr>
          <w:rFonts w:ascii="Arial" w:cs="Arial" w:eastAsia="Arial" w:hAnsi="Arial"/>
          <w:sz w:val="18"/>
          <w:szCs w:val="18"/>
          <w:color w:val="auto"/>
        </w:rPr>
        <w:t>Attn: Investor Relations</w:t>
      </w:r>
    </w:p>
    <w:p>
      <w:pPr>
        <w:jc w:val="center"/>
        <w:ind w:right="-59"/>
        <w:spacing w:after="0" w:line="235" w:lineRule="auto"/>
        <w:rPr>
          <w:sz w:val="20"/>
          <w:szCs w:val="20"/>
          <w:color w:val="auto"/>
        </w:rPr>
      </w:pPr>
      <w:r>
        <w:rPr>
          <w:rFonts w:ascii="Arial" w:cs="Arial" w:eastAsia="Arial" w:hAnsi="Arial"/>
          <w:sz w:val="18"/>
          <w:szCs w:val="18"/>
          <w:color w:val="auto"/>
        </w:rPr>
        <w:t>Phone: (617) 714-6674</w:t>
      </w:r>
    </w:p>
    <w:p>
      <w:pPr>
        <w:jc w:val="center"/>
        <w:ind w:right="-59"/>
        <w:spacing w:after="0"/>
        <w:rPr>
          <w:sz w:val="20"/>
          <w:szCs w:val="20"/>
          <w:color w:val="auto"/>
        </w:rPr>
      </w:pPr>
      <w:r>
        <w:rPr>
          <w:rFonts w:ascii="Arial" w:cs="Arial" w:eastAsia="Arial" w:hAnsi="Arial"/>
          <w:sz w:val="18"/>
          <w:szCs w:val="18"/>
          <w:color w:val="auto"/>
        </w:rPr>
        <w:t>E-mail: ir@blueprintmedicines.com</w:t>
      </w:r>
    </w:p>
    <w:p>
      <w:pPr>
        <w:spacing w:after="0" w:line="212"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pralsetinib, fisogatinib and BLU-263,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right="180" w:hanging="532"/>
        <w:spacing w:after="0" w:line="23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drug candidates, including the likelihood of a PDUFA date extension for our new drug application for avapritinib for the treatment of fourth-line gastrointestinal stromal tumor and our ability to successfully expand the indication for avapritinib, obtain marketing approval for avapritinib in additional jurisdictions and obtain marketing approval for pralsetinib;</w:t>
      </w:r>
    </w:p>
    <w:p>
      <w:pPr>
        <w:spacing w:after="0" w:line="208"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and any future products in the U.S. and Europe;</w:t>
      </w:r>
    </w:p>
    <w:p>
      <w:pPr>
        <w:spacing w:after="0" w:line="195"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 and any current and future drug candidates for which we receive marketing approval;</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and reimbursement of AYVAKIT and any future products;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and drug candidates and technology;</w:t>
      </w:r>
    </w:p>
    <w:p>
      <w:pPr>
        <w:spacing w:after="0" w:line="19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w:t>
      </w:r>
    </w:p>
    <w:p>
      <w:pPr>
        <w:ind w:left="1080" w:right="200"/>
        <w:spacing w:after="0" w:line="239" w:lineRule="auto"/>
        <w:rPr>
          <w:rFonts w:ascii="Arial" w:cs="Arial" w:eastAsia="Arial" w:hAnsi="Arial"/>
          <w:sz w:val="18"/>
          <w:szCs w:val="18"/>
          <w:color w:val="auto"/>
        </w:rPr>
      </w:pPr>
      <w:r>
        <w:rPr>
          <w:rFonts w:ascii="Arial" w:cs="Arial" w:eastAsia="Arial" w:hAnsi="Arial"/>
          <w:sz w:val="18"/>
          <w:szCs w:val="18"/>
          <w:color w:val="auto"/>
        </w:rPr>
        <w:t>Roche Inc. and our collaboration with CStone Pharmaceuticals, as well as our ability to maintain these collaborations and establish other strategic collaborations;</w:t>
      </w:r>
    </w:p>
    <w:p>
      <w:pPr>
        <w:spacing w:after="0" w:line="195"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exclusive license agreement with Clementia Pharmaceuticals, Inc. to develop and commercialize BLU-782;</w:t>
      </w:r>
    </w:p>
    <w:p>
      <w:pPr>
        <w:spacing w:after="0" w:line="195" w:lineRule="exact"/>
        <w:rPr>
          <w:rFonts w:ascii="Arial" w:cs="Arial" w:eastAsia="Arial" w:hAnsi="Arial"/>
          <w:sz w:val="18"/>
          <w:szCs w:val="18"/>
          <w:color w:val="auto"/>
        </w:rPr>
      </w:pPr>
    </w:p>
    <w:p>
      <w:pPr>
        <w:ind w:left="1080" w:right="42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of a companion diagnostic test for AYVAKIT to identify patients with a PDGFRA D842V mutation or companion diagnostic tests for our current or future drug candidates;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0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and expectations regarding our cash, cash equivalents and investments, future product revenues, capital requirements and needs for additional financing; and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firstLine="488"/>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w:t>
      </w:r>
      <w:hyperlink r:id="rId15">
        <w:r>
          <w:rPr>
            <w:rFonts w:ascii="Arial" w:cs="Arial" w:eastAsia="Arial" w:hAnsi="Arial"/>
            <w:sz w:val="18"/>
            <w:szCs w:val="18"/>
            <w:color w:val="auto"/>
          </w:rPr>
          <w:t xml:space="preserve">section beginning on page S-14 of this prospectus supplement and on page 45 of our </w:t>
        </w:r>
        <w:r>
          <w:rPr>
            <w:rFonts w:ascii="Arial" w:cs="Arial" w:eastAsia="Arial" w:hAnsi="Arial"/>
            <w:sz w:val="18"/>
            <w:szCs w:val="18"/>
            <w:u w:val="single" w:color="auto"/>
            <w:color w:val="0000EE"/>
          </w:rPr>
          <w:t>Annual Report on Form 10-K for the fiscal year ended</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December 31, 2018, as filed with the SEC on February 26, 2019</w:t>
        </w:r>
        <w:r>
          <w:rPr>
            <w:rFonts w:ascii="Arial" w:cs="Arial" w:eastAsia="Arial" w:hAnsi="Arial"/>
            <w:sz w:val="18"/>
            <w:szCs w:val="18"/>
            <w:color w:val="000000"/>
          </w:rPr>
          <w:t>, that could cause actual results or events to differ materially from the forward</w:t>
        </w:r>
      </w:hyperlink>
      <w:r>
        <w:rPr>
          <w:rFonts w:ascii="Arial" w:cs="Arial" w:eastAsia="Arial" w:hAnsi="Arial"/>
          <w:sz w:val="18"/>
          <w:szCs w:val="18"/>
          <w:color w:val="0000EE"/>
        </w:rPr>
        <w:t>-</w:t>
      </w:r>
      <w:r>
        <w:rPr>
          <w:rFonts w:ascii="Arial" w:cs="Arial" w:eastAsia="Arial" w:hAnsi="Arial"/>
          <w:sz w:val="18"/>
          <w:szCs w:val="18"/>
          <w:color w:val="000000"/>
        </w:rPr>
        <w:t>looking statements that we make. Our forward-looking statements do not reflect the potential impact of any future acquisitions, mergers, dispositions, joint ventures or investments we may make or enter into.</w:t>
      </w:r>
    </w:p>
    <w:p>
      <w:pPr>
        <w:spacing w:after="0" w:line="208"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332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250430" cy="633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4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S-14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products and drug candidates to inhibit novel kinase targets that have been difficult to selectively inhibit. We believe that our uniquely targeted, scalable approach empowers the rapid design and development of new treatments and increases the likelihood of success. We have one precision therapy approved by the U.S. Food and Drug Administration, or FDA, and are currently advancing multiple investigational medicines in clinical development, along with multiple research programs.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Avapritinib and BLU-263 — systemic mastocytosis (SM) and other mast cell disorders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Avapritinib</w:t>
      </w:r>
    </w:p>
    <w:p>
      <w:pPr>
        <w:spacing w:after="0" w:line="232"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color w:val="auto"/>
        </w:rPr>
        <w:t>We are developing avapritinib for the treatment of systemic mastocytosis, a rare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08" w:lineRule="exact"/>
        <w:rPr>
          <w:sz w:val="20"/>
          <w:szCs w:val="20"/>
          <w:color w:val="auto"/>
        </w:rPr>
      </w:pPr>
    </w:p>
    <w:p>
      <w:pPr>
        <w:ind w:left="240" w:right="80" w:firstLine="488"/>
        <w:spacing w:after="0" w:line="264" w:lineRule="auto"/>
        <w:rPr>
          <w:sz w:val="20"/>
          <w:szCs w:val="20"/>
          <w:color w:val="auto"/>
        </w:rPr>
      </w:pPr>
      <w:r>
        <w:rPr>
          <w:rFonts w:ascii="Arial" w:cs="Arial" w:eastAsia="Arial" w:hAnsi="Arial"/>
          <w:sz w:val="16"/>
          <w:szCs w:val="16"/>
          <w:color w:val="auto"/>
        </w:rPr>
        <w:t>We are currently evaluating avapritinib in an ongoing Phase 1 clinical trial in advanced SM, which we refer to as our EXPLORER trial, an ongoing registration-enabling Phase 2 clinical trial in advanced SM, which we refer to as our PATHFINDER trial, and an ongoing registration-enabling Phase 2 clinical trial in indolent and smoldering SM, which we refer to as our PIONEER trial. In December 2019, we</w:t>
      </w:r>
    </w:p>
    <w:p>
      <w:pPr>
        <w:ind w:left="240" w:right="140"/>
        <w:spacing w:after="0" w:line="219" w:lineRule="auto"/>
        <w:rPr>
          <w:sz w:val="20"/>
          <w:szCs w:val="20"/>
          <w:color w:val="auto"/>
        </w:rPr>
      </w:pPr>
      <w:r>
        <w:rPr>
          <w:rFonts w:ascii="Arial" w:cs="Arial" w:eastAsia="Arial" w:hAnsi="Arial"/>
          <w:sz w:val="18"/>
          <w:szCs w:val="18"/>
          <w:color w:val="auto"/>
        </w:rPr>
        <w:t>reported initial data from the dose-finding portion (part 1) of the PIONEER trial at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American Society of Hematology Annual Meeting and Exposition and updated data from the EXPLORER trial. We plan to report updated data from part 1 of the PIONEER trial in a late-breaking oral presentation on March 14, 2020 at the annual meeting for the American Academy of Allergy, Asthma &amp; Immunology. We also plan to present updated data from the EXPLORER and PATHFINDER trials in the second half of 2020. In addition, we expect to complete enrollment of part 2 of the PIONEER trial by the end of 2020.</w:t>
      </w:r>
    </w:p>
    <w:p>
      <w:pPr>
        <w:spacing w:after="0" w:line="210" w:lineRule="exact"/>
        <w:rPr>
          <w:sz w:val="20"/>
          <w:szCs w:val="20"/>
          <w:color w:val="auto"/>
        </w:rPr>
      </w:pPr>
    </w:p>
    <w:p>
      <w:pPr>
        <w:ind w:left="240" w:right="380" w:firstLine="488"/>
        <w:spacing w:after="0" w:line="237" w:lineRule="auto"/>
        <w:rPr>
          <w:sz w:val="20"/>
          <w:szCs w:val="20"/>
          <w:color w:val="auto"/>
        </w:rPr>
      </w:pPr>
      <w:r>
        <w:rPr>
          <w:rFonts w:ascii="Arial" w:cs="Arial" w:eastAsia="Arial" w:hAnsi="Arial"/>
          <w:sz w:val="18"/>
          <w:szCs w:val="18"/>
          <w:color w:val="auto"/>
        </w:rPr>
        <w:t>Based on ongoing discussions with the FDA, we plan to submit a supplemental new drug application, or NDA, to the FDA for avapritinib for the treatment of advanced SM in the second half of 2020, which we anticipate will be focused on data from patients in the EXPLORER and PATHFINDER trials who started at the proposed dose of 200 mg once daily, or QD, supported by pooled data from all doses. The FDA has granted orphan drug designation to avapritinib for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784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00"/>
        <w:spacing w:after="0" w:line="238" w:lineRule="auto"/>
        <w:rPr>
          <w:sz w:val="20"/>
          <w:szCs w:val="20"/>
          <w:color w:val="auto"/>
        </w:rPr>
      </w:pPr>
      <w:r>
        <w:rPr>
          <w:rFonts w:ascii="Arial" w:cs="Arial" w:eastAsia="Arial" w:hAnsi="Arial"/>
          <w:sz w:val="18"/>
          <w:szCs w:val="18"/>
          <w:color w:val="auto"/>
        </w:rPr>
        <w:t>treatment of mastocytosis, and the European Commission has granted orphan medicinal product designation to avapritinib for the treatment of mastocytosis. In addition, the FDA has granted breakthrough therapy designation to avapritinib for the treatment of advanced SM, including the subtypes of aggressive SM, SM with an associated hematologic neoplasm and mast cell leukemia.</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BLU-263</w:t>
      </w:r>
    </w:p>
    <w:p>
      <w:pPr>
        <w:spacing w:after="0" w:line="232" w:lineRule="exact"/>
        <w:rPr>
          <w:sz w:val="20"/>
          <w:szCs w:val="20"/>
          <w:color w:val="auto"/>
        </w:rPr>
      </w:pPr>
    </w:p>
    <w:p>
      <w:pPr>
        <w:ind w:left="240" w:firstLine="488"/>
        <w:spacing w:after="0" w:line="273" w:lineRule="auto"/>
        <w:rPr>
          <w:sz w:val="20"/>
          <w:szCs w:val="20"/>
          <w:color w:val="auto"/>
        </w:rPr>
      </w:pPr>
      <w:r>
        <w:rPr>
          <w:rFonts w:ascii="Arial" w:cs="Arial" w:eastAsia="Arial" w:hAnsi="Arial"/>
          <w:sz w:val="16"/>
          <w:szCs w:val="16"/>
          <w:color w:val="auto"/>
        </w:rPr>
        <w:t>We are developing BLU-263 for the treatment of mast cell disorders, including SM. BLU-263 is an investigational, orally available, potent and highly selective KIT inhibitor currently in the discovery stage. BLU-263 is designed to have equivalent potency as avapritinib, improved selectivity for KIT, with low off-target activity, and lower penetration of the central nervous system relative to avapritinib based on preclinical data, which may provide BLU-263 flexibility to expand into indolent SM and a broader set of mast cell disorders. We plan to submit an investigational new drug application for BLU-263 for indolent SM and initiate a Phase 1 trial in healthy volunteers in the first half of 2020.</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Pralsetinib — RET-altered cancers</w:t>
      </w:r>
    </w:p>
    <w:p>
      <w:pPr>
        <w:spacing w:after="0" w:line="234" w:lineRule="exact"/>
        <w:rPr>
          <w:sz w:val="20"/>
          <w:szCs w:val="20"/>
          <w:color w:val="auto"/>
        </w:rPr>
      </w:pPr>
    </w:p>
    <w:p>
      <w:pPr>
        <w:ind w:left="240" w:right="80" w:firstLine="488"/>
        <w:spacing w:after="0" w:line="236" w:lineRule="auto"/>
        <w:rPr>
          <w:sz w:val="20"/>
          <w:szCs w:val="20"/>
          <w:color w:val="auto"/>
        </w:rPr>
      </w:pPr>
      <w:r>
        <w:rPr>
          <w:rFonts w:ascii="Arial" w:cs="Arial" w:eastAsia="Arial" w:hAnsi="Arial"/>
          <w:sz w:val="18"/>
          <w:szCs w:val="18"/>
          <w:color w:val="auto"/>
        </w:rPr>
        <w:t>We are developing pralsetinib for the treatment of RET-altered non-small cell lung cancer, or NSCLC, medullary thyroid carcinoma, or MTC, and other solid tumors. Pralsetinib is an investigational, orally available, potent and highly selective inhibitor that targets RET, a receptor tyrosine kinase. Pralsetinib is designed to inhibit the activating fusions and mutations of RET that drive cancer growth and remain active in the presence of resistance mutations that we predict will arise from treatment with first generation therapies. RET activating fusions and mutations drive disease in subsets of patients with NSCLC, and cancers of the thyroid, including MTC and papillary thyroid cancer, and our research suggests that RET may drive disease in subsets of patients with colon cancer, breast cancer, pancreatic cancer and other cancers.</w:t>
      </w:r>
    </w:p>
    <w:p>
      <w:pPr>
        <w:spacing w:after="0" w:line="209"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are currently evaluating pralsetinib in an ongoing Phase 1/2 clinical trial in patients with RET-altered NSCLC, MTC and other advanced solid tumors, which we refer to as our ARROW trial. In January 2020, we reported top-line data from the ARROW trial in RET fusion-positive NSCLC patients treated with pralsetinib at the proposed indicated dose of 400 mg QD. We plan to present the registration data from the ARROW trial of pralsetinib in RET fusion-positive NSCLC and RET-mutant MTC in 2020. We also recently announced the activation of the first trial site for our Phase 3 clinical trial of pralsetinib in patients with first-line RET fusion-positive NSCLC, which we refer to as our AcceleRET Lung trial, and we plan to initiate a Phase 3 clinical trial of pralsetinib in first-line RET-mutant MTC in the second half of 2020.</w:t>
      </w:r>
    </w:p>
    <w:p>
      <w:pPr>
        <w:spacing w:after="0" w:line="209"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In January 2020, we initiated the submission of a rolling NDA to the FDA for the treatment of patients with RET fusion-positive NSCLC and expect to complete the submission in the first quarter of 2020. We plan to submit an NDA to the FDA for pralsetinib for the treatment of patients with MTC previously treated with an approved multi-kinase inhibitor in the second quarter of 2020. In addition, we plan to submit a marketing authorization application, or MAA, to the European Medicines Agency, or EMA, for pralsetinib for RET fusion-positive NSCLC in the second quarter of 2020.</w:t>
      </w:r>
    </w:p>
    <w:p>
      <w:pPr>
        <w:spacing w:after="0" w:line="211" w:lineRule="exact"/>
        <w:rPr>
          <w:sz w:val="20"/>
          <w:szCs w:val="20"/>
          <w:color w:val="auto"/>
        </w:rPr>
      </w:pPr>
    </w:p>
    <w:p>
      <w:pPr>
        <w:ind w:left="240" w:right="100" w:firstLine="485"/>
        <w:spacing w:after="0" w:line="275" w:lineRule="auto"/>
        <w:rPr>
          <w:sz w:val="20"/>
          <w:szCs w:val="20"/>
          <w:color w:val="auto"/>
        </w:rPr>
      </w:pPr>
      <w:r>
        <w:rPr>
          <w:rFonts w:ascii="Arial" w:cs="Arial" w:eastAsia="Arial" w:hAnsi="Arial"/>
          <w:sz w:val="16"/>
          <w:szCs w:val="16"/>
          <w:color w:val="auto"/>
        </w:rPr>
        <w:t>The FDA has granted orphan drug designation to pralsetinib for the treatment of RET-rearranged NSCLC, JAK1/2-positive NSCLC or TRKC-positive NSCLC, and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904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250430" cy="590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Avapritinib — gastrointestinal stromal tumors (GIST)</w:t>
      </w:r>
    </w:p>
    <w:p>
      <w:pPr>
        <w:spacing w:after="0" w:line="234" w:lineRule="exact"/>
        <w:rPr>
          <w:sz w:val="20"/>
          <w:szCs w:val="20"/>
          <w:color w:val="auto"/>
        </w:rPr>
      </w:pPr>
    </w:p>
    <w:p>
      <w:pPr>
        <w:ind w:left="240" w:right="120" w:firstLine="488"/>
        <w:spacing w:after="0" w:line="238" w:lineRule="auto"/>
        <w:rPr>
          <w:sz w:val="20"/>
          <w:szCs w:val="20"/>
          <w:color w:val="auto"/>
        </w:rPr>
      </w:pPr>
      <w:r>
        <w:rPr>
          <w:rFonts w:ascii="Arial" w:cs="Arial" w:eastAsia="Arial" w:hAnsi="Arial"/>
          <w:sz w:val="18"/>
          <w:szCs w:val="18"/>
          <w:color w:val="auto"/>
        </w:rPr>
        <w:t>We are also developing avapritinib for the treatment of GIST, a rare disease that is a sarcoma, or tumor of bone or connective tissue, of the gastrointestinal tract. Avapritinib is an orally available, potent and highly selective inhibitor that targets KIT and PDGFRA mutations. These mutations abnormally activate receptor tyrosine kinases that are drivers of GIST.</w:t>
      </w:r>
    </w:p>
    <w:p>
      <w:pPr>
        <w:spacing w:after="0" w:line="208" w:lineRule="exact"/>
        <w:rPr>
          <w:sz w:val="20"/>
          <w:szCs w:val="20"/>
          <w:color w:val="auto"/>
        </w:rPr>
      </w:pPr>
    </w:p>
    <w:p>
      <w:pPr>
        <w:ind w:left="240" w:right="260" w:firstLine="488"/>
        <w:spacing w:after="0" w:line="236" w:lineRule="auto"/>
        <w:rPr>
          <w:sz w:val="20"/>
          <w:szCs w:val="20"/>
          <w:color w:val="auto"/>
        </w:rPr>
      </w:pPr>
      <w:r>
        <w:rPr>
          <w:rFonts w:ascii="Arial" w:cs="Arial" w:eastAsia="Arial" w:hAnsi="Arial"/>
          <w:sz w:val="18"/>
          <w:szCs w:val="18"/>
          <w:color w:val="auto"/>
        </w:rPr>
        <w:t>In January 2020, the FDA granted us approval of avapritinib under the brand name AYVAKIT™ for the treatment of adults with unresectable or metastatic GIST harboring a PDGFRA exon 18 mutation, including PDGFRA D842V mutations. The FDA granted breakthrough therapy designation to avapritinib for the treatment of patients with unresectable or metastatic GIST harboring the PDGFRA D842V mutation. The FDA also granted orphan drug designation to avapritinib for the treatment of GIST and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w:t>
      </w:r>
    </w:p>
    <w:p>
      <w:pPr>
        <w:spacing w:after="0" w:line="209"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In addition, we are developing avapritinib for the treatment of third-line and later GIST (including fourth-line GIST). We are currently evaluating avapritinib for the treatment of GIST in an ongoing global, randomized Phase 3 clinical trial comparing avapritinib to regorafenib in third-line GIST, which we refer to as our VOYAGER trial. We expect to report top-line data from the VOYAGER trial in the second quarter of 2020, and we plan to submit a supplemental NDA to the FDA for avapritinib for the treatment of third-line GIST in the second half of 2020. In addition, the FDA is currently reviewing our NDA for avapritinib for the treatment of fourth-line GIST, and this application currently has a Prescription Drug User Fee Act, or PDUFA, action date of February 14, 2020. As part of the review, the FDA has requested top-line data from our VOYAGER trial. To enable us to submit the requested top-line data to the FDA, we have submitted an amendment to our pending NDA for fourth-line GIST, which if classified as a major amendment, would potentially extend our PDUFA action date by three months to May 14, 2020. If the FDA extends our PDUFA action date, we expect to provide the top-line data to the FDA early in the second quarter of 2020 prior to completion of the review cycle. Subject to the FDA's extension of the PDUFA action date, we expect a decision from the FDA on our NDA for fourth-line GIST in the second quarter of 2020.</w:t>
      </w:r>
    </w:p>
    <w:p>
      <w:pPr>
        <w:spacing w:after="0" w:line="215"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In July 2019, the EMA validated our MAA for avapritinib for the treatment of adult patients with PDGFRA D842V mutant GIST, regardless of prior therapy, and fourth-line GIST. Based on ongoing discussions with European regulatory authorities and an evaluation of market access opportunities in the European Union, we continue to pursue a conditional marketing authorization for avapritinib for PDGFRA D842V mutant GIST, and for third-line and later GIST (including fourth-line GIST), we plan to pursue a separate marketing authorization application based on randomized controlled data from our VOYAGER trial. We anticipate a decision from the European Commission on the PDGFRA D842V GIST indication in the third quarter of 2020. The European Commission has granted orphan medicinal product designation to avapritinib for the treatment of GIST.</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Fisogatinib — hepatocellular carcinoma (HCC)</w:t>
      </w:r>
    </w:p>
    <w:p>
      <w:pPr>
        <w:spacing w:after="0" w:line="234" w:lineRule="exact"/>
        <w:rPr>
          <w:sz w:val="20"/>
          <w:szCs w:val="20"/>
          <w:color w:val="auto"/>
        </w:rPr>
      </w:pPr>
    </w:p>
    <w:p>
      <w:pPr>
        <w:ind w:left="240" w:right="100" w:firstLine="488"/>
        <w:spacing w:after="0" w:line="273" w:lineRule="auto"/>
        <w:rPr>
          <w:sz w:val="20"/>
          <w:szCs w:val="20"/>
          <w:color w:val="auto"/>
        </w:rPr>
      </w:pPr>
      <w:r>
        <w:rPr>
          <w:rFonts w:ascii="Arial" w:cs="Arial" w:eastAsia="Arial" w:hAnsi="Arial"/>
          <w:sz w:val="16"/>
          <w:szCs w:val="16"/>
          <w:color w:val="auto"/>
        </w:rPr>
        <w:t>We are developing fisogatinib for the treatment of advanced HCC. Fisogatinib is an investigational, orally available, potent and highly selective inhibitor that targets FGFR4, a kinase that is aberrantly activated in a defined subset of patients with HCC, the most common type of liver cancer. We are currently evaluating fisogatinib in an ongoing Phase 1 clinical trial in patients with advanced HCC. As part of our collaboration with CStone Pharmaceuticals, or CStone, we are also evaluating fisogatinib in combination with CS1001, a clinical-stage anti-PDL1 immunotherapy being developed by CStone, for the treatment of locally advanced or metastatic in an ongoing Phase 1b/2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585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250430" cy="605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trial conducted in multiple clinical sites in China. The FDA has granted orphan drug designation to fisogatinib for the treatment of HCC.</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Discovery Platform</w:t>
      </w:r>
    </w:p>
    <w:p>
      <w:pPr>
        <w:spacing w:after="0" w:line="234" w:lineRule="exact"/>
        <w:rPr>
          <w:sz w:val="20"/>
          <w:szCs w:val="20"/>
          <w:color w:val="auto"/>
        </w:rPr>
      </w:pPr>
    </w:p>
    <w:p>
      <w:pPr>
        <w:ind w:left="240" w:right="80" w:firstLine="488"/>
        <w:spacing w:after="0" w:line="235"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January 2020, we announced the nomination of a development candidate for the treatment of EGFR Exon 19/L858R+T790M+C797S, which we refer to as resistant EGFR-positive triple mutant NSCLC. Following this nomination, we currently have five wholly-owned discovery programs, consisting of the following: BLU-263; the development candidate for the treatment of resistant EGFR-positive triple mutant NSCLC; a pre-development candidate program targeting EGFR Exon 19/L858R+C797S, which we refer to as resistant EGFR-positive double mutant NSCLC; and two pre-development candidate programs for undisclosed kinase targets. EGFR Exon 19/L858R+T790M+C797S and EGFR Exon 19/L858R+C797S are acquired resistance mutations in NSCLC patients following treatment with osimertinib. We plan to nominate up to two additional development candidates by the end of 2020.</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Development and Commercialization Rights</w:t>
      </w:r>
    </w:p>
    <w:p>
      <w:pPr>
        <w:spacing w:after="0" w:line="234" w:lineRule="exact"/>
        <w:rPr>
          <w:sz w:val="20"/>
          <w:szCs w:val="20"/>
          <w:color w:val="auto"/>
        </w:rPr>
      </w:pPr>
    </w:p>
    <w:p>
      <w:pPr>
        <w:jc w:val="both"/>
        <w:ind w:left="240" w:firstLine="488"/>
        <w:spacing w:after="0" w:line="275" w:lineRule="auto"/>
        <w:rPr>
          <w:sz w:val="20"/>
          <w:szCs w:val="20"/>
          <w:color w:val="auto"/>
        </w:rPr>
      </w:pPr>
      <w:r>
        <w:rPr>
          <w:rFonts w:ascii="Arial" w:cs="Arial" w:eastAsia="Arial" w:hAnsi="Arial"/>
          <w:sz w:val="16"/>
          <w:szCs w:val="16"/>
          <w:color w:val="auto"/>
        </w:rPr>
        <w:t>We currently have worldwide development and commercialization rights to avapritinib, pralsetinib and fisogatinib, other than the rights licensed to CStone for these drug candidates in Mainland China, Hong Kong, Macau and Taiwan, or the CStone territory. We currently have worldwide development and commercialization rights to all of our discovery programs, other than the discovery-stage cancer immunotherapy programs under collaboration with F. Hoffmann-La Roche Ltd and Hoffmann-La Roche Inc., which we collectively refer to as Roche.</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14" w:lineRule="exact"/>
        <w:rPr>
          <w:sz w:val="20"/>
          <w:szCs w:val="20"/>
          <w:color w:val="auto"/>
        </w:rPr>
      </w:pPr>
    </w:p>
    <w:p>
      <w:pPr>
        <w:ind w:left="240" w:right="140" w:firstLine="488"/>
        <w:spacing w:after="0" w:line="283" w:lineRule="auto"/>
        <w:rPr>
          <w:sz w:val="20"/>
          <w:szCs w:val="20"/>
          <w:color w:val="auto"/>
        </w:rPr>
      </w:pPr>
      <w:r>
        <w:rPr>
          <w:rFonts w:ascii="Arial" w:cs="Arial" w:eastAsia="Arial" w:hAnsi="Arial"/>
          <w:sz w:val="16"/>
          <w:szCs w:val="16"/>
          <w:i w:val="1"/>
          <w:iCs w:val="1"/>
          <w:color w:val="auto"/>
        </w:rPr>
        <w:t xml:space="preserve">Roche. </w:t>
      </w:r>
      <w:r>
        <w:rPr>
          <w:rFonts w:ascii="Arial" w:cs="Arial" w:eastAsia="Arial" w:hAnsi="Arial"/>
          <w:sz w:val="16"/>
          <w:szCs w:val="16"/>
          <w:color w:val="auto"/>
        </w:rPr>
        <w:t>We entered into a collaboration with Roche in March 2016. Under our collaboration agreement with Roche, we are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Roche to discover, develop and commercialize up to four small molecule therapeutics targeting kinases believed to be important in cancer immunotherapy, as single products or possibly in combination with other therapeutics. In the fourth quarter of 2019, we and Roche announced one of the kinase targets under the collaboration, MAP4K1, which is believed to play a role in T cell regulation.</w:t>
      </w:r>
    </w:p>
    <w:p>
      <w:pPr>
        <w:spacing w:after="0" w:line="159" w:lineRule="exact"/>
        <w:rPr>
          <w:sz w:val="20"/>
          <w:szCs w:val="20"/>
          <w:color w:val="auto"/>
        </w:rPr>
      </w:pPr>
    </w:p>
    <w:p>
      <w:pPr>
        <w:jc w:val="both"/>
        <w:ind w:left="240" w:right="20" w:firstLine="488"/>
        <w:spacing w:after="0" w:line="247" w:lineRule="auto"/>
        <w:rPr>
          <w:sz w:val="20"/>
          <w:szCs w:val="20"/>
          <w:color w:val="auto"/>
        </w:rPr>
      </w:pPr>
      <w:r>
        <w:rPr>
          <w:rFonts w:ascii="Arial" w:cs="Arial" w:eastAsia="Arial" w:hAnsi="Arial"/>
          <w:sz w:val="18"/>
          <w:szCs w:val="18"/>
          <w:i w:val="1"/>
          <w:iCs w:val="1"/>
          <w:color w:val="auto"/>
        </w:rPr>
        <w:t xml:space="preserve">CStone. </w:t>
      </w:r>
      <w:r>
        <w:rPr>
          <w:rFonts w:ascii="Arial" w:cs="Arial" w:eastAsia="Arial" w:hAnsi="Arial"/>
          <w:sz w:val="18"/>
          <w:szCs w:val="18"/>
          <w:color w:val="auto"/>
        </w:rPr>
        <w:t>We entered into a collaboration with CStone in June 2018. Under our collaboration agreement with CStone, we are seeking</w:t>
      </w:r>
      <w:r>
        <w:rPr>
          <w:rFonts w:ascii="Arial" w:cs="Arial" w:eastAsia="Arial" w:hAnsi="Arial"/>
          <w:sz w:val="18"/>
          <w:szCs w:val="18"/>
          <w:i w:val="1"/>
          <w:iCs w:val="1"/>
          <w:color w:val="auto"/>
        </w:rPr>
        <w:t xml:space="preserve"> </w:t>
      </w:r>
      <w:r>
        <w:rPr>
          <w:rFonts w:ascii="Arial" w:cs="Arial" w:eastAsia="Arial" w:hAnsi="Arial"/>
          <w:sz w:val="18"/>
          <w:szCs w:val="18"/>
          <w:color w:val="auto"/>
        </w:rPr>
        <w:t>to develop and commercialize avapritinib, pralsetinib and fisogatinib, including back-up forms and certain other forms, in the CStone territory either as a monotherapy or as part of a combination therapy.</w:t>
      </w:r>
    </w:p>
    <w:p>
      <w:pPr>
        <w:spacing w:after="0" w:line="185" w:lineRule="exact"/>
        <w:rPr>
          <w:sz w:val="20"/>
          <w:szCs w:val="20"/>
          <w:color w:val="auto"/>
        </w:rPr>
      </w:pPr>
    </w:p>
    <w:p>
      <w:pPr>
        <w:ind w:left="240" w:right="20" w:firstLine="488"/>
        <w:spacing w:after="0" w:line="239" w:lineRule="auto"/>
        <w:rPr>
          <w:sz w:val="20"/>
          <w:szCs w:val="20"/>
          <w:color w:val="auto"/>
        </w:rPr>
      </w:pPr>
      <w:r>
        <w:rPr>
          <w:rFonts w:ascii="Arial" w:cs="Arial" w:eastAsia="Arial" w:hAnsi="Arial"/>
          <w:sz w:val="18"/>
          <w:szCs w:val="18"/>
          <w:i w:val="1"/>
          <w:iCs w:val="1"/>
          <w:color w:val="auto"/>
        </w:rPr>
        <w:t xml:space="preserve">Clementia. </w:t>
      </w:r>
      <w:r>
        <w:rPr>
          <w:rFonts w:ascii="Arial" w:cs="Arial" w:eastAsia="Arial" w:hAnsi="Arial"/>
          <w:sz w:val="18"/>
          <w:szCs w:val="18"/>
          <w:color w:val="auto"/>
        </w:rPr>
        <w:t>In October 2019, we entered into a license agreement with Clementia Pharmaceuticals, Inc., or Clementia, a wholly-owned subsidiary of Ipsen S.A., and granted an exclusive, worldwide, royalty-bearing license to Clementia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Clementia is planning to commence a potentially pivotal Phase 2 trial of BLU-782 for the treatment of FOP in 2020 as a monotherapy. The FDA has granted a rare pediatric disease designation, orphan drug designation and fast track designation to BLU-782, each for the treatment of FOP.</w:t>
      </w:r>
    </w:p>
    <w:p>
      <w:pPr>
        <w:spacing w:after="0" w:line="209" w:lineRule="exact"/>
        <w:rPr>
          <w:sz w:val="20"/>
          <w:szCs w:val="20"/>
          <w:color w:val="auto"/>
        </w:rPr>
      </w:pPr>
    </w:p>
    <w:p>
      <w:pPr>
        <w:ind w:left="240" w:right="160" w:firstLine="488"/>
        <w:spacing w:after="0" w:line="239" w:lineRule="auto"/>
        <w:rPr>
          <w:sz w:val="20"/>
          <w:szCs w:val="20"/>
          <w:color w:val="auto"/>
        </w:rPr>
      </w:pPr>
      <w:r>
        <w:rPr>
          <w:rFonts w:ascii="Arial" w:cs="Arial" w:eastAsia="Arial" w:hAnsi="Arial"/>
          <w:sz w:val="18"/>
          <w:szCs w:val="18"/>
          <w:color w:val="auto"/>
        </w:rPr>
        <w:t>We will continue to evaluate additional collaborations, partnerships and licenses that could maximize the value for our programs and allow us to leverage the expertise of strategic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44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250430" cy="644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00"/>
        <w:spacing w:after="0" w:line="239" w:lineRule="auto"/>
        <w:rPr>
          <w:sz w:val="20"/>
          <w:szCs w:val="20"/>
          <w:color w:val="auto"/>
        </w:rPr>
      </w:pPr>
      <w:r>
        <w:rPr>
          <w:rFonts w:ascii="Arial" w:cs="Arial" w:eastAsia="Arial" w:hAnsi="Arial"/>
          <w:sz w:val="18"/>
          <w:szCs w:val="18"/>
          <w:color w:val="auto"/>
        </w:rPr>
        <w:t>collaborators, partners and licensors. We are also focused on engaging in collaborations, partnerships and license agreements to capitalize on our discovery platform outside of our primary strategic focus area of cancer.</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ind w:left="240" w:firstLine="478"/>
        <w:spacing w:after="0" w:line="236" w:lineRule="auto"/>
        <w:rPr>
          <w:sz w:val="20"/>
          <w:szCs w:val="20"/>
          <w:color w:val="auto"/>
        </w:rPr>
      </w:pPr>
      <w:r>
        <w:rPr>
          <w:rFonts w:ascii="Arial" w:cs="Arial" w:eastAsia="Arial" w:hAnsi="Arial"/>
          <w:sz w:val="18"/>
          <w:szCs w:val="18"/>
          <w:color w:val="auto"/>
        </w:rPr>
        <w:t>As of December 31, 2019, we expect to have cash, cash equivalents and investments of approximately $548.0 million, as compared to $594.5 million at September 30, 2019. This financial data as of December 31, 2019 is preliminary and is based on information available to management as of the date of this prospectus supplement and is subject to completion by management of our financial statements as of and for the quarter and the year ended December 31, 2019. Our independent registered public accountants have not audited, reviewed or performed any procedures with respect to such preliminary financial data and accordingly do not express an opinion or any other form of assurance with respect thereto. These results could change as a result of further review. Complete quarterly and annual results will be included in our Annual Report on Form 10-K for the year ended December 31,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firstLine="488"/>
        <w:spacing w:after="0" w:line="237" w:lineRule="auto"/>
        <w:rPr>
          <w:sz w:val="20"/>
          <w:szCs w:val="20"/>
          <w:color w:val="auto"/>
        </w:rPr>
      </w:pPr>
      <w:r>
        <w:rPr>
          <w:rFonts w:ascii="Arial" w:cs="Arial" w:eastAsia="Arial" w:hAnsi="Arial"/>
          <w:sz w:val="18"/>
          <w:szCs w:val="18"/>
          <w:color w:val="auto"/>
        </w:rPr>
        <w:t>Our vision is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 Key elements of our strategy to achieve this goal are as follows:</w:t>
      </w:r>
    </w:p>
    <w:p>
      <w:pPr>
        <w:spacing w:after="0" w:line="222" w:lineRule="exact"/>
        <w:rPr>
          <w:sz w:val="20"/>
          <w:szCs w:val="20"/>
          <w:color w:val="auto"/>
        </w:rPr>
      </w:pPr>
    </w:p>
    <w:p>
      <w:pPr>
        <w:ind w:left="1320" w:right="22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build our global commercial capability as we rapidly advance the commercial launch of AYVAKIT in the U.S. and planned commercial launches for avapritinib and pralsetinib in the U.S. and Europe.</w:t>
      </w:r>
    </w:p>
    <w:p>
      <w:pPr>
        <w:spacing w:after="0" w:line="195" w:lineRule="exact"/>
        <w:rPr>
          <w:rFonts w:ascii="Arial" w:cs="Arial" w:eastAsia="Arial" w:hAnsi="Arial"/>
          <w:sz w:val="18"/>
          <w:szCs w:val="18"/>
          <w:color w:val="auto"/>
        </w:rPr>
      </w:pPr>
    </w:p>
    <w:p>
      <w:pPr>
        <w:ind w:left="1320" w:right="100" w:hanging="538"/>
        <w:spacing w:after="0" w:line="299"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Continue to expand our strategic focus on SM and related mast cell disorders, including avapritinib for the treatment of advanced and indolent SM and BLU-263 for the treatment of indolent SM, and if successful, seek global regulatory approvals.</w:t>
      </w:r>
    </w:p>
    <w:p>
      <w:pPr>
        <w:spacing w:after="0" w:line="149" w:lineRule="exact"/>
        <w:rPr>
          <w:rFonts w:ascii="Arial" w:cs="Arial" w:eastAsia="Arial" w:hAnsi="Arial"/>
          <w:sz w:val="16"/>
          <w:szCs w:val="16"/>
          <w:color w:val="auto"/>
        </w:rPr>
      </w:pPr>
    </w:p>
    <w:p>
      <w:pPr>
        <w:ind w:left="1320" w:right="8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advance the clinical development of pralsetinib as a potential treatment for RET-altered cancers, including RET-fusion NSCLC and MTC, and seek global regulatory approvals.</w:t>
      </w:r>
    </w:p>
    <w:p>
      <w:pPr>
        <w:spacing w:after="0" w:line="20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global regulatory approvals for avapritinib for the treatment of third-line and later GIST (including fourth-line GIST).</w:t>
      </w:r>
    </w:p>
    <w:p>
      <w:pPr>
        <w:spacing w:after="0" w:line="198" w:lineRule="exact"/>
        <w:rPr>
          <w:rFonts w:ascii="Arial" w:cs="Arial" w:eastAsia="Arial" w:hAnsi="Arial"/>
          <w:sz w:val="18"/>
          <w:szCs w:val="18"/>
          <w:color w:val="auto"/>
        </w:rPr>
      </w:pPr>
    </w:p>
    <w:p>
      <w:pPr>
        <w:ind w:left="1320" w:right="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expand our broad, differentiated pipeline of kinase drug candidates for genomically defined cancers, rare diseases and cancer immunotherapy.</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potential strategic collaborations and licenses to maximize the value of our programs and platform.</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commitment to Blueprint Medicines' patient-focused and science-driven culture as we grow our business.</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20" w:firstLine="488"/>
        <w:spacing w:after="0" w:line="237"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487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250430" cy="148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80"/>
        <w:spacing w:after="0" w:line="239" w:lineRule="auto"/>
        <w:rPr>
          <w:sz w:val="20"/>
          <w:szCs w:val="20"/>
          <w:color w:val="auto"/>
        </w:rPr>
      </w:pPr>
      <w:r>
        <w:rPr>
          <w:rFonts w:ascii="Arial" w:cs="Arial" w:eastAsia="Arial" w:hAnsi="Arial"/>
          <w:sz w:val="18"/>
          <w:szCs w:val="18"/>
          <w:color w:val="auto"/>
        </w:rPr>
        <w:t>should not rely on any such information in making the decision whether to purchase our common stock. Our common stock trades on the Nasdaq Global Select Market under the symbol "BPMC".</w:t>
      </w:r>
    </w:p>
    <w:p>
      <w:pPr>
        <w:spacing w:after="0" w:line="209"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866"/>
        </w:trPr>
        <w:tc>
          <w:tcPr>
            <w:tcW w:w="4580" w:type="dxa"/>
            <w:vAlign w:val="bottom"/>
            <w:tcBorders>
              <w:top w:val="single" w:sz="8" w:color="auto"/>
              <w:left w:val="single" w:sz="8" w:color="auto"/>
            </w:tcBorders>
          </w:tcPr>
          <w:p>
            <w:pPr>
              <w:spacing w:after="0"/>
              <w:rPr>
                <w:sz w:val="24"/>
                <w:szCs w:val="24"/>
                <w:color w:val="auto"/>
              </w:rPr>
            </w:pPr>
          </w:p>
        </w:tc>
        <w:tc>
          <w:tcPr>
            <w:tcW w:w="68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offered by us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4,710,144 shares</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outstanding following the offering</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53,885,586 shares (or 54,592,107 shares if the underwriters</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exercise their option to purchase additional shares in full).</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Underwriters' option to purchase additional shares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additional 706,521 shares of common stock. The underwriters can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exercise this option at any time within 30 days from the date of this</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prospectus supplement.</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We expect to receive net proceeds from this offering of</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approximately $308.2 million (or approximately $354.6 million if the</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underwriters exercise their option to purchase additional shares in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full), after deducting underwriting discounts and commissions and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estimated offering expenses payable by us. We intend to use the</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net proceeds from this offering to further build our global</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commercial infrastructure to support additional planned regulatory</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filings and commercial launches for AYVAKIT and pralsetinib, if</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approved, in the U.S. and Europe; to fund clinical trials for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avapritinib in SM, including our ongoing registration-enabling</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Phase 2 PIONEER clinical trial for indolent and smoldering SM, as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well as future indication expansion clinical trials; to fund clinical</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trials for pralsetinib in RET-driven cancers, including our Phase 3</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AcceleRET Lung clinical trial for pralsetinib in first-line RET-altered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NSCLC and our planned Phase 3 clinical trial for pralsetinib in first-</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line RET-mutant MTC, as well as future indication expansion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clinical trials; to fund our planned Phase 1 trial for BLU-263 in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healthy volunteers and future clinical trials for BLU-263 and other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future drug candidates; to fund manufacturing costs for AYVAKIT</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and for ongoing and anticipated drug development efforts for our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most advanced drug candidates; and the balance, if any, to fund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additional research, other clinical trials, working capital</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requirements and other general corporate purposes. See "Use of</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Proceeds" for additional information.</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Investing in our common stock involves risks. See "Risk Factors"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beginning on page S-14 of this prospectus supplement and other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information included or incorporated by reference into this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prospectus supplement and the accompanying prospectus for a</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discussion of the factors you should carefully consider before</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deciding to invest in our securities.</w:t>
            </w:r>
          </w:p>
        </w:tc>
      </w:tr>
      <w:tr>
        <w:trPr>
          <w:trHeight w:val="419"/>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Nasdaq Global Select Market symbol</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"BPMC"</w:t>
            </w:r>
          </w:p>
        </w:tc>
      </w:tr>
      <w:tr>
        <w:trPr>
          <w:trHeight w:val="215"/>
        </w:trPr>
        <w:tc>
          <w:tcPr>
            <w:tcW w:w="4580" w:type="dxa"/>
            <w:vAlign w:val="bottom"/>
            <w:tcBorders>
              <w:left w:val="single" w:sz="8" w:color="auto"/>
              <w:bottom w:val="single" w:sz="8" w:color="auto"/>
            </w:tcBorders>
          </w:tcPr>
          <w:p>
            <w:pPr>
              <w:spacing w:after="0"/>
              <w:rPr>
                <w:sz w:val="18"/>
                <w:szCs w:val="18"/>
                <w:color w:val="auto"/>
              </w:rPr>
            </w:pPr>
          </w:p>
        </w:tc>
        <w:tc>
          <w:tcPr>
            <w:tcW w:w="6840" w:type="dxa"/>
            <w:vAlign w:val="bottom"/>
            <w:tcBorders>
              <w:bottom w:val="single" w:sz="8" w:color="auto"/>
              <w:right w:val="single" w:sz="8" w:color="auto"/>
            </w:tcBorders>
          </w:tcPr>
          <w:p>
            <w:pPr>
              <w:spacing w:after="0"/>
              <w:rPr>
                <w:sz w:val="18"/>
                <w:szCs w:val="18"/>
                <w:color w:val="auto"/>
              </w:rPr>
            </w:pPr>
          </w:p>
        </w:tc>
      </w:tr>
      <w:tr>
        <w:trPr>
          <w:trHeight w:val="427"/>
        </w:trPr>
        <w:tc>
          <w:tcPr>
            <w:tcW w:w="4580" w:type="dxa"/>
            <w:vAlign w:val="bottom"/>
          </w:tcPr>
          <w:p>
            <w:pPr>
              <w:spacing w:after="0"/>
              <w:rPr>
                <w:sz w:val="24"/>
                <w:szCs w:val="24"/>
                <w:color w:val="auto"/>
              </w:rPr>
            </w:pPr>
          </w:p>
        </w:tc>
        <w:tc>
          <w:tcPr>
            <w:tcW w:w="6840" w:type="dxa"/>
            <w:vAlign w:val="bottom"/>
          </w:tcPr>
          <w:p>
            <w:pPr>
              <w:ind w:left="940"/>
              <w:spacing w:after="0"/>
              <w:rPr>
                <w:sz w:val="20"/>
                <w:szCs w:val="20"/>
                <w:color w:val="auto"/>
              </w:rPr>
            </w:pPr>
            <w:r>
              <w:rPr>
                <w:rFonts w:ascii="Arial" w:cs="Arial" w:eastAsia="Arial" w:hAnsi="Arial"/>
                <w:sz w:val="18"/>
                <w:szCs w:val="18"/>
                <w:color w:val="auto"/>
              </w:rPr>
              <w:t>S-12</w:t>
            </w:r>
          </w:p>
        </w:tc>
      </w:tr>
      <w:tr>
        <w:trPr>
          <w:trHeight w:val="215"/>
        </w:trPr>
        <w:tc>
          <w:tcPr>
            <w:tcW w:w="4580" w:type="dxa"/>
            <w:vAlign w:val="bottom"/>
            <w:tcBorders>
              <w:bottom w:val="single" w:sz="8" w:color="808080"/>
            </w:tcBorders>
          </w:tcPr>
          <w:p>
            <w:pPr>
              <w:spacing w:after="0"/>
              <w:rPr>
                <w:sz w:val="18"/>
                <w:szCs w:val="18"/>
                <w:color w:val="auto"/>
              </w:rPr>
            </w:pPr>
          </w:p>
        </w:tc>
        <w:tc>
          <w:tcPr>
            <w:tcW w:w="68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580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250430" cy="3580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80" w:firstLine="485"/>
        <w:spacing w:after="0" w:line="239" w:lineRule="auto"/>
        <w:rPr>
          <w:sz w:val="20"/>
          <w:szCs w:val="20"/>
          <w:color w:val="auto"/>
        </w:rPr>
      </w:pPr>
      <w:r>
        <w:rPr>
          <w:rFonts w:ascii="Arial" w:cs="Arial" w:eastAsia="Arial" w:hAnsi="Arial"/>
          <w:sz w:val="18"/>
          <w:szCs w:val="18"/>
          <w:color w:val="auto"/>
        </w:rPr>
        <w:t>The number of shares of our common stock to be outstanding after the offering is based on 49,175,442 shares of common stock outstanding as of September 30, 2019 and excludes:</w:t>
      </w:r>
    </w:p>
    <w:p>
      <w:pPr>
        <w:spacing w:after="0" w:line="223" w:lineRule="exact"/>
        <w:rPr>
          <w:sz w:val="20"/>
          <w:szCs w:val="20"/>
          <w:color w:val="auto"/>
        </w:rPr>
      </w:pPr>
    </w:p>
    <w:p>
      <w:pPr>
        <w:ind w:left="1320" w:right="28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5,631,477 shares of common stock issuable upon the exercise of stock options outstanding as of September 30, 2019, at a weighted average exercise price of $57.53 per share;</w:t>
      </w:r>
    </w:p>
    <w:p>
      <w:pPr>
        <w:spacing w:after="0" w:line="195" w:lineRule="exact"/>
        <w:rPr>
          <w:rFonts w:ascii="Arial" w:cs="Arial" w:eastAsia="Arial" w:hAnsi="Arial"/>
          <w:sz w:val="18"/>
          <w:szCs w:val="18"/>
          <w:color w:val="auto"/>
        </w:rPr>
      </w:pPr>
    </w:p>
    <w:p>
      <w:pPr>
        <w:ind w:left="1320" w:right="78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381,792 shares of common stock issuable upon the vesting and settlement of restricted stock units outstanding as of September 30, 2019;</w:t>
      </w:r>
    </w:p>
    <w:p>
      <w:pPr>
        <w:spacing w:after="0" w:line="195" w:lineRule="exact"/>
        <w:rPr>
          <w:rFonts w:ascii="Arial" w:cs="Arial" w:eastAsia="Arial" w:hAnsi="Arial"/>
          <w:sz w:val="18"/>
          <w:szCs w:val="18"/>
          <w:color w:val="auto"/>
        </w:rPr>
      </w:pPr>
    </w:p>
    <w:p>
      <w:pPr>
        <w:ind w:left="1320" w:right="400" w:hanging="538"/>
        <w:spacing w:after="0" w:line="23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1,653,349 shares of common stock reserved for future issuance under our 2015 Plan as of September 30, 2019, plus any future increases in the number of shares of common stock reserved for issuance under the 2015 Plan pursuant to the evergreen provision of the 2015 Plan; and</w:t>
      </w:r>
    </w:p>
    <w:p>
      <w:pPr>
        <w:spacing w:after="0" w:line="208" w:lineRule="exact"/>
        <w:rPr>
          <w:rFonts w:ascii="Arial" w:cs="Arial" w:eastAsia="Arial" w:hAnsi="Arial"/>
          <w:sz w:val="18"/>
          <w:szCs w:val="18"/>
          <w:color w:val="auto"/>
        </w:rPr>
      </w:pPr>
    </w:p>
    <w:p>
      <w:pPr>
        <w:ind w:left="1320" w:right="680" w:hanging="538"/>
        <w:spacing w:after="0" w:line="23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1,658,082 shares of common stock reserved for future issuance under our 2015 Employee Stock Purchase Plan as of September 30, 2019.</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12" w:lineRule="exact"/>
        <w:rPr>
          <w:sz w:val="20"/>
          <w:szCs w:val="20"/>
          <w:color w:val="auto"/>
        </w:rPr>
      </w:pPr>
    </w:p>
    <w:p>
      <w:pPr>
        <w:ind w:left="1320" w:hanging="538"/>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up to an additional 706,521 shares of common stock in this offering;</w:t>
      </w:r>
    </w:p>
    <w:p>
      <w:pPr>
        <w:spacing w:after="0" w:line="221" w:lineRule="exact"/>
        <w:rPr>
          <w:rFonts w:ascii="Arial" w:cs="Arial" w:eastAsia="Arial" w:hAnsi="Arial"/>
          <w:sz w:val="16"/>
          <w:szCs w:val="16"/>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stock options after September 30, 2019; and</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vesting of restricted stock units after September 30,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firstLine="488"/>
        <w:spacing w:after="0" w:line="274"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Investing in our common stock involves significant risks. In addition to the other information contained in this prospectus supplement, the accompanying prospectus and in the documents that we have incorporated by reference, you should carefully consider the risks discussed below </w:t>
      </w:r>
      <w:hyperlink r:id="rId20">
        <w:r>
          <w:rPr>
            <w:rFonts w:ascii="Arial" w:cs="Arial" w:eastAsia="Arial" w:hAnsi="Arial"/>
            <w:sz w:val="16"/>
            <w:szCs w:val="16"/>
            <w:i w:val="1"/>
            <w:iCs w:val="1"/>
            <w:color w:val="auto"/>
          </w:rPr>
          <w:t xml:space="preserve">and under the heading "Risk Factors" in our </w:t>
        </w:r>
        <w:r>
          <w:rPr>
            <w:rFonts w:ascii="Arial" w:cs="Arial" w:eastAsia="Arial" w:hAnsi="Arial"/>
            <w:sz w:val="16"/>
            <w:szCs w:val="16"/>
            <w:i w:val="1"/>
            <w:iCs w:val="1"/>
            <w:u w:val="single" w:color="auto"/>
            <w:color w:val="0000EE"/>
          </w:rPr>
          <w:t>Quarterly Report on Form 10-Q for the fiscal quarter ended September 30, 2019, filed with the SEC on</w:t>
        </w:r>
      </w:hyperlink>
      <w:r>
        <w:rPr>
          <w:rFonts w:ascii="Arial" w:cs="Arial" w:eastAsia="Arial" w:hAnsi="Arial"/>
          <w:sz w:val="16"/>
          <w:szCs w:val="16"/>
          <w:i w:val="1"/>
          <w:iCs w:val="1"/>
          <w:color w:val="auto"/>
        </w:rPr>
        <w:t xml:space="preserve"> </w:t>
      </w:r>
      <w:hyperlink r:id="rId20">
        <w:r>
          <w:rPr>
            <w:rFonts w:ascii="Arial" w:cs="Arial" w:eastAsia="Arial" w:hAnsi="Arial"/>
            <w:sz w:val="16"/>
            <w:szCs w:val="16"/>
            <w:i w:val="1"/>
            <w:iCs w:val="1"/>
            <w:u w:val="single" w:color="auto"/>
            <w:color w:val="0000EE"/>
          </w:rPr>
          <w:t>November 5, 2019,</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as updated by our subsequent filings under the Exchange Act, before making a decision about investing in our common stock.</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Being a Commercial Company</w:t>
      </w:r>
    </w:p>
    <w:p>
      <w:pPr>
        <w:spacing w:after="0" w:line="215" w:lineRule="exact"/>
        <w:rPr>
          <w:sz w:val="20"/>
          <w:szCs w:val="20"/>
          <w:color w:val="auto"/>
        </w:rPr>
      </w:pPr>
    </w:p>
    <w:p>
      <w:pPr>
        <w:ind w:right="360"/>
        <w:spacing w:after="0" w:line="209" w:lineRule="auto"/>
        <w:rPr>
          <w:sz w:val="20"/>
          <w:szCs w:val="20"/>
          <w:color w:val="auto"/>
        </w:rPr>
      </w:pPr>
      <w:r>
        <w:rPr>
          <w:rFonts w:ascii="Arial" w:cs="Arial" w:eastAsia="Arial" w:hAnsi="Arial"/>
          <w:sz w:val="18"/>
          <w:szCs w:val="18"/>
          <w:b w:val="1"/>
          <w:bCs w:val="1"/>
          <w:i w:val="1"/>
          <w:iCs w:val="1"/>
          <w:color w:val="auto"/>
        </w:rPr>
        <w:t>We have limited experience as a commercial company and the marketing and sale of AYVAKIT</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b w:val="1"/>
          <w:bCs w:val="1"/>
          <w:i w:val="1"/>
          <w:iCs w:val="1"/>
          <w:color w:val="auto"/>
        </w:rPr>
        <w:t xml:space="preserve"> (avapritinib) or any future products may be unsuccessful or less successful than anticipated.</w:t>
      </w:r>
    </w:p>
    <w:p>
      <w:pPr>
        <w:spacing w:after="0" w:line="210"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January 2020, the FDA approved AYVAKIT for the treatment of adults with unresectable or metastatic gastrointestinal stromal tumor, or GIST, harboring a platelet-derived growth factor receptor alpha (PDGFRA) exon 18 mutation, including PDGFRA D842V mutations. While we have initiated the commercial launch of AYVAKIT in the U.S., we have limited experience as a commercial company and there is limited information about our ability to successfully overcome many of the risks and uncertainties encountered by companies commercializing products in the biopharmaceutical industry. Marketing applications for avapritinib for additional indications and for pralsetinib are currently under review or planned in the United States and Europe. To execute our business plan, in addition to successfully marketing and selling AYVAKIT, we will need to successfully:</w:t>
      </w:r>
    </w:p>
    <w:p>
      <w:pPr>
        <w:spacing w:after="0" w:line="209" w:lineRule="exact"/>
        <w:rPr>
          <w:sz w:val="20"/>
          <w:szCs w:val="20"/>
          <w:color w:val="auto"/>
        </w:rPr>
      </w:pPr>
    </w:p>
    <w:p>
      <w:pPr>
        <w:ind w:left="1080" w:right="80" w:hanging="532"/>
        <w:spacing w:after="0" w:line="23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 and any future products;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adequate pricing and reimbursement for AYVAKIT and any future products;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the drug candidates in our pipeline;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212" w:lineRule="exact"/>
        <w:rPr>
          <w:sz w:val="20"/>
          <w:szCs w:val="20"/>
          <w:color w:val="auto"/>
        </w:rPr>
      </w:pPr>
    </w:p>
    <w:p>
      <w:pPr>
        <w:ind w:right="520" w:firstLine="488"/>
        <w:spacing w:after="0" w:line="239"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drug candidates, commercialize AYVAKIT or any future products, raise capital, expand our business or continue our operations.</w:t>
      </w:r>
    </w:p>
    <w:p>
      <w:pPr>
        <w:spacing w:after="0" w:line="18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The commercial success of AYVAKIT, and of any future products, will depend upon the degree of market acceptance by physicians, patients, third-party payors and others in the medical community.</w:t>
      </w:r>
    </w:p>
    <w:p>
      <w:pPr>
        <w:spacing w:after="0" w:line="189" w:lineRule="exact"/>
        <w:rPr>
          <w:sz w:val="20"/>
          <w:szCs w:val="20"/>
          <w:color w:val="auto"/>
        </w:rPr>
      </w:pPr>
    </w:p>
    <w:p>
      <w:pPr>
        <w:ind w:right="140" w:firstLine="485"/>
        <w:spacing w:after="0" w:line="238" w:lineRule="auto"/>
        <w:rPr>
          <w:sz w:val="20"/>
          <w:szCs w:val="20"/>
          <w:color w:val="auto"/>
        </w:rPr>
      </w:pPr>
      <w:r>
        <w:rPr>
          <w:rFonts w:ascii="Arial" w:cs="Arial" w:eastAsia="Arial" w:hAnsi="Arial"/>
          <w:sz w:val="18"/>
          <w:szCs w:val="18"/>
          <w:color w:val="auto"/>
        </w:rPr>
        <w:t>The commercial success of AYVAKIT and of any future products will depend in part on the medical community, patients, and third-party or governmental payors. AYVAKIT and any other products that we may bring to the market may not gain market acceptance by physicians, patients, third-party payors and others in the medical community. If these products do not achieve an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adequate level of acceptance, we may not generate significant product revenue and may not become profitable. The degree of market acceptance of AYVAKIT and of any future products will depend on a number of factors, including:</w:t>
      </w:r>
    </w:p>
    <w:p>
      <w:pPr>
        <w:spacing w:after="0" w:line="20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products remain on treatment;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pricing of our product and any future products;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publicity concerning our product, any future products, or competing products and treatments;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Even if a potential product displays a favorable efficacy and safety profile in preclinical and clinical studies, market acceptance of the product will not be known until after it is launched. Our efforts to educate the medical community and third-party payors on the benefits of our products may require significant resources and may never be successful. Our efforts to educate the marketplace may require more resources than are required by the conventional technologies marketed by our competitors. Any of these factors may cause AYVAKIT, or any future products, to be unsuccessful or less successful than anticipated.</w:t>
      </w:r>
    </w:p>
    <w:p>
      <w:pPr>
        <w:spacing w:after="0" w:line="19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Although we have established our initial commercial infrastructure, we are continuing to build out our commercial capabilities and have no prior sales or distribution experience and limited capabilities for marketing and market access. We expect to invest significant financial and management resources to establish these capabilities and infrastructure to support commercial operations for the sale of AYVAKIT. If we are unable to establish these additional commercial capabilities and infrastructure, we may be unable to generate sufficient revenue to sustain our business.</w:t>
      </w:r>
    </w:p>
    <w:p>
      <w:pPr>
        <w:spacing w:after="0" w:line="210"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Although we have established our initial commercial infrastructure, we are continuing to build out our commercial capabilities and infrastructure and have no prior sales or distribution experience and limited capabilities for marketing and market access. To successfully commercialize AYVAKIT and any other products that may result from our development programs,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209" w:lineRule="exact"/>
        <w:rPr>
          <w:sz w:val="20"/>
          <w:szCs w:val="20"/>
          <w:color w:val="auto"/>
        </w:rPr>
      </w:pPr>
    </w:p>
    <w:p>
      <w:pPr>
        <w:jc w:val="both"/>
        <w:ind w:right="60" w:firstLine="488"/>
        <w:spacing w:after="0" w:line="237" w:lineRule="auto"/>
        <w:rPr>
          <w:sz w:val="20"/>
          <w:szCs w:val="20"/>
          <w:color w:val="auto"/>
        </w:rPr>
      </w:pPr>
      <w:r>
        <w:rPr>
          <w:rFonts w:ascii="Arial" w:cs="Arial" w:eastAsia="Arial" w:hAnsi="Arial"/>
          <w:sz w:val="18"/>
          <w:szCs w:val="18"/>
          <w:color w:val="auto"/>
        </w:rPr>
        <w:t>We cannot be sure that we will be able to recruit, hire and retain a sufficient number of sales representatives or that they will be effective at promoting our products. In addition, we will need to commit significant additional management and other resources to maintain and grow our sales organization. We may not be able to achieve the necessary development and growth in a cost-effective manner or realize a positive return on our investment. We will also have to compete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with other companies to recruit, hire, train and retain sales and marketing personnel. Factors that may inhibit our efforts to commercialize our products include:</w:t>
      </w:r>
    </w:p>
    <w:p>
      <w:pPr>
        <w:spacing w:after="0" w:line="20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AYVAKIT;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w:t>
      </w:r>
    </w:p>
    <w:p>
      <w:pPr>
        <w:spacing w:after="0" w:line="212"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 candidates could be delayed which would negatively impact our ability to generate product revenues.</w:t>
      </w:r>
    </w:p>
    <w:p>
      <w:pPr>
        <w:spacing w:after="0" w:line="18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AYVAKIT or any other drug candidates that may be approved in the future.</w:t>
      </w:r>
    </w:p>
    <w:p>
      <w:pPr>
        <w:spacing w:after="0" w:line="18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do not currently own or operate manufacturing facilities for the production of AYVAKIT or any other drug candidates that may be approved in the future. We rely on single-source third-party suppliers to manufacture and supply AYVAKIT and expect to initially rely on single-source third-party supplies for commercial manufacture and supply of pralsetinib, if approved, which may not be able to produce sufficient inventory to meet commercial demand in a timely manner, or at all. Our third-party suppliers may not be required to provide us with any guaranteed minimum production levels or have dedicated capacity for our products. As a result, there can be no assurances that we will be able to obtain sufficient quantities of AYVAKIT or any other drug candidates that may be approved in the future, which could have a material adverse effect on our business as a whole.</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January 22, 2020.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5520" w:right="2360" w:hanging="4972"/>
        <w:spacing w:after="0" w:line="48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 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34"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12" w:lineRule="exact"/>
        <w:rPr>
          <w:sz w:val="20"/>
          <w:szCs w:val="20"/>
          <w:color w:val="auto"/>
        </w:rPr>
      </w:pPr>
    </w:p>
    <w:p>
      <w:pPr>
        <w:ind w:right="12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69" w:lineRule="auto"/>
        <w:rPr>
          <w:sz w:val="20"/>
          <w:szCs w:val="20"/>
          <w:color w:val="auto"/>
        </w:rPr>
      </w:pPr>
      <w:r>
        <w:rPr>
          <w:rFonts w:ascii="Arial" w:cs="Arial" w:eastAsia="Arial" w:hAnsi="Arial"/>
          <w:sz w:val="16"/>
          <w:szCs w:val="16"/>
          <w:color w:val="auto"/>
        </w:rPr>
        <w:t>The holdings of our executive officers, directors and stockholders who own more than 5% of our outstanding common stock, together with their affiliates and related persons, represent beneficial ownership, in the aggregate, of approximately 42.2% of our common stock, based on the number of shares of our common stock outstanding as of September 30, 2019.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38.61% of our common stock (approximately 38.13% if the underwriters exercise in full their option to purchase additional shares), based on the number of shares of our common stock outstanding as of September 30, 2019. As a result, if these stockholders were to choose to act together, they would be able to influence our management and affairs and the outcome of matters submitted to our stockholders for approval, including the election of directors and any sale, merger,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consolidation, or sale of all or substantially all of our assets. This concentration of voting power could delay or prevent an acquisition of our company on terms that other stockholders may desire.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September 30, 2019 after subtracting our liabilities. As a result, investors purchasing shares of common stock in this offering will incur immediate dilution of $53.70 per share, based on the difference between the public offering price of $69.00 per share and the as adjusted net tangible book value per share of our outstanding common stock as of September 30, 2019.</w:t>
      </w:r>
    </w:p>
    <w:p>
      <w:pPr>
        <w:spacing w:after="0" w:line="209" w:lineRule="exact"/>
        <w:rPr>
          <w:sz w:val="20"/>
          <w:szCs w:val="20"/>
          <w:color w:val="auto"/>
        </w:rPr>
      </w:pPr>
    </w:p>
    <w:p>
      <w:pPr>
        <w:ind w:right="20" w:firstLine="485"/>
        <w:spacing w:after="0" w:line="269" w:lineRule="auto"/>
        <w:rPr>
          <w:sz w:val="20"/>
          <w:szCs w:val="20"/>
          <w:color w:val="auto"/>
        </w:rPr>
      </w:pPr>
      <w:r>
        <w:rPr>
          <w:rFonts w:ascii="Arial" w:cs="Arial" w:eastAsia="Arial" w:hAnsi="Arial"/>
          <w:sz w:val="16"/>
          <w:szCs w:val="16"/>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September 30, 2019, options to purchase 5,631,477 shares of our common stock at a weighted average exercise price of $57.53 per share were outstanding, and 381,792 restricted stock units were outstanding. Each restricted stock unit represents a contingent right to receive one share of our common stock. The exercise of any of these options and the vesting and settlement of any of these restricted stock units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187" w:lineRule="exact"/>
        <w:rPr>
          <w:sz w:val="20"/>
          <w:szCs w:val="20"/>
          <w:color w:val="auto"/>
        </w:rPr>
      </w:pPr>
    </w:p>
    <w:p>
      <w:pPr>
        <w:jc w:val="both"/>
        <w:ind w:right="8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vesting and exercise of outstanding options, the vesting and settlement of outstanding restricted stock units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jc w:val="both"/>
        <w:ind w:right="300" w:firstLine="488"/>
        <w:spacing w:after="0" w:line="238"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September 30, 2019, 49,175,442 shares of our common stock were outstanding, excluding options to purchase 5,631,477 shares of our common stock, of which 2,527,772 were exercisable as of that date, and 381,792 shares of unvested restricted stock units. The sale or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availability for sale of a large number of shares of our common stock in the public market could cause the price of our common stock to decline.</w:t>
      </w:r>
    </w:p>
    <w:p>
      <w:pPr>
        <w:spacing w:after="0" w:line="212"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60 days after the date of this prospectus supplement, in each case,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These lock-up periods affect approximately 390,831 shares of our common stock outstanding as of September 30, 2019. In addition, the representatives of the underwriters may, in their sole discretion, release all or some portion of the shares subject to such lock-up restrictions at any time and for any reason. Sales of stock by any of our directors, executive officers or principal stockholders could have a material adverse effect on the trading price of our common stock.</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in the accompanying prospectus.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380" w:firstLine="488"/>
        <w:spacing w:after="0" w:line="238" w:lineRule="auto"/>
        <w:rPr>
          <w:sz w:val="20"/>
          <w:szCs w:val="20"/>
          <w:color w:val="auto"/>
        </w:rPr>
      </w:pPr>
      <w:r>
        <w:rPr>
          <w:rFonts w:ascii="Arial" w:cs="Arial" w:eastAsia="Arial" w:hAnsi="Arial"/>
          <w:sz w:val="18"/>
          <w:szCs w:val="18"/>
          <w:color w:val="auto"/>
        </w:rPr>
        <w:t>We expect to receive net proceeds of approximately $308.2 million from this offering, after deducting underwriting discounts and commissions and estimated offering expenses payable by us, or approximately $354.6 million if the underwriters exercise in full their option to purchase up to an additional 706,521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2019, we had cash, cash equivalents and investments of $594.5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38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further build our global commercial infrastructure to support additional planned regulatory filings and commercial launches for AYVAKIT and pralsetinib, if approved, in the U.S. and Europe;</w:t>
      </w:r>
    </w:p>
    <w:p>
      <w:pPr>
        <w:spacing w:after="0" w:line="208"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clinical trials for avapritinib in SM, including our ongoing registration-enabling Phase 2 PIONEER clinical trial for indolent and smoldering SM, as well as future indication expansion clinical trials;</w:t>
      </w:r>
    </w:p>
    <w:p>
      <w:pPr>
        <w:spacing w:after="0" w:line="195"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clinical trials for pralsetinib in RET-driven cancers, including our Phase 3 AcceleRET Lung clinical trial for pralsetinib in first-line RET-altered NSCLC and our planned Phase 3 clinical trial for pralsetinib in first-line RET-mutant MTC, as well as future indication expansion clinical trials;</w:t>
      </w:r>
    </w:p>
    <w:p>
      <w:pPr>
        <w:spacing w:after="0" w:line="194" w:lineRule="exact"/>
        <w:rPr>
          <w:rFonts w:ascii="Arial" w:cs="Arial" w:eastAsia="Arial" w:hAnsi="Arial"/>
          <w:sz w:val="18"/>
          <w:szCs w:val="18"/>
          <w:color w:val="auto"/>
        </w:rPr>
      </w:pPr>
    </w:p>
    <w:p>
      <w:pPr>
        <w:ind w:left="1080" w:right="56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our planned Phase 1 trial for BLU-263 in healthy volunteers and future clinical trials for BLU-263 and other future drug candidates;</w:t>
      </w:r>
    </w:p>
    <w:p>
      <w:pPr>
        <w:spacing w:after="0" w:line="208" w:lineRule="exact"/>
        <w:rPr>
          <w:rFonts w:ascii="Arial" w:cs="Arial" w:eastAsia="Arial" w:hAnsi="Arial"/>
          <w:sz w:val="18"/>
          <w:szCs w:val="18"/>
          <w:color w:val="auto"/>
        </w:rPr>
      </w:pPr>
    </w:p>
    <w:p>
      <w:pPr>
        <w:ind w:left="1080" w:right="40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fund manufacturing costs for AYVAKIT and for ongoing and anticipated drug development efforts for our most advanced drug candidates; and</w:t>
      </w:r>
    </w:p>
    <w:p>
      <w:pPr>
        <w:spacing w:after="0" w:line="195"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balance, if any, to fund additional discovery research efforts, our other ongoing and planned clinical trials, working capital requirements and other general corporate purposes.</w:t>
      </w:r>
    </w:p>
    <w:p>
      <w:pPr>
        <w:spacing w:after="0" w:line="209"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6"/>
          <w:szCs w:val="16"/>
          <w:color w:val="auto"/>
        </w:rPr>
        <w:t>Based on our current plans, we believe our cash, cash equivalents and investments, together with anticipated product revenues and the net proceeds to us from this offering, but excluding any potential option fees, milestone payments or other payments under our collaboration or license agreements, will be sufficient to enable us to fund our operating expenses and capital expenditure requirements into the second half of 2022.</w:t>
      </w:r>
    </w:p>
    <w:p>
      <w:pPr>
        <w:spacing w:after="0" w:line="178"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commercial launch activities for AYVAKIT and future products,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580" w:firstLine="488"/>
        <w:spacing w:after="0" w:line="299" w:lineRule="auto"/>
        <w:rPr>
          <w:sz w:val="20"/>
          <w:szCs w:val="20"/>
          <w:color w:val="auto"/>
        </w:rPr>
      </w:pPr>
      <w:r>
        <w:rPr>
          <w:rFonts w:ascii="Arial" w:cs="Arial" w:eastAsia="Arial" w:hAnsi="Arial"/>
          <w:sz w:val="16"/>
          <w:szCs w:val="16"/>
          <w:color w:val="auto"/>
        </w:rPr>
        <w:t>In addition, we believe opportunities may exist from time to time to expand our current business through acquisitions or in-licenses of complementary companies, medicines or technologies. While we have no current agreements, commitments or understandings for any</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specific acquisitions or in-licenses at this time, we may use a portion of the net proceeds for these purposes.</w:t>
      </w:r>
    </w:p>
    <w:p>
      <w:pPr>
        <w:spacing w:after="0" w:line="212"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of September 30, 2019, we had net tangible book value of approximately $516.3 million, or $10.50 per share of our common stock, based upon 49,175,442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1" w:lineRule="exact"/>
        <w:rPr>
          <w:sz w:val="20"/>
          <w:szCs w:val="20"/>
          <w:color w:val="auto"/>
        </w:rPr>
      </w:pPr>
    </w:p>
    <w:p>
      <w:pPr>
        <w:ind w:right="100" w:firstLine="478"/>
        <w:spacing w:after="0" w:line="236" w:lineRule="auto"/>
        <w:rPr>
          <w:sz w:val="20"/>
          <w:szCs w:val="20"/>
          <w:color w:val="auto"/>
        </w:rPr>
      </w:pPr>
      <w:r>
        <w:rPr>
          <w:rFonts w:ascii="Arial" w:cs="Arial" w:eastAsia="Arial" w:hAnsi="Arial"/>
          <w:sz w:val="18"/>
          <w:szCs w:val="18"/>
          <w:color w:val="auto"/>
        </w:rPr>
        <w:t>After giving effect to the sale of 4,710,144 shares of common stock in this offering at the public offering price of $69.00 per share, and after deducting underwriting discounts and commissions and estimated offering expenses payable by us, our as adjusted net tangible book value as of September 30, 2019 would have been approximately $824.5 million, or approximately $15.30 per share of common stock. This represents an immediate increase in as adjusted net tangible book value of $4.80 per share to our existing stockholders and an immediate dilution of $53.70 per share to investors participating in this offering at the public offering price of $69.00 per share.</w:t>
      </w:r>
    </w:p>
    <w:p>
      <w:pPr>
        <w:spacing w:after="0" w:line="211"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September 30, 2019</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66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15.30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53.70</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foregoing table and discussion is based on 49,175,442 shares of common stock outstanding as of September 30, 2019, and excludes:</w:t>
      </w:r>
    </w:p>
    <w:p>
      <w:pPr>
        <w:spacing w:after="0" w:line="235" w:lineRule="exact"/>
        <w:rPr>
          <w:sz w:val="20"/>
          <w:szCs w:val="20"/>
          <w:color w:val="auto"/>
        </w:rPr>
      </w:pPr>
    </w:p>
    <w:p>
      <w:pPr>
        <w:ind w:left="1080" w:right="2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5,631,477 shares of common stock issuable upon the exercise of stock options outstanding as of September 30, 2019, at a weighted average exercise price of $57.53 per share;</w:t>
      </w:r>
    </w:p>
    <w:p>
      <w:pPr>
        <w:spacing w:after="0" w:line="208"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381,792 shares of common stock issuable upon the vesting and settlement of restricted stock units outstanding as of September 30, 2019;</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1,653,349 shares of common stock reserved for future issuance under our 2015 Plan as of September 30, 2019; and</w:t>
      </w:r>
    </w:p>
    <w:p>
      <w:pPr>
        <w:spacing w:after="0" w:line="198" w:lineRule="exact"/>
        <w:rPr>
          <w:rFonts w:ascii="Arial" w:cs="Arial" w:eastAsia="Arial" w:hAnsi="Arial"/>
          <w:sz w:val="18"/>
          <w:szCs w:val="18"/>
          <w:color w:val="auto"/>
        </w:rPr>
      </w:pPr>
    </w:p>
    <w:p>
      <w:pPr>
        <w:ind w:left="1080" w:right="118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1,658,082 shares of common stock reserved for future issuance under our 2015 Employee Stock Purchase Plan as of September 30, 2019.</w:t>
      </w:r>
    </w:p>
    <w:p>
      <w:pPr>
        <w:spacing w:after="0" w:line="209" w:lineRule="exact"/>
        <w:rPr>
          <w:sz w:val="20"/>
          <w:szCs w:val="20"/>
          <w:color w:val="auto"/>
        </w:rPr>
      </w:pPr>
    </w:p>
    <w:p>
      <w:pPr>
        <w:ind w:right="160" w:firstLine="488"/>
        <w:spacing w:after="0" w:line="237" w:lineRule="auto"/>
        <w:rPr>
          <w:sz w:val="20"/>
          <w:szCs w:val="20"/>
          <w:color w:val="auto"/>
        </w:rPr>
      </w:pPr>
      <w:r>
        <w:rPr>
          <w:rFonts w:ascii="Arial" w:cs="Arial" w:eastAsia="Arial" w:hAnsi="Arial"/>
          <w:sz w:val="18"/>
          <w:szCs w:val="18"/>
          <w:color w:val="auto"/>
        </w:rPr>
        <w:t>If the underwriters exercise in full their option to purchase up to an additional 706,521 shares of our common stock at the public offering price of $69.00 per share, the as adjusted net tangible book value after this offering would be $15.95 per share, representing an increase in net tangible book value of $5.45 per share to existing stockholders and immediate dilution in net tangible book value of $53.05 per share to investors purchasing our common stock in this offering at the public offering price of $69.00.</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firstLine="485"/>
        <w:spacing w:after="0" w:line="238" w:lineRule="auto"/>
        <w:rPr>
          <w:sz w:val="20"/>
          <w:szCs w:val="20"/>
          <w:color w:val="auto"/>
        </w:rPr>
      </w:pPr>
      <w:r>
        <w:rPr>
          <w:rFonts w:ascii="Arial" w:cs="Arial" w:eastAsia="Arial" w:hAnsi="Arial"/>
          <w:sz w:val="18"/>
          <w:szCs w:val="18"/>
          <w:color w:val="auto"/>
        </w:rPr>
        <w:t>To the extent that any options are vested and exercised or any restricted stock units are vested and settled, new options or restricted stock units are issued under our equity incentive plans, or we otherwise issue additional shares of common stock in the future (including shares issued in connection with acquisitions), there will be further dilution to new investors.</w:t>
      </w:r>
    </w:p>
    <w:p>
      <w:pPr>
        <w:spacing w:after="0" w:line="208"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280" w:firstLine="488"/>
        <w:spacing w:after="0" w:line="238" w:lineRule="auto"/>
        <w:rPr>
          <w:sz w:val="20"/>
          <w:szCs w:val="20"/>
          <w:color w:val="auto"/>
        </w:rPr>
      </w:pPr>
      <w:r>
        <w:rPr>
          <w:rFonts w:ascii="Arial" w:cs="Arial" w:eastAsia="Arial" w:hAnsi="Arial"/>
          <w:sz w:val="18"/>
          <w:szCs w:val="18"/>
          <w:color w:val="auto"/>
        </w:rPr>
        <w:t>We have entered into an underwriting agreement with the underwriters named below with respect to the shares being offered. Subject to certain conditions, each underwriter has severally agreed to purchase the number of shares indicated in the following table. Goldman Sachs &amp; Co. LLC and Cowen and Company, LLC are acting as representatives of the underwriters.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Number of</w:t>
            </w:r>
          </w:p>
        </w:tc>
      </w:tr>
      <w:tr>
        <w:trPr>
          <w:trHeight w:val="206"/>
        </w:trPr>
        <w:tc>
          <w:tcPr>
            <w:tcW w:w="7840" w:type="dxa"/>
            <w:vAlign w:val="bottom"/>
            <w:gridSpan w:val="2"/>
          </w:tcPr>
          <w:p>
            <w:pPr>
              <w:spacing w:after="0" w:line="200" w:lineRule="exact"/>
              <w:rPr>
                <w:sz w:val="20"/>
                <w:szCs w:val="20"/>
                <w:color w:val="auto"/>
              </w:rPr>
            </w:pPr>
            <w:r>
              <w:rPr>
                <w:rFonts w:ascii="Arial" w:cs="Arial" w:eastAsia="Arial" w:hAnsi="Arial"/>
                <w:sz w:val="18"/>
                <w:szCs w:val="18"/>
                <w:color w:val="auto"/>
              </w:rPr>
              <w:t>Underwriters</w:t>
            </w:r>
          </w:p>
        </w:tc>
        <w:tc>
          <w:tcPr>
            <w:tcW w:w="180" w:type="dxa"/>
            <w:vAlign w:val="bottom"/>
          </w:tcPr>
          <w:p>
            <w:pPr>
              <w:spacing w:after="0"/>
              <w:rPr>
                <w:sz w:val="17"/>
                <w:szCs w:val="17"/>
                <w:color w:val="auto"/>
              </w:rPr>
            </w:pPr>
          </w:p>
        </w:tc>
        <w:tc>
          <w:tcPr>
            <w:tcW w:w="112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8"/>
              </w:rPr>
              <w:t>Shares</w:t>
            </w:r>
          </w:p>
        </w:tc>
      </w:tr>
      <w:tr>
        <w:trPr>
          <w:trHeight w:val="203"/>
        </w:trPr>
        <w:tc>
          <w:tcPr>
            <w:tcW w:w="20" w:type="dxa"/>
            <w:vAlign w:val="bottom"/>
          </w:tcPr>
          <w:p>
            <w:pPr>
              <w:spacing w:after="0"/>
              <w:rPr>
                <w:sz w:val="17"/>
                <w:szCs w:val="17"/>
                <w:color w:val="auto"/>
              </w:rPr>
            </w:pPr>
          </w:p>
        </w:tc>
        <w:tc>
          <w:tcPr>
            <w:tcW w:w="7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2,425,724</w:t>
            </w: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Cowen and Company, LLC</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1,577,899</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Canaccord Genuity LLC</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235,507</w:t>
            </w: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JMP Securities LLC</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235,507</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Raymond James &amp; Associates, Inc.</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235,507</w:t>
            </w: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20" w:type="dxa"/>
            <w:vAlign w:val="bottom"/>
          </w:tcPr>
          <w:p>
            <w:pPr>
              <w:ind w:left="16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4,710,144</w:t>
            </w:r>
          </w:p>
        </w:tc>
        <w:tc>
          <w:tcPr>
            <w:tcW w:w="160" w:type="dxa"/>
            <w:vAlign w:val="bottom"/>
          </w:tcPr>
          <w:p>
            <w:pPr>
              <w:spacing w:after="0"/>
              <w:rPr>
                <w:sz w:val="17"/>
                <w:szCs w:val="17"/>
                <w:color w:val="auto"/>
              </w:rPr>
            </w:pPr>
          </w:p>
        </w:tc>
      </w:tr>
    </w:tbl>
    <w:p>
      <w:pPr>
        <w:spacing w:after="0" w:line="219" w:lineRule="exact"/>
        <w:rPr>
          <w:sz w:val="20"/>
          <w:szCs w:val="20"/>
          <w:color w:val="auto"/>
        </w:rPr>
      </w:pPr>
    </w:p>
    <w:p>
      <w:pPr>
        <w:ind w:right="26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have an option to buy up to 706,521 additional shares of our common stock from us. They may exercise this option for</w:t>
      </w:r>
    </w:p>
    <w:p>
      <w:pPr>
        <w:spacing w:after="0"/>
        <w:rPr>
          <w:sz w:val="20"/>
          <w:szCs w:val="20"/>
          <w:color w:val="auto"/>
        </w:rPr>
      </w:pPr>
      <w:r>
        <w:rPr>
          <w:rFonts w:ascii="Arial" w:cs="Arial" w:eastAsia="Arial" w:hAnsi="Arial"/>
          <w:sz w:val="16"/>
          <w:szCs w:val="16"/>
          <w:color w:val="auto"/>
        </w:rPr>
        <w:t>30 days. If any shares are purchased pursuant to this option, the underwriters will severally purchase shares in approximately the same proportion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table above.</w:t>
      </w:r>
    </w:p>
    <w:p>
      <w:pPr>
        <w:spacing w:after="0" w:line="212" w:lineRule="exact"/>
        <w:rPr>
          <w:sz w:val="20"/>
          <w:szCs w:val="20"/>
          <w:color w:val="auto"/>
        </w:rPr>
      </w:pPr>
    </w:p>
    <w:p>
      <w:pPr>
        <w:ind w:right="32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706,521 additional shares of our common stock.</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Paid by the Company</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5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7"/>
                <w:szCs w:val="17"/>
                <w:color w:val="auto"/>
              </w:rPr>
            </w:pPr>
          </w:p>
        </w:tc>
      </w:tr>
      <w:tr>
        <w:trPr>
          <w:trHeight w:val="214"/>
        </w:trPr>
        <w:tc>
          <w:tcPr>
            <w:tcW w:w="2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16,249,997</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18,687,494</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right="100" w:firstLine="488"/>
        <w:spacing w:after="0" w:line="275" w:lineRule="auto"/>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 prospectus supplement. Any shares sold by the underwriters to securities dealers may be sold at a discount of up to $2.07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3"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60 days after the date of this prospectus supplement, in each case, subject to specified exceptions, that neither we nor they will offer, sell, contract to sell, pledge, grant any option to purchase, make any short sale or otherwise dispose of any shares of our common stock or securities convertible into or exchangeable or exercisable for any shares of our common stock, except with the prior written consent of the representatives. These lock-up periods affect approximately 390,831 shares of our common stock outstanding as of September 30, 2019. The lock-up restrictions are subject to certain exceptions, including transfers of shares of our common stock (i) acquired in the open market following the completion of this offering; (ii) as a bona fide gift, to a trust for the benefit of the holder or his or her immediate family, by will or other testamentary document or intestate</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succession, or by operation of law; (iii) to an affiliate of the holder or as part of a distribution without consideration to a holder's stockholders, partners, members or other equity holders; (iv) in connection with an exercise for cash of options to purchase our common stock, the "net exercise" or "cashless" exercise of such options within 90 days of the expiration of such options and any transfer for the payment of taxes due as result of the exercise of such options or the vesting, or in connection with the vesting and settlement of restricted stock units, the surrender of common stock (including, without limitation, pursuant to a "sell-to-cover" transaction) in lieu of payment in cash of any tax withholding obligations due as a result of such vesting and settlement; and (v) in connection with establishing a trading plan pursuant to Rule 10b5-1, or 10b5-1 plan, under the Securities Exchange Act of 1934, as amended. The representatives, in their sole discretion, may release the common stock and other securities subject to the lock-up agreements described above in whole or in part at any time.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$500,000. This includes reimbursement to the underwriters for certain of their expenses in an amount up to $5,000.</w:t>
      </w:r>
    </w:p>
    <w:p>
      <w:pPr>
        <w:spacing w:after="0" w:line="209"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right="160" w:firstLine="488"/>
        <w:spacing w:after="0" w:line="28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7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20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firstLine="488"/>
        <w:spacing w:after="0" w:line="273"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0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12" w:lineRule="exact"/>
        <w:rPr>
          <w:sz w:val="20"/>
          <w:szCs w:val="20"/>
          <w:color w:val="auto"/>
        </w:rPr>
      </w:pPr>
    </w:p>
    <w:p>
      <w:pPr>
        <w:ind w:left="1080" w:right="100" w:hanging="532"/>
        <w:spacing w:after="0" w:line="23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0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160" w:firstLine="488"/>
        <w:spacing w:after="0" w:line="23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ASIC and is only directed to certain categories of exempt persons. Accordingly, if you receive this document in Australia:</w:t>
      </w:r>
    </w:p>
    <w:p>
      <w:pPr>
        <w:spacing w:after="0" w:line="21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20" w:firstLine="485"/>
        <w:spacing w:after="0" w:line="235"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3" w:lineRule="exact"/>
        <w:rPr>
          <w:sz w:val="20"/>
          <w:szCs w:val="20"/>
          <w:color w:val="auto"/>
        </w:rPr>
      </w:pPr>
    </w:p>
    <w:p>
      <w:pPr>
        <w:ind w:right="60"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w:t>
      </w:r>
    </w:p>
    <w:p>
      <w:pPr>
        <w:spacing w:after="0" w:line="1" w:lineRule="exact"/>
        <w:rPr>
          <w:sz w:val="20"/>
          <w:szCs w:val="20"/>
          <w:color w:val="auto"/>
        </w:rPr>
      </w:pPr>
    </w:p>
    <w:p>
      <w:pPr>
        <w:ind w:right="40" w:firstLine="8"/>
        <w:spacing w:after="0" w:line="239" w:lineRule="auto"/>
        <w:tabs>
          <w:tab w:leader="none" w:pos="2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the transfer is by operation of law, (5) as specified in Section 276(7) of the SFA, or (6) as specified in Regulation 32 of the Securities and Futures (Offers of Investments) (Shares and Debentures) Regulations 2005 of Singapore ("Regulation 32")</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have not and will not distribute this prospectus or make, distribute or direct an offer to subscribe for our common stock to any person within the State of Israel, other than to Qualified Investors and up to 35 Addressed Investors.</w:t>
      </w:r>
    </w:p>
    <w:p>
      <w:pPr>
        <w:spacing w:after="0" w:line="209" w:lineRule="exact"/>
        <w:rPr>
          <w:sz w:val="20"/>
          <w:szCs w:val="20"/>
          <w:color w:val="auto"/>
        </w:rPr>
      </w:pPr>
    </w:p>
    <w:p>
      <w:pPr>
        <w:ind w:right="120" w:firstLine="488"/>
        <w:spacing w:after="0" w:line="26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w:t>
      </w:r>
    </w:p>
    <w:p>
      <w:pPr>
        <w:spacing w:after="0" w:line="2" w:lineRule="exact"/>
        <w:rPr>
          <w:sz w:val="20"/>
          <w:szCs w:val="20"/>
          <w:color w:val="auto"/>
        </w:rPr>
      </w:pPr>
    </w:p>
    <w:p>
      <w:pPr>
        <w:ind w:right="40" w:firstLine="8"/>
        <w:spacing w:after="0" w:line="238" w:lineRule="auto"/>
        <w:tabs>
          <w:tab w:leader="none" w:pos="2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firstLine="485"/>
        <w:spacing w:after="0" w:line="275"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3" w:lineRule="exact"/>
        <w:rPr>
          <w:sz w:val="20"/>
          <w:szCs w:val="20"/>
          <w:color w:val="auto"/>
        </w:rPr>
      </w:pPr>
    </w:p>
    <w:p>
      <w:pPr>
        <w:ind w:right="160" w:firstLine="488"/>
        <w:spacing w:after="0" w:line="275"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3"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9"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qualified foreign pension funds;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tax treatment of a partner in such</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partnership generally will depend on the status of the partner and upon the activities of the partnership. Accordingly, partnerships that hold our common stock, and partners in such partnerships, should consult their tax advisors.</w:t>
      </w:r>
    </w:p>
    <w:p>
      <w:pPr>
        <w:spacing w:after="0" w:line="187"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U.S. federal income tax purposes (i) a foreign corporation, (ii) a nonresident alien individual, (iii) a foreign estate, the income of which, if from sources without the U.S. and not effectively connected with the conduct of a trade or business within the U.S., is not subject to tax in the U.S.; or (iv) a trust that has not made an election to be treated as a U.S. holder under applicable Treasury regulations and that either (A) is not subject to the primary jurisdiction of a court within the U.S., or (B) is not subject to the substantial control of one or more U.S. persons.</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8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34"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Subject to the discussion below regarding backup withholding , a non-U.S. Holder generally will not be required to pay U.S. federal income tax on any gain realized upon the sale or other taxable disposition of our common stock unless:</w:t>
      </w:r>
    </w:p>
    <w:p>
      <w:pPr>
        <w:spacing w:after="0" w:line="209" w:lineRule="exact"/>
        <w:rPr>
          <w:sz w:val="20"/>
          <w:szCs w:val="20"/>
          <w:color w:val="auto"/>
        </w:rPr>
      </w:pPr>
    </w:p>
    <w:p>
      <w:pPr>
        <w:jc w:val="both"/>
        <w:ind w:left="1080" w:hanging="532"/>
        <w:spacing w:after="0" w:line="23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60" w:hanging="532"/>
        <w:spacing w:after="0" w:line="23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are an individual who is present in the U.S.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U.S.) (subject to applicable income tax or other treaties); or</w:t>
      </w:r>
    </w:p>
    <w:p>
      <w:pPr>
        <w:spacing w:after="0" w:line="195" w:lineRule="exact"/>
        <w:rPr>
          <w:rFonts w:ascii="Arial" w:cs="Arial" w:eastAsia="Arial" w:hAnsi="Arial"/>
          <w:sz w:val="18"/>
          <w:szCs w:val="18"/>
          <w:color w:val="auto"/>
        </w:rPr>
      </w:pPr>
    </w:p>
    <w:p>
      <w:pPr>
        <w:ind w:left="1080" w:right="20" w:hanging="532"/>
        <w:spacing w:after="0" w:line="235"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U.S. regarding FATCA, that agreement may permit the payee to report to that country rather than to the U.S. Treasury. Notwithstanding the foregoing, under current proposed Treasury regulations (which taxpayers may rely upon prior to finalization) no withholding will be imposed on gross proceeds from the sale or disposition of our common stock. However, no assurance can be provided that such proposed regulations will not be repealed, or that the final regulations (if and when promulgated) will treat gross proceeds consistently with the proposed regulations. Prospective investors should consult their tax advisors regarding FATCA.</w:t>
      </w:r>
    </w:p>
    <w:p>
      <w:pPr>
        <w:spacing w:after="0" w:line="193"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jc w:val="both"/>
        <w:ind w:right="700" w:firstLine="488"/>
        <w:spacing w:after="0" w:line="238" w:lineRule="auto"/>
        <w:rPr>
          <w:sz w:val="20"/>
          <w:szCs w:val="20"/>
          <w:color w:val="auto"/>
        </w:rPr>
      </w:pPr>
      <w:r>
        <w:rPr>
          <w:rFonts w:ascii="Arial" w:cs="Arial" w:eastAsia="Arial" w:hAnsi="Arial"/>
          <w:sz w:val="18"/>
          <w:szCs w:val="18"/>
          <w:color w:val="auto"/>
        </w:rPr>
        <w:t>Certain legal matters with respect to the securities offered by this prospectus supplement will be passed upon for us by Goodwin Procter LLP, Boston, Massachusetts. Certain legal matters will be passed upon for the underwriters by Latham &amp; Watkins LLP, Boston, Massachusetts.</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firstLine="485"/>
        <w:spacing w:after="0" w:line="236" w:lineRule="auto"/>
        <w:rPr>
          <w:rFonts w:ascii="Arial" w:cs="Arial" w:eastAsia="Arial" w:hAnsi="Arial"/>
          <w:sz w:val="18"/>
          <w:szCs w:val="18"/>
          <w:color w:val="0000EE"/>
        </w:rPr>
      </w:pPr>
      <w:hyperlink r:id="rId15">
        <w:r>
          <w:rPr>
            <w:rFonts w:ascii="Arial" w:cs="Arial" w:eastAsia="Arial" w:hAnsi="Arial"/>
            <w:sz w:val="18"/>
            <w:szCs w:val="18"/>
            <w:color w:val="auto"/>
          </w:rPr>
          <w:t xml:space="preserve">The consolidated financial statements of Blueprint Medicines Corporation appearing in Blueprint Medicines Corporation's </w:t>
        </w:r>
        <w:r>
          <w:rPr>
            <w:rFonts w:ascii="Arial" w:cs="Arial" w:eastAsia="Arial" w:hAnsi="Arial"/>
            <w:sz w:val="18"/>
            <w:szCs w:val="18"/>
            <w:u w:val="single" w:color="auto"/>
            <w:color w:val="0000EE"/>
          </w:rPr>
          <w:t>Annual Report</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(Form 10-K) for the year ended December 31, 2018</w:t>
        </w:r>
        <w:r>
          <w:rPr>
            <w:rFonts w:ascii="Arial" w:cs="Arial" w:eastAsia="Arial" w:hAnsi="Arial"/>
            <w:sz w:val="18"/>
            <w:szCs w:val="18"/>
            <w:color w:val="0000EE"/>
          </w:rPr>
          <w:t xml:space="preserve"> </w:t>
        </w:r>
        <w:r>
          <w:rPr>
            <w:rFonts w:ascii="Arial" w:cs="Arial" w:eastAsia="Arial" w:hAnsi="Arial"/>
            <w:sz w:val="18"/>
            <w:szCs w:val="18"/>
            <w:color w:val="000000"/>
          </w:rPr>
          <w:t>and the effectiveness of Blueprint Medicines Corporation's internal control over financial</w:t>
        </w:r>
      </w:hyperlink>
      <w:r>
        <w:rPr>
          <w:rFonts w:ascii="Arial" w:cs="Arial" w:eastAsia="Arial" w:hAnsi="Arial"/>
          <w:sz w:val="18"/>
          <w:szCs w:val="18"/>
          <w:color w:val="0000EE"/>
        </w:rPr>
        <w:t xml:space="preserve"> </w:t>
      </w:r>
      <w:r>
        <w:rPr>
          <w:rFonts w:ascii="Arial" w:cs="Arial" w:eastAsia="Arial" w:hAnsi="Arial"/>
          <w:sz w:val="18"/>
          <w:szCs w:val="18"/>
          <w:color w:val="000000"/>
        </w:rPr>
        <w:t>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said firm as experts in auditing and accounting.</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010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2">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180" w:type="dxa"/>
            <w:vAlign w:val="bottom"/>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678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40" w:type="dxa"/>
            <w:vAlign w:val="bottom"/>
            <w:gridSpan w:val="15"/>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WHERE YOU CAN FIND MORE INFORMATION</w:t>
              </w:r>
            </w:hyperlink>
          </w:p>
        </w:tc>
        <w:tc>
          <w:tcPr>
            <w:tcW w:w="522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760" w:type="dxa"/>
            <w:vAlign w:val="bottom"/>
            <w:gridSpan w:val="11"/>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INCORPORATION BY REFERENCE</w:t>
              </w:r>
            </w:hyperlink>
          </w:p>
        </w:tc>
        <w:tc>
          <w:tcPr>
            <w:tcW w:w="980" w:type="dxa"/>
            <w:vAlign w:val="bottom"/>
            <w:gridSpan w:val="4"/>
          </w:tcPr>
          <w:p>
            <w:pPr>
              <w:spacing w:after="0"/>
              <w:rPr>
                <w:sz w:val="24"/>
                <w:szCs w:val="24"/>
                <w:color w:val="auto"/>
              </w:rPr>
            </w:pPr>
          </w:p>
        </w:tc>
        <w:tc>
          <w:tcPr>
            <w:tcW w:w="522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FORWARD-LOOKING STATEMENTS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5">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BLUEPRINT MEDICINES CORPORATION</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RATIOS OF EARNINGS TO FIXED CHARGES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gridSpan w:val="6"/>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USE OF PROCEEDS</w:t>
              </w:r>
            </w:hyperlink>
          </w:p>
        </w:tc>
        <w:tc>
          <w:tcPr>
            <w:tcW w:w="3340" w:type="dxa"/>
            <w:vAlign w:val="bottom"/>
            <w:gridSpan w:val="10"/>
          </w:tcPr>
          <w:p>
            <w:pPr>
              <w:spacing w:after="0"/>
              <w:rPr>
                <w:sz w:val="24"/>
                <w:szCs w:val="24"/>
                <w:color w:val="auto"/>
              </w:rPr>
            </w:pPr>
          </w:p>
        </w:tc>
        <w:tc>
          <w:tcPr>
            <w:tcW w:w="4060" w:type="dxa"/>
            <w:vAlign w:val="bottom"/>
            <w:gridSpan w:val="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DILUTION</w:t>
              </w:r>
            </w:hyperlink>
          </w:p>
        </w:tc>
        <w:tc>
          <w:tcPr>
            <w:tcW w:w="7400" w:type="dxa"/>
            <w:vAlign w:val="bottom"/>
            <w:gridSpan w:val="1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DESCRIPTION OF CAPITAL STOCK</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50">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DESCRIPTION OF DEBT SECURITIES</w:t>
              </w:r>
            </w:hyperlink>
          </w:p>
        </w:tc>
        <w:tc>
          <w:tcPr>
            <w:tcW w:w="60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17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DESCRIPTION OF DEPOSITARY SHARES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31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4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DESCRIPTION OF PURCHASE CONTRACTS AND PURCHASE UNITS</w:t>
              </w:r>
            </w:hyperlink>
          </w:p>
        </w:tc>
        <w:tc>
          <w:tcPr>
            <w:tcW w:w="35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34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DESCRIPTION OF WARRANTS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35</w:t>
              </w:r>
            </w:hyperlink>
          </w:p>
        </w:tc>
      </w:tr>
      <w:tr>
        <w:trPr>
          <w:trHeight w:val="412"/>
        </w:trPr>
        <w:tc>
          <w:tcPr>
            <w:tcW w:w="114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FORMS OF SECURITIES</w:t>
              </w:r>
            </w:hyperlink>
          </w:p>
        </w:tc>
        <w:tc>
          <w:tcPr>
            <w:tcW w:w="500" w:type="dxa"/>
            <w:vAlign w:val="bottom"/>
            <w:tcBorders>
              <w:top w:val="single" w:sz="8" w:color="0000EE"/>
            </w:tcBorders>
            <w:gridSpan w:val="3"/>
          </w:tcPr>
          <w:p>
            <w:pPr>
              <w:spacing w:after="0"/>
              <w:rPr>
                <w:sz w:val="24"/>
                <w:szCs w:val="24"/>
                <w:color w:val="auto"/>
              </w:rPr>
            </w:pPr>
          </w:p>
        </w:tc>
        <w:tc>
          <w:tcPr>
            <w:tcW w:w="654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36</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PLAN OF DISTRIBUTION</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38</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6960" w:type="dxa"/>
            <w:vAlign w:val="bottom"/>
            <w:gridSpan w:val="10"/>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41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754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41</w:t>
              </w:r>
            </w:hyperlink>
          </w:p>
        </w:tc>
        <w:tc>
          <w:tcPr>
            <w:tcW w:w="1140" w:type="dxa"/>
            <w:vAlign w:val="bottom"/>
          </w:tcPr>
          <w:p>
            <w:pPr>
              <w:spacing w:after="0"/>
              <w:rPr>
                <w:sz w:val="24"/>
                <w:szCs w:val="24"/>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54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w:t>
      </w:r>
      <w:hyperlink r:id="rId80">
        <w:r>
          <w:rPr>
            <w:rFonts w:ascii="Arial" w:cs="Arial" w:eastAsia="Arial" w:hAnsi="Arial"/>
            <w:sz w:val="16"/>
            <w:szCs w:val="16"/>
            <w:u w:val="single" w:color="auto"/>
            <w:color w:val="0000EE"/>
          </w:rPr>
          <w:t>Annual Report on Form 10-K for the fiscal year ended December 31, 2016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0000EE"/>
        </w:rPr>
      </w:pPr>
      <w:hyperlink r:id="rId80">
        <w:r>
          <w:rPr>
            <w:rFonts w:ascii="Arial" w:cs="Arial" w:eastAsia="Arial" w:hAnsi="Arial"/>
            <w:sz w:val="18"/>
            <w:szCs w:val="18"/>
            <w:u w:val="single" w:color="auto"/>
            <w:color w:val="0000EE"/>
          </w:rPr>
          <w:t>Annual Report on Form 10-K for the fiscal year ended December 31, 2016</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jc w:val="both"/>
        <w:ind w:left="1080" w:right="80" w:hanging="532"/>
        <w:spacing w:after="0" w:line="259" w:lineRule="auto"/>
        <w:tabs>
          <w:tab w:leader="none" w:pos="1080" w:val="left"/>
        </w:tabs>
        <w:numPr>
          <w:ilvl w:val="0"/>
          <w:numId w:val="26"/>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w:t>
      </w:r>
      <w:hyperlink r:id="rId82">
        <w:r>
          <w:rPr>
            <w:rFonts w:ascii="Arial" w:cs="Arial" w:eastAsia="Arial" w:hAnsi="Arial"/>
            <w:sz w:val="18"/>
            <w:szCs w:val="18"/>
            <w:u w:val="single" w:color="auto"/>
            <w:color w:val="0000EE"/>
          </w:rPr>
          <w:t>Annual Report on Form 10-K for the fiscal year ended December 31, 2015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w:t>
      </w:r>
      <w:hyperlink r:id="rId83">
        <w:r>
          <w:rPr>
            <w:rFonts w:ascii="Arial" w:cs="Arial" w:eastAsia="Arial" w:hAnsi="Arial"/>
            <w:sz w:val="18"/>
            <w:szCs w:val="18"/>
            <w:color w:val="auto"/>
          </w:rPr>
          <w:t xml:space="preserve">our </w:t>
        </w:r>
        <w:r>
          <w:rPr>
            <w:rFonts w:ascii="Arial" w:cs="Arial" w:eastAsia="Arial" w:hAnsi="Arial"/>
            <w:sz w:val="18"/>
            <w:szCs w:val="18"/>
            <w:u w:val="single" w:color="auto"/>
            <w:color w:val="0000EE"/>
          </w:rPr>
          <w:t>definitive proxy statement (other than information furnished rather than filed) for the 2016 Annual Meeting of Stockholders, which was filed</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EE"/>
          </w:rPr>
          <w:t>with the SEC on April 28, 2016</w:t>
        </w:r>
        <w:r>
          <w:rPr>
            <w:rFonts w:ascii="Arial" w:cs="Arial" w:eastAsia="Arial" w:hAnsi="Arial"/>
            <w:sz w:val="18"/>
            <w:szCs w:val="18"/>
            <w:color w:val="000000"/>
          </w:rPr>
          <w:t>; and</w:t>
        </w:r>
      </w:hyperlink>
    </w:p>
    <w:p>
      <w:pPr>
        <w:spacing w:after="0" w:line="207" w:lineRule="exact"/>
        <w:rPr>
          <w:rFonts w:ascii="Arial" w:cs="Arial" w:eastAsia="Arial" w:hAnsi="Arial"/>
          <w:sz w:val="18"/>
          <w:szCs w:val="18"/>
          <w:color w:val="0000EE"/>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29">
        <w:r>
          <w:rPr>
            <w:rFonts w:ascii="Arial" w:cs="Arial" w:eastAsia="Arial" w:hAnsi="Arial"/>
            <w:sz w:val="18"/>
            <w:szCs w:val="18"/>
            <w:u w:val="single" w:color="auto"/>
            <w:color w:val="0000EE"/>
          </w:rPr>
          <w:t>Form 8-A filed on April 27, 2015</w:t>
        </w:r>
      </w:hyperlink>
      <w:r>
        <w:rPr>
          <w:rFonts w:ascii="Arial" w:cs="Arial" w:eastAsia="Arial" w:hAnsi="Arial"/>
          <w:sz w:val="18"/>
          <w:szCs w:val="18"/>
          <w:color w:val="auto"/>
        </w:rPr>
        <w:t>, including any amendments or reports filed for the purpose of updating such description.</w:t>
      </w:r>
    </w:p>
    <w:p>
      <w:pPr>
        <w:spacing w:after="0" w:line="186"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1080" w:right="180" w:hanging="532"/>
        <w:spacing w:after="0" w:line="305"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1080" w:right="20" w:firstLine="8"/>
        <w:spacing w:after="0" w:line="261" w:lineRule="auto"/>
        <w:tabs>
          <w:tab w:leader="none" w:pos="13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1080" w:hanging="532"/>
        <w:spacing w:after="0" w:line="335"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1080" w:right="98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31"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hyperlink r:id="rId80">
        <w:r>
          <w:rPr>
            <w:rFonts w:ascii="Arial" w:cs="Arial" w:eastAsia="Arial" w:hAnsi="Arial"/>
            <w:sz w:val="18"/>
            <w:szCs w:val="18"/>
            <w:color w:val="auto"/>
          </w:rPr>
          <w:t xml:space="preserve">The consolidated financial statements of Blueprint Medicines Corporation appearing in Blueprint Medicines Corporation's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EE"/>
          </w:rPr>
          <w:t>the year ended December 31, 2016</w:t>
        </w:r>
        <w:r>
          <w:rPr>
            <w:rFonts w:ascii="Arial" w:cs="Arial" w:eastAsia="Arial" w:hAnsi="Arial"/>
            <w:sz w:val="18"/>
            <w:szCs w:val="18"/>
            <w:color w:val="0000EE"/>
          </w:rPr>
          <w:t xml:space="preserve"> </w:t>
        </w:r>
        <w:r>
          <w:rPr>
            <w:rFonts w:ascii="Arial" w:cs="Arial" w:eastAsia="Arial" w:hAnsi="Arial"/>
            <w:sz w:val="18"/>
            <w:szCs w:val="18"/>
            <w:color w:val="000000"/>
          </w:rPr>
          <w:t>have been audited by Ernst &amp; Young LLP, independent registered public accounting firm, as set forth in their report thereon,</w:t>
        </w:r>
      </w:hyperlink>
      <w:r>
        <w:rPr>
          <w:rFonts w:ascii="Arial" w:cs="Arial" w:eastAsia="Arial" w:hAnsi="Arial"/>
          <w:sz w:val="18"/>
          <w:szCs w:val="18"/>
          <w:color w:val="0000EE"/>
        </w:rPr>
        <w:t xml:space="preserve"> </w:t>
      </w:r>
      <w:r>
        <w:rPr>
          <w:rFonts w:ascii="Arial" w:cs="Arial" w:eastAsia="Arial" w:hAnsi="Arial"/>
          <w:sz w:val="18"/>
          <w:szCs w:val="18"/>
          <w:color w:val="000000"/>
        </w:rPr>
        <w:t>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4,710,144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 SUPPLEMENT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jc w:val="center"/>
              <w:ind w:left="672"/>
              <w:spacing w:after="0"/>
              <w:rPr>
                <w:sz w:val="20"/>
                <w:szCs w:val="20"/>
                <w:color w:val="auto"/>
              </w:rPr>
            </w:pPr>
            <w:r>
              <w:rPr>
                <w:rFonts w:ascii="Arial" w:cs="Arial" w:eastAsia="Arial" w:hAnsi="Arial"/>
                <w:sz w:val="18"/>
                <w:szCs w:val="18"/>
                <w:b w:val="1"/>
                <w:bCs w:val="1"/>
                <w:color w:val="auto"/>
                <w:w w:val="98"/>
              </w:rPr>
              <w:t>Goldman Sachs &amp; Co. LLC</w:t>
            </w:r>
          </w:p>
        </w:tc>
        <w:tc>
          <w:tcPr>
            <w:tcW w:w="2920" w:type="dxa"/>
            <w:vAlign w:val="bottom"/>
          </w:tcPr>
          <w:p>
            <w:pPr>
              <w:spacing w:after="0"/>
              <w:rPr>
                <w:sz w:val="20"/>
                <w:szCs w:val="20"/>
                <w:color w:val="auto"/>
              </w:rPr>
            </w:pPr>
          </w:p>
        </w:tc>
        <w:tc>
          <w:tcPr>
            <w:tcW w:w="4140" w:type="dxa"/>
            <w:vAlign w:val="bottom"/>
          </w:tcPr>
          <w:p>
            <w:pPr>
              <w:jc w:val="center"/>
              <w:ind w:right="872"/>
              <w:spacing w:after="0"/>
              <w:rPr>
                <w:sz w:val="20"/>
                <w:szCs w:val="20"/>
                <w:color w:val="auto"/>
              </w:rPr>
            </w:pPr>
            <w:r>
              <w:rPr>
                <w:rFonts w:ascii="Arial" w:cs="Arial" w:eastAsia="Arial" w:hAnsi="Arial"/>
                <w:sz w:val="18"/>
                <w:szCs w:val="18"/>
                <w:b w:val="1"/>
                <w:bCs w:val="1"/>
                <w:color w:val="auto"/>
                <w:w w:val="98"/>
              </w:rPr>
              <w:t>Cowen</w:t>
            </w:r>
          </w:p>
        </w:tc>
      </w:tr>
      <w:tr>
        <w:trPr>
          <w:trHeight w:val="446"/>
        </w:trPr>
        <w:tc>
          <w:tcPr>
            <w:tcW w:w="4360" w:type="dxa"/>
            <w:vAlign w:val="bottom"/>
          </w:tcPr>
          <w:p>
            <w:pPr>
              <w:jc w:val="center"/>
              <w:ind w:left="672"/>
              <w:spacing w:after="0"/>
              <w:rPr>
                <w:sz w:val="20"/>
                <w:szCs w:val="20"/>
                <w:color w:val="auto"/>
              </w:rPr>
            </w:pPr>
            <w:r>
              <w:rPr>
                <w:rFonts w:ascii="Arial" w:cs="Arial" w:eastAsia="Arial" w:hAnsi="Arial"/>
                <w:sz w:val="18"/>
                <w:szCs w:val="18"/>
                <w:b w:val="1"/>
                <w:bCs w:val="1"/>
                <w:color w:val="auto"/>
                <w:w w:val="96"/>
              </w:rPr>
              <w:t>Canaccord Genuity</w:t>
            </w:r>
          </w:p>
        </w:tc>
        <w:tc>
          <w:tcPr>
            <w:tcW w:w="292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JMP Securities</w:t>
            </w:r>
          </w:p>
        </w:tc>
        <w:tc>
          <w:tcPr>
            <w:tcW w:w="4140" w:type="dxa"/>
            <w:vAlign w:val="bottom"/>
          </w:tcPr>
          <w:p>
            <w:pPr>
              <w:jc w:val="center"/>
              <w:ind w:right="892"/>
              <w:spacing w:after="0"/>
              <w:rPr>
                <w:sz w:val="20"/>
                <w:szCs w:val="20"/>
                <w:color w:val="auto"/>
              </w:rPr>
            </w:pPr>
            <w:r>
              <w:rPr>
                <w:rFonts w:ascii="Arial" w:cs="Arial" w:eastAsia="Arial" w:hAnsi="Arial"/>
                <w:sz w:val="18"/>
                <w:szCs w:val="18"/>
                <w:b w:val="1"/>
                <w:bCs w:val="1"/>
                <w:color w:val="auto"/>
                <w:w w:val="97"/>
              </w:rPr>
              <w:t>Raymond James</w:t>
            </w:r>
          </w:p>
        </w:tc>
      </w:tr>
      <w:tr>
        <w:trPr>
          <w:trHeight w:val="419"/>
        </w:trPr>
        <w:tc>
          <w:tcPr>
            <w:tcW w:w="4360" w:type="dxa"/>
            <w:vAlign w:val="bottom"/>
          </w:tcPr>
          <w:p>
            <w:pPr>
              <w:spacing w:after="0"/>
              <w:rPr>
                <w:sz w:val="24"/>
                <w:szCs w:val="24"/>
                <w:color w:val="auto"/>
              </w:rPr>
            </w:pPr>
          </w:p>
        </w:tc>
        <w:tc>
          <w:tcPr>
            <w:tcW w:w="2920" w:type="dxa"/>
            <w:vAlign w:val="bottom"/>
          </w:tcPr>
          <w:p>
            <w:pPr>
              <w:jc w:val="center"/>
              <w:ind w:right="112"/>
              <w:spacing w:after="0"/>
              <w:rPr>
                <w:sz w:val="20"/>
                <w:szCs w:val="20"/>
                <w:color w:val="auto"/>
              </w:rPr>
            </w:pPr>
            <w:r>
              <w:rPr>
                <w:rFonts w:ascii="Arial" w:cs="Arial" w:eastAsia="Arial" w:hAnsi="Arial"/>
                <w:sz w:val="18"/>
                <w:szCs w:val="18"/>
                <w:color w:val="auto"/>
                <w:w w:val="97"/>
              </w:rPr>
              <w:t>January 22, 2020</w:t>
            </w:r>
          </w:p>
        </w:tc>
        <w:tc>
          <w:tcPr>
            <w:tcW w:w="4140" w:type="dxa"/>
            <w:vAlign w:val="bottom"/>
          </w:tcPr>
          <w:p>
            <w:pPr>
              <w:spacing w:after="0"/>
              <w:rPr>
                <w:sz w:val="24"/>
                <w:szCs w:val="24"/>
                <w:color w:val="auto"/>
              </w:rPr>
            </w:pPr>
          </w:p>
        </w:tc>
      </w:tr>
      <w:tr>
        <w:trPr>
          <w:trHeight w:val="488"/>
        </w:trPr>
        <w:tc>
          <w:tcPr>
            <w:tcW w:w="4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r>
        <w:trPr>
          <w:trHeight w:val="41"/>
        </w:trPr>
        <w:tc>
          <w:tcPr>
            <w:tcW w:w="43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lvl w:ilvl="1">
      <w:lvlJc w:val="left"/>
      <w:lvlText w:val="•"/>
      <w:numFmt w:val="bullet"/>
      <w:start w:val="1"/>
    </w:lvl>
  </w:abstractNum>
  <w:abstractNum w:abstractNumId="21">
    <w:nsid w:val="70A64E2A"/>
    <w:multiLevelType w:val="hybridMultilevel"/>
    <w:lvl w:ilvl="0">
      <w:lvlJc w:val="left"/>
      <w:lvlText w:val="(%1)"/>
      <w:numFmt w:val="decimal"/>
      <w:start w:val="4"/>
    </w:lvl>
  </w:abstractNum>
  <w:abstractNum w:abstractNumId="22">
    <w:nsid w:val="6A2342EC"/>
    <w:multiLevelType w:val="hybridMultilevel"/>
    <w:lvl w:ilvl="0">
      <w:lvlJc w:val="left"/>
      <w:lvlText w:val="(%1)"/>
      <w:numFmt w:val="lowerRoman"/>
      <w:start w:val="5"/>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lvl w:ilvl="1">
      <w:lvlJc w:val="left"/>
      <w:lvlText w:val="(%2)"/>
      <w:numFmt w:val="lowerRoman"/>
      <w:start w:val="2"/>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1"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jpeg"/><Relationship Id="rId128" Type="http://schemas.openxmlformats.org/officeDocument/2006/relationships/image" Target="media/image104.png"/><Relationship Id="rId129" Type="http://schemas.openxmlformats.org/officeDocument/2006/relationships/image" Target="media/image105.png"/><Relationship Id="rId15" Type="http://schemas.openxmlformats.org/officeDocument/2006/relationships/hyperlink" Target="http://www.sec.gov/Archives/edgar/data/1597264/000155837019001094/bpmc-20181231x10k.htm" TargetMode="External"/><Relationship Id="rId16" Type="http://schemas.openxmlformats.org/officeDocument/2006/relationships/hyperlink" Target="http://www.sec.gov/Archives/edgar/data/1597264/000155837019003477/def14a.htm" TargetMode="External"/><Relationship Id="rId18" Type="http://schemas.openxmlformats.org/officeDocument/2006/relationships/hyperlink" Target="http://www.sec.gov/Archives/edgar/data/1597264/000155837019004709/bpmc-20190331x10q.htm" TargetMode="External"/><Relationship Id="rId19" Type="http://schemas.openxmlformats.org/officeDocument/2006/relationships/hyperlink" Target="http://www.sec.gov/Archives/edgar/data/1597264/000155837019006820/0001558370-19-006820-index.htm" TargetMode="External"/><Relationship Id="rId20" Type="http://schemas.openxmlformats.org/officeDocument/2006/relationships/hyperlink" Target="http://www.sec.gov/Archives/edgar/data/1597264/000155837019009888/0001558370-19-009888-index.htm" TargetMode="External"/><Relationship Id="rId21" Type="http://schemas.openxmlformats.org/officeDocument/2006/relationships/hyperlink" Target="http://www.sec.gov/Archives/edgar/data/1597264/000155837019008914/0001558370-19-008914-index.htm" TargetMode="External"/><Relationship Id="rId22" Type="http://schemas.openxmlformats.org/officeDocument/2006/relationships/hyperlink" Target="http://www.sec.gov/Archives/edgar/data/1597264/000155837019009188/0001558370-19-009188-index.htm" TargetMode="External"/><Relationship Id="rId23" Type="http://schemas.openxmlformats.org/officeDocument/2006/relationships/hyperlink" Target="http://www.sec.gov/Archives/edgar/data/1597264/000155837019011419/0001558370-19-011419-index.htm" TargetMode="External"/><Relationship Id="rId24" Type="http://schemas.openxmlformats.org/officeDocument/2006/relationships/hyperlink" Target="http://www.sec.gov/Archives/edgar/data/1597264/000155837019011670/0001558370-19-011670-index.htm" TargetMode="External"/><Relationship Id="rId25" Type="http://schemas.openxmlformats.org/officeDocument/2006/relationships/hyperlink" Target="http://www.sec.gov/Archives/edgar/data/1597264/000155837020000074/0001558370-20-000074-index.htm" TargetMode="External"/><Relationship Id="rId26" Type="http://schemas.openxmlformats.org/officeDocument/2006/relationships/hyperlink" Target="http://www.sec.gov/Archives/edgar/data/1597264/000155837020000102/0001558370-20-000102-index.htm" TargetMode="External"/><Relationship Id="rId27" Type="http://schemas.openxmlformats.org/officeDocument/2006/relationships/hyperlink" Target="http://www.sec.gov/Archives/edgar/data/1597264/000155837020000136/0001558370-20-000136-index.htm" TargetMode="External"/><Relationship Id="rId28" Type="http://schemas.openxmlformats.org/officeDocument/2006/relationships/hyperlink" Target="http://www.sec.gov/Archives/edgar/data/1597264/000110465920005550/0001104659-20-005550-index.htm" TargetMode="External"/><Relationship Id="rId29" Type="http://schemas.openxmlformats.org/officeDocument/2006/relationships/hyperlink" Target="http://www.sec.gov/Archives/edgar/data/1597264/000110465915030565/a15-4342_98a12b.htm" TargetMode="External"/><Relationship Id="rId80" Type="http://schemas.openxmlformats.org/officeDocument/2006/relationships/hyperlink" Target="http://www.sec.gov/Archives/edgar/data/1597264/000155837017001547/bpmc-20161231x10k.htm" TargetMode="External"/><Relationship Id="rId82" Type="http://schemas.openxmlformats.org/officeDocument/2006/relationships/hyperlink" Target="http://www.sec.gov/Archives/edgar/data/1597264/000155837016004066/bpmc-20151231x10k.htm" TargetMode="External"/><Relationship Id="rId83" Type="http://schemas.openxmlformats.org/officeDocument/2006/relationships/hyperlink" Target="http://www.sec.gov/Archives/edgar/data/1597264/000155837016004972/bpmc-20160621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2020-01-23T15:27:24Z</dcterms:created>
  <dcterms:modified xsi:type="dcterms:W3CDTF">2020-01-23T15:27:24Z</dcterms:modified>
</cp:coreProperties>
</file>