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left="400" w:right="2700"/>
        <w:spacing w:after="0" w:line="264"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2)</w:t>
      </w:r>
      <w:r>
        <w:rPr>
          <w:rFonts w:ascii="Arial" w:cs="Arial" w:eastAsia="Arial" w:hAnsi="Arial"/>
          <w:sz w:val="25"/>
          <w:szCs w:val="25"/>
          <w:color w:val="auto"/>
          <w:vertAlign w:val="superscript"/>
        </w:rPr>
        <w:t>1</w:t>
      </w:r>
    </w:p>
    <w:p>
      <w:pPr>
        <w:spacing w:after="0" w:line="200" w:lineRule="exact"/>
        <w:rPr>
          <w:sz w:val="24"/>
          <w:szCs w:val="24"/>
          <w:color w:val="auto"/>
        </w:rPr>
      </w:pP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09627Y109</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April 29,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100" w:hanging="466"/>
        <w:spacing w:after="0"/>
        <w:tabs>
          <w:tab w:leader="none" w:pos="110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306" w:lineRule="exact"/>
        <w:rPr>
          <w:rFonts w:ascii="Arial" w:cs="Arial" w:eastAsia="Arial" w:hAnsi="Arial"/>
          <w:sz w:val="18"/>
          <w:szCs w:val="18"/>
          <w:color w:val="auto"/>
        </w:rPr>
      </w:pPr>
    </w:p>
    <w:p>
      <w:pPr>
        <w:ind w:left="1100" w:hanging="466"/>
        <w:spacing w:after="0"/>
        <w:tabs>
          <w:tab w:leader="none" w:pos="110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w:t>
      </w:r>
    </w:p>
    <w:p>
      <w:pPr>
        <w:spacing w:after="0" w:line="13" w:lineRule="exact"/>
        <w:rPr>
          <w:sz w:val="24"/>
          <w:szCs w:val="24"/>
          <w:color w:val="auto"/>
        </w:rPr>
      </w:pPr>
    </w:p>
    <w:p>
      <w:pPr>
        <w:ind w:right="60" w:firstLine="8"/>
        <w:spacing w:after="0" w:line="211" w:lineRule="auto"/>
        <w:tabs>
          <w:tab w:leader="none" w:pos="126"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0" w:lineRule="exact"/>
        <w:rPr>
          <w:sz w:val="24"/>
          <w:szCs w:val="24"/>
          <w:color w:val="auto"/>
        </w:rPr>
      </w:pPr>
    </w:p>
    <w:p>
      <w:pPr>
        <w:ind w:firstLine="918"/>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Biotechnology Value Fund, L.P.</w:t>
            </w: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1,342,455</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1,342,455</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1,342,455</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4.9%</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Biotechnology Value Fund II, L.P.</w:t>
            </w: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tcPr>
          <w:p>
            <w:pPr>
              <w:ind w:left="66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4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40" w:type="dxa"/>
            <w:vAlign w:val="bottom"/>
            <w:tcBorders>
              <w:bottom w:val="single" w:sz="8" w:color="auto"/>
              <w:right w:val="single" w:sz="8" w:color="auto"/>
            </w:tcBorders>
          </w:tcPr>
          <w:p>
            <w:pPr>
              <w:spacing w:after="0"/>
              <w:rPr>
                <w:sz w:val="20"/>
                <w:szCs w:val="20"/>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4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600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40" w:type="dxa"/>
            <w:vAlign w:val="bottom"/>
            <w:tcBorders>
              <w:bottom w:val="single" w:sz="8" w:color="auto"/>
              <w:right w:val="single" w:sz="8" w:color="auto"/>
            </w:tcBorders>
          </w:tcPr>
          <w:p>
            <w:pPr>
              <w:spacing w:after="0"/>
              <w:rPr>
                <w:sz w:val="21"/>
                <w:szCs w:val="21"/>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791,000</w:t>
            </w:r>
          </w:p>
        </w:tc>
        <w:tc>
          <w:tcPr>
            <w:tcW w:w="192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791,000</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791,000</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7740" w:type="dxa"/>
            <w:vAlign w:val="bottom"/>
            <w:tcBorders>
              <w:bottom w:val="single" w:sz="8" w:color="auto"/>
            </w:tcBorders>
            <w:gridSpan w:val="2"/>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2.9%</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0" w:type="dxa"/>
            <w:vAlign w:val="bottom"/>
          </w:tcPr>
          <w:p>
            <w:pPr>
              <w:ind w:left="2160"/>
              <w:spacing w:after="0"/>
              <w:rPr>
                <w:sz w:val="20"/>
                <w:szCs w:val="20"/>
                <w:color w:val="auto"/>
              </w:rPr>
            </w:pPr>
            <w:r>
              <w:rPr>
                <w:rFonts w:ascii="Arial" w:cs="Arial" w:eastAsia="Arial" w:hAnsi="Arial"/>
                <w:sz w:val="18"/>
                <w:szCs w:val="18"/>
                <w:color w:val="auto"/>
              </w:rPr>
              <w:t>3</w:t>
            </w:r>
          </w:p>
        </w:tc>
        <w:tc>
          <w:tcPr>
            <w:tcW w:w="192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Biotechnology Value Trading Fund OS LP</w:t>
            </w: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tcPr>
          <w:p>
            <w:pPr>
              <w:ind w:left="66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Cayman Islands</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4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40" w:type="dxa"/>
            <w:vAlign w:val="bottom"/>
            <w:tcBorders>
              <w:bottom w:val="single" w:sz="8" w:color="auto"/>
              <w:right w:val="single" w:sz="8" w:color="auto"/>
            </w:tcBorders>
          </w:tcPr>
          <w:p>
            <w:pPr>
              <w:spacing w:after="0"/>
              <w:rPr>
                <w:sz w:val="20"/>
                <w:szCs w:val="20"/>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4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600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40" w:type="dxa"/>
            <w:vAlign w:val="bottom"/>
            <w:tcBorders>
              <w:bottom w:val="single" w:sz="8" w:color="auto"/>
              <w:right w:val="single" w:sz="8" w:color="auto"/>
            </w:tcBorders>
          </w:tcPr>
          <w:p>
            <w:pPr>
              <w:spacing w:after="0"/>
              <w:rPr>
                <w:sz w:val="21"/>
                <w:szCs w:val="21"/>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170,320</w:t>
            </w:r>
          </w:p>
        </w:tc>
        <w:tc>
          <w:tcPr>
            <w:tcW w:w="192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170,320</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170,320</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7740" w:type="dxa"/>
            <w:vAlign w:val="bottom"/>
            <w:tcBorders>
              <w:bottom w:val="single" w:sz="8" w:color="auto"/>
            </w:tcBorders>
            <w:gridSpan w:val="2"/>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than 1%</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0" w:type="dxa"/>
            <w:vAlign w:val="bottom"/>
          </w:tcPr>
          <w:p>
            <w:pPr>
              <w:ind w:left="2160"/>
              <w:spacing w:after="0"/>
              <w:rPr>
                <w:sz w:val="20"/>
                <w:szCs w:val="20"/>
                <w:color w:val="auto"/>
              </w:rPr>
            </w:pPr>
            <w:r>
              <w:rPr>
                <w:rFonts w:ascii="Arial" w:cs="Arial" w:eastAsia="Arial" w:hAnsi="Arial"/>
                <w:sz w:val="18"/>
                <w:szCs w:val="18"/>
                <w:color w:val="auto"/>
              </w:rPr>
              <w:t>4</w:t>
            </w:r>
          </w:p>
        </w:tc>
        <w:tc>
          <w:tcPr>
            <w:tcW w:w="192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1"/>
              </w:rPr>
              <w:t>BVF Partners OS Ltd.</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tcPr>
          <w:p>
            <w:pPr>
              <w:ind w:left="66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Cayman Islands</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4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40" w:type="dxa"/>
            <w:vAlign w:val="bottom"/>
            <w:tcBorders>
              <w:bottom w:val="single" w:sz="8" w:color="auto"/>
              <w:right w:val="single" w:sz="8" w:color="auto"/>
            </w:tcBorders>
          </w:tcPr>
          <w:p>
            <w:pPr>
              <w:spacing w:after="0"/>
              <w:rPr>
                <w:sz w:val="20"/>
                <w:szCs w:val="20"/>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4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600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40" w:type="dxa"/>
            <w:vAlign w:val="bottom"/>
            <w:tcBorders>
              <w:bottom w:val="single" w:sz="8" w:color="auto"/>
              <w:right w:val="single" w:sz="8" w:color="auto"/>
            </w:tcBorders>
          </w:tcPr>
          <w:p>
            <w:pPr>
              <w:spacing w:after="0"/>
              <w:rPr>
                <w:sz w:val="21"/>
                <w:szCs w:val="21"/>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170,320</w:t>
            </w:r>
          </w:p>
        </w:tc>
        <w:tc>
          <w:tcPr>
            <w:tcW w:w="192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170,320</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170,320</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7740" w:type="dxa"/>
            <w:vAlign w:val="bottom"/>
            <w:tcBorders>
              <w:bottom w:val="single" w:sz="8" w:color="auto"/>
            </w:tcBorders>
            <w:gridSpan w:val="2"/>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than 1%</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0" w:type="dxa"/>
            <w:vAlign w:val="bottom"/>
          </w:tcPr>
          <w:p>
            <w:pPr>
              <w:ind w:left="2160"/>
              <w:spacing w:after="0"/>
              <w:rPr>
                <w:sz w:val="20"/>
                <w:szCs w:val="20"/>
                <w:color w:val="auto"/>
              </w:rPr>
            </w:pPr>
            <w:r>
              <w:rPr>
                <w:rFonts w:ascii="Arial" w:cs="Arial" w:eastAsia="Arial" w:hAnsi="Arial"/>
                <w:sz w:val="18"/>
                <w:szCs w:val="18"/>
                <w:color w:val="auto"/>
              </w:rPr>
              <w:t>5</w:t>
            </w:r>
          </w:p>
        </w:tc>
        <w:tc>
          <w:tcPr>
            <w:tcW w:w="192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BVF Partners L.P.</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2,840,251</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2,840,251</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2,840,251</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10.4%</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 IA</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6</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BVF Inc.</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2,840,251</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2,840,251</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2,840,251</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10.4%</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7</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Mark N. Lampert</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2,840,251</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2,840,251</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2,840,251</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10.4%</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8</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Issuer:</w:t>
            </w:r>
          </w:p>
        </w:tc>
      </w:tr>
      <w:tr>
        <w:trPr>
          <w:trHeight w:val="459"/>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Blueprint Medicines Corporation, a Delaware corporation (the “Issuer”).</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38 Sidney Street, Suite 200</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Cambridge, Massachusetts 02139</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Partners OS Ltd. (“Partners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Partners L.P. (“Partners”)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1 Sansome Street, 30th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Inc.</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Mark N. Lampert (“Mr. Lampert”)</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United States</w:t>
            </w:r>
          </w:p>
        </w:tc>
      </w:tr>
      <w:tr>
        <w:trPr>
          <w:trHeight w:val="459"/>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tc>
      </w:tr>
      <w:tr>
        <w:trPr>
          <w:trHeight w:val="608"/>
        </w:trPr>
        <w:tc>
          <w:tcPr>
            <w:tcW w:w="1020" w:type="dxa"/>
            <w:vAlign w:val="bottom"/>
          </w:tcPr>
          <w:p>
            <w:pPr>
              <w:spacing w:after="0"/>
              <w:rPr>
                <w:sz w:val="24"/>
                <w:szCs w:val="24"/>
                <w:color w:val="auto"/>
              </w:rPr>
            </w:pPr>
          </w:p>
        </w:tc>
        <w:tc>
          <w:tcPr>
            <w:tcW w:w="10400" w:type="dxa"/>
            <w:vAlign w:val="bottom"/>
          </w:tcPr>
          <w:p>
            <w:pPr>
              <w:ind w:left="4640"/>
              <w:spacing w:after="0"/>
              <w:rPr>
                <w:sz w:val="20"/>
                <w:szCs w:val="20"/>
                <w:color w:val="auto"/>
              </w:rPr>
            </w:pPr>
            <w:r>
              <w:rPr>
                <w:rFonts w:ascii="Arial" w:cs="Arial" w:eastAsia="Arial" w:hAnsi="Arial"/>
                <w:sz w:val="18"/>
                <w:szCs w:val="18"/>
                <w:color w:val="auto"/>
              </w:rPr>
              <w:t>9</w:t>
            </w:r>
          </w:p>
        </w:tc>
      </w:tr>
      <w:tr>
        <w:trPr>
          <w:trHeight w:val="118"/>
        </w:trPr>
        <w:tc>
          <w:tcPr>
            <w:tcW w:w="1020" w:type="dxa"/>
            <w:vAlign w:val="bottom"/>
            <w:tcBorders>
              <w:bottom w:val="single" w:sz="8" w:color="808080"/>
            </w:tcBorders>
          </w:tcPr>
          <w:p>
            <w:pPr>
              <w:spacing w:after="0"/>
              <w:rPr>
                <w:sz w:val="10"/>
                <w:szCs w:val="10"/>
                <w:color w:val="auto"/>
              </w:rPr>
            </w:pPr>
          </w:p>
        </w:tc>
        <w:tc>
          <w:tcPr>
            <w:tcW w:w="10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59"/>
        </w:trPr>
        <w:tc>
          <w:tcPr>
            <w:tcW w:w="1020" w:type="dxa"/>
            <w:vAlign w:val="bottom"/>
          </w:tcPr>
          <w:p>
            <w:pPr>
              <w:spacing w:after="0"/>
              <w:rPr>
                <w:sz w:val="24"/>
                <w:szCs w:val="24"/>
                <w:color w:val="auto"/>
              </w:rPr>
            </w:pP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Common Stock, $0.001 par value (the “Common Stock”)</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w w:val="96"/>
              </w:rPr>
              <w:t>CUSIP Number:</w:t>
            </w:r>
          </w:p>
        </w:tc>
        <w:tc>
          <w:tcPr>
            <w:tcW w:w="8860" w:type="dxa"/>
            <w:vAlign w:val="bottom"/>
          </w:tcPr>
          <w:p>
            <w:pPr>
              <w:spacing w:after="0"/>
              <w:rPr>
                <w:sz w:val="24"/>
                <w:szCs w:val="24"/>
                <w:color w:val="auto"/>
              </w:rPr>
            </w:pPr>
          </w:p>
        </w:tc>
      </w:tr>
      <w:tr>
        <w:trPr>
          <w:trHeight w:val="459"/>
        </w:trPr>
        <w:tc>
          <w:tcPr>
            <w:tcW w:w="102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09627Y109</w:t>
            </w:r>
          </w:p>
        </w:tc>
        <w:tc>
          <w:tcPr>
            <w:tcW w:w="8860" w:type="dxa"/>
            <w:vAlign w:val="bottom"/>
          </w:tcPr>
          <w:p>
            <w:pPr>
              <w:spacing w:after="0"/>
              <w:rPr>
                <w:sz w:val="24"/>
                <w:szCs w:val="24"/>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/x/</w:t>
            </w:r>
          </w:p>
        </w:tc>
        <w:tc>
          <w:tcPr>
            <w:tcW w:w="9680" w:type="dxa"/>
            <w:vAlign w:val="bottom"/>
            <w:gridSpan w:val="2"/>
          </w:tcPr>
          <w:p>
            <w:pPr>
              <w:ind w:left="220"/>
              <w:spacing w:after="0"/>
              <w:rPr>
                <w:sz w:val="20"/>
                <w:szCs w:val="20"/>
                <w:color w:val="auto"/>
              </w:rPr>
            </w:pPr>
            <w:r>
              <w:rPr>
                <w:rFonts w:ascii="Arial" w:cs="Arial" w:eastAsia="Arial" w:hAnsi="Arial"/>
                <w:sz w:val="18"/>
                <w:szCs w:val="18"/>
                <w:color w:val="auto"/>
              </w:rPr>
              <w:t>Not applicable.</w:t>
            </w:r>
          </w:p>
        </w:tc>
      </w:tr>
      <w:tr>
        <w:trPr>
          <w:trHeight w:val="432"/>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(a)</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(b)</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Bank as defined in Section 3(a)(6) of the Exchange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(c)</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(d)</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(e)</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(f)</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(g)</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(h)</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45"/>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(i)</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w w:val="94"/>
              </w:rPr>
              <w:t>A church plan that is excluded from the definition of an investment company under Section 3(c)(14) of the Investment</w:t>
            </w:r>
          </w:p>
        </w:tc>
      </w:tr>
      <w:tr>
        <w:trPr>
          <w:trHeight w:val="230"/>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60" w:type="dxa"/>
            <w:vAlign w:val="bottom"/>
          </w:tcPr>
          <w:p>
            <w:pPr>
              <w:ind w:left="40"/>
              <w:spacing w:after="0"/>
              <w:rPr>
                <w:sz w:val="20"/>
                <w:szCs w:val="20"/>
                <w:color w:val="auto"/>
              </w:rPr>
            </w:pPr>
            <w:r>
              <w:rPr>
                <w:rFonts w:ascii="Arial" w:cs="Arial" w:eastAsia="Arial" w:hAnsi="Arial"/>
                <w:sz w:val="18"/>
                <w:szCs w:val="18"/>
                <w:color w:val="auto"/>
              </w:rPr>
              <w:t>Company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(j)</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Group, in accordance with Rule 13d-1(b)(1)(ii)(J).</w:t>
            </w:r>
          </w:p>
        </w:tc>
      </w:tr>
      <w:tr>
        <w:trPr>
          <w:trHeight w:val="445"/>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(k)</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Group, in accordance with Rule 240.13d-1(b)(1)(ii)(K). If filing as a non-U.S. institution in accordance with Rule</w:t>
            </w:r>
          </w:p>
        </w:tc>
      </w:tr>
      <w:tr>
        <w:trPr>
          <w:trHeight w:val="230"/>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60" w:type="dxa"/>
            <w:vAlign w:val="bottom"/>
          </w:tcPr>
          <w:p>
            <w:pPr>
              <w:ind w:left="40"/>
              <w:spacing w:after="0"/>
              <w:rPr>
                <w:sz w:val="20"/>
                <w:szCs w:val="20"/>
                <w:color w:val="auto"/>
              </w:rPr>
            </w:pPr>
            <w:r>
              <w:rPr>
                <w:rFonts w:ascii="Arial" w:cs="Arial" w:eastAsia="Arial" w:hAnsi="Arial"/>
                <w:sz w:val="18"/>
                <w:szCs w:val="18"/>
                <w:color w:val="auto"/>
              </w:rPr>
              <w:t>240.13d-1(b)(1)(ii)(J), please specify the type of institution: ____</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Ownership</w:t>
            </w:r>
          </w:p>
        </w:tc>
        <w:tc>
          <w:tcPr>
            <w:tcW w:w="8860" w:type="dxa"/>
            <w:vAlign w:val="bottom"/>
          </w:tcPr>
          <w:p>
            <w:pPr>
              <w:spacing w:after="0"/>
              <w:rPr>
                <w:sz w:val="24"/>
                <w:szCs w:val="24"/>
                <w:color w:val="auto"/>
              </w:rPr>
            </w:pPr>
          </w:p>
        </w:tc>
      </w:tr>
    </w:tbl>
    <w:p>
      <w:pPr>
        <w:spacing w:after="0" w:line="22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52" w:lineRule="exact"/>
        <w:rPr>
          <w:rFonts w:ascii="Arial" w:cs="Arial" w:eastAsia="Arial" w:hAnsi="Arial"/>
          <w:sz w:val="18"/>
          <w:szCs w:val="18"/>
          <w:color w:val="auto"/>
        </w:rPr>
      </w:pPr>
    </w:p>
    <w:p>
      <w:pPr>
        <w:ind w:left="1300" w:right="20"/>
        <w:spacing w:after="0" w:line="308" w:lineRule="auto"/>
        <w:rPr>
          <w:rFonts w:ascii="Arial" w:cs="Arial" w:eastAsia="Arial" w:hAnsi="Arial"/>
          <w:sz w:val="18"/>
          <w:szCs w:val="18"/>
          <w:color w:val="auto"/>
        </w:rPr>
      </w:pPr>
      <w:r>
        <w:rPr>
          <w:rFonts w:ascii="Arial" w:cs="Arial" w:eastAsia="Arial" w:hAnsi="Arial"/>
          <w:sz w:val="17"/>
          <w:szCs w:val="17"/>
          <w:color w:val="auto"/>
        </w:rPr>
        <w:t>As of the close of business on May 3, 2016 (i) BVF beneficially owned 1,342,455 shares of Common Stock, (ii) BVF2 beneficially owned 791,000 shares of Common Stock, and (iii) Trading Fund OS beneficially owned 170,320 shares of Common Stock.</w:t>
      </w:r>
    </w:p>
    <w:p>
      <w:pPr>
        <w:spacing w:after="0" w:line="173"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Partners OS as the general partner of Trading Fund OS may be deemed to beneficially own the 170,320 shares of Common Stock beneficially owned by Trading Fund OS.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Partners, as the general partner of BVF, BVF2, the investment manager of Trading Fund OS, and the sole member of Partners OS, may be deemed to beneficially own the 2,840,251 shares of Common Stock beneficially owned in the aggregate by BVF, BVF2, Trading Fund OS, and certain Partners management accounts (the “Partners Management Accounts”), including 536,476 shares of Common Stock held in the Partners Management Accounts.</w:t>
      </w:r>
    </w:p>
    <w:p>
      <w:pPr>
        <w:spacing w:after="0" w:line="214"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BVF Inc., as the general partner of Partners, may be deemed to beneficially own the 2,840,251 shares of Common Stock beneficially owned by Partners.</w:t>
      </w:r>
    </w:p>
    <w:p>
      <w:pPr>
        <w:spacing w:after="0" w:line="19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Mr. Lampert, as a director and officer of BVF Inc., may be deemed to beneficially own the 2,840,251 shares of Common Stock beneficially owned by BVF Inc.</w:t>
      </w:r>
    </w:p>
    <w:p>
      <w:pPr>
        <w:spacing w:after="0" w:line="197"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The foregoing should not be construed in and of itself as an admission by any Reporting Person as to beneficial ownership of any shares of Common Stock owned by another Reporting Person. Partners OS disclaims beneficial ownership of the shares of Common Stock beneficially owned by Trading Fund OS. Each of Partners, BVF Inc. and Mr. Lampert disclaims beneficial ownership of the shares of Common Stock beneficially owned by BVF, BVF2, Trading Fund OS, and the Partners Management Accounts, and the filing of this statement shall not be construed as an admission that any such person or entity is the beneficial owner of any such securities.</w:t>
      </w:r>
    </w:p>
    <w:p>
      <w:pPr>
        <w:spacing w:after="0" w:line="200"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27,237,950 shares of Common Stock outstanding as of April 25, 2016, as disclosed in the Issuer’s Definitive Proxy Statement filed on Schedule 14A with the Securities and Exchange Commission on April 28, 2016.</w:t>
      </w:r>
    </w:p>
    <w:p>
      <w:pPr>
        <w:spacing w:after="0" w:line="197"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As of the close of business on May 3, 2016 (i) BVF beneficially owned approximately 4.9% of the outstanding shares of Common Stock, (ii) BVF2 beneficially owned approximately 2.9% of the outstanding shares of Common Stock, (iii) Trading Fund OS beneficially owned less than 1% of the outstanding shares of Common Stock (iv) Partners OS may be deemed to beneficially own less than 1% of the outstanding shares of Common Stock, and (v) each of Partners, BVF Inc. and Mr. Lampert may be deemed to beneficially own approximately 10.4% of the outstanding shares of Common Stock (approximately 2.0% of which is held in the Partners Management Accounts).</w:t>
      </w:r>
    </w:p>
    <w:p>
      <w:pPr>
        <w:spacing w:after="0" w:line="22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sz w:val="20"/>
          <w:szCs w:val="20"/>
          <w:color w:val="auto"/>
        </w:rPr>
      </w:pPr>
    </w:p>
    <w:p>
      <w:pPr>
        <w:ind w:left="1300" w:right="7300" w:hanging="644"/>
        <w:spacing w:after="0" w:line="53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1300" w:right="7120" w:hanging="644"/>
        <w:spacing w:after="0" w:line="53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1300" w:right="6400" w:hanging="644"/>
        <w:spacing w:after="0" w:line="5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p>
      <w:pPr>
        <w:ind w:left="1300" w:right="6220" w:hanging="644"/>
        <w:spacing w:after="0" w:line="53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Partners, BVF Inc. and Mr. Lampert share voting and dispositive power over the shares of Common Stock beneficially owned by BVF, BVF2, Trading Fund OS, and the Partners Management Accounts.</w:t>
      </w:r>
    </w:p>
    <w:p>
      <w:pPr>
        <w:spacing w:after="0" w:line="197" w:lineRule="exact"/>
        <w:rPr>
          <w:sz w:val="20"/>
          <w:szCs w:val="20"/>
          <w:color w:val="auto"/>
        </w:rPr>
      </w:pPr>
    </w:p>
    <w:p>
      <w:pPr>
        <w:jc w:val="both"/>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See Exhibit 99.1 to Amendment No. 1 to the Schedule 13G filed by the Reporting Persons with the Securities and Exchange Commission on February 16, 2016.</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BIOTECHNOLOGY VALUE FUND, L.P.</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BVF INC.</w:t>
            </w:r>
          </w:p>
        </w:tc>
        <w:tc>
          <w:tcPr>
            <w:tcW w:w="0" w:type="dxa"/>
            <w:vAlign w:val="bottom"/>
          </w:tcPr>
          <w:p>
            <w:pPr>
              <w:spacing w:after="0"/>
              <w:rPr>
                <w:sz w:val="1"/>
                <w:szCs w:val="1"/>
                <w:color w:val="auto"/>
              </w:rPr>
            </w:pPr>
          </w:p>
        </w:tc>
      </w:tr>
      <w:tr>
        <w:trPr>
          <w:trHeight w:val="216"/>
        </w:trPr>
        <w:tc>
          <w:tcPr>
            <w:tcW w:w="70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580" w:type="dxa"/>
            <w:vAlign w:val="bottom"/>
            <w:vMerge w:val="restart"/>
          </w:tcPr>
          <w:p>
            <w:pPr>
              <w:spacing w:after="0"/>
              <w:rPr>
                <w:sz w:val="20"/>
                <w:szCs w:val="20"/>
                <w:color w:val="auto"/>
              </w:rPr>
            </w:pPr>
            <w:r>
              <w:rPr>
                <w:rFonts w:ascii="Arial" w:cs="Arial" w:eastAsia="Arial" w:hAnsi="Arial"/>
                <w:sz w:val="18"/>
                <w:szCs w:val="18"/>
                <w:color w:val="auto"/>
              </w:rPr>
              <w:t>BVF Partners L.P., its general partner</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4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BVF Inc., its general partner</w:t>
            </w:r>
          </w:p>
        </w:tc>
        <w:tc>
          <w:tcPr>
            <w:tcW w:w="420" w:type="dxa"/>
            <w:vAlign w:val="bottom"/>
          </w:tcPr>
          <w:p>
            <w:pPr>
              <w:spacing w:after="0"/>
              <w:rPr>
                <w:sz w:val="20"/>
                <w:szCs w:val="20"/>
                <w:color w:val="auto"/>
              </w:rPr>
            </w:pP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BIOTECHNOLOGY VALUE FUND II, L.P.</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16"/>
        </w:trPr>
        <w:tc>
          <w:tcPr>
            <w:tcW w:w="52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BVF Partners L.P., its general partner</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BVF Inc., its general partner</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0" w:type="dxa"/>
            <w:vAlign w:val="bottom"/>
          </w:tcPr>
          <w:p>
            <w:pPr>
              <w:spacing w:after="0"/>
              <w:rPr>
                <w:sz w:val="1"/>
                <w:szCs w:val="1"/>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280" w:type="dxa"/>
            <w:vAlign w:val="bottom"/>
            <w:gridSpan w:val="2"/>
          </w:tcPr>
          <w:p>
            <w:pPr>
              <w:spacing w:after="0"/>
              <w:rPr>
                <w:sz w:val="20"/>
                <w:szCs w:val="20"/>
                <w:color w:val="auto"/>
              </w:rPr>
            </w:pPr>
            <w:r>
              <w:rPr>
                <w:rFonts w:ascii="Arial" w:cs="Arial" w:eastAsia="Arial" w:hAnsi="Arial"/>
                <w:sz w:val="18"/>
                <w:szCs w:val="18"/>
                <w:color w:val="auto"/>
              </w:rPr>
              <w:t>BVF PARTNERS L.P.</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BVF Inc., its general partner</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5280" w:type="dxa"/>
            <w:vAlign w:val="bottom"/>
            <w:gridSpan w:val="2"/>
          </w:tcPr>
          <w:p>
            <w:pPr>
              <w:spacing w:after="0"/>
              <w:rPr>
                <w:sz w:val="20"/>
                <w:szCs w:val="20"/>
                <w:color w:val="auto"/>
              </w:rPr>
            </w:pPr>
            <w:r>
              <w:rPr>
                <w:rFonts w:ascii="Arial" w:cs="Arial" w:eastAsia="Arial" w:hAnsi="Arial"/>
                <w:sz w:val="18"/>
                <w:szCs w:val="18"/>
                <w:color w:val="auto"/>
              </w:rPr>
              <w:t>BVF PARTNERS OS LTD.</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BVF Partners L.P., its sole member</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BVF Inc., its general partner</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4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280" w:type="dxa"/>
            <w:vAlign w:val="bottom"/>
            <w:gridSpan w:val="2"/>
          </w:tcPr>
          <w:p>
            <w:pPr>
              <w:spacing w:after="0"/>
              <w:rPr>
                <w:sz w:val="20"/>
                <w:szCs w:val="20"/>
                <w:color w:val="auto"/>
              </w:rPr>
            </w:pPr>
            <w:r>
              <w:rPr>
                <w:rFonts w:ascii="Arial" w:cs="Arial" w:eastAsia="Arial" w:hAnsi="Arial"/>
                <w:sz w:val="18"/>
                <w:szCs w:val="18"/>
                <w:color w:val="auto"/>
              </w:rPr>
              <w:t>BIOTECHNOLOGY VALUE TRADING FUND OS LP</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BVF Partners L.P., its investment manager</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BVF Inc., its general partner</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4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20" w:type="dxa"/>
            <w:vAlign w:val="bottom"/>
            <w:gridSpan w:val="2"/>
          </w:tcPr>
          <w:p>
            <w:pPr>
              <w:jc w:val="right"/>
              <w:ind w:right="510"/>
              <w:spacing w:after="0"/>
              <w:rPr>
                <w:sz w:val="20"/>
                <w:szCs w:val="20"/>
                <w:color w:val="auto"/>
              </w:rPr>
            </w:pPr>
            <w:r>
              <w:rPr>
                <w:rFonts w:ascii="Arial" w:cs="Arial" w:eastAsia="Arial" w:hAnsi="Arial"/>
                <w:sz w:val="18"/>
                <w:szCs w:val="18"/>
                <w:color w:val="auto"/>
              </w:rPr>
              <w:t>13</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700" w:type="dxa"/>
            <w:vAlign w:val="bottom"/>
            <w:tcBorders>
              <w:bottom w:val="single" w:sz="8" w:color="808080"/>
            </w:tcBorders>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
    </w:lvl>
    <w:lvl w:ilvl="1">
      <w:lvlJc w:val="left"/>
      <w:lvlText w:val="o"/>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2019-12-09T00:14:58Z</dcterms:created>
  <dcterms:modified xsi:type="dcterms:W3CDTF">2019-12-09T00:14:58Z</dcterms:modified>
</cp:coreProperties>
</file>