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700" w:hanging="3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95" w:lineRule="exact"/>
        <w:rPr>
          <w:sz w:val="24"/>
          <w:szCs w:val="24"/>
          <w:color w:val="auto"/>
        </w:rPr>
      </w:pPr>
    </w:p>
    <w:p>
      <w:pPr>
        <w:ind w:left="700" w:hanging="399"/>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center"/>
              <w:ind w:left="3108"/>
              <w:spacing w:after="0"/>
              <w:rPr>
                <w:sz w:val="20"/>
                <w:szCs w:val="20"/>
                <w:color w:val="auto"/>
              </w:rPr>
            </w:pPr>
            <w:r>
              <w:rPr>
                <w:rFonts w:ascii="Arial" w:cs="Arial" w:eastAsia="Arial" w:hAnsi="Arial"/>
                <w:sz w:val="18"/>
                <w:szCs w:val="18"/>
                <w:b w:val="1"/>
                <w:bCs w:val="1"/>
                <w:color w:val="auto"/>
                <w:w w:val="89"/>
              </w:rPr>
              <w:t>26-3632015</w:t>
            </w:r>
          </w:p>
        </w:tc>
      </w:tr>
      <w:tr>
        <w:trPr>
          <w:trHeight w:val="122"/>
        </w:trPr>
        <w:tc>
          <w:tcPr>
            <w:tcW w:w="2520" w:type="dxa"/>
            <w:vAlign w:val="bottom"/>
          </w:tcPr>
          <w:p>
            <w:pPr>
              <w:jc w:val="center"/>
              <w:ind w:right="36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4040" w:type="dxa"/>
            <w:vAlign w:val="bottom"/>
          </w:tcPr>
          <w:p>
            <w:pPr>
              <w:jc w:val="center"/>
              <w:ind w:left="310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20" w:type="dxa"/>
            <w:vAlign w:val="bottom"/>
          </w:tcPr>
          <w:p>
            <w:pPr>
              <w:jc w:val="center"/>
              <w:ind w:right="368"/>
              <w:spacing w:after="0"/>
              <w:rPr>
                <w:sz w:val="20"/>
                <w:szCs w:val="20"/>
                <w:color w:val="auto"/>
              </w:rPr>
            </w:pPr>
            <w:r>
              <w:rPr>
                <w:rFonts w:ascii="Arial" w:cs="Arial" w:eastAsia="Arial" w:hAnsi="Arial"/>
                <w:sz w:val="11"/>
                <w:szCs w:val="11"/>
                <w:b w:val="1"/>
                <w:bCs w:val="1"/>
                <w:color w:val="auto"/>
                <w:w w:val="90"/>
              </w:rPr>
              <w:t>Incorporation or Organization)</w:t>
            </w:r>
          </w:p>
        </w:tc>
        <w:tc>
          <w:tcPr>
            <w:tcW w:w="4040" w:type="dxa"/>
            <w:vAlign w:val="bottom"/>
          </w:tcPr>
          <w:p>
            <w:pPr>
              <w:jc w:val="center"/>
              <w:ind w:left="3128"/>
              <w:spacing w:after="0"/>
              <w:rPr>
                <w:sz w:val="20"/>
                <w:szCs w:val="20"/>
                <w:color w:val="auto"/>
              </w:rPr>
            </w:pPr>
            <w:r>
              <w:rPr>
                <w:rFonts w:ascii="Arial" w:cs="Arial" w:eastAsia="Arial" w:hAnsi="Arial"/>
                <w:sz w:val="11"/>
                <w:szCs w:val="11"/>
                <w:b w:val="1"/>
                <w:bCs w:val="1"/>
                <w:color w:val="auto"/>
                <w:w w:val="90"/>
              </w:rPr>
              <w:t>Identification No.)</w:t>
            </w:r>
          </w:p>
        </w:tc>
      </w:tr>
      <w:tr>
        <w:trPr>
          <w:trHeight w:val="301"/>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45 Sidney Street</w:t>
            </w:r>
          </w:p>
        </w:tc>
        <w:tc>
          <w:tcPr>
            <w:tcW w:w="4040" w:type="dxa"/>
            <w:vAlign w:val="bottom"/>
          </w:tcPr>
          <w:p>
            <w:pPr>
              <w:spacing w:after="0"/>
              <w:rPr>
                <w:sz w:val="24"/>
                <w:szCs w:val="24"/>
                <w:color w:val="auto"/>
              </w:rPr>
            </w:pPr>
          </w:p>
        </w:tc>
      </w:tr>
      <w:tr>
        <w:trPr>
          <w:trHeight w:val="207"/>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89"/>
              </w:rPr>
              <w:t>Cambridge, Massachusetts</w:t>
            </w:r>
          </w:p>
        </w:tc>
        <w:tc>
          <w:tcPr>
            <w:tcW w:w="4040" w:type="dxa"/>
            <w:vAlign w:val="bottom"/>
          </w:tcPr>
          <w:p>
            <w:pPr>
              <w:jc w:val="center"/>
              <w:ind w:left="3108"/>
              <w:spacing w:after="0"/>
              <w:rPr>
                <w:sz w:val="20"/>
                <w:szCs w:val="20"/>
                <w:color w:val="auto"/>
              </w:rPr>
            </w:pPr>
            <w:r>
              <w:rPr>
                <w:rFonts w:ascii="Arial" w:cs="Arial" w:eastAsia="Arial" w:hAnsi="Arial"/>
                <w:sz w:val="18"/>
                <w:szCs w:val="18"/>
                <w:b w:val="1"/>
                <w:bCs w:val="1"/>
                <w:color w:val="auto"/>
                <w:w w:val="91"/>
              </w:rPr>
              <w:t>02139</w:t>
            </w:r>
          </w:p>
        </w:tc>
      </w:tr>
      <w:tr>
        <w:trPr>
          <w:trHeight w:val="117"/>
        </w:trPr>
        <w:tc>
          <w:tcPr>
            <w:tcW w:w="2520" w:type="dxa"/>
            <w:vAlign w:val="bottom"/>
          </w:tcPr>
          <w:p>
            <w:pPr>
              <w:jc w:val="center"/>
              <w:ind w:right="36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4040" w:type="dxa"/>
            <w:vAlign w:val="bottom"/>
          </w:tcPr>
          <w:p>
            <w:pPr>
              <w:jc w:val="center"/>
              <w:ind w:left="310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20" w:type="dxa"/>
            <w:vAlign w:val="bottom"/>
          </w:tcPr>
          <w:p>
            <w:pPr>
              <w:spacing w:after="0"/>
              <w:rPr>
                <w:sz w:val="19"/>
                <w:szCs w:val="19"/>
                <w:color w:val="auto"/>
              </w:rPr>
            </w:pPr>
          </w:p>
        </w:tc>
        <w:tc>
          <w:tcPr>
            <w:tcW w:w="4040" w:type="dxa"/>
            <w:vAlign w:val="bottom"/>
          </w:tcPr>
          <w:p>
            <w:pPr>
              <w:jc w:val="right"/>
              <w:ind w:right="2388"/>
              <w:spacing w:after="0"/>
              <w:rPr>
                <w:sz w:val="20"/>
                <w:szCs w:val="20"/>
                <w:color w:val="auto"/>
              </w:rPr>
            </w:pPr>
            <w:r>
              <w:rPr>
                <w:rFonts w:ascii="Arial" w:cs="Arial" w:eastAsia="Arial" w:hAnsi="Arial"/>
                <w:sz w:val="18"/>
                <w:szCs w:val="18"/>
                <w:b w:val="1"/>
                <w:bCs w:val="1"/>
                <w:color w:val="auto"/>
              </w:rPr>
              <w:t>(617) 374-7580</w:t>
            </w:r>
          </w:p>
        </w:tc>
      </w:tr>
    </w:tbl>
    <w:p>
      <w:pPr>
        <w:jc w:val="center"/>
        <w:ind w:right="20"/>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26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ind w:right="20" w:firstLine="415"/>
        <w:spacing w:after="0" w:line="35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80"/>
          </w:cols>
          <w:pgMar w:left="920" w:top="665" w:right="899" w:bottom="1440" w:gutter="0" w:footer="0" w:header="0"/>
        </w:sectPr>
      </w:pPr>
    </w:p>
    <w:p>
      <w:pPr>
        <w:spacing w:after="0" w:line="34" w:lineRule="exact"/>
        <w:rPr>
          <w:sz w:val="24"/>
          <w:szCs w:val="24"/>
          <w:color w:val="auto"/>
        </w:rPr>
      </w:pPr>
    </w:p>
    <w:p>
      <w:pPr>
        <w:ind w:left="178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8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ind w:left="60"/>
        <w:spacing w:after="0" w:line="108"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300"/>
        <w:spacing w:after="0" w:line="148"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4">
            <w:col w:w="3060" w:space="20"/>
            <w:col w:w="2860" w:space="720"/>
            <w:col w:w="1580" w:space="60"/>
            <w:col w:w="1780"/>
          </w:cols>
          <w:pgMar w:left="920" w:top="665" w:right="899" w:bottom="1440" w:gutter="0" w:footer="0" w:header="0"/>
          <w:type w:val="continuous"/>
        </w:sectPr>
      </w:pPr>
    </w:p>
    <w:p>
      <w:pPr>
        <w:spacing w:after="0" w:line="18" w:lineRule="exact"/>
        <w:rPr>
          <w:sz w:val="24"/>
          <w:szCs w:val="24"/>
          <w:color w:val="auto"/>
        </w:rPr>
      </w:pPr>
    </w:p>
    <w:p>
      <w:pPr>
        <w:ind w:left="66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8" w:lineRule="exact"/>
        <w:rPr>
          <w:sz w:val="24"/>
          <w:szCs w:val="24"/>
          <w:color w:val="auto"/>
        </w:rPr>
      </w:pPr>
    </w:p>
    <w:p>
      <w:pPr>
        <w:sectPr>
          <w:pgSz w:w="11900" w:h="16838" w:orient="portrait"/>
          <w:cols w:equalWidth="0" w:num="2">
            <w:col w:w="8240" w:space="60"/>
            <w:col w:w="1780"/>
          </w:cols>
          <w:pgMar w:left="920" w:top="665" w:right="899" w:bottom="1440" w:gutter="0" w:footer="0" w:header="0"/>
          <w:type w:val="continuous"/>
        </w:sectPr>
      </w:pPr>
    </w:p>
    <w:p>
      <w:pPr>
        <w:ind w:right="20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80" w:type="dxa"/>
            <w:vAlign w:val="bottom"/>
            <w:tcBorders>
              <w:top w:val="single" w:sz="8" w:color="auto"/>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0"/>
              </w:rPr>
              <w:t>Title of each class</w:t>
            </w:r>
          </w:p>
        </w:tc>
        <w:tc>
          <w:tcPr>
            <w:tcW w:w="3360" w:type="dxa"/>
            <w:vAlign w:val="bottom"/>
            <w:tcBorders>
              <w:top w:val="single" w:sz="8" w:color="auto"/>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4"/>
              </w:rPr>
              <w:t>Trading symbol(s)</w:t>
            </w:r>
          </w:p>
        </w:tc>
        <w:tc>
          <w:tcPr>
            <w:tcW w:w="3340" w:type="dxa"/>
            <w:vAlign w:val="bottom"/>
            <w:tcBorders>
              <w:top w:val="single" w:sz="8" w:color="auto"/>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338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6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8"/>
              </w:rPr>
              <w:t>BPMC</w:t>
            </w:r>
          </w:p>
        </w:tc>
        <w:tc>
          <w:tcPr>
            <w:tcW w:w="334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July 26, 2019: 49,115,575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895985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665"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160" w:type="dxa"/>
            <w:vAlign w:val="bottom"/>
            <w:gridSpan w:val="6"/>
            <w:vMerge w:val="restart"/>
          </w:tcPr>
          <w:p>
            <w:pPr>
              <w:jc w:val="center"/>
              <w:spacing w:after="0" w:line="201"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44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160" w:type="dxa"/>
            <w:vAlign w:val="bottom"/>
            <w:tcBorders>
              <w:bottom w:val="single" w:sz="8" w:color="0000EE"/>
            </w:tcBorders>
            <w:gridSpan w:val="6"/>
            <w:vMerge w:val="continue"/>
          </w:tcPr>
          <w:p>
            <w:pPr>
              <w:spacing w:after="0"/>
              <w:rPr>
                <w:sz w:val="13"/>
                <w:szCs w:val="13"/>
                <w:color w:val="auto"/>
              </w:rPr>
            </w:pPr>
          </w:p>
        </w:tc>
        <w:tc>
          <w:tcPr>
            <w:tcW w:w="244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20" w:type="dxa"/>
            <w:vAlign w:val="bottom"/>
            <w:vMerge w:val="restart"/>
          </w:tcPr>
          <w:p>
            <w:pPr>
              <w:spacing w:after="0"/>
              <w:rPr>
                <w:sz w:val="20"/>
                <w:szCs w:val="20"/>
                <w:color w:val="auto"/>
              </w:rPr>
            </w:pPr>
          </w:p>
        </w:tc>
        <w:tc>
          <w:tcPr>
            <w:tcW w:w="940" w:type="dxa"/>
            <w:vAlign w:val="bottom"/>
            <w:vMerge w:val="restart"/>
          </w:tcPr>
          <w:p>
            <w:pPr>
              <w:spacing w:after="0"/>
              <w:rPr>
                <w:sz w:val="20"/>
                <w:szCs w:val="20"/>
                <w:color w:val="auto"/>
              </w:rPr>
            </w:pPr>
          </w:p>
        </w:tc>
        <w:tc>
          <w:tcPr>
            <w:tcW w:w="2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660" w:type="dxa"/>
            <w:vAlign w:val="bottom"/>
            <w:gridSpan w:val="2"/>
          </w:tcPr>
          <w:p>
            <w:pPr>
              <w:spacing w:after="0"/>
              <w:rPr>
                <w:sz w:val="5"/>
                <w:szCs w:val="5"/>
                <w:color w:val="auto"/>
              </w:rPr>
            </w:pPr>
          </w:p>
        </w:tc>
        <w:tc>
          <w:tcPr>
            <w:tcW w:w="6140" w:type="dxa"/>
            <w:vAlign w:val="bottom"/>
            <w:gridSpan w:val="15"/>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June 30, 2019 and December 31, 2018</w:t>
              </w:r>
            </w:hyperlink>
          </w:p>
        </w:tc>
        <w:tc>
          <w:tcPr>
            <w:tcW w:w="2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40" w:type="dxa"/>
            <w:vAlign w:val="bottom"/>
            <w:tcBorders>
              <w:bottom w:val="single" w:sz="8" w:color="0000EE"/>
            </w:tcBorders>
            <w:gridSpan w:val="15"/>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0" w:type="dxa"/>
            <w:vAlign w:val="bottom"/>
            <w:gridSpan w:val="20"/>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and Comprehensive Loss for the three and six months</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0" w:type="dxa"/>
            <w:vAlign w:val="bottom"/>
            <w:gridSpan w:val="20"/>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ended June 30, 2019 and 2018</w:t>
              </w:r>
            </w:hyperlink>
          </w:p>
        </w:tc>
        <w:tc>
          <w:tcPr>
            <w:tcW w:w="160" w:type="dxa"/>
            <w:vAlign w:val="bottom"/>
            <w:tcBorders>
              <w:top w:val="single" w:sz="8" w:color="0000EE"/>
              <w:bottom w:val="single" w:sz="8" w:color="0000EE"/>
            </w:tcBorders>
            <w:gridSpan w:val="3"/>
          </w:tcPr>
          <w:p>
            <w:pPr>
              <w:spacing w:after="0"/>
              <w:rPr>
                <w:sz w:val="15"/>
                <w:szCs w:val="15"/>
                <w:color w:val="auto"/>
              </w:rPr>
            </w:pPr>
          </w:p>
        </w:tc>
        <w:tc>
          <w:tcPr>
            <w:tcW w:w="1640" w:type="dxa"/>
            <w:vAlign w:val="bottom"/>
            <w:tcBorders>
              <w:top w:val="single" w:sz="8" w:color="0000EE"/>
              <w:bottom w:val="single" w:sz="8" w:color="0000EE"/>
            </w:tcBorders>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940" w:type="dxa"/>
            <w:vAlign w:val="bottom"/>
            <w:tcBorders>
              <w:top w:val="single" w:sz="8" w:color="0000EE"/>
              <w:bottom w:val="single" w:sz="8" w:color="0000EE"/>
            </w:tcBorders>
          </w:tcPr>
          <w:p>
            <w:pPr>
              <w:spacing w:after="0"/>
              <w:rPr>
                <w:sz w:val="15"/>
                <w:szCs w:val="15"/>
                <w:color w:val="auto"/>
              </w:rPr>
            </w:pPr>
          </w:p>
        </w:tc>
        <w:tc>
          <w:tcPr>
            <w:tcW w:w="1160" w:type="dxa"/>
            <w:vAlign w:val="bottom"/>
            <w:tcBorders>
              <w:top w:val="single" w:sz="8" w:color="0000EE"/>
              <w:bottom w:val="single" w:sz="8" w:color="0000EE"/>
            </w:tcBorders>
            <w:gridSpan w:val="3"/>
          </w:tcPr>
          <w:p>
            <w:pPr>
              <w:spacing w:after="0"/>
              <w:rPr>
                <w:sz w:val="15"/>
                <w:szCs w:val="15"/>
                <w:color w:val="auto"/>
              </w:rPr>
            </w:pPr>
          </w:p>
        </w:tc>
        <w:tc>
          <w:tcPr>
            <w:tcW w:w="940" w:type="dxa"/>
            <w:vAlign w:val="bottom"/>
            <w:tcBorders>
              <w:top w:val="single" w:sz="8" w:color="0000EE"/>
              <w:bottom w:val="single" w:sz="8" w:color="0000EE"/>
            </w:tcBorders>
          </w:tcPr>
          <w:p>
            <w:pPr>
              <w:spacing w:after="0"/>
              <w:rPr>
                <w:sz w:val="15"/>
                <w:szCs w:val="15"/>
                <w:color w:val="auto"/>
              </w:rPr>
            </w:pPr>
          </w:p>
        </w:tc>
        <w:tc>
          <w:tcPr>
            <w:tcW w:w="260" w:type="dxa"/>
            <w:vAlign w:val="bottom"/>
            <w:tcBorders>
              <w:top w:val="single" w:sz="8" w:color="0000EE"/>
              <w:bottom w:val="single" w:sz="8" w:color="0000EE"/>
            </w:tcBorders>
          </w:tcPr>
          <w:p>
            <w:pPr>
              <w:spacing w:after="0"/>
              <w:rPr>
                <w:sz w:val="15"/>
                <w:szCs w:val="15"/>
                <w:color w:val="auto"/>
              </w:rPr>
            </w:pPr>
          </w:p>
        </w:tc>
        <w:tc>
          <w:tcPr>
            <w:tcW w:w="20" w:type="dxa"/>
            <w:vAlign w:val="bottom"/>
            <w:tcBorders>
              <w:top w:val="single" w:sz="8" w:color="0000EE"/>
              <w:bottom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0" w:type="dxa"/>
            <w:vAlign w:val="bottom"/>
            <w:gridSpan w:val="20"/>
            <w:vMerge w:val="restart"/>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Stockholders’ Equity for the three and six months ended June 30,</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0" w:type="dxa"/>
            <w:vAlign w:val="bottom"/>
            <w:gridSpan w:val="20"/>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2019 and 2018</w:t>
              </w:r>
            </w:hyperlink>
          </w:p>
        </w:tc>
        <w:tc>
          <w:tcPr>
            <w:tcW w:w="180" w:type="dxa"/>
            <w:vAlign w:val="bottom"/>
            <w:tcBorders>
              <w:top w:val="single" w:sz="8" w:color="0000EE"/>
              <w:bottom w:val="single" w:sz="8" w:color="0000EE"/>
            </w:tcBorders>
          </w:tcPr>
          <w:p>
            <w:pPr>
              <w:spacing w:after="0"/>
              <w:rPr>
                <w:sz w:val="15"/>
                <w:szCs w:val="15"/>
                <w:color w:val="auto"/>
              </w:rPr>
            </w:pPr>
          </w:p>
        </w:tc>
        <w:tc>
          <w:tcPr>
            <w:tcW w:w="440" w:type="dxa"/>
            <w:vAlign w:val="bottom"/>
            <w:tcBorders>
              <w:top w:val="single" w:sz="8" w:color="0000EE"/>
              <w:bottom w:val="single" w:sz="8" w:color="0000EE"/>
            </w:tcBorders>
          </w:tcPr>
          <w:p>
            <w:pPr>
              <w:spacing w:after="0"/>
              <w:rPr>
                <w:sz w:val="15"/>
                <w:szCs w:val="15"/>
                <w:color w:val="auto"/>
              </w:rPr>
            </w:pPr>
          </w:p>
        </w:tc>
        <w:tc>
          <w:tcPr>
            <w:tcW w:w="660" w:type="dxa"/>
            <w:vAlign w:val="bottom"/>
            <w:tcBorders>
              <w:top w:val="single" w:sz="8" w:color="0000EE"/>
              <w:bottom w:val="single" w:sz="8" w:color="0000EE"/>
            </w:tcBorders>
            <w:gridSpan w:val="4"/>
          </w:tcPr>
          <w:p>
            <w:pPr>
              <w:spacing w:after="0"/>
              <w:rPr>
                <w:sz w:val="15"/>
                <w:szCs w:val="15"/>
                <w:color w:val="auto"/>
              </w:rPr>
            </w:pPr>
          </w:p>
        </w:tc>
        <w:tc>
          <w:tcPr>
            <w:tcW w:w="1640" w:type="dxa"/>
            <w:vAlign w:val="bottom"/>
            <w:tcBorders>
              <w:top w:val="single" w:sz="8" w:color="0000EE"/>
              <w:bottom w:val="single" w:sz="8" w:color="0000EE"/>
            </w:tcBorders>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940" w:type="dxa"/>
            <w:vAlign w:val="bottom"/>
            <w:tcBorders>
              <w:top w:val="single" w:sz="8" w:color="0000EE"/>
              <w:bottom w:val="single" w:sz="8" w:color="0000EE"/>
            </w:tcBorders>
          </w:tcPr>
          <w:p>
            <w:pPr>
              <w:spacing w:after="0"/>
              <w:rPr>
                <w:sz w:val="15"/>
                <w:szCs w:val="15"/>
                <w:color w:val="auto"/>
              </w:rPr>
            </w:pPr>
          </w:p>
        </w:tc>
        <w:tc>
          <w:tcPr>
            <w:tcW w:w="1160" w:type="dxa"/>
            <w:vAlign w:val="bottom"/>
            <w:tcBorders>
              <w:top w:val="single" w:sz="8" w:color="0000EE"/>
              <w:bottom w:val="single" w:sz="8" w:color="0000EE"/>
            </w:tcBorders>
            <w:gridSpan w:val="3"/>
          </w:tcPr>
          <w:p>
            <w:pPr>
              <w:spacing w:after="0"/>
              <w:rPr>
                <w:sz w:val="15"/>
                <w:szCs w:val="15"/>
                <w:color w:val="auto"/>
              </w:rPr>
            </w:pPr>
          </w:p>
        </w:tc>
        <w:tc>
          <w:tcPr>
            <w:tcW w:w="940" w:type="dxa"/>
            <w:vAlign w:val="bottom"/>
            <w:tcBorders>
              <w:top w:val="single" w:sz="8" w:color="0000EE"/>
              <w:bottom w:val="single" w:sz="8" w:color="0000EE"/>
            </w:tcBorders>
          </w:tcPr>
          <w:p>
            <w:pPr>
              <w:spacing w:after="0"/>
              <w:rPr>
                <w:sz w:val="15"/>
                <w:szCs w:val="15"/>
                <w:color w:val="auto"/>
              </w:rPr>
            </w:pPr>
          </w:p>
        </w:tc>
        <w:tc>
          <w:tcPr>
            <w:tcW w:w="260" w:type="dxa"/>
            <w:vAlign w:val="bottom"/>
            <w:tcBorders>
              <w:top w:val="single" w:sz="8" w:color="0000EE"/>
              <w:bottom w:val="single" w:sz="8" w:color="0000EE"/>
            </w:tcBorders>
            <w:vMerge w:val="restart"/>
          </w:tcPr>
          <w:p>
            <w:pPr>
              <w:spacing w:after="0"/>
              <w:rPr>
                <w:sz w:val="15"/>
                <w:szCs w:val="15"/>
                <w:color w:val="auto"/>
              </w:rPr>
            </w:pPr>
          </w:p>
        </w:tc>
        <w:tc>
          <w:tcPr>
            <w:tcW w:w="240" w:type="dxa"/>
            <w:vAlign w:val="bottom"/>
            <w:gridSpan w:val="2"/>
          </w:tcPr>
          <w:p>
            <w:pPr>
              <w:spacing w:after="0"/>
              <w:rPr>
                <w:sz w:val="15"/>
                <w:szCs w:val="15"/>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300" w:type="dxa"/>
            <w:vAlign w:val="bottom"/>
            <w:gridSpan w:val="17"/>
            <w:vMerge w:val="restart"/>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six months ended June 30, 2019 and 2018</w:t>
              </w:r>
            </w:hyperlink>
          </w:p>
        </w:tc>
        <w:tc>
          <w:tcPr>
            <w:tcW w:w="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00" w:type="dxa"/>
            <w:vAlign w:val="bottom"/>
            <w:tcBorders>
              <w:bottom w:val="single" w:sz="8" w:color="0000EE"/>
            </w:tcBorders>
            <w:gridSpan w:val="17"/>
            <w:vMerge w:val="continue"/>
          </w:tcPr>
          <w:p>
            <w:pPr>
              <w:spacing w:after="0"/>
              <w:rPr>
                <w:sz w:val="14"/>
                <w:szCs w:val="14"/>
                <w:color w:val="auto"/>
              </w:rPr>
            </w:pPr>
          </w:p>
        </w:tc>
        <w:tc>
          <w:tcPr>
            <w:tcW w:w="500" w:type="dxa"/>
            <w:vAlign w:val="bottom"/>
            <w:gridSpan w:val="3"/>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1"/>
            <w:vMerge w:val="restart"/>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Borders>
              <w:bottom w:val="single" w:sz="8" w:color="0000EE"/>
            </w:tcBorders>
            <w:gridSpan w:val="11"/>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3"/>
          </w:tcPr>
          <w:p>
            <w:pPr>
              <w:spacing w:after="0"/>
              <w:rPr>
                <w:sz w:val="14"/>
                <w:szCs w:val="14"/>
                <w:color w:val="auto"/>
              </w:rPr>
            </w:pPr>
          </w:p>
        </w:tc>
        <w:tc>
          <w:tcPr>
            <w:tcW w:w="1440" w:type="dxa"/>
            <w:vAlign w:val="bottom"/>
            <w:gridSpan w:val="4"/>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1"/>
        </w:trPr>
        <w:tc>
          <w:tcPr>
            <w:tcW w:w="7020" w:type="dxa"/>
            <w:vAlign w:val="bottom"/>
            <w:gridSpan w:val="18"/>
            <w:vMerge w:val="restart"/>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144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0000EE"/>
            </w:tcBorders>
            <w:gridSpan w:val="18"/>
            <w:vMerge w:val="continue"/>
          </w:tcPr>
          <w:p>
            <w:pPr>
              <w:spacing w:after="0"/>
              <w:rPr>
                <w:sz w:val="14"/>
                <w:szCs w:val="14"/>
                <w:color w:val="auto"/>
              </w:rPr>
            </w:pPr>
          </w:p>
        </w:tc>
        <w:tc>
          <w:tcPr>
            <w:tcW w:w="1440" w:type="dxa"/>
            <w:vAlign w:val="bottom"/>
            <w:gridSpan w:val="4"/>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gridSpan w:val="4"/>
          </w:tcPr>
          <w:p>
            <w:pPr>
              <w:spacing w:after="0"/>
              <w:rPr>
                <w:sz w:val="2"/>
                <w:szCs w:val="2"/>
                <w:color w:val="auto"/>
              </w:rPr>
            </w:pPr>
          </w:p>
        </w:tc>
        <w:tc>
          <w:tcPr>
            <w:tcW w:w="19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4380" w:type="dxa"/>
            <w:vAlign w:val="bottom"/>
            <w:tcBorders>
              <w:bottom w:val="single" w:sz="8" w:color="0000EE"/>
            </w:tcBorders>
            <w:gridSpan w:val="13"/>
          </w:tcPr>
          <w:p>
            <w:pPr>
              <w:ind w:left="20"/>
              <w:spacing w:after="0" w:line="170"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940" w:type="dxa"/>
            <w:vAlign w:val="bottom"/>
            <w:vMerge w:val="restart"/>
          </w:tcPr>
          <w:p>
            <w:pPr>
              <w:spacing w:after="0"/>
              <w:rPr>
                <w:sz w:val="16"/>
                <w:szCs w:val="16"/>
                <w:color w:val="auto"/>
              </w:rPr>
            </w:pPr>
          </w:p>
        </w:tc>
        <w:tc>
          <w:tcPr>
            <w:tcW w:w="2600" w:type="dxa"/>
            <w:vAlign w:val="bottom"/>
            <w:gridSpan w:val="7"/>
            <w:vMerge w:val="restart"/>
          </w:tcPr>
          <w:p>
            <w:pPr>
              <w:spacing w:after="0"/>
              <w:rPr>
                <w:sz w:val="16"/>
                <w:szCs w:val="16"/>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1"/>
        </w:trPr>
        <w:tc>
          <w:tcPr>
            <w:tcW w:w="540" w:type="dxa"/>
            <w:vAlign w:val="bottom"/>
            <w:vMerge w:val="restart"/>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1800" w:type="dxa"/>
            <w:vAlign w:val="bottom"/>
            <w:gridSpan w:val="7"/>
            <w:vMerge w:val="restart"/>
          </w:tcPr>
          <w:p>
            <w:pPr>
              <w:ind w:left="20"/>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660" w:type="dxa"/>
            <w:vAlign w:val="bottom"/>
            <w:gridSpan w:val="4"/>
          </w:tcPr>
          <w:p>
            <w:pPr>
              <w:spacing w:after="0"/>
              <w:rPr>
                <w:sz w:val="5"/>
                <w:szCs w:val="5"/>
                <w:color w:val="auto"/>
              </w:rPr>
            </w:pPr>
          </w:p>
        </w:tc>
        <w:tc>
          <w:tcPr>
            <w:tcW w:w="1920" w:type="dxa"/>
            <w:vAlign w:val="bottom"/>
            <w:gridSpan w:val="2"/>
          </w:tcPr>
          <w:p>
            <w:pPr>
              <w:spacing w:after="0"/>
              <w:rPr>
                <w:sz w:val="5"/>
                <w:szCs w:val="5"/>
                <w:color w:val="auto"/>
              </w:rPr>
            </w:pPr>
          </w:p>
        </w:tc>
        <w:tc>
          <w:tcPr>
            <w:tcW w:w="940" w:type="dxa"/>
            <w:vAlign w:val="bottom"/>
            <w:vMerge w:val="continue"/>
          </w:tcPr>
          <w:p>
            <w:pPr>
              <w:spacing w:after="0"/>
              <w:rPr>
                <w:sz w:val="5"/>
                <w:szCs w:val="5"/>
                <w:color w:val="auto"/>
              </w:rPr>
            </w:pPr>
          </w:p>
        </w:tc>
        <w:tc>
          <w:tcPr>
            <w:tcW w:w="260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Borders>
              <w:bottom w:val="single" w:sz="8" w:color="0000EE"/>
            </w:tcBorders>
            <w:vMerge w:val="continue"/>
          </w:tcPr>
          <w:p>
            <w:pPr>
              <w:spacing w:after="0"/>
              <w:rPr>
                <w:sz w:val="14"/>
                <w:szCs w:val="14"/>
                <w:color w:val="auto"/>
              </w:rPr>
            </w:pPr>
          </w:p>
        </w:tc>
        <w:tc>
          <w:tcPr>
            <w:tcW w:w="1800" w:type="dxa"/>
            <w:vAlign w:val="bottom"/>
            <w:tcBorders>
              <w:bottom w:val="single" w:sz="8" w:color="0000EE"/>
            </w:tcBorders>
            <w:gridSpan w:val="7"/>
            <w:vMerge w:val="continue"/>
          </w:tcPr>
          <w:p>
            <w:pPr>
              <w:spacing w:after="0"/>
              <w:rPr>
                <w:sz w:val="14"/>
                <w:szCs w:val="14"/>
                <w:color w:val="auto"/>
              </w:rPr>
            </w:pPr>
          </w:p>
        </w:tc>
        <w:tc>
          <w:tcPr>
            <w:tcW w:w="660" w:type="dxa"/>
            <w:vAlign w:val="bottom"/>
            <w:gridSpan w:val="4"/>
            <w:vMerge w:val="restart"/>
          </w:tcPr>
          <w:p>
            <w:pPr>
              <w:spacing w:after="0"/>
              <w:rPr>
                <w:sz w:val="14"/>
                <w:szCs w:val="14"/>
                <w:color w:val="auto"/>
              </w:rPr>
            </w:pPr>
          </w:p>
        </w:tc>
        <w:tc>
          <w:tcPr>
            <w:tcW w:w="2860" w:type="dxa"/>
            <w:vAlign w:val="bottom"/>
            <w:gridSpan w:val="3"/>
          </w:tcPr>
          <w:p>
            <w:pPr>
              <w:spacing w:after="0"/>
              <w:rPr>
                <w:sz w:val="14"/>
                <w:szCs w:val="14"/>
                <w:color w:val="auto"/>
              </w:rPr>
            </w:pPr>
          </w:p>
        </w:tc>
        <w:tc>
          <w:tcPr>
            <w:tcW w:w="2600" w:type="dxa"/>
            <w:vAlign w:val="bottom"/>
            <w:gridSpan w:val="7"/>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5460" w:type="dxa"/>
            <w:vAlign w:val="bottom"/>
            <w:gridSpan w:val="10"/>
            <w:vMerge w:val="restart"/>
          </w:tcPr>
          <w:p>
            <w:pPr>
              <w:jc w:val="center"/>
              <w:ind w:right="2600"/>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10"/>
            <w:vMerge w:val="continue"/>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1360" w:type="dxa"/>
            <w:vAlign w:val="bottom"/>
            <w:tcBorders>
              <w:bottom w:val="single" w:sz="8" w:color="0000EE"/>
            </w:tcBorders>
            <w:gridSpan w:val="6"/>
          </w:tcPr>
          <w:p>
            <w:pPr>
              <w:ind w:left="2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1100" w:type="dxa"/>
            <w:vAlign w:val="bottom"/>
            <w:gridSpan w:val="5"/>
            <w:vMerge w:val="restart"/>
          </w:tcPr>
          <w:p>
            <w:pPr>
              <w:spacing w:after="0"/>
              <w:rPr>
                <w:sz w:val="20"/>
                <w:szCs w:val="20"/>
                <w:color w:val="auto"/>
              </w:rPr>
            </w:pPr>
          </w:p>
        </w:tc>
        <w:tc>
          <w:tcPr>
            <w:tcW w:w="2860" w:type="dxa"/>
            <w:vAlign w:val="bottom"/>
            <w:tcBorders>
              <w:top w:val="single" w:sz="8" w:color="0000EE"/>
              <w:bottom w:val="single" w:sz="8" w:color="0000EE"/>
            </w:tcBorders>
            <w:gridSpan w:val="3"/>
            <w:vMerge w:val="restart"/>
          </w:tcPr>
          <w:p>
            <w:pPr>
              <w:spacing w:after="0"/>
              <w:rPr>
                <w:sz w:val="20"/>
                <w:szCs w:val="20"/>
                <w:color w:val="auto"/>
              </w:rPr>
            </w:pPr>
          </w:p>
        </w:tc>
        <w:tc>
          <w:tcPr>
            <w:tcW w:w="2600" w:type="dxa"/>
            <w:vAlign w:val="bottom"/>
            <w:gridSpan w:val="7"/>
            <w:vMerge w:val="restart"/>
          </w:tcPr>
          <w:p>
            <w:pPr>
              <w:spacing w:after="0"/>
              <w:rPr>
                <w:sz w:val="20"/>
                <w:szCs w:val="20"/>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1"/>
        </w:trPr>
        <w:tc>
          <w:tcPr>
            <w:tcW w:w="1600" w:type="dxa"/>
            <w:vAlign w:val="bottom"/>
            <w:gridSpan w:val="5"/>
            <w:vMerge w:val="restart"/>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300" w:type="dxa"/>
            <w:vAlign w:val="bottom"/>
            <w:gridSpan w:val="2"/>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2860" w:type="dxa"/>
            <w:vAlign w:val="bottom"/>
            <w:gridSpan w:val="3"/>
            <w:vMerge w:val="continue"/>
          </w:tcPr>
          <w:p>
            <w:pPr>
              <w:spacing w:after="0"/>
              <w:rPr>
                <w:sz w:val="5"/>
                <w:szCs w:val="5"/>
                <w:color w:val="auto"/>
              </w:rPr>
            </w:pPr>
          </w:p>
        </w:tc>
        <w:tc>
          <w:tcPr>
            <w:tcW w:w="260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0000EE"/>
            </w:tcBorders>
            <w:gridSpan w:val="5"/>
            <w:vMerge w:val="continue"/>
          </w:tcPr>
          <w:p>
            <w:pPr>
              <w:spacing w:after="0"/>
              <w:rPr>
                <w:sz w:val="14"/>
                <w:szCs w:val="14"/>
                <w:color w:val="auto"/>
              </w:rPr>
            </w:pPr>
          </w:p>
        </w:tc>
        <w:tc>
          <w:tcPr>
            <w:tcW w:w="6860" w:type="dxa"/>
            <w:vAlign w:val="bottom"/>
            <w:gridSpan w:val="17"/>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60" w:type="dxa"/>
            <w:vAlign w:val="bottom"/>
            <w:gridSpan w:val="17"/>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Item 6.</w:t>
              </w:r>
            </w:hyperlink>
          </w:p>
        </w:tc>
        <w:tc>
          <w:tcPr>
            <w:tcW w:w="620" w:type="dxa"/>
            <w:vAlign w:val="bottom"/>
            <w:tcBorders>
              <w:bottom w:val="single" w:sz="8" w:color="0000EE"/>
            </w:tcBorders>
            <w:gridSpan w:val="3"/>
          </w:tcPr>
          <w:p>
            <w:pPr>
              <w:ind w:left="20"/>
              <w:spacing w:after="0" w:line="170"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Exhibits</w:t>
              </w:r>
            </w:hyperlink>
          </w:p>
        </w:tc>
        <w:tc>
          <w:tcPr>
            <w:tcW w:w="7300" w:type="dxa"/>
            <w:vAlign w:val="bottom"/>
            <w:gridSpan w:val="18"/>
            <w:vMerge w:val="restart"/>
          </w:tcPr>
          <w:p>
            <w:pPr>
              <w:spacing w:after="0"/>
              <w:rPr>
                <w:sz w:val="16"/>
                <w:szCs w:val="16"/>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300" w:type="dxa"/>
            <w:vAlign w:val="bottom"/>
            <w:gridSpan w:val="18"/>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460" w:type="dxa"/>
            <w:vAlign w:val="bottom"/>
            <w:gridSpan w:val="22"/>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500" w:type="dxa"/>
            <w:vAlign w:val="bottom"/>
          </w:tcPr>
          <w:p>
            <w:pPr>
              <w:jc w:val="right"/>
              <w:ind w:right="11"/>
              <w:spacing w:after="0" w:line="190"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9" w:firstLine="648"/>
        <w:spacing w:after="0" w:line="248"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179" w:firstLine="648"/>
        <w:spacing w:after="0"/>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40" w:right="79" w:hanging="331"/>
        <w:spacing w:after="0" w:line="24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pralsetinib (formerly known as BLU-667), fisogatinib (formerly known as BLU-554) and BLU-782, and our research and development programs;</w:t>
      </w:r>
    </w:p>
    <w:p>
      <w:pPr>
        <w:spacing w:after="0" w:line="120"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30"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4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4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30" w:lineRule="exact"/>
        <w:rPr>
          <w:rFonts w:ascii="Arial" w:cs="Arial" w:eastAsia="Arial" w:hAnsi="Arial"/>
          <w:sz w:val="18"/>
          <w:szCs w:val="18"/>
          <w:color w:val="auto"/>
        </w:rPr>
      </w:pPr>
    </w:p>
    <w:p>
      <w:pPr>
        <w:ind w:left="1340" w:right="839" w:hanging="331"/>
        <w:spacing w:after="0" w:line="262"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101" w:lineRule="exact"/>
        <w:rPr>
          <w:rFonts w:ascii="Arial" w:cs="Arial" w:eastAsia="Arial" w:hAnsi="Arial"/>
          <w:sz w:val="18"/>
          <w:szCs w:val="18"/>
          <w:color w:val="auto"/>
        </w:rPr>
      </w:pPr>
    </w:p>
    <w:p>
      <w:pPr>
        <w:ind w:left="1340" w:right="179" w:hanging="331"/>
        <w:spacing w:after="0" w:line="262"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01"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53" w:lineRule="exact"/>
        <w:rPr>
          <w:rFonts w:ascii="Arial" w:cs="Arial" w:eastAsia="Arial" w:hAnsi="Arial"/>
          <w:sz w:val="16"/>
          <w:szCs w:val="16"/>
          <w:color w:val="auto"/>
        </w:rPr>
      </w:pPr>
    </w:p>
    <w:p>
      <w:pPr>
        <w:jc w:val="both"/>
        <w:ind w:left="1340" w:right="39" w:hanging="331"/>
        <w:spacing w:after="0" w:line="248"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and our collaboration with CStone Pharmaceuticals, as well as our ability to maintain these collaborations and establish other strategic collaborations;</w:t>
      </w:r>
    </w:p>
    <w:p>
      <w:pPr>
        <w:spacing w:after="0" w:line="11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4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44" w:lineRule="exact"/>
        <w:rPr>
          <w:sz w:val="20"/>
          <w:szCs w:val="20"/>
          <w:color w:val="auto"/>
        </w:rPr>
      </w:pPr>
    </w:p>
    <w:p>
      <w:pPr>
        <w:ind w:right="19" w:firstLine="648"/>
        <w:spacing w:after="0" w:line="238"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6"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20" w:type="dxa"/>
            <w:vAlign w:val="bottom"/>
          </w:tcPr>
          <w:p>
            <w:pPr>
              <w:spacing w:after="0"/>
              <w:rPr>
                <w:sz w:val="16"/>
                <w:szCs w:val="16"/>
                <w:color w:val="auto"/>
              </w:rPr>
            </w:pPr>
          </w:p>
        </w:tc>
        <w:tc>
          <w:tcPr>
            <w:tcW w:w="67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720" w:type="dxa"/>
            <w:vAlign w:val="bottom"/>
            <w:shd w:val="clear" w:color="auto" w:fill="CCEEFF"/>
          </w:tcPr>
          <w:p>
            <w:pPr>
              <w:ind w:left="3200"/>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82,425</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68,064</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200"/>
              <w:spacing w:after="0"/>
              <w:rPr>
                <w:sz w:val="20"/>
                <w:szCs w:val="20"/>
                <w:color w:val="auto"/>
              </w:rPr>
            </w:pPr>
            <w:r>
              <w:rPr>
                <w:rFonts w:ascii="Arial" w:cs="Arial" w:eastAsia="Arial" w:hAnsi="Arial"/>
                <w:sz w:val="14"/>
                <w:szCs w:val="14"/>
                <w:color w:val="auto"/>
              </w:rPr>
              <w:t>Investments, available-for-sale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510,436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425,948</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200"/>
              <w:spacing w:after="0"/>
              <w:rPr>
                <w:sz w:val="20"/>
                <w:szCs w:val="20"/>
                <w:color w:val="auto"/>
              </w:rPr>
            </w:pPr>
            <w:r>
              <w:rPr>
                <w:rFonts w:ascii="Arial" w:cs="Arial" w:eastAsia="Arial" w:hAnsi="Arial"/>
                <w:sz w:val="14"/>
                <w:szCs w:val="14"/>
                <w:color w:val="auto"/>
              </w:rPr>
              <w:t>Unbilled accounts receivable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6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line="155" w:lineRule="exact"/>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612,952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499,787</w:t>
            </w: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Investments, available-for-sale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74,398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29,627</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75,255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5,161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5,154</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5,556</w:t>
            </w:r>
          </w:p>
        </w:tc>
        <w:tc>
          <w:tcPr>
            <w:tcW w:w="60" w:type="dxa"/>
            <w:vAlign w:val="bottom"/>
            <w:shd w:val="clear" w:color="auto" w:fill="CCEEFF"/>
          </w:tcPr>
          <w:p>
            <w:pPr>
              <w:spacing w:after="0"/>
              <w:rPr>
                <w:sz w:val="14"/>
                <w:szCs w:val="14"/>
                <w:color w:val="auto"/>
              </w:rPr>
            </w:pPr>
          </w:p>
        </w:tc>
      </w:tr>
      <w:tr>
        <w:trPr>
          <w:trHeight w:val="196"/>
        </w:trPr>
        <w:tc>
          <w:tcPr>
            <w:tcW w:w="674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807,178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540,124</w:t>
            </w:r>
          </w:p>
        </w:tc>
        <w:tc>
          <w:tcPr>
            <w:tcW w:w="60" w:type="dxa"/>
            <w:vAlign w:val="bottom"/>
          </w:tcPr>
          <w:p>
            <w:pPr>
              <w:spacing w:after="0"/>
              <w:rPr>
                <w:sz w:val="17"/>
                <w:szCs w:val="17"/>
                <w:color w:val="auto"/>
              </w:rPr>
            </w:pPr>
          </w:p>
        </w:tc>
      </w:tr>
      <w:tr>
        <w:trPr>
          <w:trHeight w:val="143"/>
        </w:trPr>
        <w:tc>
          <w:tcPr>
            <w:tcW w:w="20" w:type="dxa"/>
            <w:vAlign w:val="bottom"/>
          </w:tcPr>
          <w:p>
            <w:pPr>
              <w:spacing w:after="0"/>
              <w:rPr>
                <w:sz w:val="12"/>
                <w:szCs w:val="12"/>
                <w:color w:val="auto"/>
              </w:rPr>
            </w:pPr>
          </w:p>
        </w:tc>
        <w:tc>
          <w:tcPr>
            <w:tcW w:w="67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23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6,608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3,298</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51,711</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6,357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Current portion of deferred revenue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200"/>
              <w:spacing w:after="0"/>
              <w:rPr>
                <w:sz w:val="20"/>
                <w:szCs w:val="20"/>
                <w:color w:val="auto"/>
              </w:rPr>
            </w:pPr>
            <w:r>
              <w:rPr>
                <w:rFonts w:ascii="Arial" w:cs="Arial" w:eastAsia="Arial" w:hAnsi="Arial"/>
                <w:sz w:val="14"/>
                <w:szCs w:val="14"/>
                <w:color w:val="auto"/>
              </w:rPr>
              <w:t>Current portion of lease incentive obligation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1,714</w:t>
            </w:r>
          </w:p>
        </w:tc>
        <w:tc>
          <w:tcPr>
            <w:tcW w:w="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81,506</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60,323</w:t>
            </w:r>
          </w:p>
        </w:tc>
        <w:tc>
          <w:tcPr>
            <w:tcW w:w="60" w:type="dxa"/>
            <w:vAlign w:val="bottom"/>
            <w:tcBorders>
              <w:top w:val="single" w:sz="8" w:color="CCEEFF"/>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Deferred rent, net of current portion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5,130</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92,646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40,055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42,567</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Lease incentive obligation, net of current portion</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12,903</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6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214,351</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121,115</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Commitments (Note 12)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 w:type="dxa"/>
            <w:vAlign w:val="bottom"/>
          </w:tcPr>
          <w:p>
            <w:pPr>
              <w:spacing w:after="0"/>
              <w:rPr>
                <w:sz w:val="12"/>
                <w:szCs w:val="12"/>
                <w:color w:val="auto"/>
              </w:rPr>
            </w:pPr>
          </w:p>
        </w:tc>
        <w:tc>
          <w:tcPr>
            <w:tcW w:w="6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5"/>
              </w:rPr>
              <w:t>Common stock, $0.001 par value; 120,000,000 shares authorized; 49,059,644 and 44,037,026 shares issued and</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June 30, 2019 and December 31, 2018, respectively</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1,376,484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1,016,690</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(784,633)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(597,545)</w:t>
            </w:r>
          </w:p>
        </w:tc>
        <w:tc>
          <w:tcPr>
            <w:tcW w:w="6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stockholders’ equity</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592,827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419,009</w:t>
            </w:r>
          </w:p>
        </w:tc>
        <w:tc>
          <w:tcPr>
            <w:tcW w:w="60" w:type="dxa"/>
            <w:vAlign w:val="bottom"/>
            <w:shd w:val="clear" w:color="auto" w:fill="CCEEFF"/>
          </w:tcPr>
          <w:p>
            <w:pPr>
              <w:spacing w:after="0"/>
              <w:rPr>
                <w:sz w:val="13"/>
                <w:szCs w:val="13"/>
                <w:color w:val="auto"/>
              </w:rPr>
            </w:pPr>
          </w:p>
        </w:tc>
      </w:tr>
      <w:tr>
        <w:trPr>
          <w:trHeight w:val="156"/>
        </w:trPr>
        <w:tc>
          <w:tcPr>
            <w:tcW w:w="674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807,178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540,124</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 w:type="dxa"/>
            <w:vAlign w:val="bottom"/>
            <w:tcBorders>
              <w:bottom w:val="single" w:sz="8" w:color="CCEEFF"/>
            </w:tcBorders>
          </w:tcPr>
          <w:p>
            <w:pPr>
              <w:spacing w:after="0"/>
              <w:rPr>
                <w:sz w:val="13"/>
                <w:szCs w:val="13"/>
                <w:color w:val="auto"/>
              </w:rPr>
            </w:pPr>
          </w:p>
        </w:tc>
        <w:tc>
          <w:tcPr>
            <w:tcW w:w="49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42,393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4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58,573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161,351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108,527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21,923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12,333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38,476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22,244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109,024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70,906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199,827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130,771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4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2,419</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6,899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4,781</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(99,681)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(27,048)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(187,088)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(83,597)</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Changes in foreign currency translation adjustments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0" w:type="dxa"/>
            <w:vAlign w:val="bottom"/>
            <w:shd w:val="clear" w:color="auto" w:fill="CCEEFF"/>
          </w:tcPr>
          <w:p>
            <w:pPr>
              <w:spacing w:after="0"/>
              <w:rPr>
                <w:sz w:val="16"/>
                <w:szCs w:val="16"/>
                <w:color w:val="auto"/>
              </w:rPr>
            </w:pPr>
          </w:p>
        </w:tc>
        <w:tc>
          <w:tcPr>
            <w:tcW w:w="49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Changes in unrealized gain (losses) related to available-for-sale</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(98,829)</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(26,838)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(185,981)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(83,709)</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loss per share — basic and diluted</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(0.62)</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(4.03)</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(1.91)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w w:val="94"/>
              </w:rPr>
              <w:t>Weighted-average number of common shares used in net loss per</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48,843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43,856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46,458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43,779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3" w:lineRule="exact"/>
              <w:rPr>
                <w:sz w:val="20"/>
                <w:szCs w:val="20"/>
                <w:color w:val="auto"/>
              </w:rPr>
            </w:pPr>
            <w:r>
              <w:rPr>
                <w:rFonts w:ascii="Arial" w:cs="Arial" w:eastAsia="Arial" w:hAnsi="Arial"/>
                <w:sz w:val="18"/>
                <w:szCs w:val="18"/>
                <w:color w:val="auto"/>
              </w:rPr>
              <w:t>share — basic and diluted</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45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360" w:top="517" w:right="1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47" w:lineRule="auto"/>
        <w:rPr>
          <w:sz w:val="20"/>
          <w:szCs w:val="20"/>
          <w:color w:val="auto"/>
        </w:rPr>
      </w:pPr>
      <w:r>
        <w:rPr>
          <w:rFonts w:ascii="Arial" w:cs="Arial" w:eastAsia="Arial" w:hAnsi="Arial"/>
          <w:sz w:val="18"/>
          <w:szCs w:val="18"/>
          <w:b w:val="1"/>
          <w:bCs w:val="1"/>
          <w:color w:val="auto"/>
        </w:rPr>
        <w:t>Blueprint Medicines Corporation Condensed Consolidated Statements of Stockholders’ Equity (in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tbl>
      <w:tblPr>
        <w:tblLayout w:type="fixed"/>
        <w:tblInd w:w="0" w:type="dxa"/>
        <w:tblCellMar>
          <w:top w:w="0" w:type="dxa"/>
          <w:left w:w="0" w:type="dxa"/>
          <w:bottom w:w="0" w:type="dxa"/>
          <w:right w:w="0" w:type="dxa"/>
        </w:tblCellMar>
      </w:tblPr>
      <w:tr>
        <w:trPr>
          <w:trHeight w:val="117"/>
        </w:trPr>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60"/>
              <w:spacing w:after="0" w:line="117" w:lineRule="exact"/>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0"/>
                <w:szCs w:val="10"/>
                <w:color w:val="auto"/>
              </w:rPr>
            </w:pPr>
          </w:p>
        </w:tc>
        <w:tc>
          <w:tcPr>
            <w:tcW w:w="80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4220" w:type="dxa"/>
            <w:vAlign w:val="bottom"/>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5"/>
              </w:rPr>
              <w:t>Stockholders’</w:t>
            </w:r>
          </w:p>
        </w:tc>
      </w:tr>
      <w:tr>
        <w:trPr>
          <w:trHeight w:val="115"/>
        </w:trPr>
        <w:tc>
          <w:tcPr>
            <w:tcW w:w="4220" w:type="dxa"/>
            <w:vAlign w:val="bottom"/>
          </w:tcPr>
          <w:p>
            <w:pPr>
              <w:spacing w:after="0"/>
              <w:rPr>
                <w:sz w:val="10"/>
                <w:szCs w:val="10"/>
                <w:color w:val="auto"/>
              </w:rPr>
            </w:pPr>
          </w:p>
        </w:tc>
        <w:tc>
          <w:tcPr>
            <w:tcW w:w="700" w:type="dxa"/>
            <w:vAlign w:val="bottom"/>
            <w:gridSpan w:val="2"/>
          </w:tcPr>
          <w:p>
            <w:pPr>
              <w:ind w:left="140"/>
              <w:spacing w:after="0" w:line="115" w:lineRule="exact"/>
              <w:rPr>
                <w:sz w:val="20"/>
                <w:szCs w:val="20"/>
                <w:color w:val="auto"/>
              </w:rPr>
            </w:pPr>
            <w:r>
              <w:rPr>
                <w:rFonts w:ascii="Arial" w:cs="Arial" w:eastAsia="Arial" w:hAnsi="Arial"/>
                <w:sz w:val="11"/>
                <w:szCs w:val="11"/>
                <w:b w:val="1"/>
                <w:bCs w:val="1"/>
                <w:color w:val="auto"/>
              </w:rPr>
              <w:t>Shares</w:t>
            </w:r>
          </w:p>
        </w:tc>
        <w:tc>
          <w:tcPr>
            <w:tcW w:w="46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10"/>
                <w:szCs w:val="10"/>
                <w:color w:val="auto"/>
              </w:rPr>
            </w:pPr>
          </w:p>
        </w:tc>
        <w:tc>
          <w:tcPr>
            <w:tcW w:w="80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77"/>
              </w:rPr>
              <w:t>Loss</w:t>
            </w: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9"/>
              </w:rPr>
              <w:t>Deficit</w:t>
            </w:r>
          </w:p>
        </w:tc>
        <w:tc>
          <w:tcPr>
            <w:tcW w:w="80" w:type="dxa"/>
            <w:vAlign w:val="bottom"/>
          </w:tcPr>
          <w:p>
            <w:pPr>
              <w:spacing w:after="0"/>
              <w:rPr>
                <w:sz w:val="10"/>
                <w:szCs w:val="10"/>
                <w:color w:val="auto"/>
              </w:rPr>
            </w:pPr>
          </w:p>
        </w:tc>
        <w:tc>
          <w:tcPr>
            <w:tcW w:w="78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rPr>
              <w:t>Equity</w:t>
            </w:r>
          </w:p>
        </w:tc>
      </w:tr>
      <w:tr>
        <w:trPr>
          <w:trHeight w:val="115"/>
        </w:trPr>
        <w:tc>
          <w:tcPr>
            <w:tcW w:w="4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42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2018</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8"/>
              </w:rPr>
              <w:t>44,037,026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44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1,016,690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(180)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(597,545)</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419,009</w:t>
            </w:r>
          </w:p>
        </w:tc>
        <w:tc>
          <w:tcPr>
            <w:tcW w:w="80" w:type="dxa"/>
            <w:vAlign w:val="bottom"/>
            <w:shd w:val="clear" w:color="auto" w:fill="CCEEFF"/>
          </w:tcPr>
          <w:p>
            <w:pPr>
              <w:spacing w:after="0"/>
              <w:rPr>
                <w:sz w:val="10"/>
                <w:szCs w:val="10"/>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Issuance of common stock under stock plan</w:t>
            </w:r>
          </w:p>
        </w:tc>
        <w:tc>
          <w:tcPr>
            <w:tcW w:w="600" w:type="dxa"/>
            <w:vAlign w:val="bottom"/>
          </w:tcPr>
          <w:p>
            <w:pPr>
              <w:jc w:val="right"/>
              <w:spacing w:after="0"/>
              <w:rPr>
                <w:sz w:val="20"/>
                <w:szCs w:val="20"/>
                <w:color w:val="auto"/>
              </w:rPr>
            </w:pPr>
            <w:r>
              <w:rPr>
                <w:rFonts w:ascii="Arial" w:cs="Arial" w:eastAsia="Arial" w:hAnsi="Arial"/>
                <w:sz w:val="11"/>
                <w:szCs w:val="11"/>
                <w:color w:val="auto"/>
              </w:rPr>
              <w:t>134,439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2,061</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 expense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10,295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10,295</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Cumulative translation adjustment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(15)</w:t>
            </w: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Unrealized gain (loss) on available-for-sale securities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(87,407)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(87,407)</w:t>
            </w:r>
          </w:p>
        </w:tc>
      </w:tr>
      <w:tr>
        <w:trPr>
          <w:trHeight w:val="19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March 31, 2019</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44,171,465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1,029,046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(684,952)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344,213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20" w:type="dxa"/>
            <w:vAlign w:val="bottom"/>
          </w:tcPr>
          <w:p>
            <w:pPr>
              <w:spacing w:after="0"/>
              <w:rPr>
                <w:sz w:val="20"/>
                <w:szCs w:val="20"/>
                <w:color w:val="auto"/>
              </w:rPr>
            </w:pPr>
            <w:r>
              <w:rPr>
                <w:rFonts w:ascii="Arial" w:cs="Arial" w:eastAsia="Arial" w:hAnsi="Arial"/>
                <w:sz w:val="11"/>
                <w:szCs w:val="11"/>
                <w:color w:val="auto"/>
              </w:rPr>
              <w:t>Issuance of common stock under stock plan</w:t>
            </w:r>
          </w:p>
        </w:tc>
        <w:tc>
          <w:tcPr>
            <w:tcW w:w="600" w:type="dxa"/>
            <w:vAlign w:val="bottom"/>
          </w:tcPr>
          <w:p>
            <w:pPr>
              <w:jc w:val="right"/>
              <w:spacing w:after="0"/>
              <w:rPr>
                <w:sz w:val="20"/>
                <w:szCs w:val="20"/>
                <w:color w:val="auto"/>
              </w:rPr>
            </w:pPr>
            <w:r>
              <w:rPr>
                <w:rFonts w:ascii="Arial" w:cs="Arial" w:eastAsia="Arial" w:hAnsi="Arial"/>
                <w:sz w:val="11"/>
                <w:szCs w:val="11"/>
                <w:color w:val="auto"/>
              </w:rPr>
              <w:t>215,299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5,813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5,813</w:t>
            </w:r>
          </w:p>
        </w:tc>
        <w:tc>
          <w:tcPr>
            <w:tcW w:w="80" w:type="dxa"/>
            <w:vAlign w:val="bottom"/>
          </w:tcPr>
          <w:p>
            <w:pPr>
              <w:spacing w:after="0"/>
              <w:rPr>
                <w:sz w:val="15"/>
                <w:szCs w:val="15"/>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Purchase of common stock under ESPP</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13,666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13,666</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Cumulative translation adjustment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Unrealized gain (loss) on available-for-sale securities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845</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Follow on offering, net of issuance costs</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4,662,162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327,437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327,442</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(99,681)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(99,681)</w:t>
            </w:r>
          </w:p>
        </w:tc>
      </w:tr>
      <w:tr>
        <w:trPr>
          <w:trHeight w:val="19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June 30, 2019</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49,059,644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1,376,484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(784,633)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592,827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22"/>
        </w:trPr>
        <w:tc>
          <w:tcPr>
            <w:tcW w:w="4220" w:type="dxa"/>
            <w:vAlign w:val="bottom"/>
          </w:tcPr>
          <w:p>
            <w:pPr>
              <w:spacing w:after="0" w:line="122" w:lineRule="exact"/>
              <w:rPr>
                <w:sz w:val="20"/>
                <w:szCs w:val="20"/>
                <w:color w:val="auto"/>
              </w:rPr>
            </w:pPr>
            <w:r>
              <w:rPr>
                <w:rFonts w:ascii="Arial" w:cs="Arial" w:eastAsia="Arial" w:hAnsi="Arial"/>
                <w:sz w:val="11"/>
                <w:szCs w:val="11"/>
                <w:color w:val="auto"/>
              </w:rPr>
              <w:t>Balance at December 31, 2017</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w w:val="98"/>
              </w:rPr>
              <w:t>43,577,526</w:t>
            </w:r>
          </w:p>
        </w:tc>
        <w:tc>
          <w:tcPr>
            <w:tcW w:w="100" w:type="dxa"/>
            <w:vAlign w:val="bottom"/>
          </w:tcPr>
          <w:p>
            <w:pPr>
              <w:spacing w:after="0"/>
              <w:rPr>
                <w:sz w:val="10"/>
                <w:szCs w:val="10"/>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w w:val="97"/>
              </w:rPr>
              <w:t>43</w:t>
            </w:r>
          </w:p>
        </w:tc>
        <w:tc>
          <w:tcPr>
            <w:tcW w:w="10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979,785</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(355,589)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623,970</w:t>
            </w:r>
          </w:p>
        </w:tc>
        <w:tc>
          <w:tcPr>
            <w:tcW w:w="80" w:type="dxa"/>
            <w:vAlign w:val="bottom"/>
          </w:tcPr>
          <w:p>
            <w:pPr>
              <w:spacing w:after="0"/>
              <w:rPr>
                <w:sz w:val="10"/>
                <w:szCs w:val="10"/>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Issuance of common stock under stock plan</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3,553</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5,549</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Adoption of new accounting standard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(5,314)</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(5,314)</w:t>
            </w: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Unrealized gain (loss) on available-for-sale securities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(322)</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(322)</w:t>
            </w: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(56,549)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(56,549)</w:t>
            </w:r>
          </w:p>
        </w:tc>
      </w:tr>
      <w:tr>
        <w:trPr>
          <w:trHeight w:val="20"/>
        </w:trPr>
        <w:tc>
          <w:tcPr>
            <w:tcW w:w="4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Balance at March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43,821,247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988,872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(417,452)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570,873</w:t>
            </w:r>
          </w:p>
        </w:tc>
        <w:tc>
          <w:tcPr>
            <w:tcW w:w="80" w:type="dxa"/>
            <w:vAlign w:val="bottom"/>
            <w:shd w:val="clear" w:color="auto" w:fill="CCEEFF"/>
          </w:tcPr>
          <w:p>
            <w:pPr>
              <w:spacing w:after="0"/>
              <w:rPr>
                <w:sz w:val="17"/>
                <w:szCs w:val="17"/>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3"/>
        </w:trPr>
        <w:tc>
          <w:tcPr>
            <w:tcW w:w="4220" w:type="dxa"/>
            <w:vAlign w:val="bottom"/>
          </w:tcPr>
          <w:p>
            <w:pPr>
              <w:spacing w:after="0"/>
              <w:rPr>
                <w:sz w:val="20"/>
                <w:szCs w:val="20"/>
                <w:color w:val="auto"/>
              </w:rPr>
            </w:pPr>
            <w:r>
              <w:rPr>
                <w:rFonts w:ascii="Arial" w:cs="Arial" w:eastAsia="Arial" w:hAnsi="Arial"/>
                <w:sz w:val="11"/>
                <w:szCs w:val="11"/>
                <w:color w:val="auto"/>
              </w:rPr>
              <w:t>Issuance of common stock under stock plan</w:t>
            </w:r>
          </w:p>
        </w:tc>
        <w:tc>
          <w:tcPr>
            <w:tcW w:w="600" w:type="dxa"/>
            <w:vAlign w:val="bottom"/>
          </w:tcPr>
          <w:p>
            <w:pPr>
              <w:jc w:val="right"/>
              <w:spacing w:after="0"/>
              <w:rPr>
                <w:sz w:val="20"/>
                <w:szCs w:val="20"/>
                <w:color w:val="auto"/>
              </w:rPr>
            </w:pPr>
            <w:r>
              <w:rPr>
                <w:rFonts w:ascii="Arial" w:cs="Arial" w:eastAsia="Arial" w:hAnsi="Arial"/>
                <w:sz w:val="11"/>
                <w:szCs w:val="11"/>
                <w:color w:val="auto"/>
              </w:rPr>
              <w:t>56,955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742</w:t>
            </w:r>
          </w:p>
        </w:tc>
        <w:tc>
          <w:tcPr>
            <w:tcW w:w="80" w:type="dxa"/>
            <w:vAlign w:val="bottom"/>
          </w:tcPr>
          <w:p>
            <w:pPr>
              <w:spacing w:after="0"/>
              <w:rPr>
                <w:sz w:val="15"/>
                <w:szCs w:val="15"/>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Purchase of common stock under ESPP</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8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7,762</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Unrealized gain (loss) on available-for-sale securities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230"/>
        </w:trPr>
        <w:tc>
          <w:tcPr>
            <w:tcW w:w="4220" w:type="dxa"/>
            <w:vAlign w:val="bottom"/>
          </w:tcPr>
          <w:p>
            <w:pPr>
              <w:spacing w:after="0"/>
              <w:rPr>
                <w:sz w:val="20"/>
                <w:szCs w:val="20"/>
                <w:color w:val="auto"/>
              </w:rPr>
            </w:pPr>
            <w:r>
              <w:rPr>
                <w:rFonts w:ascii="Arial" w:cs="Arial" w:eastAsia="Arial" w:hAnsi="Arial"/>
                <w:sz w:val="11"/>
                <w:szCs w:val="11"/>
                <w:color w:val="auto"/>
              </w:rPr>
              <w:t>Other</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(27,048)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(27,048)</w:t>
            </w:r>
          </w:p>
        </w:tc>
      </w:tr>
      <w:tr>
        <w:trPr>
          <w:trHeight w:val="20"/>
        </w:trPr>
        <w:tc>
          <w:tcPr>
            <w:tcW w:w="4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20" w:type="dxa"/>
            <w:vAlign w:val="bottom"/>
          </w:tcPr>
          <w:p>
            <w:pPr>
              <w:spacing w:after="0"/>
              <w:rPr>
                <w:sz w:val="20"/>
                <w:szCs w:val="20"/>
                <w:color w:val="auto"/>
              </w:rPr>
            </w:pPr>
            <w:r>
              <w:rPr>
                <w:rFonts w:ascii="Arial" w:cs="Arial" w:eastAsia="Arial" w:hAnsi="Arial"/>
                <w:sz w:val="11"/>
                <w:szCs w:val="11"/>
                <w:color w:val="auto"/>
              </w:rPr>
              <w:t>Balance at June 30, 2018</w:t>
            </w:r>
          </w:p>
        </w:tc>
        <w:tc>
          <w:tcPr>
            <w:tcW w:w="600" w:type="dxa"/>
            <w:vAlign w:val="bottom"/>
          </w:tcPr>
          <w:p>
            <w:pPr>
              <w:jc w:val="right"/>
              <w:spacing w:after="0"/>
              <w:rPr>
                <w:sz w:val="20"/>
                <w:szCs w:val="20"/>
                <w:color w:val="auto"/>
              </w:rPr>
            </w:pPr>
            <w:r>
              <w:rPr>
                <w:rFonts w:ascii="Arial" w:cs="Arial" w:eastAsia="Arial" w:hAnsi="Arial"/>
                <w:sz w:val="11"/>
                <w:szCs w:val="11"/>
                <w:color w:val="auto"/>
                <w:w w:val="98"/>
              </w:rPr>
              <w:t>43,883,774</w:t>
            </w:r>
          </w:p>
        </w:tc>
        <w:tc>
          <w:tcPr>
            <w:tcW w:w="100" w:type="dxa"/>
            <w:vAlign w:val="bottom"/>
          </w:tcPr>
          <w:p>
            <w:pPr>
              <w:spacing w:after="0"/>
              <w:rPr>
                <w:sz w:val="17"/>
                <w:szCs w:val="17"/>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w w:val="97"/>
              </w:rPr>
              <w:t>44</w:t>
            </w:r>
          </w:p>
        </w:tc>
        <w:tc>
          <w:tcPr>
            <w:tcW w:w="10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997,770</w:t>
            </w:r>
          </w:p>
        </w:tc>
        <w:tc>
          <w:tcPr>
            <w:tcW w:w="1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(444,500)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552,933</w:t>
            </w:r>
          </w:p>
        </w:tc>
        <w:tc>
          <w:tcPr>
            <w:tcW w:w="8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8"/>
              </w:rPr>
              <w:t>(187,088)</w:t>
            </w:r>
          </w:p>
        </w:tc>
        <w:tc>
          <w:tcPr>
            <w:tcW w:w="400" w:type="dxa"/>
            <w:vAlign w:val="bottom"/>
            <w:gridSpan w:val="2"/>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Accretion of premiums and discounts on investments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(2,973)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9,994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Operating lease liabilities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620"/>
              <w:spacing w:after="0" w:line="196" w:lineRule="exact"/>
              <w:rPr>
                <w:sz w:val="20"/>
                <w:szCs w:val="20"/>
                <w:color w:val="auto"/>
              </w:rPr>
            </w:pPr>
            <w:r>
              <w:rPr>
                <w:rFonts w:ascii="Arial" w:cs="Arial" w:eastAsia="Arial" w:hAnsi="Arial"/>
                <w:sz w:val="18"/>
                <w:szCs w:val="18"/>
                <w:color w:val="auto"/>
              </w:rPr>
              <w:t>Net cash used in operating activities</w:t>
            </w: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(161,416)</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investments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(465,289)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(489,285)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Maturities of investments</w:t>
            </w:r>
          </w:p>
        </w:tc>
        <w:tc>
          <w:tcPr>
            <w:tcW w:w="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310,490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265,000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Net cash used in investing activities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(158,739)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(233,919)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Principal payments on loan payable</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Proceeds from public offering of common stock, net of issuance cost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327,750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proceeds from stock option exercises and employee stock purchase plan</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Payment of offering costs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334,309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(282,764)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73,429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8"/>
              </w:rPr>
              <w:t>405,072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Effect of exchange rate changes on cash, cash equivalents and restricted cash</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220" w:type="dxa"/>
            <w:vAlign w:val="bottom"/>
            <w:gridSpan w:val="2"/>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87,586</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122,308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Public offering costs incurred but unpaid at period end</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400" w:type="dxa"/>
            <w:vAlign w:val="bottom"/>
            <w:gridSpan w:val="2"/>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Property and equipment purchases unpaid at period end</w:t>
            </w: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3,328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2,114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Cash paid for interest</w:t>
            </w:r>
          </w:p>
        </w:tc>
        <w:tc>
          <w:tcPr>
            <w:tcW w:w="6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w:t>
            </w:r>
          </w:p>
        </w:tc>
        <w:tc>
          <w:tcPr>
            <w:tcW w:w="2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 net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7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r>
      <w:tr>
        <w:trPr>
          <w:trHeight w:val="156"/>
        </w:trPr>
        <w:tc>
          <w:tcPr>
            <w:tcW w:w="7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82,425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117,751</w:t>
            </w:r>
          </w:p>
        </w:tc>
        <w:tc>
          <w:tcPr>
            <w:tcW w:w="120" w:type="dxa"/>
            <w:vAlign w:val="bottom"/>
            <w:shd w:val="clear" w:color="auto" w:fill="CCEEFF"/>
          </w:tcPr>
          <w:p>
            <w:pPr>
              <w:spacing w:after="0"/>
              <w:rPr>
                <w:sz w:val="13"/>
                <w:szCs w:val="13"/>
                <w:color w:val="auto"/>
              </w:rPr>
            </w:pPr>
          </w:p>
        </w:tc>
      </w:tr>
      <w:tr>
        <w:trPr>
          <w:trHeight w:val="162"/>
        </w:trPr>
        <w:tc>
          <w:tcPr>
            <w:tcW w:w="7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cash</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c>
          <w:tcPr>
            <w:tcW w:w="120" w:type="dxa"/>
            <w:vAlign w:val="bottom"/>
            <w:tcBorders>
              <w:bottom w:val="single" w:sz="8" w:color="CCEEFF"/>
            </w:tcBorders>
          </w:tcPr>
          <w:p>
            <w:pPr>
              <w:spacing w:after="0"/>
              <w:rPr>
                <w:sz w:val="14"/>
                <w:szCs w:val="14"/>
                <w:color w:val="auto"/>
              </w:rPr>
            </w:pPr>
          </w:p>
        </w:tc>
      </w:tr>
      <w:tr>
        <w:trPr>
          <w:trHeight w:val="156"/>
        </w:trPr>
        <w:tc>
          <w:tcPr>
            <w:tcW w:w="70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cash, cash equivalents, and restricted cash shown in condensed consolidated statements of cash flows</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87,586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122,308</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out-license certain of its research and development programs or future commercialization efforts.</w:t>
      </w:r>
    </w:p>
    <w:p>
      <w:pPr>
        <w:spacing w:after="0" w:line="18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On April 2, 2019, the Company closed an underwritten public offering of 4,662,162 shares of its common stock at a price to the public of $74.00 per share, including 608,108 shares of common stock sold by the Company pursuant to the exercise in full by the underwriters of their option to purchase additional shares in connection with the offering. The Company received net proceeds of $327.4 million, after deducting underwriting discounts and commissions and offering expenses.</w:t>
      </w:r>
    </w:p>
    <w:p>
      <w:pPr>
        <w:spacing w:after="0" w:line="190"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As of June 30, 2019, the Company had cash, cash equivalents and investments of $667.3 million. Based on the Company’s current plans, the Company expects that its existing cash, cash equivalents and investments, excluding any potential option fees and milestone payments under its existing collaborations with Roche and CStone (each as defined below), will be sufficient to enable it to fund its operating expenses and capital expenditure requirements into the middle of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2018 and notes thereto included in the Company’s Annual Report on Form 10-K for the year ended December 31, 2018, filed with the SEC on February 26, 2019 (the 2018 Annual Report on Form 10-K).</w:t>
      </w:r>
    </w:p>
    <w:p>
      <w:pPr>
        <w:spacing w:after="0" w:line="17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June 30, 2019, the results of its operations for the three and six months ended June 30, 2019 and 2018, stockholder’s equity for the three and six months ended June 30, 2019 and 2018 and cash flows for the six months ended June 30, 2019 and 2018. Such adjustments are of a normal and recurring nature. The results for the three and six months ended June 30, 2019 are not necessarily indicative of the results for the year ending December 31, 2019, or for any future period.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Blueprint Medicines Security Corporation, which is a Massachusetts subsidiary created to buy, sell and hold securities, Blueprint Medicines (Switzerland) GmbH, and Blueprint Medicines (Netherlands) B.V. All intercompany transactions and balances have been eliminated. The accompanying condensed consolidated financial statements do not include the account of the Company’s wholly owned subsidiary, Blueprint Medicines (UK) Ltd., which was formed in July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operating lease right-of-use assets, operating lease liabilities, stock-based compensation expense, accrued expenses, and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2019 are consistent with those discussed in Note 2 to the consolidated financial statements in the 2018 Annual Report on Form 10-K, except as noted below with respect to the Company’s accounting policies related to lease obligations and as noted within this Note 2 under the section titled “—New Accounting Pronouncements.”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 xml:space="preserve">In February 2016, the FASB issued Accounting Standards Update </w:t>
      </w:r>
      <w:r>
        <w:rPr>
          <w:rFonts w:ascii="Arial" w:cs="Arial" w:eastAsia="Arial" w:hAnsi="Arial"/>
          <w:sz w:val="17"/>
          <w:szCs w:val="17"/>
          <w:i w:val="1"/>
          <w:iCs w:val="1"/>
          <w:color w:val="auto"/>
        </w:rPr>
        <w:t>ASU No. 2016-02, Leases (Topic 842)</w:t>
      </w:r>
      <w:r>
        <w:rPr>
          <w:rFonts w:ascii="Arial" w:cs="Arial" w:eastAsia="Arial" w:hAnsi="Arial"/>
          <w:sz w:val="17"/>
          <w:szCs w:val="17"/>
          <w:color w:val="auto"/>
        </w:rPr>
        <w:t xml:space="preserve"> or ASC 842, a new standard issued to increase transparency and comparability among organizations related to their leasing activities. This standard established a right-of-use model that requires all lessees to recognize right-of-use assets and lease liabilities on their balance sheet that arise from leases as well as provide disclosures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76"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 xml:space="preserve">The FASB subsequently issued the following amendments to ASU 2016-02 that have the same effective date and transition date: </w:t>
      </w:r>
      <w:r>
        <w:rPr>
          <w:rFonts w:ascii="Arial" w:cs="Arial" w:eastAsia="Arial" w:hAnsi="Arial"/>
          <w:sz w:val="18"/>
          <w:szCs w:val="18"/>
          <w:i w:val="1"/>
          <w:iCs w:val="1"/>
          <w:color w:val="auto"/>
        </w:rPr>
        <w:t>ASU No. 2018-01, Leases (Topic 842): Land Easement Practical Expedient for Transition to Topic 842, ASU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2018-10, Codification Improvements to Topic 842, Leases, ASU No. 2018-11, Leases (Topic 842): Targeted Improvements, ASU No. 2018-20, Narrow-Scope Improvement for Lessors, and ASU No. 2019-01, Leases (Topic 842): Codification Improvements. </w:t>
      </w:r>
      <w:r>
        <w:rPr>
          <w:rFonts w:ascii="Arial" w:cs="Arial" w:eastAsia="Arial" w:hAnsi="Arial"/>
          <w:sz w:val="18"/>
          <w:szCs w:val="18"/>
          <w:color w:val="auto"/>
        </w:rPr>
        <w:t>The Company adopted these amendments with ASU 2016-02 (collectively, the new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or ASC 842) effective January 1, 2019.</w:t>
      </w:r>
    </w:p>
    <w:p>
      <w:pPr>
        <w:spacing w:after="0" w:line="19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As permitted by the new leasing standards, the Company elected to adopt ASC 842 using the modified retrospective transition approach, with no restatement of prior periods or cumulative adjustment to retained earnings, and therefore, the consolidated balance sheet prior to January 1, 2019 continues to be reported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or ASC 840, which did not require the recognition of operating lease liabilities on the balance sheet, and is not comparative.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leases that were classified as operating leases under ASC 840 were classified as operating leases under ASC 842, and the accounting for finance leases (capital leases) was substantially unchanged. The Company elected to apply the practical expedient not to separate lease and non-lease components for new and modified leases commencing after adoption. The Company also made an accounting policy election to not recognize leases with an initial term of 12 months or less within the condensed consolidated balance sheets and to recognize those lease payments on a straight-line basis in the condensed consolidated statements of operations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of ASC 842</w:t>
      </w:r>
    </w:p>
    <w:p>
      <w:pPr>
        <w:spacing w:after="0" w:line="21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Upon adoption of the new leasing standards, the Company recognized an adjustment of $54.2 million and $74.1 million to operating lease right-of-use assets and the related lease liabilities, respectively. The operating lease liabilities are based on the present value of the remaining minimum lease payments discounted using the Company’s secured incremental borrowing rate at the effective date of January 1, 2019. The adoption of the new leasing standards did not have an impact on the Company’s condensed consolidated statements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 adoption of ASC 842 on the condensed consolidated balance sheet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6"/>
          </w:tcPr>
          <w:p>
            <w:pPr>
              <w:jc w:val="center"/>
              <w:spacing w:after="0" w:line="153" w:lineRule="exact"/>
              <w:rPr>
                <w:sz w:val="20"/>
                <w:szCs w:val="20"/>
                <w:color w:val="auto"/>
              </w:rPr>
            </w:pPr>
            <w:r>
              <w:rPr>
                <w:rFonts w:ascii="Arial" w:cs="Arial" w:eastAsia="Arial" w:hAnsi="Arial"/>
                <w:sz w:val="14"/>
                <w:szCs w:val="14"/>
                <w:b w:val="1"/>
                <w:bCs w:val="1"/>
                <w:color w:val="auto"/>
                <w:w w:val="92"/>
              </w:rPr>
              <w:t>Impact of ASC 842 Adoption on Consolidated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Balance Sheet as of January 1, 2019</w:t>
            </w: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7"/>
              </w:rPr>
              <w:t>Balances</w:t>
            </w: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without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Balances with</w:t>
            </w:r>
          </w:p>
        </w:tc>
        <w:tc>
          <w:tcPr>
            <w:tcW w:w="0" w:type="dxa"/>
            <w:vAlign w:val="bottom"/>
          </w:tcPr>
          <w:p>
            <w:pPr>
              <w:spacing w:after="0"/>
              <w:rPr>
                <w:sz w:val="1"/>
                <w:szCs w:val="1"/>
                <w:color w:val="auto"/>
              </w:rPr>
            </w:pPr>
          </w:p>
        </w:tc>
      </w:tr>
      <w:tr>
        <w:trPr>
          <w:trHeight w:val="162"/>
        </w:trPr>
        <w:tc>
          <w:tcPr>
            <w:tcW w:w="59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adoption of</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ASC 842</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85"/>
        </w:trPr>
        <w:tc>
          <w:tcPr>
            <w:tcW w:w="5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842</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Adjustment</w:t>
            </w:r>
          </w:p>
        </w:tc>
        <w:tc>
          <w:tcPr>
            <w:tcW w:w="8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ASC 842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8"/>
                <w:szCs w:val="18"/>
                <w:color w:val="auto"/>
              </w:rPr>
              <w:t>54,245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540,124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incentive obligation</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60,323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69,387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incentive obligation, net of current portion</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(12,903)</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121,115</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54,245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Accounting Policy</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For contracts entered into on or after the effective date,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74"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 For real estate leases, the Company uses its secured incremental borrowing rate. For finance leases, the Company uses the rate implicit in the lease or its secured incremental borrowing rate if the implicit lease rate cannot be determined.</w:t>
      </w:r>
    </w:p>
    <w:p>
      <w:pPr>
        <w:spacing w:after="0" w:line="191"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No. 2016-13, 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Credit Losses on Financial Instruments</w:t>
      </w:r>
      <w:r>
        <w:rPr>
          <w:rFonts w:ascii="Arial" w:cs="Arial" w:eastAsia="Arial" w:hAnsi="Arial"/>
          <w:sz w:val="17"/>
          <w:szCs w:val="17"/>
          <w:color w:val="auto"/>
        </w:rPr>
        <w:t>. The FASB has subsequently issued amendments to ASU 2016-13, which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effective date and transition date of January 1, 2020. These standards require that credit losses be reported using an expected losses model rather than the incurred losses model that is currently used, and establish additional disclosures related to credit risks. For available-for-sale debt securities with unrealized losses, these standards now require allowances to be recorded instead of reducing the amortized cost of the investment. These standards will be effective for the Company on January 1, 2020. The Company is currently evaluating the potential impact that this standard may have on its consolidated financial position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March 2017, the FASB issued </w:t>
      </w:r>
      <w:r>
        <w:rPr>
          <w:rFonts w:ascii="Arial" w:cs="Arial" w:eastAsia="Arial" w:hAnsi="Arial"/>
          <w:sz w:val="16"/>
          <w:szCs w:val="16"/>
          <w:i w:val="1"/>
          <w:iCs w:val="1"/>
          <w:color w:val="auto"/>
        </w:rPr>
        <w:t>ASU No. 2017-08, Receivables - Nonrefundable Fees and Other Costs (Subtopic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310-20): Premium Amortization on Purchased Callable Debt Securities. </w:t>
      </w:r>
      <w:r>
        <w:rPr>
          <w:rFonts w:ascii="Arial" w:cs="Arial" w:eastAsia="Arial" w:hAnsi="Arial"/>
          <w:sz w:val="16"/>
          <w:szCs w:val="16"/>
          <w:color w:val="auto"/>
        </w:rPr>
        <w:t>This standard amends the amortization period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certain purchased callable debt securities held at a premium by shortening the amortization period to the earliest call date.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This standard became effective for the Company on January 1, 2019, and was adopted using a modified retrospective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transition approach. The adoption of this standard did not result in a significant adjustment to the Company’s marketable debt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No. 2018-13, Fair Value Measurement (Topic 820): Disclosure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This standard modifies certain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fair value measurements. This standard will be effective for the Company on January 1, 2020. The Company does not expect that the adoption of this standard will have a material impact on the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 xml:space="preserve">In November 2018, the </w:t>
      </w:r>
      <w:r>
        <w:rPr>
          <w:rFonts w:ascii="Arial" w:cs="Arial" w:eastAsia="Arial" w:hAnsi="Arial"/>
          <w:sz w:val="18"/>
          <w:szCs w:val="18"/>
          <w:i w:val="1"/>
          <w:iCs w:val="1"/>
          <w:color w:val="auto"/>
        </w:rPr>
        <w:t>FASB issued ASU No. 2018-18, Collaborative Arrangements (Topic 808):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This standard makes targeted improvements for collaborative arrangements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2" w:lineRule="exact"/>
        <w:rPr>
          <w:sz w:val="20"/>
          <w:szCs w:val="20"/>
          <w:color w:val="auto"/>
        </w:rPr>
      </w:pPr>
    </w:p>
    <w:p>
      <w:pPr>
        <w:jc w:val="both"/>
        <w:ind w:left="1340" w:right="120" w:hanging="331"/>
        <w:spacing w:after="0" w:line="294" w:lineRule="auto"/>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Clarifies that certain transactions between collaborative arrangement participants should be accounted for as revenue under </w:t>
      </w:r>
      <w:r>
        <w:rPr>
          <w:rFonts w:ascii="Arial" w:cs="Arial" w:eastAsia="Arial" w:hAnsi="Arial"/>
          <w:sz w:val="16"/>
          <w:szCs w:val="16"/>
          <w:i w:val="1"/>
          <w:iCs w:val="1"/>
          <w:color w:val="auto"/>
        </w:rPr>
        <w:t>ASC 606, Revenue from Contracts with Customers</w:t>
      </w:r>
      <w:r>
        <w:rPr>
          <w:rFonts w:ascii="Arial" w:cs="Arial" w:eastAsia="Arial" w:hAnsi="Arial"/>
          <w:sz w:val="16"/>
          <w:szCs w:val="16"/>
          <w:color w:val="auto"/>
        </w:rPr>
        <w:t>, when the collaborative arrangement participant is a customer in the context of a unit of account. In those situations, all the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40"/>
        <w:spacing w:after="0" w:line="262" w:lineRule="auto"/>
        <w:rPr>
          <w:sz w:val="20"/>
          <w:szCs w:val="20"/>
          <w:color w:val="auto"/>
        </w:rPr>
      </w:pPr>
      <w:r>
        <w:rPr>
          <w:rFonts w:ascii="Arial" w:cs="Arial" w:eastAsia="Arial" w:hAnsi="Arial"/>
          <w:sz w:val="18"/>
          <w:szCs w:val="18"/>
          <w:color w:val="auto"/>
        </w:rPr>
        <w:t>guidance in ASC 606 should be applied, including recognition, measurement, presentation and disclosure requirements;</w:t>
      </w:r>
    </w:p>
    <w:p>
      <w:pPr>
        <w:spacing w:after="0" w:line="169" w:lineRule="exact"/>
        <w:rPr>
          <w:sz w:val="20"/>
          <w:szCs w:val="20"/>
          <w:color w:val="auto"/>
        </w:rPr>
      </w:pPr>
    </w:p>
    <w:p>
      <w:pPr>
        <w:jc w:val="both"/>
        <w:ind w:left="1340" w:right="520" w:hanging="331"/>
        <w:spacing w:after="0" w:line="270" w:lineRule="auto"/>
        <w:tabs>
          <w:tab w:leader="none" w:pos="1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Adds unit-of-account guidance to </w:t>
      </w:r>
      <w:r>
        <w:rPr>
          <w:rFonts w:ascii="Arial" w:cs="Arial" w:eastAsia="Arial" w:hAnsi="Arial"/>
          <w:sz w:val="17"/>
          <w:szCs w:val="17"/>
          <w:i w:val="1"/>
          <w:iCs w:val="1"/>
          <w:color w:val="auto"/>
        </w:rPr>
        <w:t>ASC 808, Collaborative Arrangements</w:t>
      </w:r>
      <w:r>
        <w:rPr>
          <w:rFonts w:ascii="Arial" w:cs="Arial" w:eastAsia="Arial" w:hAnsi="Arial"/>
          <w:sz w:val="17"/>
          <w:szCs w:val="17"/>
          <w:color w:val="auto"/>
        </w:rPr>
        <w:t>, to align with the guidance in ASC 606 (that is, a distinct good or service) when an entity is assessing whether the collaborative arrangement or a part of the arrangement is within the scope of ASC 606; and</w:t>
      </w:r>
    </w:p>
    <w:p>
      <w:pPr>
        <w:spacing w:after="0" w:line="164" w:lineRule="exact"/>
        <w:rPr>
          <w:rFonts w:ascii="Arial" w:cs="Arial" w:eastAsia="Arial" w:hAnsi="Arial"/>
          <w:sz w:val="17"/>
          <w:szCs w:val="17"/>
          <w:color w:val="auto"/>
        </w:rPr>
      </w:pPr>
    </w:p>
    <w:p>
      <w:pPr>
        <w:ind w:left="1340" w:right="320" w:hanging="331"/>
        <w:spacing w:after="0" w:line="248"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82"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This standard will be effective for the Company on January 1, 2020; however, early adoption is permitted. A retrospective transition approach is required for either all contracts or only for contracts that are not completed at the date of initial application of ASC 606, with a cumulative adjustment to opening retained earnings. The Company is currently evaluating the potential impact that this standard may have on its consolidated financial position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color w:val="auto"/>
        </w:rPr>
        <w:t>ASU No. 2018-15, Intangibles-Goodwill and Other-Internal-Use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350-40): Customer’s Accounting for Implementation Costs Incurred in a Cloud Computing Arrangement That Is a</w:t>
      </w:r>
    </w:p>
    <w:p>
      <w:pPr>
        <w:jc w:val="both"/>
        <w:spacing w:after="0" w:line="277" w:lineRule="auto"/>
        <w:rPr>
          <w:sz w:val="20"/>
          <w:szCs w:val="20"/>
          <w:color w:val="auto"/>
        </w:rPr>
      </w:pPr>
      <w:r>
        <w:rPr>
          <w:rFonts w:ascii="Arial" w:cs="Arial" w:eastAsia="Arial" w:hAnsi="Arial"/>
          <w:sz w:val="17"/>
          <w:szCs w:val="17"/>
          <w:i w:val="1"/>
          <w:iCs w:val="1"/>
          <w:color w:val="auto"/>
        </w:rPr>
        <w:t>Service Contract</w:t>
      </w:r>
      <w:r>
        <w:rPr>
          <w:rFonts w:ascii="Arial" w:cs="Arial" w:eastAsia="Arial" w:hAnsi="Arial"/>
          <w:sz w:val="17"/>
          <w:szCs w:val="17"/>
          <w:color w:val="auto"/>
        </w:rPr>
        <w:t>, which clarifies the accounting for implementation costs in cloud computing arrangements. This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effective for the Company on January 1, 2020, however, early adoption is permitted. The Company currently is evaluating the impact the adoption may have on its consolidated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equivalents and investments, available-for-sale, consisted of the following at June 30, 2019 and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2019</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4160" w:type="dxa"/>
            <w:vAlign w:val="bottom"/>
            <w:tcBorders>
              <w:bottom w:val="single" w:sz="8" w:color="CCEEFF"/>
            </w:tcBorders>
            <w:gridSpan w:val="2"/>
            <w:vMerge w:val="continue"/>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5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82,425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82,425</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8"/>
              </w:rPr>
              <w:t>U.S. government agency securities and treasuries</w:t>
            </w: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583,884</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584,834</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666,309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951</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24"/>
                <w:szCs w:val="2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41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68,064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8"/>
              </w:rPr>
              <w:t>U.S. government agency securities and treasuries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425,948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4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494,176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At June 30, 2019 and December 31, 2018, the Company held 2 and 54 debt securities, respectively, that were in an unrealized loss position. The aggregate fair value of debt securities in an unrealized loss position at June 30, 2019 and December 31, 2018 was $13.2 million and $397.5 million, respectively. There were no individual securities that were in a significant unrealized loss position as of June 30, 2019 and December 31, 2018. As of June 30, 2019, there was one security with a fair value of $3.2 million in an unrealized loss position for more than twelve months. The Company has the intent and ability to hold such securities until recovery, and there was no material change in the credit risk of these investments. As a result, the Company determined it did not hold any investments with an other-than-temporary impairment as of June 30,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648"/>
        <w:spacing w:after="0" w:line="324" w:lineRule="auto"/>
        <w:rPr>
          <w:sz w:val="20"/>
          <w:szCs w:val="20"/>
          <w:color w:val="auto"/>
        </w:rPr>
      </w:pPr>
      <w:r>
        <w:rPr>
          <w:rFonts w:ascii="Arial" w:cs="Arial" w:eastAsia="Arial" w:hAnsi="Arial"/>
          <w:sz w:val="16"/>
          <w:szCs w:val="16"/>
          <w:color w:val="auto"/>
        </w:rPr>
        <w:t>As of June 30, 2019, 11 securities with an aggregate fair value of $74.4 million have remaining maturities greater than one year. No available-for-sale securities held as of December 31, 2018 had remaining maturities greater than one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48"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June 30, 2019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Active</w:t>
            </w: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r>
      <w:tr>
        <w:trPr>
          <w:trHeight w:val="156"/>
        </w:trPr>
        <w:tc>
          <w:tcPr>
            <w:tcW w:w="20" w:type="dxa"/>
            <w:vAlign w:val="bottom"/>
          </w:tcPr>
          <w:p>
            <w:pPr>
              <w:spacing w:after="0"/>
              <w:rPr>
                <w:sz w:val="13"/>
                <w:szCs w:val="13"/>
                <w:color w:val="auto"/>
              </w:rPr>
            </w:pPr>
          </w:p>
        </w:tc>
        <w:tc>
          <w:tcPr>
            <w:tcW w:w="5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82,425</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82,425</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government agency securities and treasuries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584,834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584,834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51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667,259</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667,259</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ind w:left="38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2018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r>
      <w:tr>
        <w:trPr>
          <w:trHeight w:val="156"/>
        </w:trPr>
        <w:tc>
          <w:tcPr>
            <w:tcW w:w="20" w:type="dxa"/>
            <w:vAlign w:val="bottom"/>
          </w:tcPr>
          <w:p>
            <w:pPr>
              <w:spacing w:after="0"/>
              <w:rPr>
                <w:sz w:val="13"/>
                <w:szCs w:val="13"/>
                <w:color w:val="auto"/>
              </w:rPr>
            </w:pPr>
          </w:p>
        </w:tc>
        <w:tc>
          <w:tcPr>
            <w:tcW w:w="5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32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68,064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68,064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government agency securities and treasuries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425,948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425,948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51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494,012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494,012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216" w:lineRule="exact"/>
        <w:rPr>
          <w:sz w:val="20"/>
          <w:szCs w:val="20"/>
          <w:color w:val="auto"/>
        </w:rPr>
      </w:pPr>
    </w:p>
    <w:p>
      <w:pPr>
        <w:jc w:val="both"/>
        <w:ind w:right="360" w:firstLine="648"/>
        <w:spacing w:after="0" w:line="248" w:lineRule="auto"/>
        <w:rPr>
          <w:sz w:val="20"/>
          <w:szCs w:val="20"/>
          <w:color w:val="auto"/>
        </w:rPr>
      </w:pPr>
      <w:r>
        <w:rPr>
          <w:rFonts w:ascii="Arial" w:cs="Arial" w:eastAsia="Arial" w:hAnsi="Arial"/>
          <w:sz w:val="18"/>
          <w:szCs w:val="18"/>
          <w:color w:val="auto"/>
        </w:rPr>
        <w:t>At June 30, 2019 and December 31, 2018, $5.2 million and $5.4 million, respectively, of the Company’s cash is restricted by a bank related to security deposits for the lease agreements for the Company’s current and former corporate headquarters.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on these security deposits, see Note 11, </w:t>
      </w:r>
      <w:r>
        <w:rPr>
          <w:rFonts w:ascii="Arial" w:cs="Arial" w:eastAsia="Arial" w:hAnsi="Arial"/>
          <w:sz w:val="18"/>
          <w:szCs w:val="18"/>
          <w:i w:val="1"/>
          <w:iCs w:val="1"/>
          <w:color w:val="auto"/>
        </w:rPr>
        <w:t>Leases.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518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7,376</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2,369</w:t>
            </w:r>
          </w:p>
        </w:tc>
        <w:tc>
          <w:tcPr>
            <w:tcW w:w="14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3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89"/>
              </w:rPr>
              <w:t>Term of lease</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26,660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26,640</w:t>
            </w:r>
          </w:p>
        </w:tc>
        <w:tc>
          <w:tcPr>
            <w:tcW w:w="14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7"/>
                <w:szCs w:val="17"/>
                <w:color w:val="auto"/>
              </w:rPr>
            </w:pPr>
          </w:p>
        </w:tc>
      </w:tr>
      <w:tr>
        <w:trPr>
          <w:trHeight w:val="203"/>
        </w:trPr>
        <w:tc>
          <w:tcPr>
            <w:tcW w:w="5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Construction-in-progress</w:t>
            </w:r>
          </w:p>
        </w:tc>
        <w:tc>
          <w:tcPr>
            <w:tcW w:w="10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6,036</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956</w:t>
            </w:r>
          </w:p>
        </w:tc>
        <w:tc>
          <w:tcPr>
            <w:tcW w:w="140" w:type="dxa"/>
            <w:vAlign w:val="bottom"/>
            <w:tcBorders>
              <w:bottom w:val="single" w:sz="8" w:color="CCEEFF"/>
            </w:tcBorders>
          </w:tcPr>
          <w:p>
            <w:pPr>
              <w:spacing w:after="0"/>
              <w:rPr>
                <w:sz w:val="17"/>
                <w:szCs w:val="17"/>
                <w:color w:val="auto"/>
              </w:rPr>
            </w:pPr>
          </w:p>
        </w:tc>
      </w:tr>
      <w:tr>
        <w:trPr>
          <w:trHeight w:val="196"/>
        </w:trPr>
        <w:tc>
          <w:tcPr>
            <w:tcW w:w="5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44,484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38,282</w:t>
            </w:r>
          </w:p>
        </w:tc>
        <w:tc>
          <w:tcPr>
            <w:tcW w:w="14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(10,959)</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(8,655)</w:t>
            </w:r>
          </w:p>
        </w:tc>
      </w:tr>
      <w:tr>
        <w:trPr>
          <w:trHeight w:val="196"/>
        </w:trPr>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33,525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Property, plant and equipment are recorded at historical cost, net of accumulated depreciation. For the three and six months ended June 30, 2019, depreciation expense totaled $1.2 million and $2.4 million, respectively, compared to $1.1 million and $1.9 million, respectively, for the three and six months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research and development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44,905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36,213</w:t>
            </w:r>
          </w:p>
        </w:tc>
        <w:tc>
          <w:tcPr>
            <w:tcW w:w="120" w:type="dxa"/>
            <w:vAlign w:val="bottom"/>
            <w:shd w:val="clear" w:color="auto" w:fill="CCEEFF"/>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Employee compensation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19"/>
                <w:szCs w:val="19"/>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4,423</w:t>
            </w:r>
          </w:p>
        </w:tc>
        <w:tc>
          <w:tcPr>
            <w:tcW w:w="120" w:type="dxa"/>
            <w:vAlign w:val="bottom"/>
            <w:shd w:val="clear" w:color="auto" w:fill="CCEEFF"/>
          </w:tcPr>
          <w:p>
            <w:pPr>
              <w:spacing w:after="0"/>
              <w:rPr>
                <w:sz w:val="17"/>
                <w:szCs w:val="17"/>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Property and equipment costs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912</w:t>
            </w:r>
          </w:p>
        </w:tc>
        <w:tc>
          <w:tcPr>
            <w:tcW w:w="120" w:type="dxa"/>
            <w:vAlign w:val="bottom"/>
          </w:tcPr>
          <w:p>
            <w:pPr>
              <w:spacing w:after="0"/>
              <w:rPr>
                <w:sz w:val="17"/>
                <w:szCs w:val="17"/>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7"/>
                <w:szCs w:val="17"/>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64,126</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51,711</w:t>
            </w:r>
          </w:p>
        </w:tc>
        <w:tc>
          <w:tcPr>
            <w:tcW w:w="12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On June 1, 2018, the Company entered into a Collaboration and License Agreement (the CStone agreement) with CStone pursuant to which the Company granted CStone exclusive rights to develop and commercialize the Company’s drug candidates avapritinib, fisogatinib (formerly known as BLU-554) and pralsetinib (formerly known as BLU-667), including back-up forms and certain other forms thereof, in Mainland China, Hong Kong, Macau and Taiwan (each, a CStone region and collectively, the CStone territory), either as a monotherapy or as part of a combination therapy. The Company will retain exclusive rights to the licensed products outside the CStone territory.</w:t>
      </w:r>
    </w:p>
    <w:p>
      <w:pPr>
        <w:spacing w:after="0" w:line="1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The Company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fisogatinib in combination with CS1001, a clinical stage anti-programmed death ligand-1 immunotherapy being developed by CStone, as a first-line therapy for the treatment of patients with hepatocellular carcinoma.</w:t>
      </w:r>
    </w:p>
    <w:p>
      <w:pPr>
        <w:spacing w:after="0" w:line="19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74"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 Accordingly, the Company recorded a reduction of expenses of $0.4 million and $1.1 million for the three and six months ended June 30, 2019, respectively.</w:t>
      </w:r>
    </w:p>
    <w:p>
      <w:pPr>
        <w:spacing w:after="0" w:line="17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During the three months ended June 30, 2019, the Company recognized revenue of $0.1 million associated with development clinical supply provided to CStone to conduct its territory-specific activities.</w:t>
      </w:r>
    </w:p>
    <w:p>
      <w:pPr>
        <w:spacing w:after="0" w:line="191" w:lineRule="exact"/>
        <w:rPr>
          <w:sz w:val="20"/>
          <w:szCs w:val="20"/>
          <w:color w:val="auto"/>
        </w:rPr>
      </w:pPr>
    </w:p>
    <w:p>
      <w:pPr>
        <w:jc w:val="both"/>
        <w:ind w:right="380"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firstLine="648"/>
        <w:spacing w:after="0" w:line="243" w:lineRule="auto"/>
        <w:rPr>
          <w:sz w:val="20"/>
          <w:szCs w:val="20"/>
          <w:color w:val="auto"/>
        </w:rPr>
      </w:pPr>
      <w:r>
        <w:rPr>
          <w:rFonts w:ascii="Arial" w:cs="Arial" w:eastAsia="Arial" w:hAnsi="Arial"/>
          <w:sz w:val="18"/>
          <w:szCs w:val="18"/>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8"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In June 2019, the achievement of a $4.0 million development and regulatory milestone became probable and the associated consideration was added to the estimated transaction price of the CStone agreement. Accordingly, the Company recognized the $4.0 million development and regulatory milestone payment as revenue during the three months ended June 30, 2019.</w:t>
      </w:r>
    </w:p>
    <w:p>
      <w:pPr>
        <w:spacing w:after="0" w:line="18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There was no revenue deferred as a contract liability associated with the CStone agreement as of June 30, 2019 and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9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9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82" w:lineRule="exact"/>
        <w:rPr>
          <w:sz w:val="20"/>
          <w:szCs w:val="20"/>
          <w:color w:val="auto"/>
        </w:rPr>
      </w:pPr>
    </w:p>
    <w:p>
      <w:pPr>
        <w:ind w:right="200" w:firstLine="648"/>
        <w:spacing w:after="0" w:line="254" w:lineRule="auto"/>
        <w:rPr>
          <w:sz w:val="20"/>
          <w:szCs w:val="20"/>
          <w:color w:val="auto"/>
        </w:rPr>
      </w:pPr>
      <w:r>
        <w:rPr>
          <w:rFonts w:ascii="Arial" w:cs="Arial" w:eastAsia="Arial" w:hAnsi="Arial"/>
          <w:sz w:val="17"/>
          <w:szCs w:val="17"/>
          <w:color w:val="auto"/>
        </w:rPr>
        <w:t>The Company received an upfront cash payment of $45.0 million in March 2016 upon execution of the Roche agreement, and subject to the terms of the Roche agreement, the Company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June 2018, the Company achieved and received a $10.0 million research milestone payment.</w:t>
      </w:r>
    </w:p>
    <w:p>
      <w:pPr>
        <w:spacing w:after="0" w:line="182"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72"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76"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8"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77"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In June 2018, the Company achieved and received a $10.0 million research milestone payment related to the Roche agreement, and it became probable that a significant reversal of cumulative revenue would not occur for the $10.0 million research milestone achieved. At such time, the associated consideration was added to the estimated transaction price and allocated to the existing performance obligation.</w:t>
      </w:r>
    </w:p>
    <w:p>
      <w:pPr>
        <w:spacing w:after="0" w:line="188" w:lineRule="exact"/>
        <w:rPr>
          <w:sz w:val="20"/>
          <w:szCs w:val="20"/>
          <w:color w:val="auto"/>
        </w:rPr>
      </w:pPr>
    </w:p>
    <w:p>
      <w:pPr>
        <w:jc w:val="both"/>
        <w:ind w:right="400" w:firstLine="648"/>
        <w:spacing w:after="0" w:line="279" w:lineRule="auto"/>
        <w:rPr>
          <w:sz w:val="20"/>
          <w:szCs w:val="20"/>
          <w:color w:val="auto"/>
        </w:rPr>
      </w:pPr>
      <w:r>
        <w:rPr>
          <w:rFonts w:ascii="Arial" w:cs="Arial" w:eastAsia="Arial" w:hAnsi="Arial"/>
          <w:sz w:val="16"/>
          <w:szCs w:val="16"/>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w:t>
      </w:r>
    </w:p>
    <w:p>
      <w:pPr>
        <w:sectPr>
          <w:pgSz w:w="11900" w:h="16838" w:orient="portrait"/>
          <w:cols w:equalWidth="0" w:num="1">
            <w:col w:w="9040"/>
          </w:cols>
          <w:pgMar w:left="1420" w:top="517" w:right="14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a contract liability on the Company’s consolidated balance sheet, and will be recognized over the remaining research and development period until the performance obligation is satisfied.</w:t>
      </w:r>
    </w:p>
    <w:p>
      <w:pPr>
        <w:spacing w:after="0" w:line="210"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During the three and six months ended June 30, 2019, there has been no significant changes in the costs expected to be incurred in the future to satisfy the performance obligation, and the Company recognized revenue of $1.0 million and $1.7 million under the Roche collaboration, respectively. During the six months ended June 30, 2019, $2.0 million was recognized as a result of the change in the contract liability balances as of December 31, 2018. As of June 30, 2019, the Company had revenue deferred as a contract liability related to the Roche agreement of $44.5 million, of which $4.4 million was included in current liabilities, and the research and development services related to the performance obligation are expected to be performed over a remaining period of approximately six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2019, the number of shares reserved for issuance under the 2015 Plan was increased by 1,761,481 shares. In addition, the total number of shares reserved for issuance is subject to adjustment in the event of a stock split, stock dividend or other change in the Company’s capitalization. At June 30, 2019, there were 1,951,695 shares available for future grant under the 2015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 activity for the six months ended June 30,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2018</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4,557,800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44.64</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1,401,360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(349,738)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Canceled</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(102,555)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65.67</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June 30, 2019</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5,506,867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55.47</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2019</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gridSpan w:val="2"/>
            <w:vMerge w:val="continue"/>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2,353,084</w:t>
            </w:r>
          </w:p>
        </w:tc>
        <w:tc>
          <w:tcPr>
            <w:tcW w:w="16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33.22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324" w:lineRule="auto"/>
        <w:rPr>
          <w:sz w:val="20"/>
          <w:szCs w:val="20"/>
          <w:color w:val="auto"/>
        </w:rPr>
      </w:pPr>
      <w:r>
        <w:rPr>
          <w:rFonts w:ascii="Arial" w:cs="Arial" w:eastAsia="Arial" w:hAnsi="Arial"/>
          <w:sz w:val="16"/>
          <w:szCs w:val="16"/>
          <w:color w:val="auto"/>
        </w:rPr>
        <w:t>At June 30, 2019, the total unrecognized compensation expense related to unvested stock option awards was $135.7 million, which is expected to be recognized over a weighted-average period of approximately 2.91 years.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restricted stock units activity for the six months ended June 30, 2019:</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Weighted-Average</w:t>
            </w:r>
          </w:p>
        </w:tc>
      </w:tr>
      <w:tr>
        <w:trPr>
          <w:trHeight w:val="203"/>
        </w:trPr>
        <w:tc>
          <w:tcPr>
            <w:tcW w:w="6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5"/>
              </w:rPr>
              <w:t>Grant Date</w:t>
            </w:r>
          </w:p>
        </w:tc>
      </w:tr>
      <w:tr>
        <w:trPr>
          <w:trHeight w:val="221"/>
        </w:trPr>
        <w:tc>
          <w:tcPr>
            <w:tcW w:w="63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shares at December 31, 2018</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36,868</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296,247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84.82</w:t>
            </w:r>
          </w:p>
        </w:tc>
        <w:tc>
          <w:tcPr>
            <w:tcW w:w="80" w:type="dxa"/>
            <w:vAlign w:val="bottom"/>
          </w:tcPr>
          <w:p>
            <w:pPr>
              <w:spacing w:after="0"/>
              <w:rPr>
                <w:sz w:val="17"/>
                <w:szCs w:val="17"/>
                <w:color w:val="auto"/>
              </w:rPr>
            </w:pPr>
          </w:p>
        </w:tc>
      </w:tr>
      <w:tr>
        <w:trPr>
          <w:trHeight w:val="203"/>
        </w:trPr>
        <w:tc>
          <w:tcPr>
            <w:tcW w:w="6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(9,261)</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80.53</w:t>
            </w:r>
          </w:p>
        </w:tc>
        <w:tc>
          <w:tcPr>
            <w:tcW w:w="80" w:type="dxa"/>
            <w:vAlign w:val="bottom"/>
          </w:tcPr>
          <w:p>
            <w:pPr>
              <w:spacing w:after="0"/>
              <w:rPr>
                <w:sz w:val="17"/>
                <w:szCs w:val="17"/>
                <w:color w:val="auto"/>
              </w:rPr>
            </w:pPr>
          </w:p>
        </w:tc>
      </w:tr>
      <w:tr>
        <w:trPr>
          <w:trHeight w:val="196"/>
        </w:trPr>
        <w:tc>
          <w:tcPr>
            <w:tcW w:w="6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shares at June 30, 2019</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323,854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20" w:right="540" w:firstLine="648"/>
        <w:spacing w:after="0" w:line="324" w:lineRule="auto"/>
        <w:rPr>
          <w:sz w:val="20"/>
          <w:szCs w:val="20"/>
          <w:color w:val="auto"/>
        </w:rPr>
      </w:pPr>
      <w:r>
        <w:rPr>
          <w:rFonts w:ascii="Arial" w:cs="Arial" w:eastAsia="Arial" w:hAnsi="Arial"/>
          <w:sz w:val="16"/>
          <w:szCs w:val="16"/>
          <w:color w:val="auto"/>
        </w:rPr>
        <w:t>At June 30, 2019, the total unrecognized compensation expense related to unvested restricted stock units was $24.5 million, which is expected to be recognize over a weighted-average period of approximately 3.55 years.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20" w:right="60" w:firstLine="648"/>
        <w:spacing w:after="0" w:line="272" w:lineRule="auto"/>
        <w:rPr>
          <w:sz w:val="20"/>
          <w:szCs w:val="20"/>
          <w:color w:val="auto"/>
        </w:rPr>
      </w:pPr>
      <w:r>
        <w:rPr>
          <w:rFonts w:ascii="Arial" w:cs="Arial" w:eastAsia="Arial" w:hAnsi="Arial"/>
          <w:sz w:val="16"/>
          <w:szCs w:val="16"/>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2019, the number of shares reserved for issuance under the 2015 ESPP was increased by 440,370 shares. The Company issued 10,718 and 5,572 shares under the 2015 ESPP during the six months ended June 30, 2019 and 2018, respectively.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20" w:firstLine="648"/>
        <w:spacing w:after="0" w:line="241" w:lineRule="auto"/>
        <w:rPr>
          <w:sz w:val="20"/>
          <w:szCs w:val="20"/>
          <w:color w:val="auto"/>
        </w:rPr>
      </w:pPr>
      <w:r>
        <w:rPr>
          <w:rFonts w:ascii="Arial" w:cs="Arial" w:eastAsia="Arial" w:hAnsi="Arial"/>
          <w:sz w:val="18"/>
          <w:szCs w:val="18"/>
          <w:color w:val="auto"/>
        </w:rPr>
        <w:t>The Company recognized stock-based compensation expense totaling $13.7 million and $24.0 million for the three and six months ended June 30, 2019, respectively. The Company recognized stock-based compensation expense totaling $7.8 million and $13.3 million for the three and six months ended June 30, 2018, respectively. Stock-based compensation expense by award type included within the unaudited condensed consolidated statements of operations and comprehensive loss was as follows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5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9"/>
                <w:szCs w:val="19"/>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12,016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21,595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13,190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196"/>
        </w:trPr>
        <w:tc>
          <w:tcPr>
            <w:tcW w:w="5560" w:type="dxa"/>
            <w:vAlign w:val="bottom"/>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7,761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23,961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center"/>
              <w:ind w:right="11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13,311</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0" w:right="340" w:firstLine="648"/>
        <w:spacing w:after="0" w:line="262" w:lineRule="auto"/>
        <w:rPr>
          <w:sz w:val="20"/>
          <w:szCs w:val="20"/>
          <w:color w:val="auto"/>
        </w:rPr>
      </w:pPr>
      <w:r>
        <w:rPr>
          <w:rFonts w:ascii="Arial" w:cs="Arial" w:eastAsia="Arial" w:hAnsi="Arial"/>
          <w:sz w:val="18"/>
          <w:szCs w:val="18"/>
          <w:color w:val="auto"/>
        </w:rPr>
        <w:t>Stock-based compensation expense by classification within the unaudited condensed consolidated statements of operations and comprehensive loss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13,293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7,284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10,668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6,027</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13,666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23,961</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13,311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40" w:type="dxa"/>
            <w:vAlign w:val="bottom"/>
            <w:vMerge w:val="restart"/>
          </w:tcPr>
          <w:p>
            <w:pPr>
              <w:jc w:val="right"/>
              <w:ind w:right="8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1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91"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98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30,</w:t>
            </w: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5,506,867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4,335,355</w:t>
            </w:r>
          </w:p>
        </w:tc>
      </w:tr>
      <w:tr>
        <w:trPr>
          <w:trHeight w:val="203"/>
        </w:trPr>
        <w:tc>
          <w:tcPr>
            <w:tcW w:w="2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323,854</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ESPP shares</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11,641</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6,398</w:t>
            </w:r>
          </w:p>
        </w:tc>
      </w:tr>
      <w:tr>
        <w:trPr>
          <w:trHeight w:val="210"/>
        </w:trPr>
        <w:tc>
          <w:tcPr>
            <w:tcW w:w="7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5,842,362</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4,341,753</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weighted average number of common shares used in net loss per share on a basic and diluted basis were 48,842,847 and 43,856,352 for the three months ended June 30, 2019 and 2018, respectively. The weighted average number of common shares used in net loss per share on a basic and diluted basis were 46,457,922 and 43,778,720 for the six months ended June 30,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Sidney Street</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lease provided the Company with an allowance for leasehold improvements of $4.3 million.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$1.3 million, of which $0.2 million was released in February 2018 and February 2019, respectively. The remaining $0.9 million is recorded in restricted cash on the Company’s condensed consolidated balance sheet as of June 30, 2019.</w:t>
      </w:r>
    </w:p>
    <w:p>
      <w:pPr>
        <w:spacing w:after="0" w:line="17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 As of June 30, 2019, the minimum sublease rental commitment by the sublessee was $4.2 million.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45 Sidney Street</w:t>
      </w:r>
    </w:p>
    <w:p>
      <w:pPr>
        <w:spacing w:after="0" w:line="21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74"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During the initial term of the lease agreement, the Company has agreed to pay an initial annual base rent of approximately $7.7 million, which increases annually until it reaches approximately $10.6 million in the last year of the initial term. The lease provided the Company with a tenant improvement allowance of approximately $14.2 million for improvements to be made to the premises.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$3.5 million, which is recorded in restricted cash on the Company’s condensed consolidated balance sheet as of June 30, 2019.</w:t>
      </w:r>
    </w:p>
    <w:p>
      <w:pPr>
        <w:spacing w:after="0" w:line="170" w:lineRule="exact"/>
        <w:rPr>
          <w:sz w:val="20"/>
          <w:szCs w:val="20"/>
          <w:color w:val="auto"/>
        </w:rPr>
      </w:pPr>
    </w:p>
    <w:p>
      <w:pPr>
        <w:ind w:right="460" w:firstLine="648"/>
        <w:spacing w:after="0" w:line="279" w:lineRule="auto"/>
        <w:rPr>
          <w:sz w:val="20"/>
          <w:szCs w:val="20"/>
          <w:color w:val="auto"/>
        </w:rPr>
      </w:pPr>
      <w:r>
        <w:rPr>
          <w:rFonts w:ascii="Arial" w:cs="Arial" w:eastAsia="Arial" w:hAnsi="Arial"/>
          <w:sz w:val="16"/>
          <w:szCs w:val="16"/>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rent commencement date for the expansion premises was July 1, 2019.</w:t>
      </w:r>
    </w:p>
    <w:p>
      <w:pPr>
        <w:spacing w:after="0" w:line="16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6"/>
          <w:szCs w:val="16"/>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condensed consolidated balance sheet as of June 30, 2019.</w:t>
      </w:r>
    </w:p>
    <w:p>
      <w:pPr>
        <w:spacing w:after="0" w:line="162" w:lineRule="exact"/>
        <w:rPr>
          <w:sz w:val="20"/>
          <w:szCs w:val="20"/>
          <w:color w:val="auto"/>
        </w:rPr>
      </w:pPr>
    </w:p>
    <w:p>
      <w:pPr>
        <w:ind w:right="220" w:firstLine="690"/>
        <w:spacing w:after="0" w:line="262" w:lineRule="auto"/>
        <w:rPr>
          <w:sz w:val="20"/>
          <w:szCs w:val="20"/>
          <w:color w:val="auto"/>
        </w:rPr>
      </w:pPr>
      <w:r>
        <w:rPr>
          <w:rFonts w:ascii="Arial" w:cs="Arial" w:eastAsia="Arial" w:hAnsi="Arial"/>
          <w:sz w:val="18"/>
          <w:szCs w:val="18"/>
          <w:color w:val="auto"/>
        </w:rPr>
        <w:t>The lease agreements do not contain residual value guarantees and the components of lease cost for the three and six months ended June 30, 2019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 June 30,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5"/>
        </w:trPr>
        <w:tc>
          <w:tcPr>
            <w:tcW w:w="6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 cost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4,126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(708)</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For the three and six months ended June 30, 2018, rent expenses under ASC 840, net of sublease income, was $1.7 million and $3.9 million,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not entered into any material short-term leases or financing leases as of June 30,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Supplemental cash flow information related to leases for the three and six months ended June 30, 2019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Ended June 30,</w:t>
            </w:r>
          </w:p>
        </w:tc>
        <w:tc>
          <w:tcPr>
            <w:tcW w:w="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5"/>
        </w:trPr>
        <w:tc>
          <w:tcPr>
            <w:tcW w:w="6380" w:type="dxa"/>
            <w:vAlign w:val="bottom"/>
            <w:vMerge w:val="restart"/>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196"/>
        </w:trPr>
        <w:tc>
          <w:tcPr>
            <w:tcW w:w="6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2,621</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405"/>
        </w:trPr>
        <w:tc>
          <w:tcPr>
            <w:tcW w:w="638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404"/>
        </w:trPr>
        <w:tc>
          <w:tcPr>
            <w:tcW w:w="9060" w:type="dxa"/>
            <w:vAlign w:val="bottom"/>
            <w:gridSpan w:val="6"/>
          </w:tcPr>
          <w:p>
            <w:pPr>
              <w:ind w:left="660"/>
              <w:spacing w:after="0"/>
              <w:rPr>
                <w:sz w:val="20"/>
                <w:szCs w:val="20"/>
                <w:color w:val="auto"/>
              </w:rPr>
            </w:pPr>
            <w:r>
              <w:rPr>
                <w:rFonts w:ascii="Arial" w:cs="Arial" w:eastAsia="Arial" w:hAnsi="Arial"/>
                <w:sz w:val="18"/>
                <w:szCs w:val="18"/>
                <w:color w:val="auto"/>
                <w:w w:val="94"/>
              </w:rPr>
              <w:t>The weighted average remaining lease term and weighted average discount rate of the operating leases are as</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Operating leases</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non-cancellable leases as of June 30, 2019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6 months ended June 30,2019)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14,341</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14,764</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14,719</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12,746</w:t>
            </w:r>
          </w:p>
        </w:tc>
      </w:tr>
      <w:tr>
        <w:trPr>
          <w:trHeight w:val="203"/>
        </w:trPr>
        <w:tc>
          <w:tcPr>
            <w:tcW w:w="8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83,471</w:t>
            </w:r>
          </w:p>
        </w:tc>
      </w:tr>
      <w:tr>
        <w:trPr>
          <w:trHeight w:val="196"/>
        </w:trPr>
        <w:tc>
          <w:tcPr>
            <w:tcW w:w="806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future minimum lease payments (1)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147,047</w:t>
            </w:r>
          </w:p>
        </w:tc>
      </w:tr>
      <w:tr>
        <w:trPr>
          <w:trHeight w:val="203"/>
        </w:trPr>
        <w:tc>
          <w:tcPr>
            <w:tcW w:w="8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(48,044)</w:t>
            </w:r>
          </w:p>
        </w:tc>
      </w:tr>
      <w:tr>
        <w:trPr>
          <w:trHeight w:val="196"/>
        </w:trPr>
        <w:tc>
          <w:tcPr>
            <w:tcW w:w="8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99,003</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80" w:right="240" w:hanging="320"/>
        <w:spacing w:after="0" w:line="257"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$3.8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spacing w:after="0" w:line="298"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Under the prior lease guidance minimum rental commitments under non-cancelable leases for each of the next five years and total thereafter as of December 31, 2018,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14,341</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14,764</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14,719</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12,746</w:t>
            </w:r>
          </w:p>
        </w:tc>
      </w:tr>
      <w:tr>
        <w:trPr>
          <w:trHeight w:val="203"/>
        </w:trPr>
        <w:tc>
          <w:tcPr>
            <w:tcW w:w="8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83,471</w:t>
            </w:r>
          </w:p>
        </w:tc>
      </w:tr>
      <w:tr>
        <w:trPr>
          <w:trHeight w:val="196"/>
        </w:trPr>
        <w:tc>
          <w:tcPr>
            <w:tcW w:w="806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minimum lease payments (1)</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152,288</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80" w:right="240" w:hanging="320"/>
        <w:spacing w:after="0" w:line="257" w:lineRule="auto"/>
        <w:tabs>
          <w:tab w:leader="none" w:pos="680" w:val="left"/>
        </w:tabs>
        <w:numPr>
          <w:ilvl w:val="1"/>
          <w:numId w:val="7"/>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$5.3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spacing w:after="0" w:line="320" w:lineRule="exact"/>
        <w:rPr>
          <w:rFonts w:ascii="Arial" w:cs="Arial" w:eastAsia="Arial" w:hAnsi="Arial"/>
          <w:sz w:val="14"/>
          <w:szCs w:val="14"/>
          <w:color w:val="auto"/>
        </w:rPr>
      </w:pPr>
    </w:p>
    <w:p>
      <w:pPr>
        <w:ind w:left="280" w:hanging="271"/>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1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 xml:space="preserve">The Company has no other commitments other than the minimum lease payments commitment as disclosed in Note 11,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6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unaudited consolidated financial statements and related notes thereto and management’s discussion and analysis of financial condition and results of operations included in our Annual Report on Form 10-K for the year ended December 31, 2018, filed with the Securities and Exchange Commission, or the SEC, on February 26, 2019. Some of the information contained in this discussion and analysis or set forth elsewhere in this Quarterly Report on Form</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6"/>
          <w:szCs w:val="16"/>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Our most advanced drug candidates are avapritinib, pralsetinib (formerly known as BLU-667), fisogatinib (formerly known as BLU-554) and BLU-782.</w:t>
      </w:r>
    </w:p>
    <w:p>
      <w:pPr>
        <w:spacing w:after="0" w:line="169"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Our lead drug candidate, 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and SM is a rare disorder that causes an overproduction of mast cells and the accumulation of mast cells in the bone marrow and other organs, which can lead to a wide range of debilitating symptoms and organ dysfunction and failure.</w:t>
      </w:r>
    </w:p>
    <w:p>
      <w:pPr>
        <w:spacing w:after="0" w:line="176" w:lineRule="exact"/>
        <w:rPr>
          <w:sz w:val="20"/>
          <w:szCs w:val="20"/>
          <w:color w:val="auto"/>
        </w:rPr>
      </w:pPr>
    </w:p>
    <w:p>
      <w:pPr>
        <w:ind w:right="100" w:firstLine="648"/>
        <w:spacing w:after="0" w:line="268" w:lineRule="auto"/>
        <w:rPr>
          <w:sz w:val="20"/>
          <w:szCs w:val="20"/>
          <w:color w:val="auto"/>
        </w:rPr>
      </w:pPr>
      <w:r>
        <w:rPr>
          <w:rFonts w:ascii="Arial" w:cs="Arial" w:eastAsia="Arial" w:hAnsi="Arial"/>
          <w:sz w:val="16"/>
          <w:szCs w:val="16"/>
          <w:color w:val="auto"/>
        </w:rPr>
        <w:t>In June 2019, we submitted a new drug application, or NDA, to the U.S. Food and Drug Administration, or FDA, for avapritinib for the treatment of adult patients with PDGFRA Exon 18 mutant GIST and fourth-line GIST. If the NDA is approved by the FDA, we plan to submit a supplemental NDA to the FDA for the treatment of third-line GIST in 2020. In July 2019, the European Medicines Agency validated our marketing authorization application, or MAA, for avapritinib for the treatment of adult patients with PDGFRa D842V mutant GIST and fourth-line GIST. Validation of the MAA confirms that the application is sufficiently complete to begin the formal review process. We plan to submit an NDA to the FDA for avapritinib for the treatment of advanced SM in the first quarter of 2020, subject to continued discussions with the FDA regarding the data required to support an NDA submission. The FDA has granted orphan drug designation to avapritinib for the treatment of GIST and the treatment of mastocytosis, and the European Commission has granted orphan medicinal product designation to avapritinib for the treatment of GIST and the treatment of mastocytosis. The FDA has granted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 and to avapritinib for the treatment of advanced SM, including the subtypes of aggressive SM, SM with an associated hematologic neoplasm and mast cell leukemia.</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We are currently evaluating avapritinib for the treatment of GIST in an ongoing Phase 1 clinical trial in advanced GIST, which we refer to as our NAVIGATOR trial, and an ongoing global, randomized Phase 3 clinical trial comparing avapritinib to regorafenib in third-line GIST, which we refer to as our VOYAGER trial. We have completed enrollment of the NAVIGATOR trial, and in June 2019, we reported updated data from the NAVIGATOR trial at the 2019 American Society of Clinical Oncology, or ASCO, Annual Meeting. In July 2019, as part of our collaboration with</w:t>
      </w:r>
    </w:p>
    <w:p>
      <w:pPr>
        <w:sectPr>
          <w:pgSz w:w="11900" w:h="16838" w:orient="portrait"/>
          <w:cols w:equalWidth="0" w:num="1">
            <w:col w:w="9060"/>
          </w:cols>
          <w:pgMar w:left="1420" w:top="517" w:right="141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CStone Pharmaceuticals, or CStone, we dosed the first patient in China in our ongoing VOYAGER trial, and we expect to complete global enrollment of the VOYAGER trial in the second half of 2019. In addition, we plan to initiate a Phase 3 precision medicine trial in second-line GIST in the second half of 2019, which we refer to as our COMPASS-2L trial.</w:t>
      </w:r>
    </w:p>
    <w:p>
      <w:pPr>
        <w:spacing w:after="0" w:line="148"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In addition, we are currently evaluating avapritinib for the treatment of SM in an ongoing Phase 1 clinical trial in advanced SM, which we refer to as our EXPLORER trial, an ongoing registration-enabling Phase 2 clinical trial in advanced SM, which we refer to as our PATHFINDER trial, and an ongoing registration-enabling Phase 2 clinical trial in indolent and smoldering SM, which we refer to as our PIONEER trial. In June 2019, we reported updated data from the EXPLORER trial in advanced SM at the 24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Congress of the European Hematology Association. We expect to complete the dose-finding portion of the PIONEER trial and plan to present initial data from the PIONEER trial in indolent and smoldering SM in the fourth quarter of 2019. We expect to complete enrollment of the PATHFINDER trial in the second half of 2019.</w:t>
      </w:r>
    </w:p>
    <w:p>
      <w:pPr>
        <w:spacing w:after="0" w:line="179"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 xml:space="preserve">Pralsetinib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 We are currently evaluating pralsetinib in an ongoing Phase 1/2 clinical trial in patients with RET-altered NSCLC, MTC and other advanced solid tumors, which we refer to as our ARROW trial. In June 2019, we reported updated RET-fusion NSCLC data and RET-mutant data at the 2019 ASCO Annual Meeting. We plan to submit an NDA to the FDA for pralsetinib for the treatment of patients with RET-fusion NSCLC previously treated with platinum-based chemotherapy in the first quarter of 2020, and we plan to submit an NDA to the FDA for pralsetinib for the treatment of patients with RET-mutant MTC previously treated with an approved multi-kinase inhibitor in the first half of 2020. In addition, in September 2018, we presented two clinical cases demonstrating proof-of-concept for pralsetinib in combination with osimertinib (Tagrisso®) in treatment-resistant, EGFR-mutant NSCLC at the International Association for the Study of Lung Cancer 19th World Conference on Lung Cancer and published online in </w:t>
      </w:r>
      <w:r>
        <w:rPr>
          <w:rFonts w:ascii="Arial" w:cs="Arial" w:eastAsia="Arial" w:hAnsi="Arial"/>
          <w:sz w:val="17"/>
          <w:szCs w:val="17"/>
          <w:i w:val="1"/>
          <w:iCs w:val="1"/>
          <w:color w:val="auto"/>
        </w:rPr>
        <w:t>Cancer Discovery</w:t>
      </w:r>
      <w:r>
        <w:rPr>
          <w:rFonts w:ascii="Arial" w:cs="Arial" w:eastAsia="Arial" w:hAnsi="Arial"/>
          <w:sz w:val="17"/>
          <w:szCs w:val="17"/>
          <w:color w:val="auto"/>
        </w:rPr>
        <w:t>. In the second half of 2019, we plan to initiate a Phase 3 clinical trial evaluating pralsetinib in first-line RET-fusion NSCLC and plan to initiate a Phase 2 clinical trial evaluating pralsetinib in combination with osimertinib in treatment-resistant, EGFR-mutant NSCLC harboring an acquired RET fusion. 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19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Fisogatinib is an orally available, potent and highly selective inhibitor that targets FGFR4, a kinase that is aberrantly activated in a defined subset of patients with hepatocellular carcinoma, or HCC, the most common type of liver cancer. We are currently evaluating fisogatinib in an ongoing Phase 1 clinical trial in patients with advanced HCC. In May 2019, as part of the collaboration with CStone, we dosed the first patient in China in our ongoing Phase 1 trial of fisogatinib in advanced HCC. In the second quarter of 2019, the China National Medicinal Products Administration approved a clinical trial application for a proof-of-concept clinical trial evaluating fisogatinib in combination with CS1001, a clinical stage anti-programmed death ligand-1 immunotherapy being developed by CStone, as a first-line therapy for the treatment of patients with HCC, and we and CStone plan to initiate this clinical trial in the second half of 2019. The FDA has granted orphan drug designation to BLU-554 for the treatment of HCC.</w:t>
      </w:r>
    </w:p>
    <w:p>
      <w:pPr>
        <w:spacing w:after="0" w:line="177"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BLU-782 is an orally available, potent and highly selective inhibitor that targets mutant activin-like kinase 2, or ALK2. We are developing BLU-782 for the treatment of fibrodysplasia ossificans progressiva, or FOP, a rare, severely disabling genetic disease caused by mutations in the ALK2 gene, ACVR1. FOP is characterized by progressive heterotopic ossification, which is the abnormal transformation of muscle, ligaments and tendons into bone. Heterotopic ossification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Currently, there are no approved therapies for FOP. In October 2018, we presented foundational pre-clinical data for our FOP program at the 2018 American Society for Bone and Mineral Research Annual Meeting, and we initiated a Phase 1 clinical trial in healthy volunteers in the first quarter of 2019. We plan to initiate a Phase 2 clinical trial of BLU-782 in patients with FOP in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spacing w:after="0" w:line="262" w:lineRule="auto"/>
        <w:rPr>
          <w:sz w:val="20"/>
          <w:szCs w:val="20"/>
          <w:color w:val="auto"/>
        </w:rPr>
      </w:pPr>
      <w:r>
        <w:rPr>
          <w:rFonts w:ascii="Arial" w:cs="Arial" w:eastAsia="Arial" w:hAnsi="Arial"/>
          <w:sz w:val="18"/>
          <w:szCs w:val="18"/>
          <w:color w:val="auto"/>
        </w:rPr>
        <w:t>fourth quarter of 2019. The FDA has granted fast track designation to BLU-782 for the prevention of heterotopic ossification in patients with FOP.</w:t>
      </w:r>
    </w:p>
    <w:p>
      <w:pPr>
        <w:spacing w:after="0" w:line="169" w:lineRule="exact"/>
        <w:rPr>
          <w:sz w:val="20"/>
          <w:szCs w:val="20"/>
          <w:color w:val="auto"/>
        </w:rPr>
      </w:pPr>
    </w:p>
    <w:p>
      <w:pPr>
        <w:ind w:right="39" w:firstLine="648"/>
        <w:spacing w:after="0" w:line="263" w:lineRule="auto"/>
        <w:rPr>
          <w:sz w:val="20"/>
          <w:szCs w:val="20"/>
          <w:color w:val="auto"/>
        </w:rPr>
      </w:pPr>
      <w:r>
        <w:rPr>
          <w:rFonts w:ascii="Arial" w:cs="Arial" w:eastAsia="Arial" w:hAnsi="Arial"/>
          <w:sz w:val="17"/>
          <w:szCs w:val="17"/>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for undisclosed kinase targets, and we anticipate nominating at least one additional wholly-owned discovery program in 2019.</w:t>
      </w:r>
    </w:p>
    <w:p>
      <w:pPr>
        <w:spacing w:after="0" w:line="170" w:lineRule="exact"/>
        <w:rPr>
          <w:sz w:val="20"/>
          <w:szCs w:val="20"/>
          <w:color w:val="auto"/>
        </w:rPr>
      </w:pPr>
    </w:p>
    <w:p>
      <w:pPr>
        <w:ind w:right="19" w:firstLine="648"/>
        <w:spacing w:after="0" w:line="253" w:lineRule="auto"/>
        <w:rPr>
          <w:sz w:val="20"/>
          <w:szCs w:val="20"/>
          <w:color w:val="auto"/>
        </w:rPr>
      </w:pPr>
      <w:r>
        <w:rPr>
          <w:rFonts w:ascii="Arial" w:cs="Arial" w:eastAsia="Arial" w:hAnsi="Arial"/>
          <w:sz w:val="17"/>
          <w:szCs w:val="17"/>
          <w:color w:val="auto"/>
        </w:rPr>
        <w:t>We entered into collaborations with F. Hoffmann La Roche Ltd and Hoffmann La Roche Inc., which we collectively refer to as Roche, and CStone in March 2016 and June 2018, respectively. Under our collaboration agreement with Roche, we are seeking to discover, develop and commercialize up to five small molecule therapeutics targeting kinases believed to be important in cancer immunotherapy, as single products or possibly in combination with other therapeutics. Under our collaboration agreement with CStone, we are seeking to develop and commercialize avapritinib, fisogatinib and pralsetinib, including back-up forms and certain other forms, in Mainland China, Hong Kong, Macau and Taiwan, or the CStone territory, either as a monotherapy or as part of a combination therapy.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1" w:lineRule="exact"/>
        <w:rPr>
          <w:sz w:val="20"/>
          <w:szCs w:val="20"/>
          <w:color w:val="auto"/>
        </w:rPr>
      </w:pPr>
    </w:p>
    <w:p>
      <w:pPr>
        <w:ind w:right="159" w:firstLine="648"/>
        <w:spacing w:after="0" w:line="243" w:lineRule="auto"/>
        <w:rPr>
          <w:sz w:val="20"/>
          <w:szCs w:val="20"/>
          <w:color w:val="auto"/>
        </w:rPr>
      </w:pPr>
      <w:r>
        <w:rPr>
          <w:rFonts w:ascii="Arial" w:cs="Arial" w:eastAsia="Arial" w:hAnsi="Arial"/>
          <w:sz w:val="18"/>
          <w:szCs w:val="18"/>
          <w:color w:val="auto"/>
        </w:rPr>
        <w:t>We currently have worldwide development and commercialization rights to avapritinib, pralsetinib and fisogatinib other than the rights licensed to CStone in the CStone territory. We currently have worldwide development and commercialization rights to BLU-782 and all of our discovery programs other than the discovery-stage programs under collaboration with Roche.</w:t>
      </w:r>
    </w:p>
    <w:p>
      <w:pPr>
        <w:spacing w:after="0" w:line="188" w:lineRule="exact"/>
        <w:rPr>
          <w:sz w:val="20"/>
          <w:szCs w:val="20"/>
          <w:color w:val="auto"/>
        </w:rPr>
      </w:pPr>
    </w:p>
    <w:p>
      <w:pPr>
        <w:ind w:right="39" w:firstLine="648"/>
        <w:spacing w:after="0" w:line="268"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stock, collaborations and a debt financing. Through June 30, 2019, we have received an aggregate of $1.5 billion from such transactions, including $1.2 billion in aggregate gross proceeds from the sale of common stock in our May 2015 initial public offering, or IPO, and December 2016, April 2017, December 2017 and April 2019 follow-on public offerings, $115.1 million in gross proceeds from the issuance of convertible preferred stock,</w:t>
      </w:r>
    </w:p>
    <w:p>
      <w:pPr>
        <w:spacing w:after="0" w:line="2" w:lineRule="exact"/>
        <w:rPr>
          <w:sz w:val="20"/>
          <w:szCs w:val="20"/>
          <w:color w:val="auto"/>
        </w:rPr>
      </w:pPr>
    </w:p>
    <w:p>
      <w:pPr>
        <w:ind w:right="99"/>
        <w:spacing w:after="0" w:line="284" w:lineRule="auto"/>
        <w:rPr>
          <w:sz w:val="20"/>
          <w:szCs w:val="20"/>
          <w:color w:val="auto"/>
        </w:rPr>
      </w:pPr>
      <w:r>
        <w:rPr>
          <w:rFonts w:ascii="Arial" w:cs="Arial" w:eastAsia="Arial" w:hAnsi="Arial"/>
          <w:sz w:val="16"/>
          <w:szCs w:val="16"/>
          <w:color w:val="auto"/>
        </w:rPr>
        <w:t>$18.8 million of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w:t>
      </w:r>
    </w:p>
    <w:p>
      <w:pPr>
        <w:spacing w:after="0" w:line="155" w:lineRule="exact"/>
        <w:rPr>
          <w:sz w:val="20"/>
          <w:szCs w:val="20"/>
          <w:color w:val="auto"/>
        </w:rPr>
      </w:pPr>
    </w:p>
    <w:p>
      <w:pPr>
        <w:ind w:right="19" w:firstLine="648"/>
        <w:spacing w:after="0" w:line="259" w:lineRule="auto"/>
        <w:rPr>
          <w:sz w:val="20"/>
          <w:szCs w:val="20"/>
          <w:color w:val="auto"/>
        </w:rPr>
      </w:pPr>
      <w:r>
        <w:rPr>
          <w:rFonts w:ascii="Arial" w:cs="Arial" w:eastAsia="Arial" w:hAnsi="Arial"/>
          <w:sz w:val="17"/>
          <w:szCs w:val="17"/>
          <w:color w:val="auto"/>
        </w:rPr>
        <w:t>Since inception, we have incurred significant operating losses. Our net losses were $187.1 million for the six months ended June 30, 2019 and $236.6 million, $148.1 million and $72.5 million for the years ended December 31, 2018, 2017 and 2016, respectively. As of June 30, 2019, we had an accumulated deficit of $784.6 million. We expect to continue to incur significant expenses and operating losses over the next several years. We anticipate that our expenses will increase significantly in connection with our ongoing activities, particularly as we:</w:t>
      </w:r>
    </w:p>
    <w:p>
      <w:pPr>
        <w:spacing w:after="0" w:line="174" w:lineRule="exact"/>
        <w:rPr>
          <w:sz w:val="20"/>
          <w:szCs w:val="20"/>
          <w:color w:val="auto"/>
        </w:rPr>
      </w:pPr>
    </w:p>
    <w:p>
      <w:pPr>
        <w:ind w:left="1340" w:right="239" w:hanging="331"/>
        <w:spacing w:after="0" w:line="324" w:lineRule="auto"/>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continue to advance and initiate clinical development activities for our lead drug candidates, avapritinib and pralsetinib, as well as our other most advanced drug candidates, fisogatinib and BLU-782;</w:t>
      </w:r>
    </w:p>
    <w:p>
      <w:pPr>
        <w:spacing w:after="0" w:line="124" w:lineRule="exact"/>
        <w:rPr>
          <w:rFonts w:ascii="Arial" w:cs="Arial" w:eastAsia="Arial" w:hAnsi="Arial"/>
          <w:sz w:val="16"/>
          <w:szCs w:val="16"/>
          <w:color w:val="auto"/>
        </w:rPr>
      </w:pPr>
    </w:p>
    <w:p>
      <w:pPr>
        <w:ind w:left="1340" w:right="499" w:hanging="331"/>
        <w:spacing w:after="0" w:line="248"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manufacture increasing quantities of the active pharmaceutical ingredient, or API, drug substance and drug product material for use in pre-clinical studies, clinical trials, compassionate use program and for any potential commercialized inventory;</w:t>
      </w:r>
    </w:p>
    <w:p>
      <w:pPr>
        <w:spacing w:after="0" w:line="182" w:lineRule="exact"/>
        <w:rPr>
          <w:rFonts w:ascii="Arial" w:cs="Arial" w:eastAsia="Arial" w:hAnsi="Arial"/>
          <w:sz w:val="18"/>
          <w:szCs w:val="18"/>
          <w:color w:val="auto"/>
        </w:rPr>
      </w:pPr>
    </w:p>
    <w:p>
      <w:pPr>
        <w:ind w:left="1340" w:right="219" w:hanging="331"/>
        <w:spacing w:after="0" w:line="262"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marketing approvals for avapritinib as well as our other drug candidates that successfully complete clinical trials;</w:t>
      </w:r>
    </w:p>
    <w:p>
      <w:pPr>
        <w:spacing w:after="0" w:line="169" w:lineRule="exact"/>
        <w:rPr>
          <w:rFonts w:ascii="Arial" w:cs="Arial" w:eastAsia="Arial" w:hAnsi="Arial"/>
          <w:sz w:val="18"/>
          <w:szCs w:val="18"/>
          <w:color w:val="auto"/>
        </w:rPr>
      </w:pPr>
    </w:p>
    <w:p>
      <w:pPr>
        <w:ind w:left="1340" w:right="159" w:hanging="331"/>
        <w:spacing w:after="0" w:line="262"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avapritinib, if approved, and any other medicines for which we may obtain marketing approval;</w:t>
      </w:r>
    </w:p>
    <w:p>
      <w:pPr>
        <w:spacing w:after="0" w:line="169" w:lineRule="exact"/>
        <w:rPr>
          <w:rFonts w:ascii="Arial" w:cs="Arial" w:eastAsia="Arial" w:hAnsi="Arial"/>
          <w:sz w:val="18"/>
          <w:szCs w:val="18"/>
          <w:color w:val="auto"/>
        </w:rPr>
      </w:pPr>
    </w:p>
    <w:p>
      <w:pPr>
        <w:ind w:left="1340" w:right="39" w:hanging="331"/>
        <w:spacing w:after="0" w:line="262"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current or future drug candidates;</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our operations outside the United States;</w:t>
      </w:r>
    </w:p>
    <w:p>
      <w:pPr>
        <w:spacing w:after="0" w:line="211" w:lineRule="exact"/>
        <w:rPr>
          <w:rFonts w:ascii="Arial" w:cs="Arial" w:eastAsia="Arial" w:hAnsi="Arial"/>
          <w:sz w:val="18"/>
          <w:szCs w:val="18"/>
          <w:color w:val="auto"/>
        </w:rPr>
      </w:pPr>
    </w:p>
    <w:p>
      <w:pPr>
        <w:ind w:left="1340" w:right="740" w:hanging="331"/>
        <w:spacing w:after="0" w:line="262"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To date, we have not generated any revenue from drug sales. Our revenue consists of collaboration revenue under our collaborations with Roche and CStone, including amounts that are recognized related to upfront payments, milestone payments and amounts due to us for research and development services. In the future, revenue may include revenues related to the supply of our drug candidates or products to CStone for development and commercialization activities in the CStone territory and additional milestone payments and royalties on any net product sales under our collaborations with Roche and CStone. We do not expect to generate any revenue from the sale of avapritinib until 2020, assuming we receive marketing approval for avapritinib in the United States. We expect that any revenue we generate will fluctuate from quarter to quarter as a result of the timing and amount of product sales, if any, license fees, research and development services and related reimbursements, payments for manufacturing services, and milestone and other payments.</w:t>
      </w:r>
    </w:p>
    <w:p>
      <w:pPr>
        <w:spacing w:after="0" w:line="170"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In the future, subject to obtaining marketing approval for one or more of our drug candidates, we expect to generate revenue from a combination of product sales, royalties on product sales and cost reimbursements, as well as upfront, milestone and royalty payments, if any, under any current or future collaborations.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40" w:firstLine="648"/>
        <w:spacing w:after="0" w:line="291"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19"/>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00" w:right="80" w:hanging="319"/>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9" w:lineRule="exact"/>
        <w:rPr>
          <w:rFonts w:ascii="Arial" w:cs="Arial" w:eastAsia="Arial" w:hAnsi="Arial"/>
          <w:sz w:val="18"/>
          <w:szCs w:val="18"/>
          <w:color w:val="auto"/>
        </w:rPr>
      </w:pPr>
    </w:p>
    <w:p>
      <w:pPr>
        <w:ind w:left="1300" w:right="460" w:hanging="319"/>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9" w:lineRule="exact"/>
        <w:rPr>
          <w:rFonts w:ascii="Arial" w:cs="Arial" w:eastAsia="Arial" w:hAnsi="Arial"/>
          <w:sz w:val="18"/>
          <w:szCs w:val="18"/>
          <w:color w:val="auto"/>
        </w:rPr>
      </w:pPr>
    </w:p>
    <w:p>
      <w:pPr>
        <w:ind w:left="1300" w:hanging="31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00" w:right="140" w:hanging="319"/>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400" w:hanging="319"/>
        <w:spacing w:after="0" w:line="24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182"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8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90" w:lineRule="exact"/>
        <w:rPr>
          <w:sz w:val="20"/>
          <w:szCs w:val="20"/>
          <w:color w:val="auto"/>
        </w:rPr>
      </w:pPr>
    </w:p>
    <w:p>
      <w:pPr>
        <w:ind w:left="1300" w:hanging="31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00" w:right="1040" w:hanging="319"/>
        <w:spacing w:after="0" w:line="26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69" w:lineRule="exact"/>
        <w:rPr>
          <w:rFonts w:ascii="Arial" w:cs="Arial" w:eastAsia="Arial" w:hAnsi="Arial"/>
          <w:sz w:val="18"/>
          <w:szCs w:val="18"/>
          <w:color w:val="auto"/>
        </w:rPr>
      </w:pPr>
    </w:p>
    <w:p>
      <w:pPr>
        <w:ind w:left="1300" w:right="580" w:hanging="319"/>
        <w:spacing w:after="0" w:line="26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9" w:lineRule="exact"/>
        <w:rPr>
          <w:rFonts w:ascii="Arial" w:cs="Arial" w:eastAsia="Arial" w:hAnsi="Arial"/>
          <w:sz w:val="18"/>
          <w:szCs w:val="18"/>
          <w:color w:val="auto"/>
        </w:rPr>
      </w:pPr>
    </w:p>
    <w:p>
      <w:pPr>
        <w:ind w:left="1300" w:right="40" w:hanging="319"/>
        <w:spacing w:after="0" w:line="26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9" w:lineRule="exact"/>
        <w:rPr>
          <w:rFonts w:ascii="Arial" w:cs="Arial" w:eastAsia="Arial" w:hAnsi="Arial"/>
          <w:sz w:val="18"/>
          <w:szCs w:val="18"/>
          <w:color w:val="auto"/>
        </w:rPr>
      </w:pPr>
    </w:p>
    <w:p>
      <w:pPr>
        <w:ind w:left="1300" w:hanging="31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1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77"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80" w:firstLine="648"/>
        <w:spacing w:after="0" w:line="270" w:lineRule="auto"/>
        <w:rPr>
          <w:sz w:val="20"/>
          <w:szCs w:val="20"/>
          <w:color w:val="auto"/>
        </w:rPr>
      </w:pPr>
      <w:r>
        <w:rPr>
          <w:rFonts w:ascii="Arial" w:cs="Arial" w:eastAsia="Arial" w:hAnsi="Arial"/>
          <w:sz w:val="17"/>
          <w:szCs w:val="17"/>
          <w:color w:val="auto"/>
        </w:rPr>
        <w:t>The following table summarizes our external research and development expenses by program for the three and six months ended June 30, 2019 and 2018. Other development and pre-development candidate expenses, unallocated expenses and internal research and development expenses have been classified separately.</w:t>
      </w:r>
    </w:p>
    <w:p>
      <w:pPr>
        <w:spacing w:after="0" w:line="16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26,986</w:t>
            </w:r>
          </w:p>
        </w:tc>
        <w:tc>
          <w:tcPr>
            <w:tcW w:w="6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21,431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51,663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39,214</w:t>
            </w:r>
          </w:p>
        </w:tc>
        <w:tc>
          <w:tcPr>
            <w:tcW w:w="220" w:type="dxa"/>
            <w:vAlign w:val="bottom"/>
            <w:shd w:val="clear" w:color="auto" w:fill="CCEEFF"/>
          </w:tcPr>
          <w:p>
            <w:pPr>
              <w:spacing w:after="0"/>
              <w:rPr>
                <w:sz w:val="17"/>
                <w:szCs w:val="17"/>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21,828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8,870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37,886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14,455</w:t>
            </w:r>
          </w:p>
        </w:tc>
        <w:tc>
          <w:tcPr>
            <w:tcW w:w="22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7,007</w:t>
            </w:r>
          </w:p>
        </w:tc>
        <w:tc>
          <w:tcPr>
            <w:tcW w:w="220" w:type="dxa"/>
            <w:vAlign w:val="bottom"/>
            <w:shd w:val="clear" w:color="auto" w:fill="CCEEFF"/>
          </w:tcPr>
          <w:p>
            <w:pPr>
              <w:spacing w:after="0"/>
              <w:rPr>
                <w:sz w:val="17"/>
                <w:szCs w:val="17"/>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BLU-782 external expenses</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3,649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220" w:type="dxa"/>
            <w:vAlign w:val="bottom"/>
          </w:tcPr>
          <w:p>
            <w:pPr>
              <w:spacing w:after="0"/>
              <w:rPr>
                <w:sz w:val="17"/>
                <w:szCs w:val="17"/>
                <w:color w:val="auto"/>
              </w:rPr>
            </w:pPr>
          </w:p>
        </w:tc>
      </w:tr>
      <w:tr>
        <w:trPr>
          <w:trHeight w:val="188"/>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development and pre-development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7"/>
              </w:rPr>
              <w:t>candidate expenses and unallocated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w:t>
            </w:r>
          </w:p>
        </w:tc>
        <w:tc>
          <w:tcPr>
            <w:tcW w:w="220" w:type="dxa"/>
            <w:vAlign w:val="bottom"/>
            <w:shd w:val="clear" w:color="auto" w:fill="CCEEFF"/>
          </w:tcPr>
          <w:p>
            <w:pPr>
              <w:spacing w:after="0"/>
              <w:rPr>
                <w:sz w:val="18"/>
                <w:szCs w:val="18"/>
                <w:color w:val="auto"/>
              </w:rPr>
            </w:pPr>
          </w:p>
        </w:tc>
      </w:tr>
      <w:tr>
        <w:trPr>
          <w:trHeight w:val="203"/>
        </w:trPr>
        <w:tc>
          <w:tcPr>
            <w:tcW w:w="3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18,615</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11,741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34,847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21,902</w:t>
            </w:r>
          </w:p>
        </w:tc>
        <w:tc>
          <w:tcPr>
            <w:tcW w:w="220" w:type="dxa"/>
            <w:vAlign w:val="bottom"/>
            <w:tcBorders>
              <w:bottom w:val="single" w:sz="8" w:color="CCEEFF"/>
            </w:tcBorders>
          </w:tcPr>
          <w:p>
            <w:pPr>
              <w:spacing w:after="0"/>
              <w:rPr>
                <w:sz w:val="17"/>
                <w:szCs w:val="17"/>
                <w:color w:val="auto"/>
              </w:rPr>
            </w:pPr>
          </w:p>
        </w:tc>
      </w:tr>
      <w:tr>
        <w:trPr>
          <w:trHeight w:val="196"/>
        </w:trPr>
        <w:tc>
          <w:tcPr>
            <w:tcW w:w="3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87,101</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58,573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161,351</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108,527</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API, drug product and drug substance for current and future clinical trials and potential commercial inventory.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for current and future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commercial, business development, information technology, legal, compliance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7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and establishing our operations outside the United States.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For the three and six months ended June 30, 2018, interest expense consisted primarily of interest expense on amounts outstanding under the loan and security agreement that we entered into with Silicon Valley Bank in May 2013 and amortization of debt discount. We repaid the loan in full in November 2018. For the three and six months ended June 30, 2019, interest expense consisted primarily of interest expense related to an insignificant finance lease.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2" w:lineRule="exact"/>
        <w:rPr>
          <w:sz w:val="20"/>
          <w:szCs w:val="20"/>
          <w:color w:val="auto"/>
        </w:rPr>
      </w:pPr>
    </w:p>
    <w:p>
      <w:pPr>
        <w:ind w:right="240" w:firstLine="648"/>
        <w:spacing w:after="0" w:line="324" w:lineRule="auto"/>
        <w:rPr>
          <w:sz w:val="20"/>
          <w:szCs w:val="20"/>
          <w:color w:val="auto"/>
        </w:rPr>
      </w:pPr>
      <w:r>
        <w:rPr>
          <w:rFonts w:ascii="Arial" w:cs="Arial" w:eastAsia="Arial" w:hAnsi="Arial"/>
          <w:sz w:val="16"/>
          <w:szCs w:val="16"/>
          <w:color w:val="auto"/>
        </w:rPr>
        <w:t>Our critical accounting policies are those policies that require the most significant judgments and estimates in the preparation of our financial statements. Management has determined that our most critical accounting policies are</w:t>
      </w:r>
    </w:p>
    <w:p>
      <w:pPr>
        <w:sectPr>
          <w:pgSz w:w="11900" w:h="16838" w:orient="portrait"/>
          <w:cols w:equalWidth="0" w:num="1">
            <w:col w:w="9060"/>
          </w:cols>
          <w:pgMar w:left="1420" w:top="517" w:right="141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those relating to revenue recognition, accrued research and development expenses, available-for-sale investments, leases and stock-based compensation.</w:t>
      </w:r>
    </w:p>
    <w:p>
      <w:pPr>
        <w:spacing w:after="0" w:line="169" w:lineRule="exact"/>
        <w:rPr>
          <w:sz w:val="20"/>
          <w:szCs w:val="20"/>
          <w:color w:val="auto"/>
        </w:rPr>
      </w:pPr>
    </w:p>
    <w:p>
      <w:pPr>
        <w:ind w:right="80" w:firstLine="648"/>
        <w:spacing w:after="0" w:line="263" w:lineRule="auto"/>
        <w:rPr>
          <w:sz w:val="20"/>
          <w:szCs w:val="20"/>
          <w:color w:val="auto"/>
        </w:rPr>
      </w:pPr>
      <w:r>
        <w:rPr>
          <w:rFonts w:ascii="Arial" w:cs="Arial" w:eastAsia="Arial" w:hAnsi="Arial"/>
          <w:sz w:val="17"/>
          <w:szCs w:val="17"/>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2018. Other than as described below, there have been no significant changes to our critical accounting policies since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 xml:space="preserve">On January 1, 2019, we adopted </w:t>
      </w:r>
      <w:r>
        <w:rPr>
          <w:rFonts w:ascii="Arial" w:cs="Arial" w:eastAsia="Arial" w:hAnsi="Arial"/>
          <w:sz w:val="16"/>
          <w:szCs w:val="16"/>
          <w:i w:val="1"/>
          <w:iCs w:val="1"/>
          <w:color w:val="auto"/>
        </w:rPr>
        <w:t>ASU No. 2016-02, Leases (Topic 84)</w:t>
      </w:r>
      <w:r>
        <w:rPr>
          <w:rFonts w:ascii="Arial" w:cs="Arial" w:eastAsia="Arial" w:hAnsi="Arial"/>
          <w:sz w:val="16"/>
          <w:szCs w:val="16"/>
          <w:color w:val="auto"/>
        </w:rPr>
        <w:t>, or ASC 842, which requires the recognition of the right-of-use assets and related operating and finance lease liabilities on the balance sheet. We adopted ASC 842 using a modified retrospective approach for all leases existing at January 1, 2019. The adoption of ASC 842 had a substantial impact on our condensed consolidated balance sheet and no impact to our condensed consolidated statements of operations. Upon adoption of ASC 842, we recognized an adjustment of $54.2 million and $74.1 million to operating lease right-of-use assets and the related lease liabilities, respectively. The operating lease liabilities are based on the present value of the remaining minimum lease payments discounted using our secured incremental borrowing rate at the effective date of January 1, 2019.</w:t>
      </w:r>
    </w:p>
    <w:p>
      <w:pPr>
        <w:spacing w:after="0" w:line="164"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1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74"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8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its secured incremental borrowing rate. For finance leases, we use the rate implicit in the lease or its secured incremental borrowing rate if the implicit lease rate cannot be determined.</w:t>
      </w:r>
    </w:p>
    <w:p>
      <w:pPr>
        <w:spacing w:after="0" w:line="191"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We made an accounting policy election to not recognize leases with an initial term of 12 months or less within our condensed consolidated balance sheets and to recognize those lease payments on a straight-line basis in our condensed consolidated statements of income over the lease term.</w:t>
      </w:r>
    </w:p>
    <w:p>
      <w:pPr>
        <w:spacing w:after="0" w:line="17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2019 and 2018</w:t>
      </w:r>
    </w:p>
    <w:p>
      <w:pPr>
        <w:spacing w:after="0" w:line="212" w:lineRule="exact"/>
        <w:rPr>
          <w:sz w:val="20"/>
          <w:szCs w:val="20"/>
          <w:color w:val="auto"/>
        </w:rPr>
      </w:pPr>
    </w:p>
    <w:p>
      <w:pPr>
        <w:ind w:right="500" w:firstLine="648"/>
        <w:spacing w:after="0" w:line="262" w:lineRule="auto"/>
        <w:rPr>
          <w:sz w:val="20"/>
          <w:szCs w:val="20"/>
          <w:color w:val="auto"/>
        </w:rPr>
      </w:pPr>
      <w:r>
        <w:rPr>
          <w:rFonts w:ascii="Arial" w:cs="Arial" w:eastAsia="Arial" w:hAnsi="Arial"/>
          <w:sz w:val="18"/>
          <w:szCs w:val="18"/>
          <w:color w:val="auto"/>
        </w:rPr>
        <w:t>The following table summarizes our results of operations for the three months ended June 30, 2019 and 2018, together with the changes in those items in dollars and as a percentage: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w:t>
            </w:r>
          </w:p>
        </w:tc>
        <w:tc>
          <w:tcPr>
            <w:tcW w:w="3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41,439</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(36,329)</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87,101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58,573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28,528</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21,923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12,333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9,590</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109,024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70,906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38,118</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1,793</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gridSpan w:val="2"/>
          </w:tcPr>
          <w:p>
            <w:pPr>
              <w:spacing w:after="0" w:line="196" w:lineRule="exact"/>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(99,681)</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(27,048)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(72,633)</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Collaboration revenue decreased by $36.3 million from $41.4 million for the three months ended June 30, 2018 to $5.1 million for the three months ended June 30, 2019. Collaboration revenue for the three months ended June 30, 2019 and 2018 was related to the CStone and Roche agreements. Revenue recognized under the CStone agreement for the three months ended June 30, 2019 consisted primarily of a $4.0 million milestone that was achieved in June 2019, and in the three months ended June 30, 2018, a $40.0 million upfront payment was recognized upon the execution of the CStone collaboration agreement. We recorded collaboration revenue of $1.0 million and $1.4 million under the Roche agreement for the three months ended June 30, 2019 and 2018, respectively, related to amortization of the total $55.0 million of upfront and milestone payments received.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Research and development expense increased by $28.5 million from $58.6 million for the three months ended June 30, 2018 to $87.1 million for the three months ended June 30, 2019. The increase in research and development expense was primarily related to the following:</w:t>
      </w:r>
    </w:p>
    <w:p>
      <w:pPr>
        <w:spacing w:after="0" w:line="182" w:lineRule="exact"/>
        <w:rPr>
          <w:sz w:val="20"/>
          <w:szCs w:val="20"/>
          <w:color w:val="auto"/>
        </w:rPr>
      </w:pPr>
    </w:p>
    <w:p>
      <w:pPr>
        <w:ind w:left="1340" w:right="220" w:hanging="331"/>
        <w:spacing w:after="0" w:line="262"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$12.1 million in increased expenses for external clinical activities related to clinical trials for avapritinib, pralsetinib and BLU-782;</w:t>
      </w:r>
    </w:p>
    <w:p>
      <w:pPr>
        <w:spacing w:after="0" w:line="169" w:lineRule="exact"/>
        <w:rPr>
          <w:rFonts w:ascii="Arial" w:cs="Arial" w:eastAsia="Arial" w:hAnsi="Arial"/>
          <w:sz w:val="18"/>
          <w:szCs w:val="18"/>
          <w:color w:val="auto"/>
        </w:rPr>
      </w:pPr>
    </w:p>
    <w:p>
      <w:pPr>
        <w:ind w:left="1340" w:right="20" w:hanging="331"/>
        <w:spacing w:after="0" w:line="248"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$8.0 million in increased personnel-related expense, primarily due to an increase in headcount, which was driven by growth in the clinical and manufacturing organizations, and an increase of $3.2 million in stock-based compensation expense;</w:t>
      </w:r>
    </w:p>
    <w:p>
      <w:pPr>
        <w:spacing w:after="0" w:line="182" w:lineRule="exact"/>
        <w:rPr>
          <w:rFonts w:ascii="Arial" w:cs="Arial" w:eastAsia="Arial" w:hAnsi="Arial"/>
          <w:sz w:val="18"/>
          <w:szCs w:val="18"/>
          <w:color w:val="auto"/>
        </w:rPr>
      </w:pPr>
    </w:p>
    <w:p>
      <w:pPr>
        <w:ind w:left="1340" w:right="140" w:hanging="331"/>
        <w:spacing w:after="0" w:line="262"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$6.7 million in increased expenses associated with clinical and commercial manufacturing activities; and</w:t>
      </w:r>
    </w:p>
    <w:p>
      <w:pPr>
        <w:spacing w:after="0" w:line="169" w:lineRule="exact"/>
        <w:rPr>
          <w:rFonts w:ascii="Arial" w:cs="Arial" w:eastAsia="Arial" w:hAnsi="Arial"/>
          <w:sz w:val="18"/>
          <w:szCs w:val="18"/>
          <w:color w:val="auto"/>
        </w:rPr>
      </w:pPr>
    </w:p>
    <w:p>
      <w:pPr>
        <w:ind w:left="1340" w:right="560" w:hanging="331"/>
        <w:spacing w:after="0" w:line="262"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$1.7 million in increased expenses associated with continuing to build our discovery platform and advance our discovery pipeline.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 increased by $9.6 million from $12.3 million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June 30, 2018 to $21.9 million for the three months ended June 30, 2019. The increase in general and administrative expense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related to the following:</w:t>
      </w:r>
    </w:p>
    <w:p>
      <w:pPr>
        <w:spacing w:after="0" w:line="196" w:lineRule="exact"/>
        <w:rPr>
          <w:sz w:val="20"/>
          <w:szCs w:val="20"/>
          <w:color w:val="auto"/>
        </w:rPr>
      </w:pPr>
    </w:p>
    <w:p>
      <w:pPr>
        <w:ind w:left="1340" w:right="240" w:hanging="331"/>
        <w:spacing w:after="0" w:line="294" w:lineRule="auto"/>
        <w:tabs>
          <w:tab w:leader="none" w:pos="1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approximately $5.4 million in increased personnel expenses, primarily due to an increase in general and administrative headcount related to building our commercial infrastructure and to support the overall growth of our business, and an increase of $2.7 million in stock-based compensation expense; and</w:t>
      </w:r>
    </w:p>
    <w:p>
      <w:pPr>
        <w:spacing w:after="0" w:line="147" w:lineRule="exact"/>
        <w:rPr>
          <w:rFonts w:ascii="Arial" w:cs="Arial" w:eastAsia="Arial" w:hAnsi="Arial"/>
          <w:sz w:val="16"/>
          <w:szCs w:val="16"/>
          <w:color w:val="auto"/>
        </w:rPr>
      </w:pPr>
    </w:p>
    <w:p>
      <w:pPr>
        <w:ind w:left="1340" w:hanging="331"/>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$4.2 million in increased professional fees including commercial planning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net, increased by $1.8 million from $2.4 million for the three months ended June 30, 2018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$4.2 million for the three months ended June 30, 2019. The increase was primarily related to higher average investment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balances and a higher rate of return on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Interest expense for the three months ended June 30, 2018 was less than $0.1 million and was primarily related to interest under our loan and security agreement with Silicon Valley Bank, which we repaid in full in November 2018. Interest expense for the three months ended June 30, 2019 was less than $0.1 million and was primarily related to interest expense for an insignificant finance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2019 and 2018</w:t>
      </w:r>
    </w:p>
    <w:p>
      <w:pPr>
        <w:spacing w:after="0" w:line="212"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following table summarizes our results of operations for the six months ended June 30, 2019 and 2018, together with the changes in those items in dollars and as a percentage: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42,393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(36,553)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161,351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108,527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52,824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38,476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22,244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16,232</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199,827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130,771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69,056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8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6,899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2,118</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(187,088)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(83,597)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(103,491)</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revenue decreased by $36.6 million from $42.4 million for the six months ended June 30, 2018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$5.8 million for the six months ended June 30, 2019. Collaboration revenue for the six months ended June 30, 2019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was related to the CStone and Roche agreements. Revenue recorded under the CStone agreement for the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June 30, 2019 consisted primarily of a $4.0 million milestone that was achieved in June 2019, and in the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June 30, 2018, a $40.0 million upfront payment was recognized upon the execution of the CStone collaboration agreement.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 recorded collaboration revenue of $1.7 million and $2.4 million under the Roche agreement for the six months ended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June 30, 2019 and 2018, respectively, related to amortization of the total $55.0 million of upfront and milestone payments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received.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Research and development expense increased by $52.8 million from $108.5 million for the six months ended June 30, 2018 to $161.4 million for the six months ended June 30, 2019. The increase in research and development expense was primarily related to the following:</w:t>
      </w:r>
    </w:p>
    <w:p>
      <w:pPr>
        <w:spacing w:after="0" w:line="182" w:lineRule="exact"/>
        <w:rPr>
          <w:sz w:val="20"/>
          <w:szCs w:val="20"/>
          <w:color w:val="auto"/>
        </w:rPr>
      </w:pPr>
    </w:p>
    <w:p>
      <w:pPr>
        <w:ind w:left="1340" w:right="200" w:hanging="331"/>
        <w:spacing w:after="0" w:line="262"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$19.1 million in increased expenses for external clinical activities related to clinical trials for avapritinib, pralsetinib and BLU-782;</w:t>
      </w:r>
    </w:p>
    <w:p>
      <w:pPr>
        <w:spacing w:after="0" w:line="169" w:lineRule="exact"/>
        <w:rPr>
          <w:rFonts w:ascii="Arial" w:cs="Arial" w:eastAsia="Arial" w:hAnsi="Arial"/>
          <w:sz w:val="18"/>
          <w:szCs w:val="18"/>
          <w:color w:val="auto"/>
        </w:rPr>
      </w:pPr>
    </w:p>
    <w:p>
      <w:pPr>
        <w:ind w:left="1340" w:right="580" w:hanging="331"/>
        <w:spacing w:after="0" w:line="291" w:lineRule="auto"/>
        <w:tabs>
          <w:tab w:leader="none" w:pos="1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approximately $14.6 million in increased personnel-related expense primarily due to an increase in headcount and an increase of $6.0 million in stock-based compensation expense;</w:t>
      </w:r>
    </w:p>
    <w:p>
      <w:pPr>
        <w:spacing w:after="0" w:line="147" w:lineRule="exact"/>
        <w:rPr>
          <w:rFonts w:ascii="Arial" w:cs="Arial" w:eastAsia="Arial" w:hAnsi="Arial"/>
          <w:sz w:val="17"/>
          <w:szCs w:val="17"/>
          <w:color w:val="auto"/>
        </w:rPr>
      </w:pPr>
    </w:p>
    <w:p>
      <w:pPr>
        <w:ind w:left="1340" w:right="20" w:hanging="331"/>
        <w:spacing w:after="0" w:line="262"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$13.8 million in increased expenses associated with clinical and commercial manufacturing activities; and</w:t>
      </w:r>
    </w:p>
    <w:p>
      <w:pPr>
        <w:spacing w:after="0" w:line="169" w:lineRule="exact"/>
        <w:rPr>
          <w:rFonts w:ascii="Arial" w:cs="Arial" w:eastAsia="Arial" w:hAnsi="Arial"/>
          <w:sz w:val="18"/>
          <w:szCs w:val="18"/>
          <w:color w:val="auto"/>
        </w:rPr>
      </w:pPr>
    </w:p>
    <w:p>
      <w:pPr>
        <w:ind w:left="1340" w:right="540" w:hanging="331"/>
        <w:spacing w:after="0" w:line="262"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$4.8 million in increased expenses associated with continuing to build our discovery platform and advance our discovery pipeline.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 increased by $16.2 million from $22.2 million for the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June 30, 2018 to $38.5 million for the six months ended June 30, 2019. The increase in general and administrative expense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related to the following:</w:t>
      </w:r>
    </w:p>
    <w:p>
      <w:pPr>
        <w:spacing w:after="0" w:line="196" w:lineRule="exact"/>
        <w:rPr>
          <w:sz w:val="20"/>
          <w:szCs w:val="20"/>
          <w:color w:val="auto"/>
        </w:rPr>
      </w:pPr>
    </w:p>
    <w:p>
      <w:pPr>
        <w:ind w:left="1340" w:right="420" w:hanging="331"/>
        <w:spacing w:after="0" w:line="243"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$9.3 million in increased personnel expenses due to an increase in general and administrative headcount related to building our commercial infrastructure and to support our overall growth as a publicly traded company and an increase of $4.6 million in stock-based compensation expense; and</w:t>
      </w:r>
    </w:p>
    <w:p>
      <w:pPr>
        <w:spacing w:after="0" w:line="188" w:lineRule="exact"/>
        <w:rPr>
          <w:rFonts w:ascii="Arial" w:cs="Arial" w:eastAsia="Arial" w:hAnsi="Arial"/>
          <w:sz w:val="18"/>
          <w:szCs w:val="18"/>
          <w:color w:val="auto"/>
        </w:rPr>
      </w:pPr>
    </w:p>
    <w:p>
      <w:pPr>
        <w:ind w:left="1340" w:right="200" w:hanging="331"/>
        <w:spacing w:after="0" w:line="262"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$6.1 million in increased professional fees including market research and public relations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(expense), net, increased by $2.1 million from $4.8 million of expense for the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June 30, 2018 to $6.9 million of income for the six months ended June 30, 2019. The increase was primarily related to higher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average investment balances and a higher rate of return on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Interest expense for the six months ended June 30, 2018 was less than $0.1 million and was primarily related to interest under our loan and security agreement with Silicon Valley Bank, which we repaid in full in November 2018. Interest expense for the six months ended June 30, 2019 was less than $0.1 million and was primarily related to interest expense for an insignificant finance lease.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and a debt financing. Through June 30, 2019, we have received an aggregate of $1.5 billion from such transactions, including $1.2 billion in aggregate gross proceeds from the sale of common stock in our May 2015 IPO and December 2016, April 2017, December 2017 and April 2019 follow-on public offerings, $115.1 million in gross proceeds from the issuance of convertible preferred stock, $18.8 million of upfront and milestone payments from Alexion, $55.0 million in upfront and milestone payments from Roche, a $40.0</w:t>
      </w:r>
    </w:p>
    <w:p>
      <w:pPr>
        <w:sectPr>
          <w:pgSz w:w="11900" w:h="16838" w:orient="portrait"/>
          <w:cols w:equalWidth="0" w:num="1">
            <w:col w:w="9040"/>
          </w:cols>
          <w:pgMar w:left="1420" w:top="517" w:right="14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million upfront payment under our existing collaboration with CStone and $10.0 million in gross proceeds from debt financing.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we had cash, cash equivalents and investments of $667.3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our cash flows for the six months ended June 30, 2019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3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(161,416)</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5"/>
              </w:rPr>
              <w:t>(158,739)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3"/>
              </w:rPr>
              <w:t>(233,919)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6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334,309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196"/>
        </w:trPr>
        <w:tc>
          <w:tcPr>
            <w:tcW w:w="5360" w:type="dxa"/>
            <w:vAlign w:val="bottom"/>
            <w:gridSpan w:val="2"/>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14,154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(282,764)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For the six months ended June 30, 2019,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$109.0 million increase in net cash used in operating was primarily due to the increased net loss during this period of $103.5 million, which was driven by increased headcount and headcount-related expenses and spending on pre-clinical, clinical and pre-commercial activities.</w:t>
      </w:r>
    </w:p>
    <w:p>
      <w:pPr>
        <w:spacing w:after="0" w:line="134"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For the six months ended June 30, 2019,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$75.2 million decrease in net cash used in investing activities was primarily due to a decrease in the net purchases of investments and a decrease in purchases of property and equipment.</w:t>
      </w:r>
    </w:p>
    <w:p>
      <w:pPr>
        <w:spacing w:after="0" w:line="18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six months ended June 30, 2019,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$330.7 million increase in net cash provided by financing activities was primarily due to $327.4 million in gross proceeds received from our April 2019 follow-on public offering, net of underwriting discounts and commissions and offering expenses paid by us, and an increase in net proceeds received from stock options exercises and our employee stock 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In May 2013, we entered into a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and we were required to pay a fee of 4% of the total loan advances at the end of the term of the loan. There were no financial covenants associated with the loan and security agreement. We repaid the loan in full in November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212"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and with establishing our operations outside the United States.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77"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As of June 30, 2019, we had cash, cash equivalents and investments of $667.3 million. Based on our current plans, we believe that our existing cash, cash equivalents and investments, excluding any potential option fees and milestone payments under our existing collaborations with Roche and CStone, will be sufficient to enable us to fund our</w:t>
      </w:r>
    </w:p>
    <w:p>
      <w:pPr>
        <w:sectPr>
          <w:pgSz w:w="11900" w:h="16838" w:orient="portrait"/>
          <w:cols w:equalWidth="0" w:num="1">
            <w:col w:w="9060"/>
          </w:cols>
          <w:pgMar w:left="1420" w:top="517" w:right="141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operating expenses and capital expenditure requirements into the middle of 2021. Our future capital requirements will depend on many factors, including:</w:t>
      </w:r>
    </w:p>
    <w:p>
      <w:pPr>
        <w:spacing w:after="0" w:line="169" w:lineRule="exact"/>
        <w:rPr>
          <w:sz w:val="20"/>
          <w:szCs w:val="20"/>
          <w:color w:val="auto"/>
        </w:rPr>
      </w:pPr>
    </w:p>
    <w:p>
      <w:pPr>
        <w:ind w:left="1340" w:right="24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9" w:lineRule="exact"/>
        <w:rPr>
          <w:rFonts w:ascii="Arial" w:cs="Arial" w:eastAsia="Arial" w:hAnsi="Arial"/>
          <w:sz w:val="18"/>
          <w:szCs w:val="18"/>
          <w:color w:val="auto"/>
        </w:rPr>
      </w:pPr>
    </w:p>
    <w:p>
      <w:pPr>
        <w:jc w:val="both"/>
        <w:ind w:left="1340" w:right="140" w:hanging="331"/>
        <w:spacing w:after="0" w:line="248"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 including API, drug substance and drug product material for use in pre-clinical studies, clinical trials, our compassionate use program and for use as commercial supply;</w:t>
      </w:r>
    </w:p>
    <w:p>
      <w:pPr>
        <w:spacing w:after="0" w:line="182"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211" w:lineRule="exact"/>
        <w:rPr>
          <w:rFonts w:ascii="Arial" w:cs="Arial" w:eastAsia="Arial" w:hAnsi="Arial"/>
          <w:sz w:val="18"/>
          <w:szCs w:val="18"/>
          <w:color w:val="auto"/>
        </w:rPr>
      </w:pPr>
    </w:p>
    <w:p>
      <w:pPr>
        <w:ind w:left="1340" w:right="54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9" w:lineRule="exact"/>
        <w:rPr>
          <w:rFonts w:ascii="Arial" w:cs="Arial" w:eastAsia="Arial" w:hAnsi="Arial"/>
          <w:sz w:val="18"/>
          <w:szCs w:val="18"/>
          <w:color w:val="auto"/>
        </w:rPr>
      </w:pPr>
    </w:p>
    <w:p>
      <w:pPr>
        <w:ind w:left="1340" w:right="70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ability to establish and maintain additional collaborations on favorable terms, if at all;</w:t>
      </w:r>
    </w:p>
    <w:p>
      <w:pPr>
        <w:spacing w:after="0" w:line="169" w:lineRule="exact"/>
        <w:rPr>
          <w:rFonts w:ascii="Arial" w:cs="Arial" w:eastAsia="Arial" w:hAnsi="Arial"/>
          <w:sz w:val="18"/>
          <w:szCs w:val="18"/>
          <w:color w:val="auto"/>
        </w:rPr>
      </w:pPr>
    </w:p>
    <w:p>
      <w:pPr>
        <w:ind w:left="1340" w:right="140" w:hanging="331"/>
        <w:spacing w:after="0" w:line="248"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and CStone or any collaboration agreements that we may enter into in the future;</w:t>
      </w:r>
    </w:p>
    <w:p>
      <w:pPr>
        <w:spacing w:after="0" w:line="182" w:lineRule="exact"/>
        <w:rPr>
          <w:rFonts w:ascii="Arial" w:cs="Arial" w:eastAsia="Arial" w:hAnsi="Arial"/>
          <w:sz w:val="18"/>
          <w:szCs w:val="18"/>
          <w:color w:val="auto"/>
        </w:rPr>
      </w:pPr>
    </w:p>
    <w:p>
      <w:pPr>
        <w:ind w:left="1340" w:right="2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success of our current or future collaborations for the development of companion diagnostic tests;</w:t>
      </w:r>
    </w:p>
    <w:p>
      <w:pPr>
        <w:spacing w:after="0" w:line="223" w:lineRule="exact"/>
        <w:rPr>
          <w:rFonts w:ascii="Arial" w:cs="Arial" w:eastAsia="Arial" w:hAnsi="Arial"/>
          <w:sz w:val="17"/>
          <w:szCs w:val="17"/>
          <w:color w:val="auto"/>
        </w:rPr>
      </w:pPr>
    </w:p>
    <w:p>
      <w:pPr>
        <w:ind w:left="1340" w:right="820" w:hanging="331"/>
        <w:spacing w:after="0" w:line="291"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7" w:lineRule="exact"/>
        <w:rPr>
          <w:rFonts w:ascii="Arial" w:cs="Arial" w:eastAsia="Arial" w:hAnsi="Arial"/>
          <w:sz w:val="17"/>
          <w:szCs w:val="17"/>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w:t>
      </w:r>
    </w:p>
    <w:p>
      <w:pPr>
        <w:spacing w:after="0" w:line="21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0"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other than potential funds to be earned under our collaborations with Roche and CStone.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8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Contractual Obligations</w:t>
      </w:r>
    </w:p>
    <w:p>
      <w:pPr>
        <w:spacing w:after="0" w:line="216" w:lineRule="exact"/>
        <w:rPr>
          <w:sz w:val="20"/>
          <w:szCs w:val="20"/>
          <w:color w:val="auto"/>
        </w:rPr>
      </w:pPr>
    </w:p>
    <w:p>
      <w:pPr>
        <w:ind w:right="139" w:firstLine="648"/>
        <w:spacing w:after="0" w:line="248" w:lineRule="auto"/>
        <w:rPr>
          <w:sz w:val="20"/>
          <w:szCs w:val="20"/>
          <w:color w:val="auto"/>
        </w:rPr>
      </w:pPr>
      <w:r>
        <w:rPr>
          <w:rFonts w:ascii="Arial" w:cs="Arial" w:eastAsia="Arial" w:hAnsi="Arial"/>
          <w:sz w:val="18"/>
          <w:szCs w:val="18"/>
          <w:color w:val="auto"/>
        </w:rPr>
        <w:t>As of June 30, 2019, there have been no material changes to our contractual obligations and commitments from those described under “Management’s Discussion and Analysis of Financial Condition and Results of Operations” included in the Annual Report on Form 10-K for the year ended December 31, 2018.</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right="19" w:firstLine="648"/>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59" w:firstLine="648"/>
        <w:spacing w:after="0" w:line="324" w:lineRule="auto"/>
        <w:rPr>
          <w:sz w:val="20"/>
          <w:szCs w:val="20"/>
          <w:color w:val="auto"/>
        </w:rPr>
      </w:pPr>
      <w:r>
        <w:rPr>
          <w:rFonts w:ascii="Arial" w:cs="Arial" w:eastAsia="Arial" w:hAnsi="Arial"/>
          <w:sz w:val="16"/>
          <w:szCs w:val="16"/>
          <w:color w:val="auto"/>
        </w:rPr>
        <w:t>As of June 30, 2019, and December 31, 2018, we had cash, cash equivalents and investments of $667.3 million and $494.0 million, respectively, consisting primarily of money market funds and investments in U.S. treasury obligations.</w:t>
      </w:r>
    </w:p>
    <w:p>
      <w:pPr>
        <w:spacing w:after="0" w:line="97" w:lineRule="exact"/>
        <w:rPr>
          <w:sz w:val="20"/>
          <w:szCs w:val="20"/>
          <w:color w:val="auto"/>
        </w:rPr>
      </w:pPr>
    </w:p>
    <w:p>
      <w:pPr>
        <w:ind w:right="139"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2" w:lineRule="exact"/>
        <w:rPr>
          <w:sz w:val="20"/>
          <w:szCs w:val="20"/>
          <w:color w:val="auto"/>
        </w:rPr>
      </w:pPr>
    </w:p>
    <w:p>
      <w:pPr>
        <w:ind w:right="179" w:firstLine="648"/>
        <w:spacing w:after="0" w:line="241"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June 30, 2019 and December 31, 2018, we had minimal or no liabilities denominated in foreign currencies.</w:t>
      </w:r>
    </w:p>
    <w:p>
      <w:pPr>
        <w:spacing w:after="0" w:line="149" w:lineRule="exact"/>
        <w:rPr>
          <w:sz w:val="20"/>
          <w:szCs w:val="20"/>
          <w:color w:val="auto"/>
        </w:rPr>
      </w:pPr>
    </w:p>
    <w:p>
      <w:pPr>
        <w:ind w:right="9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and six months ended June 30,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right="19" w:firstLine="648"/>
        <w:spacing w:after="0" w:line="271"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0" w:lineRule="exact"/>
        <w:rPr>
          <w:sz w:val="20"/>
          <w:szCs w:val="20"/>
          <w:color w:val="auto"/>
        </w:rPr>
      </w:pPr>
    </w:p>
    <w:p>
      <w:pPr>
        <w:ind w:right="119" w:firstLine="648"/>
        <w:spacing w:after="0" w:line="284"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2019. Based upon such evaluation, our Chief Executive Officer and Chief Financial Officer have concluded that, as of June 30, 2019, our disclosure controls and procedures were effective at the reasonable assurance level.</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are a precision therapy company with a limited operating history and have not generated any revenue from drug sales. We have incurred significant operating losses since our inception and anticipate that we will incur continued losses for the foreseeable future.</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We are a precision therapy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undertaking pre-clinical studies and conducting clinical trials for our most advanced drug candidates, avapritinib, pralsetinib (formerly known as BLU-667), fisogatinib (formerly known as BLU-554) and BLU-782.</w:t>
      </w:r>
    </w:p>
    <w:p>
      <w:pPr>
        <w:spacing w:after="0" w:line="16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We have not yet demonstrated our ability to successfully complete any clinical trials, including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Since inception, we have focused substantially all of our efforts and financial resources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the active pharmaceutical ingredient, or API, drug substance and drug product material for use in pre-clinical studies and clinical trials, conducting pre-clinical studies and commencing clinical development and pre-commercial activities. To date, we have financed our operations primarily through public offerings of our common stock, private placements of our convertible preferred stock, collaborations and a debt financing. Through June 30, 2019, we have received an aggregate of $1.5 billion from such transactions, including $1.2 billion in aggregate gross proceeds from the sale of common stock in our May 2015 initial public offering, or IPO, and December 2016, April 2017, December 2017 and April 2019 follow-on public offerings, $115.1 million in gross proceeds from the issuance of convertible preferred stock,</w:t>
      </w:r>
    </w:p>
    <w:p>
      <w:pPr>
        <w:spacing w:after="0" w:line="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$18.8 million of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w:t>
      </w:r>
    </w:p>
    <w:p>
      <w:pPr>
        <w:spacing w:after="0" w:line="15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Since inception, we have incurred significant operating losses. Our net losses were $187.1 million for the six months ended June 30, 2019 and $236.6 million, $148.1 million and $72.5 million for the years ended December 31, 2018, 2017 and 2016, respectively. As of June 30, 2019, we had an accumulated deficit of $784.6 million. Substantially all of our operating losses have resulted from costs incurred in connection with our research and development programs</w:t>
      </w:r>
    </w:p>
    <w:p>
      <w:pPr>
        <w:sectPr>
          <w:pgSz w:w="11900" w:h="16838" w:orient="portrait"/>
          <w:cols w:equalWidth="0" w:num="1">
            <w:col w:w="9040"/>
          </w:cols>
          <w:pgMar w:left="1420" w:top="517" w:right="14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8"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To date, we have not generated any revenue from our most advanced drug candidates, avapritinib, pralsetinib, fisogatinib and BLU-782. We do not expect to generate significant revenue unless and until we obtain marketing approval of, and begin to sell, avapritinib, pralsetinib, fisogatinib or one of our other drug candidates. We do not expect to generate any revenue from the sale of avapritinib until 2020, assuming we receive marketing approval for avapritinib in the United States. Our ability to generate revenue depends on a number of factors, including, but not limited to, our ability to:</w:t>
      </w:r>
    </w:p>
    <w:p>
      <w:pPr>
        <w:spacing w:after="0" w:line="160" w:lineRule="exact"/>
        <w:rPr>
          <w:sz w:val="20"/>
          <w:szCs w:val="20"/>
          <w:color w:val="auto"/>
        </w:rPr>
      </w:pPr>
    </w:p>
    <w:p>
      <w:pPr>
        <w:ind w:left="1340" w:hanging="331"/>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40" w:right="20" w:hanging="331"/>
        <w:spacing w:after="0" w:line="262"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9" w:lineRule="exact"/>
        <w:rPr>
          <w:rFonts w:ascii="Arial" w:cs="Arial" w:eastAsia="Arial" w:hAnsi="Arial"/>
          <w:sz w:val="18"/>
          <w:szCs w:val="18"/>
          <w:color w:val="auto"/>
        </w:rPr>
      </w:pPr>
    </w:p>
    <w:p>
      <w:pPr>
        <w:ind w:left="1340" w:right="80" w:hanging="331"/>
        <w:spacing w:after="0" w:line="262"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9" w:lineRule="exact"/>
        <w:rPr>
          <w:rFonts w:ascii="Arial" w:cs="Arial" w:eastAsia="Arial" w:hAnsi="Arial"/>
          <w:sz w:val="18"/>
          <w:szCs w:val="18"/>
          <w:color w:val="auto"/>
        </w:rPr>
      </w:pPr>
    </w:p>
    <w:p>
      <w:pPr>
        <w:ind w:left="1340" w:right="300" w:hanging="331"/>
        <w:spacing w:after="0" w:line="262"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third-party payors.</w:t>
      </w:r>
    </w:p>
    <w:p>
      <w:pPr>
        <w:spacing w:after="0" w:line="23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74"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7"/>
          <w:szCs w:val="17"/>
          <w:color w:val="auto"/>
        </w:rPr>
        <w:t>The development of pharmaceuticals is capital-intensive. We are currently advancing our most advanced drug candidates, avapritinib, pralsetinib, fisogatinib and BLU-782,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CStone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As of June 30, 2019, we had cash, cash equivalents and investments of $667.3 million. Based on our current plans, we believe that our existing cash, cash equivalents and investments, excluding any potential option fees and milestone payments under our existing collaborations with Roche and CStone, will be sufficient to enable us to fund our operating expenses and capital expenditure requirements into the middle of 2021. Our future capital requirements will depend on and could increase significantly as a result of many factors, including:</w:t>
      </w:r>
    </w:p>
    <w:p>
      <w:pPr>
        <w:spacing w:after="0" w:line="190" w:lineRule="exact"/>
        <w:rPr>
          <w:sz w:val="20"/>
          <w:szCs w:val="20"/>
          <w:color w:val="auto"/>
        </w:rPr>
      </w:pPr>
    </w:p>
    <w:p>
      <w:pPr>
        <w:ind w:left="1340" w:right="24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9" w:lineRule="exact"/>
        <w:rPr>
          <w:rFonts w:ascii="Arial" w:cs="Arial" w:eastAsia="Arial" w:hAnsi="Arial"/>
          <w:sz w:val="18"/>
          <w:szCs w:val="18"/>
          <w:color w:val="auto"/>
        </w:rPr>
      </w:pPr>
    </w:p>
    <w:p>
      <w:pPr>
        <w:jc w:val="both"/>
        <w:ind w:left="1340" w:right="140" w:hanging="331"/>
        <w:spacing w:after="0" w:line="248"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 including API, drug substance and drug product material for use in pre-clinical studies, clinical trials, our compassionate use program and for use as commercial supply;</w:t>
      </w:r>
    </w:p>
    <w:p>
      <w:pPr>
        <w:spacing w:after="0" w:line="182"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211" w:lineRule="exact"/>
        <w:rPr>
          <w:rFonts w:ascii="Arial" w:cs="Arial" w:eastAsia="Arial" w:hAnsi="Arial"/>
          <w:sz w:val="18"/>
          <w:szCs w:val="18"/>
          <w:color w:val="auto"/>
        </w:rPr>
      </w:pPr>
    </w:p>
    <w:p>
      <w:pPr>
        <w:ind w:left="1340" w:right="54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9" w:lineRule="exact"/>
        <w:rPr>
          <w:rFonts w:ascii="Arial" w:cs="Arial" w:eastAsia="Arial" w:hAnsi="Arial"/>
          <w:sz w:val="18"/>
          <w:szCs w:val="18"/>
          <w:color w:val="auto"/>
        </w:rPr>
      </w:pPr>
    </w:p>
    <w:p>
      <w:pPr>
        <w:ind w:left="1340" w:right="70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ability to establish and maintain additional collaborations on favorable terms, if at all;</w:t>
      </w:r>
    </w:p>
    <w:p>
      <w:pPr>
        <w:spacing w:after="0" w:line="169" w:lineRule="exact"/>
        <w:rPr>
          <w:rFonts w:ascii="Arial" w:cs="Arial" w:eastAsia="Arial" w:hAnsi="Arial"/>
          <w:sz w:val="18"/>
          <w:szCs w:val="18"/>
          <w:color w:val="auto"/>
        </w:rPr>
      </w:pPr>
    </w:p>
    <w:p>
      <w:pPr>
        <w:ind w:left="1340" w:right="140" w:hanging="331"/>
        <w:spacing w:after="0" w:line="248"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and CStone or any collaboration agreements that we may enter into in the future;</w:t>
      </w:r>
    </w:p>
    <w:p>
      <w:pPr>
        <w:spacing w:after="0" w:line="182" w:lineRule="exact"/>
        <w:rPr>
          <w:rFonts w:ascii="Arial" w:cs="Arial" w:eastAsia="Arial" w:hAnsi="Arial"/>
          <w:sz w:val="18"/>
          <w:szCs w:val="18"/>
          <w:color w:val="auto"/>
        </w:rPr>
      </w:pPr>
    </w:p>
    <w:p>
      <w:pPr>
        <w:ind w:left="1340" w:right="2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success of our current or future collaborations for the development of companion diagnostic tests;</w:t>
      </w:r>
    </w:p>
    <w:p>
      <w:pPr>
        <w:spacing w:after="0" w:line="223" w:lineRule="exact"/>
        <w:rPr>
          <w:rFonts w:ascii="Arial" w:cs="Arial" w:eastAsia="Arial" w:hAnsi="Arial"/>
          <w:sz w:val="17"/>
          <w:szCs w:val="17"/>
          <w:color w:val="auto"/>
        </w:rPr>
      </w:pPr>
    </w:p>
    <w:p>
      <w:pPr>
        <w:ind w:left="1340" w:right="820" w:hanging="331"/>
        <w:spacing w:after="0" w:line="291" w:lineRule="auto"/>
        <w:tabs>
          <w:tab w:leader="none" w:pos="1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7" w:lineRule="exact"/>
        <w:rPr>
          <w:rFonts w:ascii="Arial" w:cs="Arial" w:eastAsia="Arial" w:hAnsi="Arial"/>
          <w:sz w:val="17"/>
          <w:szCs w:val="17"/>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Accordingly, we will need to continue to rely on additional financing to achieve our business objectives.</w:t>
      </w:r>
    </w:p>
    <w:p>
      <w:pPr>
        <w:spacing w:after="0" w:line="190" w:lineRule="exact"/>
        <w:rPr>
          <w:sz w:val="20"/>
          <w:szCs w:val="20"/>
          <w:color w:val="auto"/>
        </w:rPr>
      </w:pPr>
    </w:p>
    <w:p>
      <w:pPr>
        <w:ind w:right="60" w:firstLine="648"/>
        <w:spacing w:after="0" w:line="269"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required to relinquish rights to some of our technologies or drug candidates or otherwise agree to terms unfavorable to us, any of which may have a material adverse effect on our business, operating results and prospects.</w:t>
      </w:r>
    </w:p>
    <w:p>
      <w:pPr>
        <w:spacing w:after="0" w:line="147"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Roche and CStone,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b w:val="1"/>
          <w:bCs w:val="1"/>
          <w:i w:val="1"/>
          <w:iCs w:val="1"/>
          <w:color w:val="auto"/>
        </w:rPr>
        <w:t>We are very early in our development efforts with only four drug candidates in clinical development: avapritinib, pralsetinib, fisogatinib and BLU-782.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44" w:lineRule="exact"/>
        <w:rPr>
          <w:sz w:val="20"/>
          <w:szCs w:val="20"/>
          <w:color w:val="auto"/>
        </w:rPr>
      </w:pPr>
    </w:p>
    <w:p>
      <w:pPr>
        <w:ind w:right="80" w:firstLine="648"/>
        <w:spacing w:after="0" w:line="268" w:lineRule="auto"/>
        <w:rPr>
          <w:sz w:val="20"/>
          <w:szCs w:val="20"/>
          <w:color w:val="auto"/>
        </w:rPr>
      </w:pPr>
      <w:r>
        <w:rPr>
          <w:rFonts w:ascii="Arial" w:cs="Arial" w:eastAsia="Arial" w:hAnsi="Arial"/>
          <w:sz w:val="16"/>
          <w:szCs w:val="16"/>
          <w:color w:val="auto"/>
        </w:rPr>
        <w:t>We are very early in our development efforts with only four drug candidates in clinical development: avapritinib, pralsetinib, fisogatinib and BLU-782.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pralsetinib, fisogatinib and BLU-782. Our ability to generate drug revenues, if ever, will depend heavily on the successful development and eventual commercialization of our drug candidates, which may never occur. We currently generate no revenues from sales of any drugs, and we do not expect to generate any revenue from the sale of avapritinib until 2020, assuming we receive marketing approval for avapritinib in the United States.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PDGFRA D842V mutation, fisogatinib in order to identify HCC patients with FGFR4 pathway activation and pralsetinib in order to identify NSCLC patients with RET fusions. Companion diagnostic tests are subject to regulation as medical devices and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must themselves be approved for marketing by the FDA or certain other foreign regulatory agencies before we may commercialize our drug candidates. The success of our most advanced drug candidates and other drug candidates will depend on several factors, including the following:</w:t>
      </w:r>
    </w:p>
    <w:p>
      <w:pPr>
        <w:spacing w:after="0" w:line="182" w:lineRule="exact"/>
        <w:rPr>
          <w:sz w:val="20"/>
          <w:szCs w:val="20"/>
          <w:color w:val="auto"/>
        </w:rPr>
      </w:pPr>
    </w:p>
    <w:p>
      <w:pPr>
        <w:ind w:left="1340" w:right="70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clinical trials for avapritinib, pralsetinib, fisogatinib and BLU-782;</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223" w:lineRule="exact"/>
        <w:rPr>
          <w:rFonts w:ascii="Arial" w:cs="Arial" w:eastAsia="Arial" w:hAnsi="Arial"/>
          <w:sz w:val="17"/>
          <w:szCs w:val="17"/>
          <w:color w:val="auto"/>
        </w:rPr>
      </w:pPr>
    </w:p>
    <w:p>
      <w:pPr>
        <w:ind w:left="1340" w:right="72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development of any companion diagnostic tests for use with our current or future drug candidates;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211" w:lineRule="exact"/>
        <w:rPr>
          <w:rFonts w:ascii="Arial" w:cs="Arial" w:eastAsia="Arial" w:hAnsi="Arial"/>
          <w:sz w:val="18"/>
          <w:szCs w:val="18"/>
          <w:color w:val="auto"/>
        </w:rPr>
      </w:pPr>
    </w:p>
    <w:p>
      <w:pPr>
        <w:ind w:left="1340" w:right="540" w:hanging="331"/>
        <w:spacing w:after="0" w:line="294" w:lineRule="auto"/>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third-party manufacturers for clinical supply and commercial manufacturing and the receipt by such third-party manufacturers of requisite approvals to supply commercial inventories of our drug candidates;</w:t>
      </w:r>
    </w:p>
    <w:p>
      <w:pPr>
        <w:spacing w:after="0" w:line="147" w:lineRule="exact"/>
        <w:rPr>
          <w:rFonts w:ascii="Arial" w:cs="Arial" w:eastAsia="Arial" w:hAnsi="Arial"/>
          <w:sz w:val="16"/>
          <w:szCs w:val="16"/>
          <w:color w:val="auto"/>
        </w:rPr>
      </w:pPr>
    </w:p>
    <w:p>
      <w:pPr>
        <w:ind w:left="1340" w:right="68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9" w:lineRule="exact"/>
        <w:rPr>
          <w:rFonts w:ascii="Arial" w:cs="Arial" w:eastAsia="Arial" w:hAnsi="Arial"/>
          <w:sz w:val="18"/>
          <w:szCs w:val="18"/>
          <w:color w:val="auto"/>
        </w:rPr>
      </w:pPr>
    </w:p>
    <w:p>
      <w:pPr>
        <w:ind w:left="1340" w:right="92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9" w:lineRule="exact"/>
        <w:rPr>
          <w:rFonts w:ascii="Arial" w:cs="Arial" w:eastAsia="Arial" w:hAnsi="Arial"/>
          <w:sz w:val="18"/>
          <w:szCs w:val="18"/>
          <w:color w:val="auto"/>
        </w:rPr>
      </w:pPr>
    </w:p>
    <w:p>
      <w:pPr>
        <w:ind w:left="1340" w:right="22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we will be able to develop any drugs of commercial value.</w:t>
      </w:r>
    </w:p>
    <w:p>
      <w:pPr>
        <w:spacing w:after="0" w:line="212"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spacing w:after="0" w:line="24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82" w:lineRule="exact"/>
        <w:rPr>
          <w:sz w:val="20"/>
          <w:szCs w:val="20"/>
          <w:color w:val="auto"/>
        </w:rPr>
      </w:pPr>
    </w:p>
    <w:p>
      <w:pPr>
        <w:ind w:right="39" w:firstLine="648"/>
        <w:spacing w:after="0" w:line="269" w:lineRule="auto"/>
        <w:rPr>
          <w:sz w:val="20"/>
          <w:szCs w:val="20"/>
          <w:color w:val="auto"/>
        </w:rPr>
      </w:pPr>
      <w:r>
        <w:rPr>
          <w:rFonts w:ascii="Arial" w:cs="Arial" w:eastAsia="Arial" w:hAnsi="Arial"/>
          <w:sz w:val="16"/>
          <w:szCs w:val="16"/>
          <w:color w:val="auto"/>
        </w:rPr>
        <w:t>Our drug candidates avapritinib, pralsetinib, fisogatinib and BLU-782 are in clinical development, and all of our other drug candidates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clinical trials and future clinical trials may not be successful.</w:t>
      </w:r>
    </w:p>
    <w:p>
      <w:pPr>
        <w:spacing w:after="0" w:line="159" w:lineRule="exact"/>
        <w:rPr>
          <w:sz w:val="20"/>
          <w:szCs w:val="20"/>
          <w:color w:val="auto"/>
        </w:rPr>
      </w:pPr>
    </w:p>
    <w:p>
      <w:pPr>
        <w:ind w:right="19" w:firstLine="648"/>
        <w:spacing w:after="0" w:line="284" w:lineRule="auto"/>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pralsetinib, fisogatinib, BLU-782 and our other drug candidates. We do not know whether any of our clinical trials for our drug candidates will be completed on schedule, if at all.</w:t>
      </w:r>
    </w:p>
    <w:p>
      <w:pPr>
        <w:spacing w:after="0" w:line="142" w:lineRule="exact"/>
        <w:rPr>
          <w:sz w:val="20"/>
          <w:szCs w:val="20"/>
          <w:color w:val="auto"/>
        </w:rPr>
      </w:pPr>
    </w:p>
    <w:p>
      <w:pPr>
        <w:ind w:right="99" w:firstLine="648"/>
        <w:spacing w:after="0" w:line="243"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61" w:lineRule="exact"/>
        <w:rPr>
          <w:sz w:val="20"/>
          <w:szCs w:val="20"/>
          <w:color w:val="auto"/>
        </w:rPr>
      </w:pPr>
    </w:p>
    <w:p>
      <w:pPr>
        <w:ind w:left="1340" w:right="559" w:hanging="331"/>
        <w:spacing w:after="0" w:line="291" w:lineRule="auto"/>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40" w:right="179" w:hanging="331"/>
        <w:spacing w:after="0" w:line="294" w:lineRule="auto"/>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4" w:lineRule="exact"/>
        <w:rPr>
          <w:rFonts w:ascii="Arial" w:cs="Arial" w:eastAsia="Arial" w:hAnsi="Arial"/>
          <w:sz w:val="16"/>
          <w:szCs w:val="16"/>
          <w:color w:val="auto"/>
        </w:rPr>
      </w:pPr>
    </w:p>
    <w:p>
      <w:pPr>
        <w:ind w:left="1340" w:right="99" w:hanging="331"/>
        <w:spacing w:after="0" w:line="248"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55" w:lineRule="exact"/>
        <w:rPr>
          <w:rFonts w:ascii="Arial" w:cs="Arial" w:eastAsia="Arial" w:hAnsi="Arial"/>
          <w:sz w:val="18"/>
          <w:szCs w:val="18"/>
          <w:color w:val="auto"/>
        </w:rPr>
      </w:pPr>
    </w:p>
    <w:p>
      <w:pPr>
        <w:jc w:val="both"/>
        <w:ind w:left="1340" w:right="39" w:hanging="331"/>
        <w:spacing w:after="0" w:line="270" w:lineRule="auto"/>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50" w:lineRule="exact"/>
        <w:rPr>
          <w:rFonts w:ascii="Arial" w:cs="Arial" w:eastAsia="Arial" w:hAnsi="Arial"/>
          <w:sz w:val="17"/>
          <w:szCs w:val="17"/>
          <w:color w:val="auto"/>
        </w:rPr>
      </w:pPr>
    </w:p>
    <w:p>
      <w:pPr>
        <w:jc w:val="both"/>
        <w:ind w:left="1340" w:right="119" w:hanging="331"/>
        <w:spacing w:after="0" w:line="294" w:lineRule="auto"/>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4" w:lineRule="exact"/>
        <w:rPr>
          <w:rFonts w:ascii="Arial" w:cs="Arial" w:eastAsia="Arial" w:hAnsi="Arial"/>
          <w:sz w:val="16"/>
          <w:szCs w:val="16"/>
          <w:color w:val="auto"/>
        </w:rPr>
      </w:pPr>
    </w:p>
    <w:p>
      <w:pPr>
        <w:ind w:left="1340" w:right="79" w:hanging="331"/>
        <w:spacing w:after="0" w:line="270" w:lineRule="auto"/>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37" w:lineRule="exact"/>
        <w:rPr>
          <w:rFonts w:ascii="Arial" w:cs="Arial" w:eastAsia="Arial" w:hAnsi="Arial"/>
          <w:sz w:val="17"/>
          <w:szCs w:val="17"/>
          <w:color w:val="auto"/>
        </w:rPr>
      </w:pPr>
    </w:p>
    <w:p>
      <w:pPr>
        <w:jc w:val="both"/>
        <w:ind w:left="1340" w:right="499" w:hanging="331"/>
        <w:spacing w:after="0" w:line="294" w:lineRule="auto"/>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98" w:lineRule="exact"/>
        <w:rPr>
          <w:rFonts w:ascii="Arial" w:cs="Arial" w:eastAsia="Arial" w:hAnsi="Arial"/>
          <w:sz w:val="18"/>
          <w:szCs w:val="18"/>
          <w:color w:val="auto"/>
        </w:rPr>
      </w:pPr>
    </w:p>
    <w:p>
      <w:pPr>
        <w:ind w:left="1340" w:right="240" w:hanging="331"/>
        <w:spacing w:after="0" w:line="262"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55" w:lineRule="exact"/>
        <w:rPr>
          <w:rFonts w:ascii="Arial" w:cs="Arial" w:eastAsia="Arial" w:hAnsi="Arial"/>
          <w:sz w:val="18"/>
          <w:szCs w:val="18"/>
          <w:color w:val="auto"/>
        </w:rPr>
      </w:pPr>
    </w:p>
    <w:p>
      <w:pPr>
        <w:ind w:left="1340" w:hanging="331"/>
        <w:spacing w:after="0" w:line="243"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61" w:lineRule="exact"/>
        <w:rPr>
          <w:rFonts w:ascii="Arial" w:cs="Arial" w:eastAsia="Arial" w:hAnsi="Arial"/>
          <w:sz w:val="18"/>
          <w:szCs w:val="18"/>
          <w:color w:val="auto"/>
        </w:rPr>
      </w:pPr>
    </w:p>
    <w:p>
      <w:pPr>
        <w:ind w:left="1340" w:right="760" w:hanging="331"/>
        <w:spacing w:after="0" w:line="262"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56"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the FDA may change the requirements for approval even after it has reviewed and commented on the design for our clinical trials.</w:t>
      </w:r>
    </w:p>
    <w:p>
      <w:pPr>
        <w:spacing w:after="0" w:line="164" w:lineRule="exact"/>
        <w:rPr>
          <w:sz w:val="20"/>
          <w:szCs w:val="20"/>
          <w:color w:val="auto"/>
        </w:rPr>
      </w:pPr>
    </w:p>
    <w:p>
      <w:pPr>
        <w:jc w:val="both"/>
        <w:ind w:right="160" w:firstLine="648"/>
        <w:spacing w:after="0" w:line="294"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1" w:lineRule="exact"/>
        <w:rPr>
          <w:sz w:val="20"/>
          <w:szCs w:val="20"/>
          <w:color w:val="auto"/>
        </w:rPr>
      </w:pPr>
    </w:p>
    <w:p>
      <w:pPr>
        <w:ind w:left="1340" w:hanging="331"/>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98" w:lineRule="exact"/>
        <w:rPr>
          <w:rFonts w:ascii="Arial" w:cs="Arial" w:eastAsia="Arial" w:hAnsi="Arial"/>
          <w:sz w:val="18"/>
          <w:szCs w:val="18"/>
          <w:color w:val="auto"/>
        </w:rPr>
      </w:pPr>
    </w:p>
    <w:p>
      <w:pPr>
        <w:ind w:left="1340" w:hanging="331"/>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98" w:lineRule="exact"/>
        <w:rPr>
          <w:rFonts w:ascii="Arial" w:cs="Arial" w:eastAsia="Arial" w:hAnsi="Arial"/>
          <w:sz w:val="18"/>
          <w:szCs w:val="18"/>
          <w:color w:val="auto"/>
        </w:rPr>
      </w:pPr>
    </w:p>
    <w:p>
      <w:pPr>
        <w:ind w:left="1340" w:hanging="331"/>
        <w:spacing w:after="0"/>
        <w:tabs>
          <w:tab w:leader="none" w:pos="1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96" w:lineRule="exact"/>
        <w:rPr>
          <w:rFonts w:ascii="Arial" w:cs="Arial" w:eastAsia="Arial" w:hAnsi="Arial"/>
          <w:sz w:val="17"/>
          <w:szCs w:val="17"/>
          <w:color w:val="auto"/>
        </w:rPr>
      </w:pPr>
    </w:p>
    <w:p>
      <w:pPr>
        <w:ind w:left="1340" w:hanging="331"/>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98" w:lineRule="exact"/>
        <w:rPr>
          <w:rFonts w:ascii="Arial" w:cs="Arial" w:eastAsia="Arial" w:hAnsi="Arial"/>
          <w:sz w:val="18"/>
          <w:szCs w:val="18"/>
          <w:color w:val="auto"/>
        </w:rPr>
      </w:pPr>
    </w:p>
    <w:p>
      <w:pPr>
        <w:ind w:left="1340" w:hanging="331"/>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9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6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w:t>
      </w:r>
    </w:p>
    <w:p>
      <w:pPr>
        <w:sectPr>
          <w:pgSz w:w="11900" w:h="16838" w:orient="portrait"/>
          <w:cols w:equalWidth="0" w:num="1">
            <w:col w:w="9040"/>
          </w:cols>
          <w:pgMar w:left="1420" w:top="517" w:right="14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7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320"/>
        <w:spacing w:after="0" w:line="322"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PDGFRA D842V mutation, fisogatinib in order to identify HCC patients with FGFR4 pathway activation and pralsetinib in order to identify NSCLC patients with RET fusions, and we may engage third parties to develop companion diagnostic tests for use in some of our other current or future clinical trials. However, we may experience delays in reaching, or fail to reach, agreement on acceptable terms to develop companion diagnostic tests with third parties, and any third parties whom we engage to develop companion diagnostic tests may experience delays or may not be successful in developing such companion diagnostic tests, furthering the difficulty in identifying patients for our clinical trials.</w:t>
      </w:r>
    </w:p>
    <w:p>
      <w:pPr>
        <w:spacing w:after="0" w:line="132" w:lineRule="exact"/>
        <w:rPr>
          <w:sz w:val="20"/>
          <w:szCs w:val="20"/>
          <w:color w:val="auto"/>
        </w:rPr>
      </w:pPr>
    </w:p>
    <w:p>
      <w:pPr>
        <w:ind w:right="200" w:firstLine="648"/>
        <w:spacing w:after="0" w:line="28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w:t>
      </w:r>
    </w:p>
    <w:p>
      <w:pPr>
        <w:sectPr>
          <w:pgSz w:w="11900" w:h="16838" w:orient="portrait"/>
          <w:cols w:equalWidth="0" w:num="1">
            <w:col w:w="9060"/>
          </w:cols>
          <w:pgMar w:left="1420" w:top="517" w:right="141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8"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PDGFRA D842V mutation, fisogatinib in order to identify HCC patients with FGFR4 pathway activation and pralsetinib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pralsetinib and fisogatinib.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89" w:lineRule="exact"/>
        <w:rPr>
          <w:sz w:val="20"/>
          <w:szCs w:val="20"/>
          <w:color w:val="auto"/>
        </w:rPr>
      </w:pPr>
    </w:p>
    <w:p>
      <w:pPr>
        <w:ind w:left="1340" w:right="160" w:hanging="331"/>
        <w:spacing w:after="0" w:line="262"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9" w:lineRule="exact"/>
        <w:rPr>
          <w:rFonts w:ascii="Arial" w:cs="Arial" w:eastAsia="Arial" w:hAnsi="Arial"/>
          <w:sz w:val="18"/>
          <w:szCs w:val="18"/>
          <w:color w:val="auto"/>
        </w:rPr>
      </w:pPr>
    </w:p>
    <w:p>
      <w:pPr>
        <w:ind w:left="1340" w:right="300" w:hanging="331"/>
        <w:spacing w:after="0" w:line="248"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2" w:lineRule="exact"/>
        <w:rPr>
          <w:rFonts w:ascii="Arial" w:cs="Arial" w:eastAsia="Arial" w:hAnsi="Arial"/>
          <w:sz w:val="18"/>
          <w:szCs w:val="18"/>
          <w:color w:val="auto"/>
        </w:rPr>
      </w:pPr>
    </w:p>
    <w:p>
      <w:pPr>
        <w:ind w:left="1340" w:right="560" w:hanging="331"/>
        <w:spacing w:after="0" w:line="262"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99" w:hanging="331"/>
        <w:spacing w:after="0" w:line="262"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9" w:lineRule="exact"/>
        <w:rPr>
          <w:rFonts w:ascii="Arial" w:cs="Arial" w:eastAsia="Arial" w:hAnsi="Arial"/>
          <w:sz w:val="18"/>
          <w:szCs w:val="18"/>
          <w:color w:val="auto"/>
        </w:rPr>
      </w:pPr>
    </w:p>
    <w:p>
      <w:pPr>
        <w:ind w:left="1340" w:right="239" w:hanging="331"/>
        <w:spacing w:after="0" w:line="262"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9" w:lineRule="exact"/>
        <w:rPr>
          <w:rFonts w:ascii="Arial" w:cs="Arial" w:eastAsia="Arial" w:hAnsi="Arial"/>
          <w:sz w:val="18"/>
          <w:szCs w:val="18"/>
          <w:color w:val="auto"/>
        </w:rPr>
      </w:pPr>
    </w:p>
    <w:p>
      <w:pPr>
        <w:ind w:left="1340" w:right="599" w:hanging="331"/>
        <w:spacing w:after="0" w:line="248"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182" w:lineRule="exact"/>
        <w:rPr>
          <w:rFonts w:ascii="Arial" w:cs="Arial" w:eastAsia="Arial" w:hAnsi="Arial"/>
          <w:sz w:val="18"/>
          <w:szCs w:val="18"/>
          <w:color w:val="auto"/>
        </w:rPr>
      </w:pPr>
    </w:p>
    <w:p>
      <w:pPr>
        <w:ind w:left="1340" w:right="119" w:hanging="331"/>
        <w:spacing w:after="0" w:line="248"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82" w:lineRule="exact"/>
        <w:rPr>
          <w:rFonts w:ascii="Arial" w:cs="Arial" w:eastAsia="Arial" w:hAnsi="Arial"/>
          <w:sz w:val="18"/>
          <w:szCs w:val="18"/>
          <w:color w:val="auto"/>
        </w:rPr>
      </w:pPr>
    </w:p>
    <w:p>
      <w:pPr>
        <w:ind w:left="1340" w:right="719" w:hanging="331"/>
        <w:spacing w:after="0" w:line="291" w:lineRule="auto"/>
        <w:tabs>
          <w:tab w:leader="none" w:pos="1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right="99" w:firstLine="648"/>
        <w:spacing w:after="0"/>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0" w:lineRule="exact"/>
        <w:rPr>
          <w:sz w:val="20"/>
          <w:szCs w:val="20"/>
          <w:color w:val="auto"/>
        </w:rPr>
      </w:pPr>
    </w:p>
    <w:p>
      <w:pPr>
        <w:jc w:val="both"/>
        <w:ind w:right="339" w:firstLine="648"/>
        <w:spacing w:after="0" w:line="248"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82" w:lineRule="exact"/>
        <w:rPr>
          <w:sz w:val="20"/>
          <w:szCs w:val="20"/>
          <w:color w:val="auto"/>
        </w:rPr>
      </w:pPr>
    </w:p>
    <w:p>
      <w:pPr>
        <w:ind w:right="139"/>
        <w:spacing w:after="0" w:line="248"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82" w:lineRule="exact"/>
        <w:rPr>
          <w:sz w:val="20"/>
          <w:szCs w:val="20"/>
          <w:color w:val="auto"/>
        </w:rPr>
      </w:pPr>
    </w:p>
    <w:p>
      <w:pPr>
        <w:ind w:right="79" w:firstLine="648"/>
        <w:spacing w:after="0" w:line="271" w:lineRule="auto"/>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0" w:lineRule="exact"/>
        <w:rPr>
          <w:sz w:val="20"/>
          <w:szCs w:val="20"/>
          <w:color w:val="auto"/>
        </w:rPr>
      </w:pPr>
    </w:p>
    <w:p>
      <w:pPr>
        <w:ind w:right="19" w:firstLine="648"/>
        <w:spacing w:after="0" w:line="272" w:lineRule="auto"/>
        <w:rPr>
          <w:sz w:val="20"/>
          <w:szCs w:val="20"/>
          <w:color w:val="auto"/>
        </w:rPr>
      </w:pPr>
      <w:r>
        <w:rPr>
          <w:rFonts w:ascii="Arial" w:cs="Arial" w:eastAsia="Arial" w:hAnsi="Arial"/>
          <w:sz w:val="16"/>
          <w:szCs w:val="16"/>
          <w:color w:val="auto"/>
        </w:rPr>
        <w:t>Further, our drug candidates could cause undesirable side effects in pre-clinical studies or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9" w:lineRule="exact"/>
        <w:rPr>
          <w:sz w:val="20"/>
          <w:szCs w:val="20"/>
          <w:color w:val="auto"/>
        </w:rPr>
      </w:pPr>
    </w:p>
    <w:p>
      <w:pPr>
        <w:jc w:val="both"/>
        <w:ind w:right="159" w:firstLine="648"/>
        <w:spacing w:after="0" w:line="294"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w:t>
      </w:r>
    </w:p>
    <w:p>
      <w:pPr>
        <w:sectPr>
          <w:pgSz w:w="11900" w:h="16838" w:orient="portrait"/>
          <w:cols w:equalWidth="0" w:num="1">
            <w:col w:w="9039"/>
          </w:cols>
          <w:pgMar w:left="1420" w:top="517" w:right="1440" w:bottom="144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approval and we or others identify undesirable side effects caused by such drug candidates (or any other similar drugs) after such approval, a number of potentially significant negative consequences could result, including:</w:t>
      </w:r>
    </w:p>
    <w:p>
      <w:pPr>
        <w:spacing w:after="0" w:line="169" w:lineRule="exact"/>
        <w:rPr>
          <w:sz w:val="20"/>
          <w:szCs w:val="20"/>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211" w:lineRule="exact"/>
        <w:rPr>
          <w:rFonts w:ascii="Arial" w:cs="Arial" w:eastAsia="Arial" w:hAnsi="Arial"/>
          <w:sz w:val="18"/>
          <w:szCs w:val="18"/>
          <w:color w:val="auto"/>
        </w:rPr>
      </w:pPr>
    </w:p>
    <w:p>
      <w:pPr>
        <w:ind w:left="1340" w:right="400" w:hanging="331"/>
        <w:spacing w:after="0" w:line="262"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9" w:lineRule="exact"/>
        <w:rPr>
          <w:rFonts w:ascii="Arial" w:cs="Arial" w:eastAsia="Arial" w:hAnsi="Arial"/>
          <w:sz w:val="18"/>
          <w:szCs w:val="18"/>
          <w:color w:val="auto"/>
        </w:rPr>
      </w:pPr>
    </w:p>
    <w:p>
      <w:pPr>
        <w:ind w:left="1340" w:right="140" w:hanging="331"/>
        <w:spacing w:after="0" w:line="262"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9" w:lineRule="exact"/>
        <w:rPr>
          <w:rFonts w:ascii="Arial" w:cs="Arial" w:eastAsia="Arial" w:hAnsi="Arial"/>
          <w:sz w:val="18"/>
          <w:szCs w:val="18"/>
          <w:color w:val="auto"/>
        </w:rPr>
      </w:pPr>
    </w:p>
    <w:p>
      <w:pPr>
        <w:ind w:left="1340" w:right="480" w:hanging="331"/>
        <w:spacing w:after="0" w:line="291" w:lineRule="auto"/>
        <w:tabs>
          <w:tab w:leader="none" w:pos="1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7" w:lineRule="exact"/>
        <w:rPr>
          <w:rFonts w:ascii="Arial" w:cs="Arial" w:eastAsia="Arial" w:hAnsi="Arial"/>
          <w:sz w:val="17"/>
          <w:szCs w:val="17"/>
          <w:color w:val="auto"/>
        </w:rPr>
      </w:pPr>
    </w:p>
    <w:p>
      <w:pPr>
        <w:jc w:val="both"/>
        <w:ind w:left="1340" w:right="160" w:hanging="331"/>
        <w:spacing w:after="0" w:line="294" w:lineRule="auto"/>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211" w:lineRule="exact"/>
        <w:rPr>
          <w:rFonts w:ascii="Arial" w:cs="Arial" w:eastAsia="Arial" w:hAnsi="Arial"/>
          <w:sz w:val="18"/>
          <w:szCs w:val="18"/>
          <w:color w:val="auto"/>
        </w:rPr>
      </w:pPr>
    </w:p>
    <w:p>
      <w:pPr>
        <w:ind w:left="1340" w:right="60" w:hanging="331"/>
        <w:spacing w:after="0" w:line="262"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and pralsetinib,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 FDA has granted breakthrough therapy designation to avapritinib for the treatment of patients with unresectable or metastatic GIST harboring the PDGFRA D842V mutation, and the FDA has granted breakthrough therapy designation to avapritinib for the treatment of advanced SM, including the subtypes of aggressive SM, SM with an associated hematologic neoplasm and mast cell leukemia. In addition,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69" w:lineRule="exact"/>
        <w:rPr>
          <w:sz w:val="20"/>
          <w:szCs w:val="20"/>
          <w:color w:val="auto"/>
        </w:rPr>
      </w:pPr>
    </w:p>
    <w:p>
      <w:pPr>
        <w:ind w:right="80" w:firstLine="648"/>
        <w:spacing w:after="0" w:line="26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assure ultimate approval by the FDA. In addition, even if one or more of our drug candidates qualify as breakthrough therapies, the FDA may later decide that the drugs no longer meet the conditions for qualification.</w:t>
      </w:r>
    </w:p>
    <w:p>
      <w:pPr>
        <w:spacing w:after="0" w:line="1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 for our drug candidates.</w:t>
      </w:r>
    </w:p>
    <w:p>
      <w:pPr>
        <w:spacing w:after="0" w:line="169" w:lineRule="exact"/>
        <w:rPr>
          <w:sz w:val="20"/>
          <w:szCs w:val="20"/>
          <w:color w:val="auto"/>
        </w:rPr>
      </w:pPr>
    </w:p>
    <w:p>
      <w:pPr>
        <w:ind w:right="60" w:firstLine="648"/>
        <w:spacing w:after="0" w:line="268" w:lineRule="auto"/>
        <w:rPr>
          <w:sz w:val="20"/>
          <w:szCs w:val="20"/>
          <w:color w:val="auto"/>
        </w:rPr>
      </w:pPr>
      <w:r>
        <w:rPr>
          <w:rFonts w:ascii="Arial" w:cs="Arial" w:eastAsia="Arial" w:hAnsi="Arial"/>
          <w:sz w:val="16"/>
          <w:szCs w:val="16"/>
          <w:color w:val="auto"/>
        </w:rPr>
        <w:t>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and the FDA has granted fast track designation to BLU-782 for the treatment of FOP. We may also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the treatment of patients with unresectable or metastatic GIST that progressed following treatment with imatinib and a second tyrosine kinase inhibitor and for the treatment of patients with unresectable or metastatic GIST with the PDGFRA D842V mutation regardless of prior therapy and for BLU-782 for the treatment of FOP, or even if we receive fast track designation for our other drug candidates, we may not experience a faster development process, review or approval. The FDA may withdraw fast track designation if it believes that the designation is no longer supported by data from our clinical development program.</w:t>
      </w:r>
    </w:p>
    <w:p>
      <w:pPr>
        <w:spacing w:after="0" w:line="17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b w:val="1"/>
          <w:bCs w:val="1"/>
          <w:i w:val="1"/>
          <w:iCs w:val="1"/>
          <w:color w:val="auto"/>
        </w:rPr>
        <w:t>While we have received orphan drug designation for our most advanced drug candidates, avapritinib, pralsetinib and fisogatinib,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70"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fisogatinib for the treatment of HCC and to pralsetinib for the treatment of RET-rearranged NSCLC, JAK1/2-positive NSCLC or TRKC-positive NSCLC.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Similarly, in the European Union, the European Commission grants medicinal product designation after receiving the opinion of the EMA’s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7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the treatment of mastocytosis, fisogatinib for the treatment of HCC and pralsetinib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17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6"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78" w:lineRule="exact"/>
        <w:rPr>
          <w:sz w:val="20"/>
          <w:szCs w:val="20"/>
          <w:color w:val="auto"/>
        </w:rPr>
      </w:pPr>
    </w:p>
    <w:p>
      <w:pPr>
        <w:ind w:left="1340" w:right="360" w:hanging="331"/>
        <w:spacing w:after="0" w:line="262"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80" w:hanging="331"/>
        <w:spacing w:after="0" w:line="262"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46" w:lineRule="exact"/>
        <w:rPr>
          <w:sz w:val="20"/>
          <w:szCs w:val="20"/>
          <w:color w:val="auto"/>
        </w:rPr>
      </w:pPr>
    </w:p>
    <w:p>
      <w:pPr>
        <w:ind w:right="480" w:firstLine="648"/>
        <w:spacing w:after="0" w:line="294"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w:t>
      </w:r>
    </w:p>
    <w:p>
      <w:pPr>
        <w:sectPr>
          <w:pgSz w:w="11900" w:h="16838" w:orient="portrait"/>
          <w:cols w:equalWidth="0" w:num="1">
            <w:col w:w="9060"/>
          </w:cols>
          <w:pgMar w:left="1420" w:top="517" w:right="141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91"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precise incidence and/or prevalence for GIST, SM, RET-altered NSCLC and MTC, HCC and FOP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United States, France, Germany, Italy, Spain, the United Kingdom and Japan, or the Major Markets, there are approximately: 20,700 patients with SM, including 2,600 patients with advanced SM and 18,100 patients with indolent SM and smoldering SM (regardless of severity of symptoms); 500 first-line patients with PDGFRA D842V mutant GIST (including resectable, metastatic and unresectable GIST); 7,500 second-line patients with GIST, including approximately 75%-80% of second-line patients with GIST who do not have a KIT V654A or T670I mutation; 7,400 third-line and later patients with GIST (regardless of alteration); 8,900 first- and second-line patients with RET-altered NSCLC; 1,300 patients with MTC (regardless of line of therapy or alteration); 25,900 first- and second-line patients with FGFR4-activated HCC; and 1,100 patients with FOP.</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The total addressable market opportunity for avapritinib for the treatment of patients with GIST and SM, pralsetinib for the treatment of patients with RET-altered NSCLC and MTC, fisogatinib for the treatment of patients with advanced HCC and BLU-782 for the treatment of patients with FOP will ultimately depend upon, among other things, the diagnosis criteria included in the final label for each of avapritinib, pralsetinib, fisogatinib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we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PDGFRA D842V mutation, it may face competition from other drug candidates in development for these indications, including drug candidates in development by AB Science S.A., Allakos Inc., ARIAD Pharmaceuticals, Inc., a wholly-owned subsidiary of Takeda Pharmaceutical Company Limited, AROG Pharmaceuticals, Inc., Celldex Therapeutics, Inc., and Deciphera Pharmaceuticals, LLC.</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If pralsetinib receives marketing approval for patients with RET-driven cancers, it may face competition from other drug candidates in development, including drug candidates in development by AstraZeneca plc, Boston Pharmaceuticals, Inc., Eisai Inc., Exelixis, Inc., GlaxoSmithKline plc, Loxo Oncology, Inc., a wholly-owned subsidiary of Eli Lilly and Company,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7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color w:val="auto"/>
        </w:rPr>
        <w:t>If fisogatinib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180" w:lineRule="exact"/>
        <w:rPr>
          <w:sz w:val="20"/>
          <w:szCs w:val="20"/>
          <w:color w:val="auto"/>
        </w:rPr>
      </w:pPr>
    </w:p>
    <w:p>
      <w:pPr>
        <w:jc w:val="both"/>
        <w:ind w:right="80" w:firstLine="648"/>
        <w:spacing w:after="0" w:line="248" w:lineRule="auto"/>
        <w:rPr>
          <w:sz w:val="20"/>
          <w:szCs w:val="20"/>
          <w:color w:val="auto"/>
        </w:rPr>
      </w:pPr>
      <w:r>
        <w:rPr>
          <w:rFonts w:ascii="Arial" w:cs="Arial" w:eastAsia="Arial" w:hAnsi="Arial"/>
          <w:sz w:val="18"/>
          <w:szCs w:val="18"/>
          <w:color w:val="auto"/>
        </w:rPr>
        <w:t>If BLU-782 receives marketing approval for FOP, it may face competition from drug candidates in development by Astra Zeneca, BioCryst Pharmaceuticals, Inc., Clementia Pharmaceuticals Inc., a wholly-owned subsidiary of Ipsen Pharma, La Jolla Pharmaceutical Company and Regeneron Pharmaceuticals, Inc.</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9" w:lineRule="exact"/>
        <w:rPr>
          <w:sz w:val="20"/>
          <w:szCs w:val="20"/>
          <w:color w:val="auto"/>
        </w:rPr>
      </w:pPr>
    </w:p>
    <w:p>
      <w:pPr>
        <w:ind w:right="260" w:firstLine="648"/>
        <w:spacing w:after="0" w:line="324"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9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We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90" w:lineRule="exact"/>
        <w:rPr>
          <w:sz w:val="20"/>
          <w:szCs w:val="20"/>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12"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PDGFRA D842V mutation, fisogatinib in order to identify HCC patients with FGFR4 pathway activation and pralsetinib in order to identify NSCLC patients with RET fusions, and we expect to develop a companion diagnostic test with a third party for avapritinib for our planned COMPASS-2L trial in order to select patients with PDGFRA- and KIT-driven second-line GIST who do not test positive for the KIT V654A or T670I mutations.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w:t>
      </w:r>
    </w:p>
    <w:p>
      <w:pPr>
        <w:sectPr>
          <w:pgSz w:w="11900" w:h="16838" w:orient="portrait"/>
          <w:cols w:equalWidth="0" w:num="1">
            <w:col w:w="9060"/>
          </w:cols>
          <w:pgMar w:left="1420" w:top="517" w:right="141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relying on third parties to design, manufacture, obtain regulatory approval for and commercialize the companion diagnostic tests for avapritinib, pralsetinib and fisogatinib,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6" w:lineRule="exact"/>
        <w:rPr>
          <w:sz w:val="20"/>
          <w:szCs w:val="20"/>
          <w:color w:val="auto"/>
        </w:rPr>
      </w:pPr>
    </w:p>
    <w:p>
      <w:pPr>
        <w:ind w:left="1340" w:hanging="331"/>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720" w:hanging="331"/>
        <w:spacing w:after="0" w:line="262"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9" w:lineRule="exact"/>
        <w:rPr>
          <w:rFonts w:ascii="Arial" w:cs="Arial" w:eastAsia="Arial" w:hAnsi="Arial"/>
          <w:sz w:val="18"/>
          <w:szCs w:val="18"/>
          <w:color w:val="auto"/>
        </w:rPr>
      </w:pPr>
    </w:p>
    <w:p>
      <w:pPr>
        <w:jc w:val="both"/>
        <w:ind w:left="1340" w:right="360" w:hanging="331"/>
        <w:spacing w:after="0" w:line="248"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2" w:lineRule="exact"/>
        <w:rPr>
          <w:rFonts w:ascii="Arial" w:cs="Arial" w:eastAsia="Arial" w:hAnsi="Arial"/>
          <w:sz w:val="18"/>
          <w:szCs w:val="18"/>
          <w:color w:val="auto"/>
        </w:rPr>
      </w:pPr>
    </w:p>
    <w:p>
      <w:pPr>
        <w:ind w:left="1340" w:hanging="331"/>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34" w:lineRule="exact"/>
        <w:rPr>
          <w:rFonts w:ascii="Arial" w:cs="Arial" w:eastAsia="Arial" w:hAnsi="Arial"/>
          <w:sz w:val="16"/>
          <w:szCs w:val="16"/>
          <w:color w:val="auto"/>
        </w:rPr>
      </w:pPr>
    </w:p>
    <w:p>
      <w:pPr>
        <w:ind w:left="1340" w:hanging="331"/>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Any delay or failure by us or our collaborators to develop or obtain regulatory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 candidates, or experience delays in doing so:</w:t>
      </w:r>
    </w:p>
    <w:p>
      <w:pPr>
        <w:spacing w:after="0" w:line="188" w:lineRule="exact"/>
        <w:rPr>
          <w:sz w:val="20"/>
          <w:szCs w:val="20"/>
          <w:color w:val="auto"/>
        </w:rPr>
      </w:pPr>
    </w:p>
    <w:p>
      <w:pPr>
        <w:ind w:left="1340" w:right="100" w:hanging="331"/>
        <w:spacing w:after="0" w:line="262"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9" w:lineRule="exact"/>
        <w:rPr>
          <w:rFonts w:ascii="Arial" w:cs="Arial" w:eastAsia="Arial" w:hAnsi="Arial"/>
          <w:sz w:val="18"/>
          <w:szCs w:val="18"/>
          <w:color w:val="auto"/>
        </w:rPr>
      </w:pPr>
    </w:p>
    <w:p>
      <w:pPr>
        <w:ind w:left="1340" w:right="380" w:hanging="331"/>
        <w:spacing w:after="0" w:line="262"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9" w:lineRule="exact"/>
        <w:rPr>
          <w:rFonts w:ascii="Arial" w:cs="Arial" w:eastAsia="Arial" w:hAnsi="Arial"/>
          <w:sz w:val="18"/>
          <w:szCs w:val="18"/>
          <w:color w:val="auto"/>
        </w:rPr>
      </w:pPr>
    </w:p>
    <w:p>
      <w:pPr>
        <w:ind w:left="1340" w:right="20" w:hanging="331"/>
        <w:spacing w:after="0" w:line="248"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21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72"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w:t>
      </w:r>
    </w:p>
    <w:p>
      <w:pPr>
        <w:sectPr>
          <w:pgSz w:w="11900" w:h="16838" w:orient="portrait"/>
          <w:cols w:equalWidth="0" w:num="1">
            <w:col w:w="9060"/>
          </w:cols>
          <w:pgMar w:left="1420" w:top="517" w:right="141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35"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2" w:lineRule="exact"/>
        <w:rPr>
          <w:sz w:val="20"/>
          <w:szCs w:val="20"/>
          <w:color w:val="auto"/>
        </w:rPr>
      </w:pPr>
    </w:p>
    <w:p>
      <w:pPr>
        <w:ind w:right="380" w:firstLine="648"/>
        <w:spacing w:after="0" w:line="27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Middle Class Tax Relief and Job Creation Act of 2012 required that the Centers for Medicare and Medicaid Services,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82"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Since its enactment, some of the provisions of the Affordable Care Act have yet to be fully implemented, while certain provisions have been subject to judicial, congressional, and executive challenges. In 2012, the U.S. Supreme Court upheld certain key aspects of the legislation, including a tax-based shared responsibility payment imposed on certain individuals who fail to maintain qualifying health coverage for all or part of a year, which is commonly the requirement that all individuals maintain health insurance coverage or pay a penalty, referred to as the “individual mandate.” Though Congress has not passed repeal legislation to date, the 2017 Tax Reform Act included a provision which repealed the individual mandate effective January 1, 2019. On December 14, 2018, a U.S. District Court judge in the Northern District of Texas ruled that the individual mandate portion of the Affordable Care Act is an essential and inseverable feature of the Affordable Care Act, and therefore because the mandate was repealed as part of the 2017 Tax Reform Act, the remaining provisions of the Affordable Care Act are invalid as well. The current U.S. President’s Administration and CMS have both stated that the ruling will have no immediate effect, and on December 30, 2018, the Texas District Court judge issued an order staying the judgment pending appeal. On July 9, 2019, a Fifth Circuit U.S. Court of Appeals held a hearing to determine whether certain states and the U.S. House of Representatives have standing to appeal the lower court decision, but it is unclear when the court will render its decision on this hearing, and what effect it will have on the status of the Affordable Care Act. Litigation and legislation over the Affordable Care Act are likely to continue, with unpredictable and uncertain results. We will continue to evaluate the effect that the Affordable Care Act and its possible repeal and replacement has on our business.</w:t>
      </w:r>
    </w:p>
    <w:p>
      <w:pPr>
        <w:spacing w:after="0" w:line="185"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the Centers for Medicare &amp; Medicaid Services, the agency responsible for administering the Medicare program, or CMS,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For example,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would allow Medicare Advantage plans to use pre-authorization and step therapy for six protected classes of drugs, with certain exceptions; permit plans to implement pre-authorization and step therapy in Medicare Part B drugs; change the definition of “negotiated prices”; and add a new definition of “price concession.” It is unclear whether these proposed changes will be accepted, and if so, what effect such changes will have on our business. Congress will likely continue to consider subsequent legislation and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Beyond challenges to the Affordable Care Act, 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8"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9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have not completed building our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9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12" w:lineRule="exact"/>
        <w:rPr>
          <w:sz w:val="20"/>
          <w:szCs w:val="20"/>
          <w:color w:val="auto"/>
        </w:rPr>
      </w:pPr>
    </w:p>
    <w:p>
      <w:pPr>
        <w:ind w:left="1340" w:hanging="331"/>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11" w:lineRule="exact"/>
        <w:rPr>
          <w:rFonts w:ascii="Arial" w:cs="Arial" w:eastAsia="Arial" w:hAnsi="Arial"/>
          <w:sz w:val="18"/>
          <w:szCs w:val="18"/>
          <w:color w:val="auto"/>
        </w:rPr>
      </w:pPr>
    </w:p>
    <w:p>
      <w:pPr>
        <w:ind w:left="1340" w:right="100" w:hanging="331"/>
        <w:spacing w:after="0" w:line="262"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9" w:lineRule="exact"/>
        <w:rPr>
          <w:rFonts w:ascii="Arial" w:cs="Arial" w:eastAsia="Arial" w:hAnsi="Arial"/>
          <w:sz w:val="18"/>
          <w:szCs w:val="18"/>
          <w:color w:val="auto"/>
        </w:rPr>
      </w:pPr>
    </w:p>
    <w:p>
      <w:pPr>
        <w:ind w:left="1340" w:right="460" w:hanging="331"/>
        <w:spacing w:after="0" w:line="262"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3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9"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9" w:lineRule="exact"/>
        <w:rPr>
          <w:sz w:val="20"/>
          <w:szCs w:val="20"/>
          <w:color w:val="auto"/>
        </w:rPr>
      </w:pPr>
    </w:p>
    <w:p>
      <w:pPr>
        <w:ind w:left="1340" w:right="100" w:hanging="331"/>
        <w:spacing w:after="0" w:line="257" w:lineRule="auto"/>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5" w:lineRule="exact"/>
        <w:rPr>
          <w:rFonts w:ascii="Arial" w:cs="Arial" w:eastAsia="Arial" w:hAnsi="Arial"/>
          <w:sz w:val="17"/>
          <w:szCs w:val="17"/>
          <w:color w:val="auto"/>
        </w:rPr>
      </w:pPr>
    </w:p>
    <w:p>
      <w:pPr>
        <w:ind w:left="1340" w:right="60" w:hanging="331"/>
        <w:spacing w:after="0" w:line="276" w:lineRule="auto"/>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2" w:lineRule="exact"/>
        <w:rPr>
          <w:rFonts w:ascii="Arial" w:cs="Arial" w:eastAsia="Arial" w:hAnsi="Arial"/>
          <w:sz w:val="16"/>
          <w:szCs w:val="16"/>
          <w:color w:val="auto"/>
        </w:rPr>
      </w:pPr>
    </w:p>
    <w:p>
      <w:pPr>
        <w:ind w:left="1340" w:right="100" w:hanging="331"/>
        <w:spacing w:after="0" w:line="270" w:lineRule="auto"/>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20"/>
        <w:spacing w:after="0" w:line="248" w:lineRule="auto"/>
        <w:rPr>
          <w:sz w:val="20"/>
          <w:szCs w:val="20"/>
          <w:color w:val="auto"/>
        </w:rPr>
      </w:pPr>
      <w:r>
        <w:rPr>
          <w:rFonts w:ascii="Arial" w:cs="Arial" w:eastAsia="Arial" w:hAnsi="Arial"/>
          <w:sz w:val="18"/>
          <w:szCs w:val="18"/>
          <w:color w:val="auto"/>
        </w:rPr>
        <w:t>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2" w:lineRule="exact"/>
        <w:rPr>
          <w:sz w:val="20"/>
          <w:szCs w:val="20"/>
          <w:color w:val="auto"/>
        </w:rPr>
      </w:pPr>
    </w:p>
    <w:p>
      <w:pPr>
        <w:ind w:left="1340" w:hanging="331"/>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9" w:lineRule="exact"/>
        <w:rPr>
          <w:rFonts w:ascii="Arial" w:cs="Arial" w:eastAsia="Arial" w:hAnsi="Arial"/>
          <w:sz w:val="18"/>
          <w:szCs w:val="18"/>
          <w:color w:val="auto"/>
        </w:rPr>
      </w:pPr>
    </w:p>
    <w:p>
      <w:pPr>
        <w:ind w:left="1340" w:right="40" w:hanging="331"/>
        <w:spacing w:after="0" w:line="257"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75" w:lineRule="exact"/>
        <w:rPr>
          <w:rFonts w:ascii="Arial" w:cs="Arial" w:eastAsia="Arial" w:hAnsi="Arial"/>
          <w:sz w:val="17"/>
          <w:szCs w:val="17"/>
          <w:color w:val="auto"/>
        </w:rPr>
      </w:pPr>
    </w:p>
    <w:p>
      <w:pPr>
        <w:ind w:left="1340" w:right="120" w:hanging="331"/>
        <w:spacing w:after="0" w:line="241"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9" w:lineRule="exact"/>
        <w:rPr>
          <w:rFonts w:ascii="Arial" w:cs="Arial" w:eastAsia="Arial" w:hAnsi="Arial"/>
          <w:sz w:val="18"/>
          <w:szCs w:val="18"/>
          <w:color w:val="auto"/>
        </w:rPr>
      </w:pPr>
    </w:p>
    <w:p>
      <w:pPr>
        <w:ind w:left="1340" w:right="260" w:hanging="331"/>
        <w:spacing w:after="0" w:line="262"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9" w:lineRule="exact"/>
        <w:rPr>
          <w:rFonts w:ascii="Arial" w:cs="Arial" w:eastAsia="Arial" w:hAnsi="Arial"/>
          <w:sz w:val="18"/>
          <w:szCs w:val="18"/>
          <w:color w:val="auto"/>
        </w:rPr>
      </w:pPr>
    </w:p>
    <w:p>
      <w:pPr>
        <w:ind w:left="1340" w:right="40" w:hanging="331"/>
        <w:spacing w:after="0" w:line="254"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On January 31, 2019, the Department of Health and Human Services, or HHS, and HHS Office of Inspector General, or OIG, proposed an amendment to one of the existing anti-kickback safe harbors (42 C.F.R. 1001.952(h)) that would prohibit certain pharmaceutical manufacturers from offering rebates to pharmacy benefit managers in the Medicare Part D and Medicaid managed care programs. The proposed amendment would remove protection for "discounts" from anti-kickback enforcement action and would include criminal and civil penalties for knowingly and willfully offering, paying, soliciting or receiving remuneration to induce or reward the referral of business reimbursable under federal health care programs. At the same time, HHS also proposed to create a new safe harbor to protect point-of-sale discounts that drug manufacturers provide directly to patients and add another safe harbor to protect certain administrative fees paid by manufacturers to pharmacy benefit managers. If this proposal is adopted, in whole or in part, it could affect the pricing and reimbursement for any products for which we receive approval in the future.</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w:t>
      </w:r>
    </w:p>
    <w:p>
      <w:pPr>
        <w:sectPr>
          <w:pgSz w:w="11900" w:h="16838" w:orient="portrait"/>
          <w:cols w:equalWidth="0" w:num="1">
            <w:col w:w="9040"/>
          </w:cols>
          <w:pgMar w:left="1420" w:top="517" w:right="14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compliance with applicable laws, they may be subject to criminal, civil or administrative sanctions, including exclusions from government-funded healthcare programs.</w:t>
      </w:r>
    </w:p>
    <w:p>
      <w:pPr>
        <w:spacing w:after="0" w:line="16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7" w:lineRule="exact"/>
        <w:rPr>
          <w:sz w:val="20"/>
          <w:szCs w:val="20"/>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84"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71" w:lineRule="exact"/>
        <w:rPr>
          <w:rFonts w:ascii="Arial" w:cs="Arial" w:eastAsia="Arial" w:hAnsi="Arial"/>
          <w:sz w:val="18"/>
          <w:szCs w:val="18"/>
          <w:color w:val="auto"/>
        </w:rPr>
      </w:pPr>
    </w:p>
    <w:p>
      <w:pPr>
        <w:ind w:left="1340" w:hanging="331"/>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4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96" w:lineRule="exact"/>
        <w:rPr>
          <w:rFonts w:ascii="Arial" w:cs="Arial" w:eastAsia="Arial" w:hAnsi="Arial"/>
          <w:sz w:val="17"/>
          <w:szCs w:val="17"/>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84"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84"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83"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w:t>
      </w:r>
    </w:p>
    <w:p>
      <w:pPr>
        <w:sectPr>
          <w:pgSz w:w="11900" w:h="16838" w:orient="portrait"/>
          <w:cols w:equalWidth="0" w:num="1">
            <w:col w:w="9040"/>
          </w:cols>
          <w:pgMar w:left="1420" w:top="517" w:right="14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88"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5" w:lineRule="exact"/>
        <w:rPr>
          <w:sz w:val="20"/>
          <w:szCs w:val="20"/>
          <w:color w:val="auto"/>
        </w:rPr>
      </w:pPr>
    </w:p>
    <w:p>
      <w:pPr>
        <w:ind w:right="40" w:firstLine="648"/>
        <w:spacing w:after="0" w:line="263"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9"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7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7"/>
          <w:szCs w:val="17"/>
          <w:color w:val="auto"/>
        </w:rPr>
        <w:t>We may also be restricted under our collaboration agreements with Roche and CStone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be available to us on acceptable terms or at all. If we do not have sufficient funds, we may not be able to further develop our drug candidates or bring them to market and generate drug revenue.</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In addition, our collaborations with Roche and CStone,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agreements with Roche and CStone or any future collaboration agreement could adversely affect us financially or harm our business reputation.</w:t>
      </w:r>
    </w:p>
    <w:p>
      <w:pPr>
        <w:spacing w:after="0" w:line="168"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2"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8"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0" w:lineRule="exact"/>
        <w:rPr>
          <w:sz w:val="20"/>
          <w:szCs w:val="20"/>
          <w:color w:val="auto"/>
        </w:rPr>
      </w:pPr>
    </w:p>
    <w:p>
      <w:pPr>
        <w:ind w:left="1340" w:hanging="331"/>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7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9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76" w:lineRule="exact"/>
        <w:rPr>
          <w:sz w:val="20"/>
          <w:szCs w:val="20"/>
          <w:color w:val="auto"/>
        </w:rPr>
      </w:pPr>
    </w:p>
    <w:p>
      <w:pPr>
        <w:jc w:val="both"/>
        <w:ind w:right="180" w:firstLine="648"/>
        <w:spacing w:after="0" w:line="294" w:lineRule="auto"/>
        <w:rPr>
          <w:sz w:val="20"/>
          <w:szCs w:val="20"/>
          <w:color w:val="auto"/>
        </w:rPr>
      </w:pPr>
      <w:r>
        <w:rPr>
          <w:rFonts w:ascii="Arial" w:cs="Arial" w:eastAsia="Arial" w:hAnsi="Arial"/>
          <w:sz w:val="16"/>
          <w:szCs w:val="16"/>
          <w:color w:val="auto"/>
        </w:rPr>
        <w:t>We do not have any long-term supply agreements with our contract manufacturers, and we purchase our required drug supply, including the API, drug product and drug substance used in our most advanced drug candidates, on a purchase order basis. In addition, we may be unable to establish or maintain any agreements with third-party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59"/>
        <w:spacing w:after="0" w:line="262" w:lineRule="auto"/>
        <w:rPr>
          <w:sz w:val="20"/>
          <w:szCs w:val="20"/>
          <w:color w:val="auto"/>
        </w:rPr>
      </w:pPr>
      <w:r>
        <w:rPr>
          <w:rFonts w:ascii="Arial" w:cs="Arial" w:eastAsia="Arial" w:hAnsi="Arial"/>
          <w:sz w:val="18"/>
          <w:szCs w:val="18"/>
          <w:color w:val="auto"/>
        </w:rPr>
        <w:t>manufacturers or to do so on acceptable terms. Even if we are able to establish and maintain agreements with third-party manufacturers, reliance on third-party manufacturers entails additional risks, including:</w:t>
      </w:r>
    </w:p>
    <w:p>
      <w:pPr>
        <w:spacing w:after="0" w:line="169" w:lineRule="exact"/>
        <w:rPr>
          <w:sz w:val="20"/>
          <w:szCs w:val="20"/>
          <w:color w:val="auto"/>
        </w:rPr>
      </w:pPr>
    </w:p>
    <w:p>
      <w:pPr>
        <w:ind w:left="1340" w:hanging="331"/>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199" w:hanging="331"/>
        <w:spacing w:after="0" w:line="262"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9" w:lineRule="exact"/>
        <w:rPr>
          <w:rFonts w:ascii="Arial" w:cs="Arial" w:eastAsia="Arial" w:hAnsi="Arial"/>
          <w:sz w:val="18"/>
          <w:szCs w:val="18"/>
          <w:color w:val="auto"/>
        </w:rPr>
      </w:pPr>
    </w:p>
    <w:p>
      <w:pPr>
        <w:ind w:left="1340" w:right="539" w:hanging="331"/>
        <w:spacing w:after="0" w:line="262"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9" w:lineRule="exact"/>
        <w:rPr>
          <w:sz w:val="20"/>
          <w:szCs w:val="20"/>
          <w:color w:val="auto"/>
        </w:rPr>
      </w:pPr>
    </w:p>
    <w:p>
      <w:pPr>
        <w:ind w:right="339" w:firstLine="648"/>
        <w:spacing w:after="0" w:line="248"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2" w:lineRule="exact"/>
        <w:rPr>
          <w:sz w:val="20"/>
          <w:szCs w:val="20"/>
          <w:color w:val="auto"/>
        </w:rPr>
      </w:pPr>
    </w:p>
    <w:p>
      <w:pPr>
        <w:jc w:val="both"/>
        <w:ind w:right="139" w:firstLine="648"/>
        <w:spacing w:after="0" w:line="25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74" w:lineRule="exact"/>
        <w:rPr>
          <w:sz w:val="20"/>
          <w:szCs w:val="20"/>
          <w:color w:val="auto"/>
        </w:rPr>
      </w:pPr>
    </w:p>
    <w:p>
      <w:pPr>
        <w:ind w:right="39" w:firstLine="648"/>
        <w:spacing w:after="0" w:line="294"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8" w:lineRule="exact"/>
        <w:rPr>
          <w:sz w:val="20"/>
          <w:szCs w:val="20"/>
          <w:color w:val="auto"/>
        </w:rPr>
      </w:pPr>
    </w:p>
    <w:p>
      <w:pPr>
        <w:ind w:right="23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our most advanced drug candidates are our sole source of supply, and the loss of any of these suppliers could significantly harm our business.</w:t>
      </w:r>
    </w:p>
    <w:p>
      <w:pPr>
        <w:spacing w:after="0" w:line="182" w:lineRule="exact"/>
        <w:rPr>
          <w:sz w:val="20"/>
          <w:szCs w:val="20"/>
          <w:color w:val="auto"/>
        </w:rPr>
      </w:pPr>
    </w:p>
    <w:p>
      <w:pPr>
        <w:ind w:right="39" w:firstLine="648"/>
        <w:spacing w:after="0" w:line="271" w:lineRule="auto"/>
        <w:rPr>
          <w:sz w:val="20"/>
          <w:szCs w:val="20"/>
          <w:color w:val="auto"/>
        </w:rPr>
      </w:pPr>
      <w:r>
        <w:rPr>
          <w:rFonts w:ascii="Arial" w:cs="Arial" w:eastAsia="Arial" w:hAnsi="Arial"/>
          <w:sz w:val="16"/>
          <w:szCs w:val="16"/>
          <w:color w:val="auto"/>
        </w:rPr>
        <w:t>The API, drug substance and drug product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70" w:lineRule="exact"/>
        <w:rPr>
          <w:sz w:val="20"/>
          <w:szCs w:val="20"/>
          <w:color w:val="auto"/>
        </w:rPr>
      </w:pPr>
    </w:p>
    <w:p>
      <w:pPr>
        <w:ind w:right="59" w:firstLine="648"/>
        <w:spacing w:after="0" w:line="25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jc w:val="both"/>
        <w:ind w:right="319" w:firstLine="648"/>
        <w:spacing w:after="0" w:line="271" w:lineRule="auto"/>
        <w:rPr>
          <w:sz w:val="20"/>
          <w:szCs w:val="20"/>
          <w:color w:val="auto"/>
        </w:rPr>
      </w:pPr>
      <w:r>
        <w:rPr>
          <w:rFonts w:ascii="Arial" w:cs="Arial" w:eastAsia="Arial" w:hAnsi="Arial"/>
          <w:sz w:val="16"/>
          <w:szCs w:val="16"/>
          <w:color w:val="auto"/>
        </w:rPr>
        <w:t>Establishing additional or replacement suppliers for the API, drug substance and drug product used in our drug candidates, if required, may not be accomplished quickly. If we are able to find a replacement supplier, such replacement supplier would need to be qualified and may require additional regulatory approval, which could result in further delay.</w:t>
      </w:r>
    </w:p>
    <w:p>
      <w:pPr>
        <w:ind w:right="79"/>
        <w:spacing w:after="0" w:line="303" w:lineRule="auto"/>
        <w:rPr>
          <w:sz w:val="20"/>
          <w:szCs w:val="20"/>
          <w:color w:val="auto"/>
        </w:rPr>
      </w:pPr>
      <w:r>
        <w:rPr>
          <w:rFonts w:ascii="Arial" w:cs="Arial" w:eastAsia="Arial" w:hAnsi="Arial"/>
          <w:sz w:val="16"/>
          <w:szCs w:val="16"/>
          <w:color w:val="auto"/>
        </w:rPr>
        <w:t>While we seek to maintain adequate inventory of the API, drug substance and drug product used in our drug candidates, any interruption or delay in the supply of components or materials, or our inability to obtain such API, drug substance</w:t>
      </w:r>
    </w:p>
    <w:p>
      <w:pPr>
        <w:sectPr>
          <w:pgSz w:w="11900" w:h="16838" w:orient="portrait"/>
          <w:cols w:equalWidth="0" w:num="1">
            <w:col w:w="9039"/>
          </w:cols>
          <w:pgMar w:left="1420" w:top="517" w:right="1440" w:bottom="144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color w:val="auto"/>
        </w:rPr>
        <w:t>and drug product from alternate sources at acceptable prices in a timely manner could impede, delay, limit or prevent our development efforts, which could harm our business, results of operations, financial condition and prospects.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candidates, avapritinib and pralsetinib, as well as our other most advanced drug candidates, fisogatinib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We own patents and patent applications that relate to avapritinib, pralsetinib, fisogatinib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 novel compounds. The issued U.S. patent directed to avapritinib composition of matter has a statutory expiration date in 2034, the issued U.S. patent directed to fisogatinib composition of matter has a statutory expiration date in 2034, the issued U.S. patent directed to pralsetinib composition of matter has a statutory expiration date in 2036 and the issued U.S. patent directed to BLU-782 composition of matter has a statutory expiration date in 2037.</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As of July 15, 2019, we owned nine issued U.S. patents, ten issued foreign patents, including one European patent validated in 38 countries, one European patent validated in 3 countries, two pending U.S. non-provisional patent applications, five pending U.S. provisional patent applications, 37 pending foreign patent applications and one pending Patent Cooperation Treaty, or PCT, international patent application directed to our KIT program, including avapritinib. Our foreign patent filings are in a number of jurisdictions, including Australia, Argentina, Brazil, Bolivia, Canada, China, the European Union, Hong Kong, Israel, India, Japan, Lebanon, Mexico, New Zealand, Pakistan, Paraguay, Philippines, Russia, Singapore, South Africa, South Korea, Taiwan, Uruguay and Venezuela. Any U.S. or ex-U.S. patents issuing from the pending applications covering avapritinib will have a statutory expiration date between October 2034 and April 2040. Patent term adjustments or patent term extensions could result in later expiration dates.</w:t>
      </w:r>
    </w:p>
    <w:p>
      <w:pPr>
        <w:spacing w:after="0" w:line="177"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As of July 15, 2019, we owned five issued U.S. patents, two pending U.S. non-provisional patent applications, two pending PCT international applications, 28 pending foreign patent applications and three pending U.S. provisional patent applications directed to our RET program, including pralsetinib. Our foreign patent filings are in a number of jurisdictions, including Argentina, Australia, Brazil, Canada, China, Chile, Ecuador, Eurasia, the European Union, Israel, India, Japan, Lebanon, Malaysia, Mexico, New Zealand, Philippines, Saudi Arabia, Singapore, South Africa, South Korea, Taiwan, Thailand, the United Arab Emirates and Uruguay. Any U.S. or ex-U.S. patent issuing from the pending applications covering pralsetinib will have a statutory expiration date between November 2036 and August 2039. Patent term adjustments or patent term extensions could result in later expiration dates.</w:t>
      </w:r>
    </w:p>
    <w:p>
      <w:pPr>
        <w:spacing w:after="0" w:line="18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As of July 15, 2019, we owned eight issued U.S. patents, three pending U.S. non-provisional patent applications, 14 issued foreign patents and 36 pending foreign patent applications directed to our FGFR4 program, including fisogatinib.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Venezuela and Vietnam. Any U.S. or ex-U.S. patent issuing from the pending applications covering fisogatinib will have a statutory expiration date between July 2033 and September 2037. Patent term adjustments or patent term extensions could result in later expiration dates.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7"/>
          <w:szCs w:val="17"/>
          <w:color w:val="auto"/>
        </w:rPr>
        <w:t>As of July 15, 2019, we owned one issued U.S. patent, one pending U.S. non-provisional patent application, one pending PCT international application and 15 pending foreign patent applications directed to our ALK2 program, including BLU-782. Our foreign patent filings are in a number of jurisdictions, including Australia, Brazil, Canada, China, Chile, the European Union, Israel, Japan, South Korea, Mexico, New Zealand, Eurasia and South Africa. Any U.S. or ex-U.S. patent issuing from pending applications covering BLU-782 will have a statutory expiration date of April 2037. Patent term adjustments or patent term extensions could result in later expiration dates.</w:t>
      </w:r>
    </w:p>
    <w:p>
      <w:pPr>
        <w:spacing w:after="0" w:line="17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July 15, 2019, we owned one issued U.S. patent, nine pending U.S. non-provisional patent applications, eight pending European patent applications and two issued European patents (validated in the UK) directed to this technology. Any U.S. or ex-U.S. patent issuing from the pending applications directed to this technology, if issued, will have statutory expiration dates ranging from 2034 to 2035.</w:t>
      </w:r>
    </w:p>
    <w:p>
      <w:pPr>
        <w:spacing w:after="0" w:line="190"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pralsetinib, fisogatinib, BLU-782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84"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w:t>
      </w:r>
    </w:p>
    <w:p>
      <w:pPr>
        <w:sectPr>
          <w:pgSz w:w="11900" w:h="16838" w:orient="portrait"/>
          <w:cols w:equalWidth="0" w:num="1">
            <w:col w:w="9060"/>
          </w:cols>
          <w:pgMar w:left="1420" w:top="517"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0" w:lineRule="exact"/>
        <w:rPr>
          <w:sz w:val="20"/>
          <w:szCs w:val="20"/>
          <w:color w:val="auto"/>
        </w:rPr>
      </w:pPr>
    </w:p>
    <w:p>
      <w:pPr>
        <w:ind w:right="260" w:firstLine="648"/>
        <w:spacing w:after="0" w:line="274"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4"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4"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w:t>
      </w:r>
    </w:p>
    <w:p>
      <w:pPr>
        <w:sectPr>
          <w:pgSz w:w="11900" w:h="16838" w:orient="portrait"/>
          <w:cols w:equalWidth="0" w:num="1">
            <w:col w:w="9040"/>
          </w:cols>
          <w:pgMar w:left="1420" w:top="517" w:right="14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9"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79"/>
        <w:spacing w:after="0" w:line="291" w:lineRule="auto"/>
        <w:rPr>
          <w:sz w:val="20"/>
          <w:szCs w:val="20"/>
          <w:color w:val="auto"/>
        </w:rPr>
      </w:pPr>
      <w:r>
        <w:rPr>
          <w:rFonts w:ascii="Arial" w:cs="Arial" w:eastAsia="Arial" w:hAnsi="Arial"/>
          <w:sz w:val="17"/>
          <w:szCs w:val="17"/>
          <w:color w:val="auto"/>
        </w:rPr>
        <w:t>stop infringing activities is inadequate. These drugs may compete with our drug candidates, and our patents or other intellectual property rights may not be effective or sufficient to prevent them from competing.</w:t>
      </w:r>
    </w:p>
    <w:p>
      <w:pPr>
        <w:spacing w:after="0" w:line="147" w:lineRule="exact"/>
        <w:rPr>
          <w:sz w:val="20"/>
          <w:szCs w:val="20"/>
          <w:color w:val="auto"/>
        </w:rPr>
      </w:pPr>
    </w:p>
    <w:p>
      <w:pPr>
        <w:ind w:right="59" w:firstLine="648"/>
        <w:spacing w:after="0" w:line="25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74" w:lineRule="exact"/>
        <w:rPr>
          <w:sz w:val="20"/>
          <w:szCs w:val="20"/>
          <w:color w:val="auto"/>
        </w:rPr>
      </w:pPr>
    </w:p>
    <w:p>
      <w:pPr>
        <w:ind w:right="399"/>
        <w:spacing w:after="0" w:line="262"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9" w:lineRule="exact"/>
        <w:rPr>
          <w:sz w:val="20"/>
          <w:szCs w:val="20"/>
          <w:color w:val="auto"/>
        </w:rPr>
      </w:pPr>
    </w:p>
    <w:p>
      <w:pPr>
        <w:ind w:right="19" w:firstLine="648"/>
        <w:spacing w:after="0" w:line="252"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1" w:lineRule="exact"/>
        <w:rPr>
          <w:sz w:val="20"/>
          <w:szCs w:val="20"/>
          <w:color w:val="auto"/>
        </w:rPr>
      </w:pPr>
    </w:p>
    <w:p>
      <w:pPr>
        <w:ind w:right="5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46" w:lineRule="exact"/>
        <w:rPr>
          <w:sz w:val="20"/>
          <w:szCs w:val="20"/>
          <w:color w:val="auto"/>
        </w:rPr>
      </w:pPr>
    </w:p>
    <w:p>
      <w:pPr>
        <w:ind w:right="19" w:firstLine="648"/>
        <w:spacing w:after="0" w:line="269"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9" w:lineRule="exact"/>
        <w:rPr>
          <w:sz w:val="20"/>
          <w:szCs w:val="20"/>
          <w:color w:val="auto"/>
        </w:rPr>
      </w:pPr>
    </w:p>
    <w:p>
      <w:pPr>
        <w:ind w:right="139" w:firstLine="648"/>
        <w:spacing w:after="0" w:line="270"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90" w:lineRule="exact"/>
        <w:rPr>
          <w:sz w:val="20"/>
          <w:szCs w:val="20"/>
          <w:color w:val="auto"/>
        </w:rPr>
      </w:pPr>
    </w:p>
    <w:p>
      <w:pPr>
        <w:ind w:right="60"/>
        <w:spacing w:after="0" w:line="362"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4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Operating Officer, Michael Landsittel, our Chief Financial Officer, Tracey McCain, our Chief Legal and Compliance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competition for the hiring of scientific and clinical personnel from universities and research institutions. Failure to succeed in clinical trials may make it more challenging to recruit and retain qualified scientific personnel.</w:t>
      </w:r>
    </w:p>
    <w:p>
      <w:pPr>
        <w:spacing w:after="0" w:line="1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As of July 15, 2019, we had 264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Given the lack of comparable precedent, it is unclear what financial, trade and legal implications the withdrawal of the United Kingdom from the European Union would have and how such withdrawal would affect us.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Without further agreement between the United Kingdom and the European Union, the United Kingdom will formally leave the European Union in October 2019, subject to earlier withdrawal if an agreement is reached prior to that time or if certain conditions imposed by the European Union are not met.</w:t>
      </w:r>
    </w:p>
    <w:p>
      <w:pPr>
        <w:spacing w:after="0" w:line="172"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For example, Brexit could result in the United Kingdom or the European Union significantly altering its regulations affecting the clearance or approval of our product candidates that are developed in the United Kingdom. Any new regulations could add time and expense to the conduct of our business, as well as the process by which our products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2" w:lineRule="exact"/>
        <w:rPr>
          <w:sz w:val="20"/>
          <w:szCs w:val="20"/>
          <w:color w:val="auto"/>
        </w:rPr>
      </w:pPr>
    </w:p>
    <w:p>
      <w:pPr>
        <w:ind w:right="280"/>
        <w:spacing w:after="0" w:line="322"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8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96" w:lineRule="exact"/>
        <w:rPr>
          <w:sz w:val="20"/>
          <w:szCs w:val="20"/>
          <w:color w:val="auto"/>
        </w:rPr>
      </w:pPr>
    </w:p>
    <w:p>
      <w:pPr>
        <w:jc w:val="both"/>
        <w:ind w:right="380"/>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8"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w:t>
      </w:r>
    </w:p>
    <w:p>
      <w:pPr>
        <w:sectPr>
          <w:pgSz w:w="11900" w:h="16838" w:orient="portrait"/>
          <w:cols w:equalWidth="0" w:num="1">
            <w:col w:w="9040"/>
          </w:cols>
          <w:pgMar w:left="1420" w:top="517" w:right="14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will be subject to the California Consumer Privacy Act, which takes effect January 1, 2020 and will impose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377"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w:t>
      </w:r>
    </w:p>
    <w:p>
      <w:pPr>
        <w:sectPr>
          <w:pgSz w:w="11900" w:h="16838" w:orient="portrait"/>
          <w:cols w:equalWidth="0" w:num="1">
            <w:col w:w="9060"/>
          </w:cols>
          <w:pgMar w:left="1420" w:top="517" w:right="141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prevent us from realizing their expected benefits or enhancing our business. We cannot assure you that, following any such acquisition, we will achieve the expected synergies to justify the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9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July 31, 2019. As a result of this volatility, our stockholders could incur substantial losses. In addition, the market price for our common stock may be influenced by many factors, including:</w:t>
      </w:r>
    </w:p>
    <w:p>
      <w:pPr>
        <w:spacing w:after="0" w:line="191" w:lineRule="exact"/>
        <w:rPr>
          <w:sz w:val="20"/>
          <w:szCs w:val="20"/>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23" w:lineRule="exact"/>
        <w:rPr>
          <w:rFonts w:ascii="Arial" w:cs="Arial" w:eastAsia="Arial" w:hAnsi="Arial"/>
          <w:sz w:val="17"/>
          <w:szCs w:val="17"/>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40" w:right="1240" w:hanging="331"/>
        <w:spacing w:after="0" w:line="262"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right="7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2" w:lineRule="exact"/>
        <w:rPr>
          <w:sz w:val="20"/>
          <w:szCs w:val="20"/>
          <w:color w:val="auto"/>
        </w:rPr>
      </w:pPr>
    </w:p>
    <w:p>
      <w:pPr>
        <w:ind w:right="79"/>
        <w:spacing w:after="0" w:line="262"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9" w:lineRule="exact"/>
        <w:rPr>
          <w:sz w:val="20"/>
          <w:szCs w:val="20"/>
          <w:color w:val="auto"/>
        </w:rPr>
      </w:pPr>
    </w:p>
    <w:p>
      <w:pPr>
        <w:ind w:right="139" w:firstLine="648"/>
        <w:spacing w:after="0" w:line="279"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0" w:lineRule="exact"/>
        <w:rPr>
          <w:sz w:val="20"/>
          <w:szCs w:val="20"/>
          <w:color w:val="auto"/>
        </w:rPr>
      </w:pPr>
    </w:p>
    <w:p>
      <w:pPr>
        <w:ind w:right="319"/>
        <w:spacing w:after="0" w:line="262"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9" w:lineRule="exact"/>
        <w:rPr>
          <w:sz w:val="20"/>
          <w:szCs w:val="20"/>
          <w:color w:val="auto"/>
        </w:rPr>
      </w:pPr>
    </w:p>
    <w:p>
      <w:pPr>
        <w:ind w:right="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0" w:lineRule="exact"/>
        <w:rPr>
          <w:sz w:val="20"/>
          <w:szCs w:val="20"/>
          <w:color w:val="auto"/>
        </w:rPr>
      </w:pPr>
    </w:p>
    <w:p>
      <w:pPr>
        <w:ind w:right="33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7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4" w:lineRule="exact"/>
        <w:rPr>
          <w:sz w:val="20"/>
          <w:szCs w:val="20"/>
          <w:color w:val="auto"/>
        </w:rPr>
      </w:pPr>
    </w:p>
    <w:p>
      <w:pPr>
        <w:ind w:left="1340" w:hanging="33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40" w:right="159" w:hanging="331"/>
        <w:spacing w:after="0" w:line="262"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9"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2" w:lineRule="exact"/>
        <w:rPr>
          <w:sz w:val="20"/>
          <w:szCs w:val="20"/>
          <w:color w:val="auto"/>
        </w:rPr>
      </w:pPr>
    </w:p>
    <w:p>
      <w:pPr>
        <w:ind w:right="380"/>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1"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w:t>
      </w:r>
    </w:p>
    <w:p>
      <w:pPr>
        <w:sectPr>
          <w:pgSz w:w="11900" w:h="16838" w:orient="portrait"/>
          <w:cols w:equalWidth="0" w:num="1">
            <w:col w:w="9040"/>
          </w:cols>
          <w:pgMar w:left="1420" w:top="517" w:right="14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90" w:lineRule="exact"/>
        <w:rPr>
          <w:sz w:val="20"/>
          <w:szCs w:val="20"/>
          <w:color w:val="auto"/>
        </w:rPr>
      </w:pPr>
    </w:p>
    <w:p>
      <w:pPr>
        <w:ind w:right="940"/>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$464.9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60" w:type="dxa"/>
            <w:vAlign w:val="bottom"/>
            <w:gridSpan w:val="6"/>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60" w:type="dxa"/>
            <w:vAlign w:val="bottom"/>
            <w:tcBorders>
              <w:bottom w:val="single" w:sz="8" w:color="auto"/>
            </w:tcBorders>
            <w:gridSpan w:val="6"/>
          </w:tcPr>
          <w:p>
            <w:pPr>
              <w:ind w:left="306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20" w:type="dxa"/>
            <w:vAlign w:val="bottom"/>
          </w:tcPr>
          <w:p>
            <w:pPr>
              <w:spacing w:after="0"/>
              <w:rPr>
                <w:sz w:val="14"/>
                <w:szCs w:val="14"/>
                <w:color w:val="auto"/>
              </w:rPr>
            </w:pPr>
          </w:p>
        </w:tc>
        <w:tc>
          <w:tcPr>
            <w:tcW w:w="860" w:type="dxa"/>
            <w:vAlign w:val="bottom"/>
          </w:tcPr>
          <w:p>
            <w:pPr>
              <w:jc w:val="right"/>
              <w:ind w:right="370"/>
              <w:spacing w:after="0" w:line="170" w:lineRule="exact"/>
              <w:rPr>
                <w:sz w:val="20"/>
                <w:szCs w:val="20"/>
                <w:color w:val="auto"/>
              </w:rPr>
            </w:pPr>
            <w:r>
              <w:rPr>
                <w:rFonts w:ascii="Arial" w:cs="Arial" w:eastAsia="Arial" w:hAnsi="Arial"/>
                <w:sz w:val="18"/>
                <w:szCs w:val="18"/>
                <w:color w:val="auto"/>
                <w:w w:val="90"/>
              </w:rPr>
              <w:t>31.1*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60" w:type="dxa"/>
            <w:vAlign w:val="bottom"/>
            <w:gridSpan w:val="6"/>
          </w:tcPr>
          <w:p>
            <w:pPr>
              <w:spacing w:after="0" w:line="170"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Certification of Principal Executive Officer pursuant to Rule 13a-14(a) or Rule 15d-14(a) of the Exchange</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Act, as adopted pursuant to Section 302 of the Sarbanes-Oxley Act of 2002</w:t>
              </w:r>
            </w:hyperlink>
          </w:p>
        </w:tc>
        <w:tc>
          <w:tcPr>
            <w:tcW w:w="222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91"/>
        </w:trPr>
        <w:tc>
          <w:tcPr>
            <w:tcW w:w="880" w:type="dxa"/>
            <w:vAlign w:val="bottom"/>
            <w:gridSpan w:val="2"/>
          </w:tcPr>
          <w:p>
            <w:pPr>
              <w:jc w:val="right"/>
              <w:ind w:right="370"/>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Certification of Principal Financial Officer pursuant to Rule 13a-14(a) or Rule 15d-14(a) of the Exchange</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Act, as adopted pursuant to Section 302 of the Sarbanes-Oxley Act of 2002</w:t>
              </w:r>
            </w:hyperlink>
          </w:p>
        </w:tc>
        <w:tc>
          <w:tcPr>
            <w:tcW w:w="2180" w:type="dxa"/>
            <w:vAlign w:val="bottom"/>
            <w:tcBorders>
              <w:top w:val="single" w:sz="8" w:color="0000EE"/>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Certifications of Principal Executive Officer and Principal Financial Officer pursuant to 18 U.S.C. Section</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1350, as adopted pursuant to Section 906 of the Sarbanes-Oxley Act of 2002</w:t>
              </w:r>
            </w:hyperlink>
          </w:p>
        </w:tc>
        <w:tc>
          <w:tcPr>
            <w:tcW w:w="2140" w:type="dxa"/>
            <w:vAlign w:val="bottom"/>
            <w:tcBorders>
              <w:top w:val="single" w:sz="8" w:color="0000EE"/>
            </w:tcBorders>
            <w:gridSpan w:val="3"/>
          </w:tcPr>
          <w:p>
            <w:pPr>
              <w:spacing w:after="0"/>
              <w:rPr>
                <w:sz w:val="15"/>
                <w:szCs w:val="15"/>
                <w:color w:val="auto"/>
              </w:rPr>
            </w:pPr>
          </w:p>
        </w:tc>
        <w:tc>
          <w:tcPr>
            <w:tcW w:w="220" w:type="dxa"/>
            <w:vAlign w:val="bottom"/>
          </w:tcPr>
          <w:p>
            <w:pPr>
              <w:spacing w:after="0"/>
              <w:rPr>
                <w:sz w:val="15"/>
                <w:szCs w:val="15"/>
                <w:color w:val="auto"/>
              </w:rPr>
            </w:pPr>
          </w:p>
        </w:tc>
      </w:tr>
      <w:tr>
        <w:trPr>
          <w:trHeight w:val="303"/>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11"/>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1"/>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1"/>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1"/>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1"/>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ind w:left="180" w:right="139" w:hanging="171"/>
        <w:spacing w:after="0" w:line="243"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33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spacing w:after="0"/>
        <w:tabs>
          <w:tab w:leader="none" w:pos="4320" w:val="left"/>
          <w:tab w:leader="none" w:pos="476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23495</wp:posOffset>
            </wp:positionV>
            <wp:extent cx="2718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252" w:lineRule="exact"/>
        <w:rPr>
          <w:sz w:val="20"/>
          <w:szCs w:val="20"/>
          <w:color w:val="auto"/>
        </w:rPr>
      </w:pPr>
    </w:p>
    <w:p>
      <w:pPr>
        <w:spacing w:after="0"/>
        <w:tabs>
          <w:tab w:leader="none" w:pos="4320" w:val="left"/>
          <w:tab w:leader="none" w:pos="476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23495</wp:posOffset>
            </wp:positionV>
            <wp:extent cx="2718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0" w:name="page81"/>
    <w:bookmarkEnd w:id="80"/>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441960</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1" w:name="page82"/>
    <w:bookmarkEnd w:id="81"/>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Chief Financial Officer</w:t>
      </w: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441960</wp:posOffset>
            </wp:positionV>
            <wp:extent cx="554863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2" w:name="page83"/>
    <w:bookmarkEnd w:id="82"/>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June 30, 2019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wp:posOffset>
            </wp:positionV>
            <wp:extent cx="2546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55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Chief Financial Officer</w:t>
      </w:r>
    </w:p>
    <w:p>
      <w:pPr>
        <w:ind w:left="48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441960</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lvl w:ilvl="1">
      <w:lvlJc w:val="left"/>
      <w:lvlText w:val="(%2)"/>
      <w:numFmt w:val="decimal"/>
      <w:start w:val="1"/>
    </w:lvl>
  </w:abstractNum>
  <w:abstractNum w:abstractNumId="7">
    <w:nsid w:val="54E49EB4"/>
    <w:multiLevelType w:val="hybridMultilevel"/>
    <w:lvl w:ilvl="0">
      <w:lvlJc w:val="left"/>
      <w:lvlText w:val="%1."/>
      <w:numFmt w:val="decimal"/>
      <w:start w:val="12"/>
    </w:lvl>
    <w:lvl w:ilvl="1">
      <w:lvlJc w:val="left"/>
      <w:lvlText w:val="%2"/>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2019-12-28T09:37:42Z</dcterms:created>
  <dcterms:modified xsi:type="dcterms:W3CDTF">2019-12-28T09:37:42Z</dcterms:modified>
</cp:coreProperties>
</file>