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4"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26-3632015</w:t>
            </w:r>
          </w:p>
        </w:tc>
      </w:tr>
      <w:tr>
        <w:trPr>
          <w:trHeight w:val="121"/>
        </w:trPr>
        <w:tc>
          <w:tcPr>
            <w:tcW w:w="2500" w:type="dxa"/>
            <w:vAlign w:val="bottom"/>
          </w:tcPr>
          <w:p>
            <w:pPr>
              <w:jc w:val="center"/>
              <w:ind w:right="34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3980" w:type="dxa"/>
            <w:vAlign w:val="bottom"/>
          </w:tcPr>
          <w:p>
            <w:pPr>
              <w:jc w:val="center"/>
              <w:ind w:left="304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00" w:type="dxa"/>
            <w:vAlign w:val="bottom"/>
          </w:tcPr>
          <w:p>
            <w:pPr>
              <w:jc w:val="center"/>
              <w:ind w:right="368"/>
              <w:spacing w:after="0"/>
              <w:rPr>
                <w:sz w:val="20"/>
                <w:szCs w:val="20"/>
                <w:color w:val="auto"/>
              </w:rPr>
            </w:pPr>
            <w:r>
              <w:rPr>
                <w:rFonts w:ascii="Arial" w:cs="Arial" w:eastAsia="Arial" w:hAnsi="Arial"/>
                <w:sz w:val="11"/>
                <w:szCs w:val="11"/>
                <w:b w:val="1"/>
                <w:bCs w:val="1"/>
                <w:color w:val="auto"/>
                <w:w w:val="91"/>
              </w:rPr>
              <w:t>Incorporation or Organization)</w:t>
            </w:r>
          </w:p>
        </w:tc>
        <w:tc>
          <w:tcPr>
            <w:tcW w:w="3980" w:type="dxa"/>
            <w:vAlign w:val="bottom"/>
          </w:tcPr>
          <w:p>
            <w:pPr>
              <w:jc w:val="center"/>
              <w:ind w:left="3048"/>
              <w:spacing w:after="0"/>
              <w:rPr>
                <w:sz w:val="20"/>
                <w:szCs w:val="20"/>
                <w:color w:val="auto"/>
              </w:rPr>
            </w:pPr>
            <w:r>
              <w:rPr>
                <w:rFonts w:ascii="Arial" w:cs="Arial" w:eastAsia="Arial" w:hAnsi="Arial"/>
                <w:sz w:val="11"/>
                <w:szCs w:val="11"/>
                <w:b w:val="1"/>
                <w:bCs w:val="1"/>
                <w:color w:val="auto"/>
                <w:w w:val="92"/>
              </w:rPr>
              <w:t>Identification No.)</w:t>
            </w:r>
          </w:p>
        </w:tc>
      </w:tr>
      <w:tr>
        <w:trPr>
          <w:trHeight w:val="301"/>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88"/>
              </w:rPr>
              <w:t>45 Sidney Street</w:t>
            </w:r>
          </w:p>
        </w:tc>
        <w:tc>
          <w:tcPr>
            <w:tcW w:w="3980" w:type="dxa"/>
            <w:vAlign w:val="bottom"/>
          </w:tcPr>
          <w:p>
            <w:pPr>
              <w:spacing w:after="0"/>
              <w:rPr>
                <w:sz w:val="24"/>
                <w:szCs w:val="24"/>
                <w:color w:val="auto"/>
              </w:rPr>
            </w:pPr>
          </w:p>
        </w:tc>
      </w:tr>
      <w:tr>
        <w:trPr>
          <w:trHeight w:val="207"/>
        </w:trPr>
        <w:tc>
          <w:tcPr>
            <w:tcW w:w="250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Cambridge, Massachusetts</w:t>
            </w:r>
          </w:p>
        </w:tc>
        <w:tc>
          <w:tcPr>
            <w:tcW w:w="3980" w:type="dxa"/>
            <w:vAlign w:val="bottom"/>
          </w:tcPr>
          <w:p>
            <w:pPr>
              <w:jc w:val="right"/>
              <w:ind w:right="128"/>
              <w:spacing w:after="0"/>
              <w:rPr>
                <w:sz w:val="20"/>
                <w:szCs w:val="20"/>
                <w:color w:val="auto"/>
              </w:rPr>
            </w:pPr>
            <w:r>
              <w:rPr>
                <w:rFonts w:ascii="Arial" w:cs="Arial" w:eastAsia="Arial" w:hAnsi="Arial"/>
                <w:sz w:val="18"/>
                <w:szCs w:val="18"/>
                <w:b w:val="1"/>
                <w:bCs w:val="1"/>
                <w:color w:val="auto"/>
              </w:rPr>
              <w:t>02139</w:t>
            </w:r>
          </w:p>
        </w:tc>
      </w:tr>
      <w:tr>
        <w:trPr>
          <w:trHeight w:val="117"/>
        </w:trPr>
        <w:tc>
          <w:tcPr>
            <w:tcW w:w="2500" w:type="dxa"/>
            <w:vAlign w:val="bottom"/>
          </w:tcPr>
          <w:p>
            <w:pPr>
              <w:jc w:val="center"/>
              <w:ind w:right="34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3980" w:type="dxa"/>
            <w:vAlign w:val="bottom"/>
          </w:tcPr>
          <w:p>
            <w:pPr>
              <w:jc w:val="center"/>
              <w:ind w:left="304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00" w:type="dxa"/>
            <w:vAlign w:val="bottom"/>
          </w:tcPr>
          <w:p>
            <w:pPr>
              <w:spacing w:after="0"/>
              <w:rPr>
                <w:sz w:val="19"/>
                <w:szCs w:val="19"/>
                <w:color w:val="auto"/>
              </w:rPr>
            </w:pPr>
          </w:p>
        </w:tc>
        <w:tc>
          <w:tcPr>
            <w:tcW w:w="3980" w:type="dxa"/>
            <w:vAlign w:val="bottom"/>
          </w:tcPr>
          <w:p>
            <w:pPr>
              <w:jc w:val="right"/>
              <w:ind w:right="2368"/>
              <w:spacing w:after="0"/>
              <w:rPr>
                <w:sz w:val="20"/>
                <w:szCs w:val="20"/>
                <w:color w:val="auto"/>
              </w:rPr>
            </w:pPr>
            <w:r>
              <w:rPr>
                <w:rFonts w:ascii="Arial" w:cs="Arial" w:eastAsia="Arial" w:hAnsi="Arial"/>
                <w:sz w:val="18"/>
                <w:szCs w:val="18"/>
                <w:b w:val="1"/>
                <w:bCs w:val="1"/>
                <w:color w:val="auto"/>
              </w:rPr>
              <w:t>(617) 374-7580</w:t>
            </w:r>
          </w:p>
        </w:tc>
      </w:tr>
    </w:tbl>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10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9" w:lineRule="exact"/>
        <w:rPr>
          <w:sz w:val="24"/>
          <w:szCs w:val="24"/>
          <w:color w:val="auto"/>
        </w:rPr>
      </w:pPr>
    </w:p>
    <w:p>
      <w:pPr>
        <w:ind w:right="320" w:firstLine="41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90" w:lineRule="exact"/>
        <w:rPr>
          <w:sz w:val="24"/>
          <w:szCs w:val="24"/>
          <w:color w:val="auto"/>
        </w:rPr>
      </w:pPr>
    </w:p>
    <w:p>
      <w:pPr>
        <w:ind w:left="174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7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60"/>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3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20"/>
            <w:col w:w="2800" w:space="720"/>
            <w:col w:w="1560" w:space="80"/>
            <w:col w:w="1740"/>
          </w:cols>
          <w:pgMar w:left="980" w:top="665" w:right="979" w:bottom="1440" w:gutter="0" w:footer="0" w:header="0"/>
          <w:type w:val="continuous"/>
        </w:sectPr>
      </w:pPr>
    </w:p>
    <w:p>
      <w:pPr>
        <w:spacing w:after="0" w:line="18" w:lineRule="exact"/>
        <w:rPr>
          <w:sz w:val="24"/>
          <w:szCs w:val="24"/>
          <w:color w:val="auto"/>
        </w:rPr>
      </w:pPr>
    </w:p>
    <w:p>
      <w:pPr>
        <w:ind w:left="65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8" w:lineRule="exact"/>
        <w:rPr>
          <w:sz w:val="24"/>
          <w:szCs w:val="24"/>
          <w:color w:val="auto"/>
        </w:rPr>
      </w:pPr>
    </w:p>
    <w:p>
      <w:pPr>
        <w:sectPr>
          <w:pgSz w:w="11900" w:h="16838" w:orient="portrait"/>
          <w:cols w:equalWidth="0" w:num="2">
            <w:col w:w="8120" w:space="80"/>
            <w:col w:w="1740"/>
          </w:cols>
          <w:pgMar w:left="980" w:top="665" w:right="979" w:bottom="1440" w:gutter="0" w:footer="0" w:header="0"/>
          <w:type w:val="continuous"/>
        </w:sectPr>
      </w:pPr>
    </w:p>
    <w:p>
      <w:pPr>
        <w:ind w:right="6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2"/>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4"/>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8"/>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October 25, 2021: 58,838,034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861060</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160" w:type="dxa"/>
            <w:vAlign w:val="bottom"/>
            <w:gridSpan w:val="8"/>
            <w:vMerge w:val="restart"/>
          </w:tcPr>
          <w:p>
            <w:pPr>
              <w:jc w:val="center"/>
              <w:spacing w:after="0" w:line="201"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160" w:type="dxa"/>
            <w:vAlign w:val="bottom"/>
            <w:tcBorders>
              <w:bottom w:val="single" w:sz="8" w:color="0000EE"/>
            </w:tcBorders>
            <w:gridSpan w:val="8"/>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vMerge w:val="restart"/>
          </w:tcPr>
          <w:p>
            <w:pPr>
              <w:spacing w:after="0"/>
              <w:rPr>
                <w:sz w:val="20"/>
                <w:szCs w:val="20"/>
                <w:color w:val="auto"/>
              </w:rPr>
            </w:pPr>
          </w:p>
        </w:tc>
        <w:tc>
          <w:tcPr>
            <w:tcW w:w="42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00" w:type="dxa"/>
            <w:vAlign w:val="bottom"/>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gridSpan w:val="2"/>
          </w:tcPr>
          <w:p>
            <w:pPr>
              <w:spacing w:after="0"/>
              <w:rPr>
                <w:sz w:val="5"/>
                <w:szCs w:val="5"/>
                <w:color w:val="auto"/>
              </w:rPr>
            </w:pPr>
          </w:p>
        </w:tc>
        <w:tc>
          <w:tcPr>
            <w:tcW w:w="6580" w:type="dxa"/>
            <w:vAlign w:val="bottom"/>
            <w:gridSpan w:val="17"/>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September 30, 2021 and December 31, 2020</w:t>
              </w:r>
            </w:hyperlink>
          </w:p>
        </w:tc>
        <w:tc>
          <w:tcPr>
            <w:tcW w:w="4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580" w:type="dxa"/>
            <w:vAlign w:val="bottom"/>
            <w:tcBorders>
              <w:bottom w:val="single" w:sz="8" w:color="0000EE"/>
            </w:tcBorders>
            <w:gridSpan w:val="17"/>
            <w:vMerge w:val="continue"/>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and Comprehensive Income (Loss) for the three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11"/>
          </w:tcPr>
          <w:p>
            <w:pPr>
              <w:spacing w:after="0" w:line="169"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nine months ended September 30, 2021 and 2020</w:t>
              </w:r>
            </w:hyperlink>
          </w:p>
        </w:tc>
        <w:tc>
          <w:tcPr>
            <w:tcW w:w="440" w:type="dxa"/>
            <w:vAlign w:val="bottom"/>
            <w:tcBorders>
              <w:top w:val="single" w:sz="8" w:color="0000EE"/>
              <w:bottom w:val="single" w:sz="8" w:color="0000EE"/>
            </w:tcBorders>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2"/>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rPr>
                <w:sz w:val="15"/>
                <w:szCs w:val="15"/>
                <w:color w:val="auto"/>
              </w:rPr>
            </w:pPr>
          </w:p>
        </w:tc>
        <w:tc>
          <w:tcPr>
            <w:tcW w:w="420" w:type="dxa"/>
            <w:vAlign w:val="bottom"/>
            <w:tcBorders>
              <w:top w:val="single" w:sz="8" w:color="0000EE"/>
              <w:bottom w:val="single" w:sz="8" w:color="0000EE"/>
            </w:tcBorders>
          </w:tcPr>
          <w:p>
            <w:pPr>
              <w:spacing w:after="0"/>
              <w:rPr>
                <w:sz w:val="15"/>
                <w:szCs w:val="15"/>
                <w:color w:val="auto"/>
              </w:rPr>
            </w:pPr>
          </w:p>
        </w:tc>
        <w:tc>
          <w:tcPr>
            <w:tcW w:w="20" w:type="dxa"/>
            <w:vAlign w:val="bottom"/>
            <w:tcBorders>
              <w:top w:val="single" w:sz="8" w:color="0000EE"/>
              <w:bottom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Stockholders’ Equity for the three and nine months ended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bottom w:val="single" w:sz="8" w:color="0000EE"/>
            </w:tcBorders>
            <w:gridSpan w:val="8"/>
          </w:tcPr>
          <w:p>
            <w:pPr>
              <w:spacing w:after="0" w:line="169"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September 30, 2021 and 2020</w:t>
              </w:r>
            </w:hyperlink>
          </w:p>
        </w:tc>
        <w:tc>
          <w:tcPr>
            <w:tcW w:w="140" w:type="dxa"/>
            <w:vAlign w:val="bottom"/>
            <w:tcBorders>
              <w:top w:val="single" w:sz="8" w:color="0000EE"/>
              <w:bottom w:val="single" w:sz="8" w:color="0000EE"/>
            </w:tcBorders>
          </w:tcPr>
          <w:p>
            <w:pPr>
              <w:spacing w:after="0"/>
              <w:rPr>
                <w:sz w:val="15"/>
                <w:szCs w:val="15"/>
                <w:color w:val="auto"/>
              </w:rPr>
            </w:pPr>
          </w:p>
        </w:tc>
        <w:tc>
          <w:tcPr>
            <w:tcW w:w="1700" w:type="dxa"/>
            <w:vAlign w:val="bottom"/>
            <w:tcBorders>
              <w:top w:val="single" w:sz="8" w:color="0000EE"/>
              <w:bottom w:val="single" w:sz="8" w:color="0000EE"/>
            </w:tcBorders>
            <w:gridSpan w:val="3"/>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2"/>
          </w:tcPr>
          <w:p>
            <w:pPr>
              <w:spacing w:after="0"/>
              <w:rPr>
                <w:sz w:val="15"/>
                <w:szCs w:val="15"/>
                <w:color w:val="auto"/>
              </w:rPr>
            </w:pPr>
          </w:p>
        </w:tc>
        <w:tc>
          <w:tcPr>
            <w:tcW w:w="640" w:type="dxa"/>
            <w:vAlign w:val="bottom"/>
            <w:tcBorders>
              <w:top w:val="single" w:sz="8" w:color="0000EE"/>
              <w:bottom w:val="single" w:sz="8" w:color="0000EE"/>
            </w:tcBorders>
            <w:gridSpan w:val="2"/>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1"/>
            <w:vMerge w:val="restart"/>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Condensed Consolidated Statements of Cash Flows for the nine months ended September 30, 2021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1"/>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2020</w:t>
              </w:r>
            </w:hyperlink>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restart"/>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Borders>
              <w:bottom w:val="single" w:sz="8" w:color="0000EE"/>
            </w:tcBorders>
            <w:gridSpan w:val="12"/>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1280" w:type="dxa"/>
            <w:vAlign w:val="bottom"/>
            <w:gridSpan w:val="5"/>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7020" w:type="dxa"/>
            <w:vAlign w:val="bottom"/>
            <w:gridSpan w:val="18"/>
            <w:vMerge w:val="restart"/>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2. Management’s Discussion and Analysis of Financial Condition and Results of Operations</w:t>
              </w:r>
            </w:hyperlink>
          </w:p>
        </w:tc>
        <w:tc>
          <w:tcPr>
            <w:tcW w:w="1280" w:type="dxa"/>
            <w:vAlign w:val="bottom"/>
            <w:gridSpan w:val="5"/>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0000EE"/>
            </w:tcBorders>
            <w:gridSpan w:val="18"/>
            <w:vMerge w:val="continue"/>
          </w:tcPr>
          <w:p>
            <w:pPr>
              <w:spacing w:after="0"/>
              <w:rPr>
                <w:sz w:val="14"/>
                <w:szCs w:val="14"/>
                <w:color w:val="auto"/>
              </w:rPr>
            </w:pPr>
          </w:p>
        </w:tc>
        <w:tc>
          <w:tcPr>
            <w:tcW w:w="1280" w:type="dxa"/>
            <w:vAlign w:val="bottom"/>
            <w:gridSpan w:val="5"/>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980" w:type="dxa"/>
            <w:vAlign w:val="bottom"/>
            <w:gridSpan w:val="4"/>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80" w:type="dxa"/>
            <w:vAlign w:val="bottom"/>
            <w:gridSpan w:val="5"/>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Item 3.</w:t>
              </w:r>
            </w:hyperlink>
          </w:p>
        </w:tc>
        <w:tc>
          <w:tcPr>
            <w:tcW w:w="4380" w:type="dxa"/>
            <w:vAlign w:val="bottom"/>
            <w:tcBorders>
              <w:bottom w:val="single" w:sz="8" w:color="0000EE"/>
            </w:tcBorders>
            <w:gridSpan w:val="14"/>
          </w:tcPr>
          <w:p>
            <w:pPr>
              <w:ind w:left="20"/>
              <w:spacing w:after="0" w:line="170"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Quantitative and Qualitative Disclosures About Market Risk</w:t>
              </w:r>
            </w:hyperlink>
          </w:p>
        </w:tc>
        <w:tc>
          <w:tcPr>
            <w:tcW w:w="860" w:type="dxa"/>
            <w:vAlign w:val="bottom"/>
            <w:vMerge w:val="restart"/>
          </w:tcPr>
          <w:p>
            <w:pPr>
              <w:spacing w:after="0"/>
              <w:rPr>
                <w:sz w:val="16"/>
                <w:szCs w:val="16"/>
                <w:color w:val="auto"/>
              </w:rPr>
            </w:pPr>
          </w:p>
        </w:tc>
        <w:tc>
          <w:tcPr>
            <w:tcW w:w="2520" w:type="dxa"/>
            <w:vAlign w:val="bottom"/>
            <w:gridSpan w:val="7"/>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540" w:type="dxa"/>
            <w:vAlign w:val="bottom"/>
            <w:vMerge w:val="restart"/>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Item 4.</w:t>
              </w:r>
            </w:hyperlink>
          </w:p>
        </w:tc>
        <w:tc>
          <w:tcPr>
            <w:tcW w:w="1800" w:type="dxa"/>
            <w:vAlign w:val="bottom"/>
            <w:gridSpan w:val="7"/>
            <w:vMerge w:val="restart"/>
          </w:tcPr>
          <w:p>
            <w:pPr>
              <w:ind w:left="20"/>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Controls and Procedures</w:t>
              </w:r>
            </w:hyperlink>
          </w:p>
        </w:tc>
        <w:tc>
          <w:tcPr>
            <w:tcW w:w="600" w:type="dxa"/>
            <w:vAlign w:val="bottom"/>
            <w:gridSpan w:val="3"/>
          </w:tcPr>
          <w:p>
            <w:pPr>
              <w:spacing w:after="0"/>
              <w:rPr>
                <w:sz w:val="5"/>
                <w:szCs w:val="5"/>
                <w:color w:val="auto"/>
              </w:rPr>
            </w:pPr>
          </w:p>
        </w:tc>
        <w:tc>
          <w:tcPr>
            <w:tcW w:w="1980" w:type="dxa"/>
            <w:vAlign w:val="bottom"/>
            <w:gridSpan w:val="4"/>
          </w:tcPr>
          <w:p>
            <w:pPr>
              <w:spacing w:after="0"/>
              <w:rPr>
                <w:sz w:val="5"/>
                <w:szCs w:val="5"/>
                <w:color w:val="auto"/>
              </w:rPr>
            </w:pPr>
          </w:p>
        </w:tc>
        <w:tc>
          <w:tcPr>
            <w:tcW w:w="860" w:type="dxa"/>
            <w:vAlign w:val="bottom"/>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Borders>
              <w:bottom w:val="single" w:sz="8" w:color="0000EE"/>
            </w:tcBorders>
            <w:vMerge w:val="continue"/>
          </w:tcPr>
          <w:p>
            <w:pPr>
              <w:spacing w:after="0"/>
              <w:rPr>
                <w:sz w:val="14"/>
                <w:szCs w:val="14"/>
                <w:color w:val="auto"/>
              </w:rPr>
            </w:pPr>
          </w:p>
        </w:tc>
        <w:tc>
          <w:tcPr>
            <w:tcW w:w="1800" w:type="dxa"/>
            <w:vAlign w:val="bottom"/>
            <w:tcBorders>
              <w:bottom w:val="single" w:sz="8" w:color="0000EE"/>
            </w:tcBorders>
            <w:gridSpan w:val="7"/>
            <w:vMerge w:val="continue"/>
          </w:tcPr>
          <w:p>
            <w:pPr>
              <w:spacing w:after="0"/>
              <w:rPr>
                <w:sz w:val="14"/>
                <w:szCs w:val="14"/>
                <w:color w:val="auto"/>
              </w:rPr>
            </w:pPr>
          </w:p>
        </w:tc>
        <w:tc>
          <w:tcPr>
            <w:tcW w:w="600" w:type="dxa"/>
            <w:vAlign w:val="bottom"/>
            <w:gridSpan w:val="3"/>
            <w:vMerge w:val="restart"/>
          </w:tcPr>
          <w:p>
            <w:pPr>
              <w:spacing w:after="0"/>
              <w:rPr>
                <w:sz w:val="14"/>
                <w:szCs w:val="14"/>
                <w:color w:val="auto"/>
              </w:rPr>
            </w:pPr>
          </w:p>
        </w:tc>
        <w:tc>
          <w:tcPr>
            <w:tcW w:w="2840" w:type="dxa"/>
            <w:vAlign w:val="bottom"/>
            <w:gridSpan w:val="5"/>
            <w:vMerge w:val="restart"/>
          </w:tcPr>
          <w:p>
            <w:pPr>
              <w:spacing w:after="0"/>
              <w:rPr>
                <w:sz w:val="14"/>
                <w:szCs w:val="14"/>
                <w:color w:val="auto"/>
              </w:rPr>
            </w:pPr>
          </w:p>
        </w:tc>
        <w:tc>
          <w:tcPr>
            <w:tcW w:w="2520" w:type="dxa"/>
            <w:vAlign w:val="bottom"/>
            <w:gridSpan w:val="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gridSpan w:val="3"/>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00" w:type="dxa"/>
            <w:vAlign w:val="bottom"/>
            <w:gridSpan w:val="13"/>
          </w:tcPr>
          <w:p>
            <w:pPr>
              <w:jc w:val="center"/>
              <w:ind w:right="2380"/>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1.</w:t>
              </w:r>
            </w:hyperlink>
          </w:p>
        </w:tc>
        <w:tc>
          <w:tcPr>
            <w:tcW w:w="1360" w:type="dxa"/>
            <w:vAlign w:val="bottom"/>
            <w:tcBorders>
              <w:bottom w:val="single" w:sz="8" w:color="0000EE"/>
            </w:tcBorders>
            <w:gridSpan w:val="6"/>
          </w:tcPr>
          <w:p>
            <w:pPr>
              <w:ind w:left="20"/>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Legal Proceedings</w:t>
              </w:r>
            </w:hyperlink>
          </w:p>
        </w:tc>
        <w:tc>
          <w:tcPr>
            <w:tcW w:w="1040" w:type="dxa"/>
            <w:vAlign w:val="bottom"/>
            <w:gridSpan w:val="4"/>
            <w:vMerge w:val="restart"/>
          </w:tcPr>
          <w:p>
            <w:pPr>
              <w:spacing w:after="0"/>
              <w:rPr>
                <w:sz w:val="20"/>
                <w:szCs w:val="20"/>
                <w:color w:val="auto"/>
              </w:rPr>
            </w:pPr>
          </w:p>
        </w:tc>
        <w:tc>
          <w:tcPr>
            <w:tcW w:w="2840" w:type="dxa"/>
            <w:vAlign w:val="bottom"/>
            <w:tcBorders>
              <w:top w:val="single" w:sz="8" w:color="0000EE"/>
              <w:bottom w:val="single" w:sz="8" w:color="0000EE"/>
            </w:tcBorders>
            <w:gridSpan w:val="5"/>
            <w:vMerge w:val="restart"/>
          </w:tcPr>
          <w:p>
            <w:pPr>
              <w:spacing w:after="0"/>
              <w:rPr>
                <w:sz w:val="20"/>
                <w:szCs w:val="20"/>
                <w:color w:val="auto"/>
              </w:rPr>
            </w:pPr>
          </w:p>
        </w:tc>
        <w:tc>
          <w:tcPr>
            <w:tcW w:w="2520" w:type="dxa"/>
            <w:vAlign w:val="bottom"/>
            <w:gridSpan w:val="7"/>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1"/>
        </w:trPr>
        <w:tc>
          <w:tcPr>
            <w:tcW w:w="1600" w:type="dxa"/>
            <w:vAlign w:val="bottom"/>
            <w:gridSpan w:val="6"/>
            <w:vMerge w:val="restart"/>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Item 1A. Risk Factors</w:t>
              </w:r>
            </w:hyperlink>
          </w:p>
        </w:tc>
        <w:tc>
          <w:tcPr>
            <w:tcW w:w="30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0000EE"/>
            </w:tcBorders>
            <w:gridSpan w:val="6"/>
            <w:vMerge w:val="continue"/>
          </w:tcPr>
          <w:p>
            <w:pPr>
              <w:spacing w:after="0"/>
              <w:rPr>
                <w:sz w:val="14"/>
                <w:szCs w:val="14"/>
                <w:color w:val="auto"/>
              </w:rPr>
            </w:pPr>
          </w:p>
        </w:tc>
        <w:tc>
          <w:tcPr>
            <w:tcW w:w="6700" w:type="dxa"/>
            <w:vAlign w:val="bottom"/>
            <w:gridSpan w:val="1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700" w:type="dxa"/>
            <w:vAlign w:val="bottom"/>
            <w:gridSpan w:val="17"/>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Item 6.</w:t>
              </w:r>
            </w:hyperlink>
          </w:p>
        </w:tc>
        <w:tc>
          <w:tcPr>
            <w:tcW w:w="620" w:type="dxa"/>
            <w:vAlign w:val="bottom"/>
            <w:tcBorders>
              <w:bottom w:val="single" w:sz="8" w:color="0000EE"/>
            </w:tcBorders>
            <w:gridSpan w:val="4"/>
          </w:tcPr>
          <w:p>
            <w:pPr>
              <w:ind w:left="20"/>
              <w:spacing w:after="0" w:line="170"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Exhibits</w:t>
              </w:r>
            </w:hyperlink>
          </w:p>
        </w:tc>
        <w:tc>
          <w:tcPr>
            <w:tcW w:w="7140" w:type="dxa"/>
            <w:vAlign w:val="bottom"/>
            <w:gridSpan w:val="18"/>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7140" w:type="dxa"/>
            <w:vAlign w:val="bottom"/>
            <w:gridSpan w:val="18"/>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300" w:type="dxa"/>
            <w:vAlign w:val="bottom"/>
            <w:gridSpan w:val="23"/>
          </w:tcPr>
          <w:p>
            <w:pPr>
              <w:spacing w:after="0" w:line="190" w:lineRule="exact"/>
              <w:rPr>
                <w:rFonts w:ascii="Arial" w:cs="Arial" w:eastAsia="Arial" w:hAnsi="Arial"/>
                <w:sz w:val="18"/>
                <w:szCs w:val="18"/>
                <w:color w:val="0000EE"/>
              </w:rPr>
            </w:pPr>
            <w:hyperlink w:anchor="page95">
              <w:r>
                <w:rPr>
                  <w:rFonts w:ascii="Arial" w:cs="Arial" w:eastAsia="Arial" w:hAnsi="Arial"/>
                  <w:sz w:val="18"/>
                  <w:szCs w:val="18"/>
                  <w:color w:val="0000EE"/>
                </w:rPr>
                <w:t>Signatures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firstLine="648"/>
        <w:spacing w:after="0" w:line="221"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Arial" w:cs="Arial" w:eastAsia="Arial" w:hAnsi="Arial"/>
          <w:sz w:val="18"/>
          <w:szCs w:val="18"/>
          <w:color w:val="auto"/>
        </w:rPr>
        <w:t>™</w:t>
      </w:r>
      <w:r>
        <w:rPr>
          <w:rFonts w:ascii="Arial" w:cs="Arial" w:eastAsia="Arial" w:hAnsi="Arial"/>
          <w:sz w:val="18"/>
          <w:szCs w:val="18"/>
          <w:i w:val="1"/>
          <w:iCs w:val="1"/>
          <w:color w:val="auto"/>
        </w:rPr>
        <w:t>, AYVAKYT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80" w:right="55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14" w:lineRule="exact"/>
        <w:rPr>
          <w:rFonts w:ascii="Arial" w:cs="Arial" w:eastAsia="Arial" w:hAnsi="Arial"/>
          <w:sz w:val="18"/>
          <w:szCs w:val="18"/>
          <w:color w:val="auto"/>
        </w:rPr>
      </w:pPr>
    </w:p>
    <w:p>
      <w:pPr>
        <w:ind w:left="1380" w:right="199" w:hanging="331"/>
        <w:spacing w:after="0" w:line="21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expand out our commercial infrastructure and successfully launching, marketing and selling AYVAKIT™ (avapritinib) (marketed in Europe under the brand name AYVAKYT</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(pralsetinib) and any current and future drug candidates for which we receive marketing approval;</w:t>
      </w:r>
    </w:p>
    <w:p>
      <w:pPr>
        <w:spacing w:after="0" w:line="109"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41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00" w:lineRule="exact"/>
        <w:rPr>
          <w:rFonts w:ascii="Arial" w:cs="Arial" w:eastAsia="Arial" w:hAnsi="Arial"/>
          <w:sz w:val="18"/>
          <w:szCs w:val="18"/>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44"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14"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drugs, drug candidates, platform and technology;</w:t>
      </w:r>
    </w:p>
    <w:p>
      <w:pPr>
        <w:spacing w:after="0" w:line="89"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current and future drugs, drug candidates and technology;</w:t>
      </w:r>
    </w:p>
    <w:p>
      <w:pPr>
        <w:spacing w:after="0" w:line="103" w:lineRule="exact"/>
        <w:rPr>
          <w:rFonts w:ascii="Arial" w:cs="Arial" w:eastAsia="Arial" w:hAnsi="Arial"/>
          <w:sz w:val="18"/>
          <w:szCs w:val="18"/>
          <w:color w:val="auto"/>
        </w:rPr>
      </w:pPr>
    </w:p>
    <w:p>
      <w:pPr>
        <w:ind w:left="1380" w:right="119"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and our collaboration with CStone Pharmaceuticals to develop and commercialize avapritinib, pralsetinib and fisogatinib in Greater China, as well as our ability to maintain these collaborations and establish additional strategic collaborations;</w:t>
      </w:r>
    </w:p>
    <w:p>
      <w:pPr>
        <w:spacing w:after="0" w:line="121" w:lineRule="exact"/>
        <w:rPr>
          <w:rFonts w:ascii="Arial" w:cs="Arial" w:eastAsia="Arial" w:hAnsi="Arial"/>
          <w:sz w:val="18"/>
          <w:szCs w:val="18"/>
          <w:color w:val="auto"/>
        </w:rPr>
      </w:pPr>
    </w:p>
    <w:p>
      <w:pPr>
        <w:ind w:left="1380" w:right="679" w:hanging="331"/>
        <w:spacing w:after="0" w:line="291"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exclusive license agreement with Clementia Pharmaceuticals, Inc. to develop and commercialize BLU-782 for fibrodysplasia ossificans progressiva;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development of companion diagnostic tests for our current or future drugs or drug candidates;</w:t>
      </w:r>
    </w:p>
    <w:p>
      <w:pPr>
        <w:spacing w:after="0" w:line="155" w:lineRule="exact"/>
        <w:rPr>
          <w:rFonts w:ascii="Arial" w:cs="Arial" w:eastAsia="Arial" w:hAnsi="Arial"/>
          <w:sz w:val="17"/>
          <w:szCs w:val="17"/>
          <w:color w:val="auto"/>
        </w:rPr>
      </w:pPr>
    </w:p>
    <w:p>
      <w:pPr>
        <w:ind w:left="1380" w:right="259" w:hanging="331"/>
        <w:spacing w:after="0" w:line="29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estimates of our revenues, expenses and capital requirements and our needs for future financing, including our ability to achieve a self-sustainable financial profile;</w:t>
      </w:r>
    </w:p>
    <w:p>
      <w:pPr>
        <w:spacing w:after="0" w:line="79" w:lineRule="exact"/>
        <w:rPr>
          <w:rFonts w:ascii="Arial" w:cs="Arial" w:eastAsia="Arial" w:hAnsi="Arial"/>
          <w:sz w:val="17"/>
          <w:szCs w:val="17"/>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actual or potential benefits of designations granted by the U.S. Food and Drug Administration, or FDA, such as orphan drug, fast track and breakthrough therapy designation or priority review; and</w:t>
      </w:r>
    </w:p>
    <w:p>
      <w:pPr>
        <w:spacing w:after="0" w:line="56" w:lineRule="exact"/>
        <w:rPr>
          <w:rFonts w:ascii="Arial" w:cs="Arial" w:eastAsia="Arial" w:hAnsi="Arial"/>
          <w:sz w:val="16"/>
          <w:szCs w:val="16"/>
          <w:color w:val="auto"/>
        </w:rPr>
      </w:pPr>
    </w:p>
    <w:p>
      <w:pPr>
        <w:ind w:left="1380" w:right="199" w:hanging="331"/>
        <w:spacing w:after="0" w:line="259"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106"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8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7"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553,593</w:t>
            </w: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148,285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Unbilled accounts receivable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11,324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23,676</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771,848</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927,759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Marketable securities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591,920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677,873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62,986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14,193</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1,477,322</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1,718,393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9,549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94,540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8,810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deferred revenue</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6,792</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119,691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130,802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75,054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28,605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6,885</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230,235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248,305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Commitments (Note 15)</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600" w:type="dxa"/>
            <w:vAlign w:val="bottom"/>
          </w:tcPr>
          <w:p>
            <w:pPr>
              <w:spacing w:after="0" w:line="143" w:lineRule="exact"/>
              <w:rPr>
                <w:sz w:val="20"/>
                <w:szCs w:val="20"/>
                <w:color w:val="auto"/>
              </w:rPr>
            </w:pPr>
            <w:r>
              <w:rPr>
                <w:rFonts w:ascii="Arial" w:cs="Arial" w:eastAsia="Arial" w:hAnsi="Arial"/>
                <w:sz w:val="14"/>
                <w:szCs w:val="14"/>
                <w:color w:val="auto"/>
                <w:w w:val="93"/>
              </w:rPr>
              <w:t>Common stock, $0.001 par value; 120,000,000 shares authorized; 58,814,666 and 57,793,533 shares issued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20"/>
                <w:szCs w:val="20"/>
                <w:color w:val="auto"/>
              </w:rPr>
            </w:pPr>
            <w:r>
              <w:rPr>
                <w:rFonts w:ascii="Arial" w:cs="Arial" w:eastAsia="Arial" w:hAnsi="Arial"/>
                <w:sz w:val="14"/>
                <w:szCs w:val="14"/>
                <w:color w:val="auto"/>
              </w:rPr>
              <w:t>outstanding at September 30, 2021 and December 31, 2020, respectively</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2,209,456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2,106,600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(5,673)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(956,755)</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(631,356)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1,247,087</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1,470,088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1,477,322</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1,718,393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48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160"/>
              <w:spacing w:after="0" w:line="202" w:lineRule="exact"/>
              <w:rPr>
                <w:sz w:val="20"/>
                <w:szCs w:val="20"/>
                <w:color w:val="auto"/>
              </w:rPr>
            </w:pPr>
            <w:r>
              <w:rPr>
                <w:rFonts w:ascii="Arial" w:cs="Arial" w:eastAsia="Arial" w:hAnsi="Arial"/>
                <w:sz w:val="18"/>
                <w:szCs w:val="18"/>
                <w:color w:val="auto"/>
              </w:rPr>
              <w:t>Product revenue, net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17,270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6,308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37,658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15,446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Collaboration revenue</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6,918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738,810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35,401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744,183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24,188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2"/>
              </w:rPr>
              <w:t>745,118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73,059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2"/>
              </w:rPr>
              <w:t>759,629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3,790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10,385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loss sharing</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84,419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74,230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244,157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249,456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49,806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37,375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141,093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115,203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98"/>
              </w:rPr>
              <w:t>141,284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2"/>
              </w:rPr>
              <w:t>111,751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398,904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2"/>
              </w:rPr>
              <w:t>364,956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Total other income</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981</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(117,066)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634,348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(325,031)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399,920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(117,241)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633,978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(325,399)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399,550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gain (losses) on available-for-sale investments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86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Currency translation adjustments</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577</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(117,079)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633,158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(325,857)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400,144</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tcBorders>
              <w:bottom w:val="single" w:sz="8" w:color="CCEEFF"/>
            </w:tcBorders>
            <w:gridSpan w:val="2"/>
            <w:vMerge w:val="continue"/>
          </w:tcPr>
          <w:p>
            <w:pPr>
              <w:spacing w:after="0"/>
              <w:rPr>
                <w:sz w:val="19"/>
                <w:szCs w:val="19"/>
                <w:color w:val="auto"/>
              </w:rPr>
            </w:pPr>
          </w:p>
        </w:tc>
        <w:tc>
          <w:tcPr>
            <w:tcW w:w="2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11.49</w:t>
            </w:r>
          </w:p>
        </w:tc>
        <w:tc>
          <w:tcPr>
            <w:tcW w:w="1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(5.58)</w:t>
            </w:r>
          </w:p>
        </w:tc>
        <w:tc>
          <w:tcPr>
            <w:tcW w:w="1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7.40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8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income (loss) per share - diluted</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(2.00)</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11.16</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(5.58)</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7.20</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w w:val="93"/>
              </w:rPr>
              <w:t>Weighted-average number of common shares used in net income</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58,647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55,169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58,361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54,018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(loss) per share - basic</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88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Weighted-average number of common shares used in net income</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58,647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58,361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55,492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80" w:type="dxa"/>
            <w:vAlign w:val="bottom"/>
            <w:tcBorders>
              <w:bottom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per share - diluted</w:t>
            </w:r>
          </w:p>
        </w:tc>
        <w:tc>
          <w:tcPr>
            <w:tcW w:w="2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444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46" w:lineRule="auto"/>
        <w:rPr>
          <w:sz w:val="20"/>
          <w:szCs w:val="20"/>
          <w:color w:val="auto"/>
        </w:rPr>
      </w:pPr>
      <w:r>
        <w:rPr>
          <w:rFonts w:ascii="Arial" w:cs="Arial" w:eastAsia="Arial" w:hAnsi="Arial"/>
          <w:sz w:val="18"/>
          <w:szCs w:val="18"/>
          <w:b w:val="1"/>
          <w:bCs w:val="1"/>
          <w:color w:val="auto"/>
        </w:rPr>
        <w:t xml:space="preserve">Blueprint Medicines Corporation Condensed Consolidated Statements of Stockholders’ Equity (in thousands, except share data) </w:t>
      </w:r>
      <w:r>
        <w:rPr>
          <w:rFonts w:ascii="Arial" w:cs="Arial" w:eastAsia="Arial" w:hAnsi="Arial"/>
          <w:sz w:val="18"/>
          <w:szCs w:val="18"/>
          <w:b w:val="1"/>
          <w:bCs w:val="1"/>
          <w:i w:val="1"/>
          <w:iCs w:val="1"/>
          <w:color w:val="auto"/>
        </w:rPr>
        <w:t>(Unaudited)</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4"/>
          </w:tcPr>
          <w:p>
            <w:pPr>
              <w:ind w:left="14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Paid-in</w:t>
            </w:r>
          </w:p>
        </w:tc>
        <w:tc>
          <w:tcPr>
            <w:tcW w:w="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5"/>
              </w:rPr>
              <w:t>Deficit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57,793,533</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(631,356)</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1,470,088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483,879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2021</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58,277,412</w:t>
            </w: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58</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2,136,130</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(5,097)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(731,070)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1,400,021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254,823</w:t>
            </w:r>
          </w:p>
        </w:tc>
        <w:tc>
          <w:tcPr>
            <w:tcW w:w="38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11,709</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11,710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Purchase of common stock under ESPP</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(108,444)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(108,444)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June 30, 2021</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58,554,559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2,174,094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(5,835)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(839,514)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1,328,804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260,107</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24,324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24,324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(117,241)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(117,241)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September 30, 2021</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58,814,666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2,209,456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(5,673)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(956,755)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1,247,087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49,272,223</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1,412,083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(945,239)</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186,166</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Follow-on offering, net of issuance costs</w:t>
            </w:r>
          </w:p>
        </w:tc>
        <w:tc>
          <w:tcPr>
            <w:tcW w:w="660" w:type="dxa"/>
            <w:vAlign w:val="bottom"/>
          </w:tcPr>
          <w:p>
            <w:pPr>
              <w:jc w:val="right"/>
              <w:spacing w:after="0"/>
              <w:rPr>
                <w:sz w:val="20"/>
                <w:szCs w:val="20"/>
                <w:color w:val="auto"/>
              </w:rPr>
            </w:pPr>
            <w:r>
              <w:rPr>
                <w:rFonts w:ascii="Arial" w:cs="Arial" w:eastAsia="Arial" w:hAnsi="Arial"/>
                <w:sz w:val="13"/>
                <w:szCs w:val="13"/>
                <w:color w:val="auto"/>
              </w:rPr>
              <w:t>4,710,144</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308,419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(110,953)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(110,953)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March 31, 2020</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54,168,533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74"/>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54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1,739,140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(1,056,192)</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682,933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98,950</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Purchase of common stock under ESPP</w:t>
            </w:r>
          </w:p>
        </w:tc>
        <w:tc>
          <w:tcPr>
            <w:tcW w:w="660" w:type="dxa"/>
            <w:vAlign w:val="bottom"/>
          </w:tcPr>
          <w:p>
            <w:pPr>
              <w:jc w:val="right"/>
              <w:spacing w:after="0"/>
              <w:rPr>
                <w:sz w:val="20"/>
                <w:szCs w:val="20"/>
                <w:color w:val="auto"/>
              </w:rPr>
            </w:pPr>
            <w:r>
              <w:rPr>
                <w:rFonts w:ascii="Arial" w:cs="Arial" w:eastAsia="Arial" w:hAnsi="Arial"/>
                <w:sz w:val="13"/>
                <w:szCs w:val="13"/>
                <w:color w:val="auto"/>
              </w:rPr>
              <w:t>17,018</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(123,474)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(123,474)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June 30,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54,284,501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54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1,762,099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(1,179,666)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581,367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194,375</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19,889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19,889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related to collaboration agreement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1,035,519</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79,305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79,306</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633,978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633,978</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60" w:type="dxa"/>
            <w:vAlign w:val="bottom"/>
            <w:gridSpan w:val="2"/>
          </w:tcPr>
          <w:p>
            <w:pPr>
              <w:spacing w:after="0"/>
              <w:rPr>
                <w:sz w:val="20"/>
                <w:szCs w:val="20"/>
                <w:color w:val="auto"/>
              </w:rPr>
            </w:pPr>
            <w:r>
              <w:rPr>
                <w:rFonts w:ascii="Arial" w:cs="Arial" w:eastAsia="Arial" w:hAnsi="Arial"/>
                <w:sz w:val="13"/>
                <w:szCs w:val="13"/>
                <w:color w:val="auto"/>
              </w:rPr>
              <w:t>Balance at September 30, 2020</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2"/>
              </w:rPr>
              <w:t>55,514,395</w:t>
            </w:r>
          </w:p>
        </w:tc>
        <w:tc>
          <w:tcPr>
            <w:tcW w:w="1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56</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1,867,572</w:t>
            </w: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(545,688)</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1,320,000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5"/>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(325,399)</w:t>
            </w:r>
          </w:p>
        </w:tc>
        <w:tc>
          <w:tcPr>
            <w:tcW w:w="400" w:type="dxa"/>
            <w:vAlign w:val="bottom"/>
            <w:gridSpan w:val="2"/>
            <w:shd w:val="clear" w:color="auto" w:fill="CCEEFF"/>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399,550</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Noncash lease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4,668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68,949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56,022</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2,677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(11,375)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(43,705)</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5,862</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(11,812)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(4,491)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(7,266)</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(2,842)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(12,844)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Operating lease liabilities</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(5,856)</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(284,539)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411,834</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(514,906)</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(796,980)</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investments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637,831</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440,735</w:t>
            </w:r>
          </w:p>
        </w:tc>
        <w:tc>
          <w:tcPr>
            <w:tcW w:w="0" w:type="dxa"/>
            <w:vAlign w:val="bottom"/>
          </w:tcPr>
          <w:p>
            <w:pPr>
              <w:spacing w:after="0"/>
              <w:rPr>
                <w:sz w:val="1"/>
                <w:szCs w:val="1"/>
                <w:color w:val="auto"/>
              </w:rPr>
            </w:pPr>
          </w:p>
        </w:tc>
      </w:tr>
      <w:tr>
        <w:trPr>
          <w:trHeight w:val="196"/>
        </w:trPr>
        <w:tc>
          <w:tcPr>
            <w:tcW w:w="6120" w:type="dxa"/>
            <w:vAlign w:val="bottom"/>
          </w:tcPr>
          <w:p>
            <w:pPr>
              <w:ind w:left="58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121,094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(358,717)</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Proceeds from public offerings of common stock, net of issuance cost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308,750</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Net proceeds from stock option exercises and employee stock purchase plan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32,787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Issuance of common stock related to collaboration agreement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79,305</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offering costs</w:t>
            </w:r>
          </w:p>
        </w:tc>
        <w:tc>
          <w:tcPr>
            <w:tcW w:w="5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196"/>
        </w:trPr>
        <w:tc>
          <w:tcPr>
            <w:tcW w:w="6120" w:type="dxa"/>
            <w:vAlign w:val="bottom"/>
          </w:tcPr>
          <w:p>
            <w:pPr>
              <w:ind w:left="5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32,787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397,666</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450,783</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689,804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119,604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6"/>
        </w:trPr>
        <w:tc>
          <w:tcPr>
            <w:tcW w:w="612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558,764</w:t>
            </w:r>
          </w:p>
        </w:tc>
        <w:tc>
          <w:tcPr>
            <w:tcW w:w="400" w:type="dxa"/>
            <w:vAlign w:val="bottom"/>
            <w:gridSpan w:val="2"/>
          </w:tcPr>
          <w:p>
            <w:pPr>
              <w:jc w:val="right"/>
              <w:ind w:right="47"/>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570,389</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Property and equipment purchases unpaid at period end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Cash paid for taxes, net</w:t>
            </w: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674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85"/>
        </w:trPr>
        <w:tc>
          <w:tcPr>
            <w:tcW w:w="6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r>
      <w:tr>
        <w:trPr>
          <w:trHeight w:val="156"/>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553,593</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565,221</w:t>
            </w:r>
          </w:p>
        </w:tc>
        <w:tc>
          <w:tcPr>
            <w:tcW w:w="80" w:type="dxa"/>
            <w:vAlign w:val="bottom"/>
            <w:shd w:val="clear" w:color="auto" w:fill="CCEEFF"/>
          </w:tcPr>
          <w:p>
            <w:pPr>
              <w:spacing w:after="0"/>
              <w:rPr>
                <w:sz w:val="13"/>
                <w:szCs w:val="13"/>
                <w:color w:val="auto"/>
              </w:rPr>
            </w:pPr>
          </w:p>
        </w:tc>
      </w:tr>
      <w:tr>
        <w:trPr>
          <w:trHeight w:val="16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w:t>
            </w:r>
          </w:p>
        </w:tc>
        <w:tc>
          <w:tcPr>
            <w:tcW w:w="80" w:type="dxa"/>
            <w:vAlign w:val="bottom"/>
            <w:tcBorders>
              <w:bottom w:val="single" w:sz="8" w:color="CCEEFF"/>
            </w:tcBorders>
          </w:tcPr>
          <w:p>
            <w:pPr>
              <w:spacing w:after="0"/>
              <w:rPr>
                <w:sz w:val="14"/>
                <w:szCs w:val="14"/>
                <w:color w:val="auto"/>
              </w:rPr>
            </w:pPr>
          </w:p>
        </w:tc>
      </w:tr>
      <w:tr>
        <w:trPr>
          <w:trHeight w:val="156"/>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7"/>
              </w:rPr>
              <w:t>Total cash, cash equivalents, and restricted cash shown in condensed consolidated statements of cash flows</w:t>
            </w: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558,764</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570,389</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and hematologic disorders. The Company’s approach is to leverage its novel target discovery engine to systematically and reproducibly identify kinases that are drivers of diseases and to craft highly selective and potent drugs and drug candidates that may provide significant and durable clinical responses for patients without adequate treatment options.</w:t>
      </w:r>
    </w:p>
    <w:p>
      <w:pPr>
        <w:spacing w:after="0" w:line="189"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The Company has two approved precision therapies and is globally advancing multiple programs for genomically defined cancers, systemic mastocytosis,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55"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 xml:space="preserve">As of September 30, 2021, the Company had cash, cash equivalents and marketable securities of $1,293.8 million. Based on the Company’s current operating plans, the Company anticipates that its existing cash, cash equivalents and marketable securities will </w:t>
      </w:r>
      <w:r>
        <w:rPr>
          <w:rFonts w:ascii="Arial" w:cs="Arial" w:eastAsia="Arial" w:hAnsi="Arial"/>
          <w:sz w:val="18"/>
          <w:szCs w:val="18"/>
          <w:color w:val="212529"/>
        </w:rPr>
        <w:t>be sufficient to enable it to fund its current operations for at least the next twelve months from</w:t>
      </w:r>
      <w:r>
        <w:rPr>
          <w:rFonts w:ascii="Arial" w:cs="Arial" w:eastAsia="Arial" w:hAnsi="Arial"/>
          <w:sz w:val="18"/>
          <w:szCs w:val="18"/>
          <w:color w:val="auto"/>
        </w:rPr>
        <w:t xml:space="preserve"> </w:t>
      </w:r>
      <w:r>
        <w:rPr>
          <w:rFonts w:ascii="Arial" w:cs="Arial" w:eastAsia="Arial" w:hAnsi="Arial"/>
          <w:sz w:val="18"/>
          <w:szCs w:val="18"/>
          <w:color w:val="212529"/>
        </w:rPr>
        <w:t>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2020 and notes thereto included in the Company’s Annual Report on Form 10-K for the year ended December 31, 2020, filed with the SEC on February 17, 2021 (the 2020 Annual Report on Form 10-K).</w:t>
      </w:r>
    </w:p>
    <w:p>
      <w:pPr>
        <w:spacing w:after="0" w:line="18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September 30, 2021, the results of its operations for the three and nine months ended September 30, 2021 and 2020, stockholder’s equity for the three and nine months ended September 30, 2021 and 2020 and cash flows for nine months ended September 30, 2021 and 2020. Such adjustments are of a normal and recurring nature. The results for the three and nine months ended September 30, 2021 are not necessarily indicative of the results for the year ending December 31, 2021 or for any future period.</w:t>
      </w:r>
    </w:p>
    <w:p>
      <w:pPr>
        <w:spacing w:after="0" w:line="168"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and income taxes. The length of time and full extent to which the ongoing COVID-19 pandemic will directly or indirectly impact the Company’s business, results of operations and financial condition, including revenues, expenses, reserves and allowances, manufacturing, clinical trials, research and development costs and employee-related amounts, will depend on future developments that are highly uncertain, subject to change and difficult to predict, including as a result of new information that may emerge concerning COVID-19, including the identification and spread of new variants,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nine months ended September 30, 2021 are consistent with those discussed in Note 2 to the consolidated financial statements in the 2020 Annual Report on Form 10-K.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jc w:val="both"/>
        <w:ind w:left="60" w:right="199" w:firstLine="648"/>
        <w:spacing w:after="0" w:line="294"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98"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Marketable securities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Marketable securities consisted of the following at September 30, 2021 and December 31, 2020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2021</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157"/>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37"/>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60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Gain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6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483,281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9"/>
                <w:szCs w:val="19"/>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483,206</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6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256,998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256,999</w:t>
            </w:r>
          </w:p>
        </w:tc>
        <w:tc>
          <w:tcPr>
            <w:tcW w:w="0" w:type="dxa"/>
            <w:vAlign w:val="bottom"/>
          </w:tcPr>
          <w:p>
            <w:pPr>
              <w:spacing w:after="0"/>
              <w:rPr>
                <w:sz w:val="1"/>
                <w:szCs w:val="1"/>
                <w:color w:val="auto"/>
              </w:rPr>
            </w:pP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6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740,279</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w w:val="98"/>
              </w:rPr>
              <w:t>740,205</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5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57"/>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57"/>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Gain</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6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746,770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747,269</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117,817</w:t>
            </w:r>
          </w:p>
        </w:tc>
        <w:tc>
          <w:tcPr>
            <w:tcW w:w="0" w:type="dxa"/>
            <w:vAlign w:val="bottom"/>
          </w:tcPr>
          <w:p>
            <w:pPr>
              <w:spacing w:after="0"/>
              <w:rPr>
                <w:sz w:val="1"/>
                <w:szCs w:val="1"/>
                <w:color w:val="auto"/>
              </w:rPr>
            </w:pPr>
          </w:p>
        </w:tc>
      </w:tr>
      <w:tr>
        <w:trPr>
          <w:trHeight w:val="196"/>
        </w:trPr>
        <w:tc>
          <w:tcPr>
            <w:tcW w:w="35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6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864,138</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865,086</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As of September 30, 2021, the Company held 38 debt securities that were in an unrealized loss position with an aggregate fair value of $407.2 million. As of December 31, 2020, the Company held 8 debt securities that were in an unrealized loss position with an aggregate fair value of $125.7 million. As of September 30, 2021 and December 31, 2020,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three and nine months ended September 30, 2021.</w:t>
      </w:r>
    </w:p>
    <w:p>
      <w:pPr>
        <w:spacing w:after="0" w:line="148" w:lineRule="exact"/>
        <w:rPr>
          <w:sz w:val="20"/>
          <w:szCs w:val="20"/>
          <w:color w:val="auto"/>
        </w:rPr>
      </w:pPr>
    </w:p>
    <w:p>
      <w:pPr>
        <w:ind w:left="60" w:right="239" w:firstLine="648"/>
        <w:spacing w:after="0" w:line="248" w:lineRule="auto"/>
        <w:rPr>
          <w:sz w:val="20"/>
          <w:szCs w:val="20"/>
          <w:color w:val="auto"/>
        </w:rPr>
      </w:pPr>
      <w:r>
        <w:rPr>
          <w:rFonts w:ascii="Arial" w:cs="Arial" w:eastAsia="Arial" w:hAnsi="Arial"/>
          <w:sz w:val="18"/>
          <w:szCs w:val="18"/>
          <w:color w:val="auto"/>
        </w:rPr>
        <w:t xml:space="preserve">As of September 30, 2021, 53 securities with an aggregate fair value of $591.9 million had remaining maturities between one year and five years. As of December 31, 2020, 65 </w:t>
      </w:r>
      <w:r>
        <w:rPr>
          <w:rFonts w:ascii="Arial" w:cs="Arial" w:eastAsia="Arial" w:hAnsi="Arial"/>
          <w:sz w:val="18"/>
          <w:szCs w:val="18"/>
          <w:color w:val="212529"/>
        </w:rPr>
        <w:t>securities with an aggregate fair value of $677.9 million</w:t>
      </w:r>
      <w:r>
        <w:rPr>
          <w:rFonts w:ascii="Arial" w:cs="Arial" w:eastAsia="Arial" w:hAnsi="Arial"/>
          <w:sz w:val="18"/>
          <w:szCs w:val="18"/>
          <w:color w:val="auto"/>
        </w:rPr>
        <w:t xml:space="preserve"> </w:t>
      </w:r>
      <w:r>
        <w:rPr>
          <w:rFonts w:ascii="Arial" w:cs="Arial" w:eastAsia="Arial" w:hAnsi="Arial"/>
          <w:sz w:val="18"/>
          <w:szCs w:val="18"/>
          <w:color w:val="212529"/>
        </w:rPr>
        <w:t>had remaining maturities between one year and five years.</w:t>
      </w:r>
    </w:p>
    <w:p>
      <w:pPr>
        <w:spacing w:after="0" w:line="168" w:lineRule="exact"/>
        <w:rPr>
          <w:sz w:val="20"/>
          <w:szCs w:val="20"/>
          <w:color w:val="auto"/>
        </w:rPr>
      </w:pPr>
    </w:p>
    <w:p>
      <w:pPr>
        <w:ind w:left="60" w:right="219" w:firstLine="315"/>
        <w:spacing w:after="0" w:line="241" w:lineRule="auto"/>
        <w:rPr>
          <w:sz w:val="20"/>
          <w:szCs w:val="20"/>
          <w:color w:val="auto"/>
        </w:rPr>
      </w:pPr>
      <w:r>
        <w:rPr>
          <w:rFonts w:ascii="Arial" w:cs="Arial" w:eastAsia="Arial" w:hAnsi="Arial"/>
          <w:sz w:val="18"/>
          <w:szCs w:val="18"/>
          <w:color w:val="212529"/>
        </w:rPr>
        <w:t>The Company received proceeds of $237.3 million and $637.8 million from maturities of debt securities for the three and nine months ended September 30, 2021, respectively, and proceeds of $134.7 million and $440.7 million from maturities of debt securities for the three and nine months ended September 30, 2020, respectively. The Company did not realize any gains or losses from maturities of debt securities for the three and nine months ended September 30, 2021 and 2020.</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4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September 30, 2021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3)</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509,616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5"/>
              </w:rPr>
              <w:t>509,616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483,206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483,206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256,999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256,999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1,249,821</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766,615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483,206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2020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38"/>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3)</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420,567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5"/>
              </w:rPr>
              <w:t>420,567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747,269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747,269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48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117,817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1,285,653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538,384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747,269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Product Revenue Reserves and Allowances</w:t>
      </w:r>
    </w:p>
    <w:p>
      <w:pPr>
        <w:spacing w:after="0" w:line="216"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 xml:space="preserve">In January 2020, the U.S. Food and Drug Administration (FDA) approved </w:t>
      </w:r>
      <w:r>
        <w:rPr>
          <w:rFonts w:ascii="Arial" w:cs="Arial" w:eastAsia="Arial" w:hAnsi="Arial"/>
          <w:sz w:val="16"/>
          <w:szCs w:val="16"/>
          <w:color w:val="0A0A0A"/>
          <w:highlight w:val="white"/>
        </w:rPr>
        <w:t>AYVAKIT</w:t>
      </w:r>
      <w:r>
        <w:rPr>
          <w:rFonts w:ascii="Arial" w:cs="Arial" w:eastAsia="Arial" w:hAnsi="Arial"/>
          <w:sz w:val="16"/>
          <w:szCs w:val="16"/>
          <w:color w:val="auto"/>
        </w:rPr>
        <w:t xml:space="preserve"> for the treatment of adults with unresectable or metastatic gastrointestinal stromal tumor (GIST) harboring a </w:t>
      </w:r>
      <w:r>
        <w:rPr>
          <w:rFonts w:ascii="Arial" w:cs="Arial" w:eastAsia="Arial" w:hAnsi="Arial"/>
          <w:sz w:val="16"/>
          <w:szCs w:val="16"/>
          <w:color w:val="0A0A0A"/>
          <w:highlight w:val="white"/>
        </w:rPr>
        <w:t>PDGFRA exon 18 mutation, including</w:t>
      </w:r>
      <w:r>
        <w:rPr>
          <w:rFonts w:ascii="Arial" w:cs="Arial" w:eastAsia="Arial" w:hAnsi="Arial"/>
          <w:sz w:val="16"/>
          <w:szCs w:val="16"/>
          <w:color w:val="auto"/>
        </w:rPr>
        <w:t xml:space="preserve"> </w:t>
      </w:r>
      <w:r>
        <w:rPr>
          <w:rFonts w:ascii="Arial" w:cs="Arial" w:eastAsia="Arial" w:hAnsi="Arial"/>
          <w:sz w:val="16"/>
          <w:szCs w:val="16"/>
          <w:color w:val="0A0A0A"/>
          <w:highlight w:val="white"/>
        </w:rPr>
        <w:t>PDGFRA D842V mutations</w:t>
      </w:r>
      <w:r>
        <w:rPr>
          <w:rFonts w:ascii="Arial" w:cs="Arial" w:eastAsia="Arial" w:hAnsi="Arial"/>
          <w:sz w:val="16"/>
          <w:szCs w:val="16"/>
          <w:color w:val="000000"/>
        </w:rPr>
        <w:t>. In June 2021, the FDA granted a subsequent approval for AYVAKIT, expanding the labeled</w:t>
      </w:r>
      <w:r>
        <w:rPr>
          <w:rFonts w:ascii="Arial" w:cs="Arial" w:eastAsia="Arial" w:hAnsi="Arial"/>
          <w:sz w:val="16"/>
          <w:szCs w:val="16"/>
          <w:color w:val="0A0A0A"/>
          <w:highlight w:val="white"/>
        </w:rPr>
        <w:t xml:space="preserve"> </w:t>
      </w:r>
      <w:r>
        <w:rPr>
          <w:rFonts w:ascii="Arial" w:cs="Arial" w:eastAsia="Arial" w:hAnsi="Arial"/>
          <w:sz w:val="16"/>
          <w:szCs w:val="16"/>
          <w:color w:val="000000"/>
        </w:rPr>
        <w:t>indications to include adult patients with advanced systemic mastocytosis (Advanced SM), including aggressive SM (ASM), SM with an associated hematological neoplasm (SM-AHN) and mast cell leukemia (MCL). In September 2020, the FDA granted accelerated approval of GAVRETO for the treatment of adult patients with metastatic RET fusion-positive non-small cell lung cancer (NSCLC) as detected by an FDA approved test, and the European Commission granted conditional marketing authorization to AYVAKYT as a monotherapy for the treatment of adult patients with unresectable or metastatic GIST harboring the PDGFRA D842V mutation. In December 2020, the FDA</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2" w:lineRule="auto"/>
        <w:rPr>
          <w:sz w:val="20"/>
          <w:szCs w:val="20"/>
          <w:color w:val="auto"/>
        </w:rPr>
      </w:pPr>
      <w:r>
        <w:rPr>
          <w:rFonts w:ascii="Arial" w:cs="Arial" w:eastAsia="Arial" w:hAnsi="Arial"/>
          <w:sz w:val="17"/>
          <w:szCs w:val="17"/>
          <w:color w:val="auto"/>
        </w:rPr>
        <w:t>granted a subsequent accelerated approval for GAVRETO, expanding the labeled indications to include adult and pediatric patients 12 years of age and older with advanced or metastatic RET-mutant medullary thyroid cancer (MTC) who require systemic therapy, or with advanced or metastatic RET fusion-positive thyroid cancer who require systemic therapy and who are radioactive iodine-refractory (if radioactive iodine is appropriate).</w:t>
      </w:r>
    </w:p>
    <w:p>
      <w:pPr>
        <w:spacing w:after="0" w:line="172"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 xml:space="preserve">On July 1, 2021, the Company transferred certain responsibilities associated with product sales to customers, pricing and distribution matters related to U.S. product sales of GAVRETO to its collaboration partner and did not record any net product revenue from product sales of GAVRETO during the three months ended September 30, 2021. Products sales of GAVRETO were reflected as part of collaboration loss sharing in the unaudited condensed consolidated statements of operations and comprehensive income (loss). For additional information, see Note 9, </w:t>
      </w:r>
      <w:r>
        <w:rPr>
          <w:rFonts w:ascii="Arial" w:cs="Arial" w:eastAsia="Arial" w:hAnsi="Arial"/>
          <w:sz w:val="18"/>
          <w:szCs w:val="18"/>
          <w:i w:val="1"/>
          <w:iCs w:val="1"/>
          <w:color w:val="auto"/>
        </w:rPr>
        <w:t>Collaboration and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revenue recognized from product sales for the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152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7"/>
              </w:rPr>
              <w:t>Nine Months Ended</w:t>
            </w:r>
          </w:p>
        </w:tc>
      </w:tr>
      <w:tr>
        <w:trPr>
          <w:trHeight w:val="201"/>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7"/>
                <w:szCs w:val="17"/>
                <w:color w:val="auto"/>
              </w:rPr>
            </w:pPr>
          </w:p>
        </w:tc>
        <w:tc>
          <w:tcPr>
            <w:tcW w:w="152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rPr>
              <w:t>September 30,</w:t>
            </w:r>
          </w:p>
        </w:tc>
      </w:tr>
      <w:tr>
        <w:trPr>
          <w:trHeight w:val="182"/>
        </w:trPr>
        <w:tc>
          <w:tcPr>
            <w:tcW w:w="55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AYVAKIT/AYVAKYT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15,239</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GAVRETO</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196"/>
        </w:trPr>
        <w:tc>
          <w:tcPr>
            <w:tcW w:w="55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product revenue</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37,658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15,446</w:t>
            </w: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for the nine months ended September 30, 2021 (in thousands):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Beginning 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-115570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related to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Credits and payments made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5"/>
          <w:szCs w:val="15"/>
          <w:color w:val="auto"/>
        </w:rPr>
        <w:t>Ending balance at September 30,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1060" w:hanging="1059"/>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1,192</w:t>
      </w:r>
    </w:p>
    <w:p>
      <w:pPr>
        <w:spacing w:after="0" w:line="9" w:lineRule="exact"/>
        <w:rPr>
          <w:rFonts w:ascii="Arial" w:cs="Arial" w:eastAsia="Arial" w:hAnsi="Arial"/>
          <w:sz w:val="18"/>
          <w:szCs w:val="18"/>
          <w:color w:val="auto"/>
        </w:rPr>
      </w:pPr>
    </w:p>
    <w:p>
      <w:pPr>
        <w:ind w:left="1060"/>
        <w:spacing w:after="0" w:line="234" w:lineRule="auto"/>
        <w:rPr>
          <w:rFonts w:ascii="Arial" w:cs="Arial" w:eastAsia="Arial" w:hAnsi="Arial"/>
          <w:sz w:val="18"/>
          <w:szCs w:val="18"/>
          <w:color w:val="auto"/>
        </w:rPr>
      </w:pPr>
      <w:r>
        <w:rPr>
          <w:rFonts w:ascii="Arial" w:cs="Arial" w:eastAsia="Arial" w:hAnsi="Arial"/>
          <w:sz w:val="18"/>
          <w:szCs w:val="18"/>
          <w:color w:val="auto"/>
        </w:rPr>
        <w:t>5,665</w:t>
      </w:r>
    </w:p>
    <w:p>
      <w:pPr>
        <w:spacing w:after="0" w:line="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(3,416)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969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ind w:left="1060" w:hanging="1059"/>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3,441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69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9690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1599"/>
          </w:cols>
          <w:pgMar w:left="1440" w:top="517" w:right="1440" w:bottom="1440" w:gutter="0" w:footer="0" w:header="0"/>
          <w:type w:val="continuous"/>
        </w:sectPr>
      </w:pPr>
    </w:p>
    <w:p>
      <w:pPr>
        <w:spacing w:after="0" w:line="65" w:lineRule="exact"/>
        <w:rPr>
          <w:sz w:val="20"/>
          <w:szCs w:val="20"/>
          <w:color w:val="auto"/>
        </w:rPr>
      </w:pPr>
    </w:p>
    <w:p>
      <w:pPr>
        <w:ind w:left="60" w:right="579" w:firstLine="648"/>
        <w:spacing w:after="0" w:line="261" w:lineRule="auto"/>
        <w:rPr>
          <w:sz w:val="20"/>
          <w:szCs w:val="20"/>
          <w:color w:val="auto"/>
        </w:rPr>
      </w:pPr>
      <w:r>
        <w:rPr>
          <w:rFonts w:ascii="Arial" w:cs="Arial" w:eastAsia="Arial" w:hAnsi="Arial"/>
          <w:sz w:val="18"/>
          <w:szCs w:val="18"/>
          <w:color w:val="auto"/>
        </w:rPr>
        <w:t>The total reserves that are included in the Company’s unaudited condensed consolidated balance sheets, are summarized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12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December 31,</w:t>
            </w:r>
          </w:p>
        </w:tc>
      </w:tr>
      <w:tr>
        <w:trPr>
          <w:trHeight w:val="228"/>
        </w:trPr>
        <w:tc>
          <w:tcPr>
            <w:tcW w:w="6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of accrued expenses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196"/>
        </w:trPr>
        <w:tc>
          <w:tcPr>
            <w:tcW w:w="62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revenue-related reserves</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r>
      <w:tr>
        <w:trPr>
          <w:trHeight w:val="20"/>
        </w:trPr>
        <w:tc>
          <w:tcPr>
            <w:tcW w:w="6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Capitalized inventory consists of the following at September 30, 2021 and December 31, 2020 (in thousands):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3,384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17,841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9,488</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4,415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914</w:t>
            </w: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25,640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10,402</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Balance sheet classification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8,581</w:t>
            </w: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9,070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1,821</w:t>
            </w: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25,640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10,402</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6"/>
          <w:szCs w:val="16"/>
          <w:color w:val="auto"/>
        </w:rPr>
        <w:t>Inventory amounts written down as a result of excess, obsolescence, unmarketability or other reasons are charged to cost of sales. For the three and nine months ended September 30, 2021, the Company recognized a write-down of $0.4 million and $0.8 million, respectively. There was no such write-down for the three and nine months ended</w:t>
      </w:r>
    </w:p>
    <w:p>
      <w:pPr>
        <w:ind w:left="60" w:right="319"/>
        <w:spacing w:after="0" w:line="243" w:lineRule="auto"/>
        <w:rPr>
          <w:sz w:val="20"/>
          <w:szCs w:val="20"/>
          <w:color w:val="auto"/>
        </w:rPr>
      </w:pPr>
      <w:r>
        <w:rPr>
          <w:rFonts w:ascii="Arial" w:cs="Arial" w:eastAsia="Arial" w:hAnsi="Arial"/>
          <w:sz w:val="18"/>
          <w:szCs w:val="18"/>
          <w:color w:val="auto"/>
        </w:rPr>
        <w:t>September 30, 2020. Long-term inventory, which primarily consists of work in process and raw materials, is included in other assets in the unaudited condensed consolidated balance sheets.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Restricted Cash</w:t>
      </w:r>
    </w:p>
    <w:p>
      <w:pPr>
        <w:spacing w:after="0" w:line="216" w:lineRule="exact"/>
        <w:rPr>
          <w:sz w:val="20"/>
          <w:szCs w:val="20"/>
          <w:color w:val="auto"/>
        </w:rPr>
      </w:pPr>
    </w:p>
    <w:p>
      <w:pPr>
        <w:ind w:left="60" w:right="379" w:firstLine="648"/>
        <w:spacing w:after="0" w:line="324" w:lineRule="auto"/>
        <w:rPr>
          <w:sz w:val="20"/>
          <w:szCs w:val="20"/>
          <w:color w:val="auto"/>
        </w:rPr>
      </w:pPr>
      <w:r>
        <w:rPr>
          <w:rFonts w:ascii="Arial" w:cs="Arial" w:eastAsia="Arial" w:hAnsi="Arial"/>
          <w:sz w:val="16"/>
          <w:szCs w:val="16"/>
          <w:color w:val="auto"/>
        </w:rPr>
        <w:t>At September 30, 2021 and December 31, 2020, $5.2 million and $5.2 million, respectively, of the Company’s cash is restricted by a bank primarily related to security deposits for the Company’s building lease agreements.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7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development and commercial contract costs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49,714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60,255</w:t>
            </w:r>
          </w:p>
        </w:tc>
        <w:tc>
          <w:tcPr>
            <w:tcW w:w="80" w:type="dxa"/>
            <w:vAlign w:val="bottom"/>
            <w:shd w:val="clear" w:color="auto" w:fill="CCEEFF"/>
          </w:tcPr>
          <w:p>
            <w:pPr>
              <w:spacing w:after="0"/>
              <w:rPr>
                <w:sz w:val="17"/>
                <w:szCs w:val="17"/>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22,327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27,622</w:t>
            </w:r>
          </w:p>
        </w:tc>
        <w:tc>
          <w:tcPr>
            <w:tcW w:w="80" w:type="dxa"/>
            <w:vAlign w:val="bottom"/>
          </w:tcPr>
          <w:p>
            <w:pPr>
              <w:spacing w:after="0"/>
              <w:rPr>
                <w:sz w:val="19"/>
                <w:szCs w:val="19"/>
                <w:color w:val="auto"/>
              </w:rPr>
            </w:pPr>
          </w:p>
        </w:tc>
      </w:tr>
      <w:tr>
        <w:trPr>
          <w:trHeight w:val="202"/>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13,258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10,986</w:t>
            </w:r>
          </w:p>
        </w:tc>
        <w:tc>
          <w:tcPr>
            <w:tcW w:w="80" w:type="dxa"/>
            <w:vAlign w:val="bottom"/>
            <w:shd w:val="clear" w:color="auto" w:fill="CCEEFF"/>
          </w:tcPr>
          <w:p>
            <w:pPr>
              <w:spacing w:after="0"/>
              <w:rPr>
                <w:sz w:val="17"/>
                <w:szCs w:val="17"/>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Revenue-related reserves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9"/>
                <w:szCs w:val="19"/>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6,302</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6,109</w:t>
            </w:r>
          </w:p>
        </w:tc>
        <w:tc>
          <w:tcPr>
            <w:tcW w:w="80" w:type="dxa"/>
            <w:vAlign w:val="bottom"/>
            <w:shd w:val="clear" w:color="auto" w:fill="CCEEFF"/>
          </w:tcPr>
          <w:p>
            <w:pPr>
              <w:spacing w:after="0"/>
              <w:rPr>
                <w:sz w:val="17"/>
                <w:szCs w:val="17"/>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94,540</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105,938</w:t>
            </w:r>
          </w:p>
        </w:tc>
        <w:tc>
          <w:tcPr>
            <w:tcW w:w="8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Collaboration and License Agreements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12" w:lineRule="exact"/>
        <w:rPr>
          <w:sz w:val="20"/>
          <w:szCs w:val="20"/>
          <w:color w:val="auto"/>
        </w:rPr>
      </w:pPr>
    </w:p>
    <w:p>
      <w:pPr>
        <w:ind w:left="60" w:right="219" w:firstLine="648"/>
        <w:spacing w:after="0"/>
        <w:rPr>
          <w:sz w:val="20"/>
          <w:szCs w:val="20"/>
          <w:color w:val="auto"/>
        </w:rPr>
      </w:pPr>
      <w:r>
        <w:rPr>
          <w:rFonts w:ascii="Arial" w:cs="Arial" w:eastAsia="Arial" w:hAnsi="Arial"/>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Under the Roche pralsetinib collaboration agreement, the Company received an upfront cash payment of $675.0 million, and through September 30, 2021, the Company has received a total of $55.0 million in specified regulatory and commercialization milestones. In addition to the upfront and milestone payments received through September 30, 2021, the Company is eligible to receive up to $872.0 million in contingent payments, including specified development, regulatory and sales-based milestones for pralsetinib and any licensed product containing a next-generation RET compound.</w:t>
      </w:r>
    </w:p>
    <w:p>
      <w:pPr>
        <w:spacing w:after="0" w:line="159" w:lineRule="exact"/>
        <w:rPr>
          <w:sz w:val="20"/>
          <w:szCs w:val="20"/>
          <w:color w:val="auto"/>
        </w:rPr>
      </w:pPr>
    </w:p>
    <w:p>
      <w:pPr>
        <w:ind w:left="60" w:right="179" w:firstLine="648"/>
        <w:spacing w:after="0" w:line="276" w:lineRule="auto"/>
        <w:rPr>
          <w:sz w:val="20"/>
          <w:szCs w:val="20"/>
          <w:color w:val="auto"/>
        </w:rPr>
      </w:pPr>
      <w:r>
        <w:rPr>
          <w:rFonts w:ascii="Arial" w:cs="Arial" w:eastAsia="Arial" w:hAnsi="Arial"/>
          <w:sz w:val="16"/>
          <w:szCs w:val="16"/>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88"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81"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determined that the Roche pralsetinib collaboration agreement contained four material components:</w:t>
      </w:r>
    </w:p>
    <w:p>
      <w:pPr>
        <w:spacing w:after="0" w:line="35" w:lineRule="exact"/>
        <w:rPr>
          <w:sz w:val="20"/>
          <w:szCs w:val="20"/>
          <w:color w:val="auto"/>
        </w:rPr>
      </w:pPr>
    </w:p>
    <w:p>
      <w:pPr>
        <w:ind w:left="60" w:right="199" w:hanging="10"/>
        <w:spacing w:after="0" w:line="270"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6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revenue will be recognized when the related sales occur. Costs</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that are incurred associated with the Roche territory activities are reimbursable from Roche and are recognized as revenue.</w:t>
      </w:r>
    </w:p>
    <w:p>
      <w:pPr>
        <w:spacing w:after="0" w:line="23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September 30, 2021, the Company has achieved $55.0 million in specified regulatory and commercialization milestones and added the $55.0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67"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The following table summarizes revenue recognized under the Roche pralsetinib collaboration during the three and nine months ended September 30, 2021 and 2020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5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3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w w:val="93"/>
              </w:rPr>
              <w:t>Nine Months Ended</w:t>
            </w:r>
          </w:p>
        </w:tc>
      </w:tr>
      <w:tr>
        <w:trPr>
          <w:trHeight w:val="201"/>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3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58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top w:val="single" w:sz="8" w:color="auto"/>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r>
      <w:tr>
        <w:trPr>
          <w:trHeight w:val="196"/>
        </w:trPr>
        <w:tc>
          <w:tcPr>
            <w:tcW w:w="5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Upfront license revenue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$ 695,694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695,694</w:t>
            </w:r>
          </w:p>
        </w:tc>
      </w:tr>
      <w:tr>
        <w:trPr>
          <w:trHeight w:val="203"/>
        </w:trPr>
        <w:tc>
          <w:tcPr>
            <w:tcW w:w="5840" w:type="dxa"/>
            <w:vAlign w:val="bottom"/>
          </w:tcPr>
          <w:p>
            <w:pPr>
              <w:ind w:left="20"/>
              <w:spacing w:after="0" w:line="202" w:lineRule="exact"/>
              <w:rPr>
                <w:sz w:val="20"/>
                <w:szCs w:val="20"/>
                <w:color w:val="auto"/>
              </w:rPr>
            </w:pPr>
            <w:r>
              <w:rPr>
                <w:rFonts w:ascii="Arial" w:cs="Arial" w:eastAsia="Arial" w:hAnsi="Arial"/>
                <w:sz w:val="18"/>
                <w:szCs w:val="18"/>
                <w:color w:val="auto"/>
              </w:rPr>
              <w:t>License milestone revenue</w:t>
            </w:r>
          </w:p>
        </w:tc>
        <w:tc>
          <w:tcPr>
            <w:tcW w:w="12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40,000</w:t>
            </w:r>
          </w:p>
        </w:tc>
      </w:tr>
      <w:tr>
        <w:trPr>
          <w:trHeight w:val="203"/>
        </w:trPr>
        <w:tc>
          <w:tcPr>
            <w:tcW w:w="5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5"/>
              </w:rPr>
              <w:t>Manufacturing and other services related to Roche territory-specific activities</w:t>
            </w:r>
          </w:p>
        </w:tc>
        <w:tc>
          <w:tcPr>
            <w:tcW w:w="1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4,539</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856</w:t>
            </w:r>
          </w:p>
        </w:tc>
      </w:tr>
      <w:tr>
        <w:trPr>
          <w:trHeight w:val="196"/>
        </w:trPr>
        <w:tc>
          <w:tcPr>
            <w:tcW w:w="5840" w:type="dxa"/>
            <w:vAlign w:val="bottom"/>
          </w:tcPr>
          <w:p>
            <w:pPr>
              <w:ind w:left="20"/>
              <w:spacing w:after="0" w:line="196" w:lineRule="exact"/>
              <w:rPr>
                <w:sz w:val="20"/>
                <w:szCs w:val="20"/>
                <w:color w:val="auto"/>
              </w:rPr>
            </w:pPr>
            <w:r>
              <w:rPr>
                <w:rFonts w:ascii="Arial" w:cs="Arial" w:eastAsia="Arial" w:hAnsi="Arial"/>
                <w:sz w:val="18"/>
                <w:szCs w:val="18"/>
                <w:color w:val="auto"/>
              </w:rPr>
              <w:t>Total Roche pralsetinib collaboration revenue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w:t>
            </w:r>
          </w:p>
        </w:tc>
        <w:tc>
          <w:tcPr>
            <w:tcW w:w="12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$ 736,550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4,539</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736,550</w:t>
            </w: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unaudited condensed consolidated statements of operations and comprehensive income (loss). On July 1, 2021, Roche took over certain responsibilities associated with product sales to customers, pricing and distribution matters for GAVRETO in the U.S. and became the principal for recording product sales to customers in the U.S., and the Company recognized its portion of the commercial losses sharing as collaboration loss sharing in its unaudited condensed consolidated statements of operations and comprehensive income (loss).</w:t>
      </w:r>
    </w:p>
    <w:p>
      <w:pPr>
        <w:spacing w:after="0" w:line="171"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The following table summarizes the amount recognized from collaboration loss sharing after Roche became the principal for product sales of GAVRETO to customers in the U.S.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6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01"/>
        </w:trPr>
        <w:tc>
          <w:tcPr>
            <w:tcW w:w="5820" w:type="dxa"/>
            <w:vAlign w:val="bottom"/>
          </w:tcPr>
          <w:p>
            <w:pPr>
              <w:spacing w:after="0"/>
              <w:rPr>
                <w:sz w:val="17"/>
                <w:szCs w:val="17"/>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582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The Company's share of loss in the U.S. for pralsetinib</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$ 3,269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$ 3,269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The following table summarizes the amounts recognized as reductions to selling, general and administrative expenses related to the commercialization of GAVRETO in the U.S., and reductions to research and development expenses related to global development activities for pralsetinib under the Roche pralsetinib collaboration during the three and nine months ended September 30, 2021 and 2020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58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4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4"/>
              </w:rPr>
              <w:t>Nine Months Ended</w:t>
            </w:r>
          </w:p>
        </w:tc>
      </w:tr>
      <w:tr>
        <w:trPr>
          <w:trHeight w:val="201"/>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7"/>
                <w:szCs w:val="17"/>
                <w:color w:val="auto"/>
              </w:rPr>
            </w:pPr>
          </w:p>
        </w:tc>
        <w:tc>
          <w:tcPr>
            <w:tcW w:w="1400" w:type="dxa"/>
            <w:vAlign w:val="bottom"/>
            <w:gridSpan w:val="4"/>
          </w:tcPr>
          <w:p>
            <w:pPr>
              <w:jc w:val="center"/>
              <w:ind w:right="76"/>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58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r>
      <w:tr>
        <w:trPr>
          <w:trHeight w:val="196"/>
        </w:trPr>
        <w:tc>
          <w:tcPr>
            <w:tcW w:w="5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Reductions to selling, general and administrative expenses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6,903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5,317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12,058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w w:val="97"/>
              </w:rPr>
              <w:t>5,317</w:t>
            </w: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Reductions to research and development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1,459</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9,715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7,613</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9,715</w:t>
            </w:r>
          </w:p>
        </w:tc>
      </w:tr>
    </w:tbl>
    <w:p>
      <w:pPr>
        <w:spacing w:after="0" w:line="39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contract assets associated with the Roche pralsetinib collaboration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December 31, 2020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201"/>
        </w:trPr>
        <w:tc>
          <w:tcPr>
            <w:tcW w:w="67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6,962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17,600</w:t>
            </w:r>
          </w:p>
        </w:tc>
      </w:tr>
    </w:tbl>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1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59"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7"/>
          <w:szCs w:val="17"/>
          <w:color w:val="auto"/>
        </w:rPr>
        <w:t>Under the Clementia agreement, the Company received an upfront cash payment of $25.0 million and through September 30, 2021, the Company has received $20.0 million in cash milestone payments. Subject to the terms of the Clementia agreement, in addition to the upfront and milestone payments received through September 30, 2021, the Company is eligible to receive up to $490.0 million in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Company determined that the transaction price as of the outset of the arrangement was $46.5 million, which consisted of the upfront amount of $25.0 million, the $20.0 million cash milestone payment received in the third quarter of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obligations on a relative stand-alone selling price basis. The Company satisfies the performance obligations upon delivery of the license and completion of the technology transfer and inventory transfers.</w:t>
      </w:r>
    </w:p>
    <w:p>
      <w:pPr>
        <w:spacing w:after="0" w:line="194" w:lineRule="exact"/>
        <w:rPr>
          <w:sz w:val="20"/>
          <w:szCs w:val="20"/>
          <w:color w:val="auto"/>
        </w:rPr>
      </w:pPr>
    </w:p>
    <w:p>
      <w:pPr>
        <w:ind w:left="60" w:right="539" w:firstLine="648"/>
        <w:spacing w:after="0" w:line="261" w:lineRule="auto"/>
        <w:rPr>
          <w:sz w:val="20"/>
          <w:szCs w:val="20"/>
          <w:color w:val="auto"/>
        </w:rPr>
      </w:pPr>
      <w:r>
        <w:rPr>
          <w:rFonts w:ascii="Arial" w:cs="Arial" w:eastAsia="Arial" w:hAnsi="Arial"/>
          <w:sz w:val="18"/>
          <w:szCs w:val="18"/>
          <w:color w:val="auto"/>
        </w:rPr>
        <w:t>During 2019, the Company completed the delivery of the license, the technology transfer and the transfer of existing manufacturing inventory and recognized a total of $46.2 million as revenue.</w:t>
      </w:r>
    </w:p>
    <w:p>
      <w:pPr>
        <w:spacing w:after="0" w:line="171"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During the three and nine months ended September 30, 2021, no revenue was recognized from the Clementia collaboration. During the nine months ended September 30, 2020, the Company completed the transfer of the in-process manufacturing inventory to Clementia and recognized revenue of $0.3 million accordingly. There was no revenue deferred as a contract liability associated with the Clementia agreement as of September 30, 2021 and December 31, 2020.</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On June 1,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74"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The Company received an upfront cash payment of $40.0 million, and through September 30, 2021, the Company has achieved $23.0 million in milestones under this collaboration. Subject to the terms of the CStone agreement, in addition to the upfront payments received and milestones achieved through September 30, 2021, the Company will be eligible to receive up to approximately $323.0 million in additional milestone payments, including $95.5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Pursuant to the terms of the CStone agreement, CStone will be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8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80"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80" w:lineRule="exact"/>
        <w:rPr>
          <w:sz w:val="20"/>
          <w:szCs w:val="20"/>
          <w:color w:val="auto"/>
        </w:rPr>
      </w:pPr>
    </w:p>
    <w:p>
      <w:pPr>
        <w:jc w:val="both"/>
        <w:ind w:left="60" w:right="139" w:firstLine="648"/>
        <w:spacing w:after="0" w:line="248" w:lineRule="auto"/>
        <w:rPr>
          <w:sz w:val="20"/>
          <w:szCs w:val="20"/>
          <w:color w:val="auto"/>
        </w:rPr>
      </w:pPr>
      <w:r>
        <w:rPr>
          <w:rFonts w:ascii="Arial" w:cs="Arial" w:eastAsia="Arial" w:hAnsi="Arial"/>
          <w:sz w:val="18"/>
          <w:szCs w:val="18"/>
          <w:color w:val="auto"/>
        </w:rPr>
        <w:t>A summary of manufacturing and research and development services related to the global development activities, net of expenses payable to CStone during the three and nine months ended September 30, 2021 and 2020 is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5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54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r>
      <w:tr>
        <w:trPr>
          <w:trHeight w:val="168"/>
        </w:trPr>
        <w:tc>
          <w:tcPr>
            <w:tcW w:w="54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Manufacturing and research and development services related to global</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activities, net of expenses payable to CStone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1,047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1,777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3,091</w:t>
            </w:r>
          </w:p>
        </w:tc>
      </w:tr>
    </w:tbl>
    <w:p>
      <w:pPr>
        <w:spacing w:after="0" w:line="200" w:lineRule="exact"/>
        <w:rPr>
          <w:sz w:val="20"/>
          <w:szCs w:val="20"/>
          <w:color w:val="auto"/>
        </w:rPr>
      </w:pPr>
    </w:p>
    <w:p>
      <w:pPr>
        <w:spacing w:after="0" w:line="20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4"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74"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63"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During the three months ended September 30, 2021 and 2020, no milestones were achieved under the CStone agreement. During the nine months ended September 30, 2021 and 2020, cash consideration associated with achieved regulatory and development milestones of $9.0 million and $2.0 million, respectively, were added to the estimated transaction price and recognized as revenue in such periods.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63"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During the nine months ended September 30, 2021, the Company entered into commercial supply agreements and an avapritinib manufacturing technology transfer agreement with CStone for supply drug substance of avapritinib and drug product of avapritinib and pralsetinib to assist CStone’s commercialization activities conducted specifically for the CStone territory. The manufacturing activities in these agreements were considered as distinct performance obligations from the CStone collaboration agreement and collaboration revenue is recognized upon delivery of the drug substance and drug product to CStone.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summary of revenue recognized under the CStone agreement during the three and nine months ended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2020 is as follows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4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6"/>
              </w:rPr>
              <w:t>Nine Months Ended</w:t>
            </w:r>
          </w:p>
        </w:tc>
      </w:tr>
      <w:tr>
        <w:trPr>
          <w:trHeight w:val="185"/>
        </w:trPr>
        <w:tc>
          <w:tcPr>
            <w:tcW w:w="5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6"/>
                <w:szCs w:val="16"/>
                <w:color w:val="auto"/>
              </w:rPr>
            </w:pPr>
          </w:p>
        </w:tc>
        <w:tc>
          <w:tcPr>
            <w:tcW w:w="144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4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License milestone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Manufacturing services related to CStone territory-specific activities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13,860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Total CStone collaboration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4,655</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26,228</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3,496</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contract assets associated with the CStone collaboration as of</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September 30, 2021 and December 31, 2020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4,361</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As of September 30, 2021, the Company had $4.7 million of deferred revenue as a contract liability associated with the CStone collaboration, of which $0.2 million was included in current liabilities. This contract liability resulted from advance payments made by CStone in connection with commercial supply of avapritinib and pralsetinib for the CStone territory. The contract liability associated with the CStone collaboration was $6.5 million at December 31, 2020.</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Immunotherapy Collaboration</w:t>
      </w:r>
    </w:p>
    <w:p>
      <w:pPr>
        <w:spacing w:after="0" w:line="212"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93"/>
        <w:spacing w:after="0" w:line="271" w:lineRule="auto"/>
        <w:rPr>
          <w:sz w:val="20"/>
          <w:szCs w:val="20"/>
          <w:color w:val="auto"/>
        </w:rPr>
      </w:pPr>
      <w:r>
        <w:rPr>
          <w:rFonts w:ascii="Arial" w:cs="Arial" w:eastAsia="Arial" w:hAnsi="Arial"/>
          <w:sz w:val="16"/>
          <w:szCs w:val="16"/>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the fourth quarter of 2019 and in the first quarter of 2021,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 and Roche will receive commercialization rights outside of the U.S. for the licensed product. The Company will also retain worldwide rights to any products for which Roche elects not to exercise its applicable option.</w:t>
      </w:r>
    </w:p>
    <w:p>
      <w:pPr>
        <w:spacing w:after="0" w:line="16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received an upfront cash payment of $45.0 million, and through September 30, 2021, the Company</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has received $19.5 million in milestone payments under this collaboration. Subject to the terms of the Roche</w:t>
      </w:r>
    </w:p>
    <w:p>
      <w:pPr>
        <w:ind w:left="60"/>
        <w:spacing w:after="0" w:line="234" w:lineRule="auto"/>
        <w:rPr>
          <w:sz w:val="20"/>
          <w:szCs w:val="20"/>
          <w:color w:val="auto"/>
        </w:rPr>
      </w:pPr>
      <w:r>
        <w:rPr>
          <w:rFonts w:ascii="Arial" w:cs="Arial" w:eastAsia="Arial" w:hAnsi="Arial"/>
          <w:sz w:val="18"/>
          <w:szCs w:val="18"/>
          <w:color w:val="auto"/>
        </w:rPr>
        <w:t>immunotherapy agreement, as amended, in addition to the upfront and milestone payments received through</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September 30, 2021, the Company is eligible to receive up to approximately $323.3 million in contingent option fees and</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milestone payments related to specified research, pre-clinical, clinical, regulatory and sales-based milestones. In addition,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any licensed product for which Roche retains worldwide commercialization rights, the Company will be eligible to</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receive tiered royalties ranging from low double-digits to high-teens on future net sales of the licensed product. For any</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licensed product for which the Company retains commercialization rights in the U.S., the Company and Roche will be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7"/>
          <w:szCs w:val="17"/>
          <w:color w:val="auto"/>
        </w:rPr>
        <w:t>eligible to receive tiered royalties ranging from mid-single-digits to low double-digits on future net sales in the other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party’s respective territories in which it commercializes the licensed product. The upfront cash payment and any payments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milestones, option fees and royalties are non-refundable, non-creditable and not subject to set-off.</w:t>
      </w:r>
    </w:p>
    <w:p>
      <w:pPr>
        <w:spacing w:after="0" w:line="196"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7"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1" w:lineRule="exact"/>
        <w:rPr>
          <w:sz w:val="20"/>
          <w:szCs w:val="20"/>
          <w:color w:val="auto"/>
        </w:rPr>
      </w:pPr>
    </w:p>
    <w:p>
      <w:pPr>
        <w:ind w:left="60" w:right="59" w:hanging="10"/>
        <w:spacing w:after="0" w:line="252" w:lineRule="auto"/>
        <w:tabs>
          <w:tab w:leader="none" w:pos="315" w:val="left"/>
        </w:tabs>
        <w:numPr>
          <w:ilvl w:val="0"/>
          <w:numId w:val="8"/>
        </w:numPr>
        <w:rPr>
          <w:rFonts w:ascii="Arial" w:cs="Arial" w:eastAsia="Arial" w:hAnsi="Arial"/>
          <w:sz w:val="17"/>
          <w:szCs w:val="17"/>
          <w:color w:val="auto"/>
        </w:rPr>
      </w:pPr>
      <w:r>
        <w:rPr>
          <w:rFonts w:ascii="Arial" w:cs="Arial" w:eastAsia="Arial" w:hAnsi="Arial"/>
          <w:sz w:val="17"/>
          <w:szCs w:val="17"/>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324" w:lineRule="auto"/>
        <w:rPr>
          <w:sz w:val="20"/>
          <w:szCs w:val="20"/>
          <w:color w:val="auto"/>
        </w:rPr>
      </w:pPr>
      <w:r>
        <w:rPr>
          <w:rFonts w:ascii="Arial" w:cs="Arial" w:eastAsia="Arial" w:hAnsi="Arial"/>
          <w:sz w:val="16"/>
          <w:szCs w:val="16"/>
          <w:color w:val="auto"/>
        </w:rPr>
        <w:t>program do not represent separate performance obligations based on their dependence on the research and development efforts. As such, the Company determined that these promises should be combined into a single performance obligation.</w:t>
      </w:r>
    </w:p>
    <w:p>
      <w:pPr>
        <w:spacing w:after="0" w:line="124"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left="60" w:right="33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9"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Through September 30, 2021, the Company has achieved $19.5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20"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color w:val="auto"/>
        </w:rPr>
        <w:t>A summary of revenue recognized under the Roche immunotherapy agreement during the three and nine months ended September 30, 2021 and 2020 is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720" w:type="dxa"/>
            <w:vAlign w:val="bottom"/>
          </w:tcPr>
          <w:p>
            <w:pPr>
              <w:spacing w:after="0"/>
              <w:rPr>
                <w:sz w:val="16"/>
                <w:szCs w:val="16"/>
                <w:color w:val="auto"/>
              </w:rPr>
            </w:pPr>
          </w:p>
        </w:tc>
        <w:tc>
          <w:tcPr>
            <w:tcW w:w="17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56"/>
        </w:trPr>
        <w:tc>
          <w:tcPr>
            <w:tcW w:w="57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services revenue</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$ 1,408</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2,161</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$ 4,293</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$ 3,845</w:t>
            </w:r>
          </w:p>
        </w:tc>
      </w:tr>
    </w:tbl>
    <w:p>
      <w:pPr>
        <w:spacing w:after="0" w:line="242"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During the three and nine months ended September 30, 2021 and 2020, the Company recognized the following revenue due to the changes in the contract liability balances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7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85"/>
        </w:trPr>
        <w:tc>
          <w:tcPr>
            <w:tcW w:w="5720" w:type="dxa"/>
            <w:vAlign w:val="bottom"/>
          </w:tcPr>
          <w:p>
            <w:pPr>
              <w:spacing w:after="0"/>
              <w:rPr>
                <w:sz w:val="16"/>
                <w:szCs w:val="16"/>
                <w:color w:val="auto"/>
              </w:rPr>
            </w:pPr>
          </w:p>
        </w:tc>
        <w:tc>
          <w:tcPr>
            <w:tcW w:w="17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55"/>
        </w:trPr>
        <w:tc>
          <w:tcPr>
            <w:tcW w:w="572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8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Amounts included in the contract liability at the beginning of the period</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$ 1,062</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  1,259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$ 3,364</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$ 3,310</w:t>
            </w:r>
          </w:p>
        </w:tc>
      </w:tr>
    </w:tbl>
    <w:p>
      <w:pPr>
        <w:spacing w:after="0" w:line="256"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As of September 30, 2021, the Company had revenue deferred as a contract liability related to the Roche immunotherapy agreement of $30.7 million, of which $6.6 million was included in current liabilities, and the research and development services related to the performance obligation are expected to be performed over a remaining period of approximately 3.5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left="60" w:right="59" w:firstLine="648"/>
        <w:spacing w:after="0" w:line="266"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2021, the number of shares reserved for issuance under the 2015 Plan was increased by</w:t>
      </w:r>
    </w:p>
    <w:p>
      <w:pPr>
        <w:spacing w:after="0" w:line="3" w:lineRule="exact"/>
        <w:rPr>
          <w:sz w:val="20"/>
          <w:szCs w:val="20"/>
          <w:color w:val="auto"/>
        </w:rPr>
      </w:pPr>
    </w:p>
    <w:p>
      <w:pPr>
        <w:ind w:left="60" w:right="419"/>
        <w:spacing w:after="0" w:line="239" w:lineRule="auto"/>
        <w:rPr>
          <w:sz w:val="20"/>
          <w:szCs w:val="20"/>
          <w:color w:val="auto"/>
        </w:rPr>
      </w:pPr>
      <w:r>
        <w:rPr>
          <w:rFonts w:ascii="Arial" w:cs="Arial" w:eastAsia="Arial" w:hAnsi="Arial"/>
          <w:sz w:val="18"/>
          <w:szCs w:val="18"/>
          <w:color w:val="auto"/>
        </w:rPr>
        <w:t>2,311,741 shares. In addition, the total number of shares reserved for issuance is subject to adjustment in the event of a stock split, stock dividend or other change in the Company’s capitalization. As of September 30, 2021, there were 2,999,706 shares available for future grant under the 2015 Plan.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21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September 30, 2021, there were 399,263 shares available for future grant under the Inducement Plan.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stock option activity for the nine months ended September 30, 2021:</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6,030,639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1,006,635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(703,398)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Canceled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(375,402)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September 30, 2021</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5,958,474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Exercisable at September 30, 2021</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3,474,564</w:t>
            </w:r>
          </w:p>
        </w:tc>
        <w:tc>
          <w:tcPr>
            <w:tcW w:w="22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59.44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324" w:lineRule="auto"/>
        <w:rPr>
          <w:sz w:val="20"/>
          <w:szCs w:val="20"/>
          <w:color w:val="auto"/>
        </w:rPr>
      </w:pPr>
      <w:r>
        <w:rPr>
          <w:rFonts w:ascii="Arial" w:cs="Arial" w:eastAsia="Arial" w:hAnsi="Arial"/>
          <w:sz w:val="16"/>
          <w:szCs w:val="16"/>
          <w:color w:val="auto"/>
        </w:rPr>
        <w:t>As of September 30, 2021, the total unrecognized compensation expense related to unvested stock option awards was $106.6 million, which is expected to be recognized over a weighted-average period of approximately 2.48 years.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 summarizes the restricted stock units activity for the nine months ended September 30, 2021:</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Weighted-Average</w:t>
            </w:r>
          </w:p>
        </w:tc>
      </w:tr>
      <w:tr>
        <w:trPr>
          <w:trHeight w:val="201"/>
        </w:trPr>
        <w:tc>
          <w:tcPr>
            <w:tcW w:w="634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Grant Date Fair Value</w:t>
            </w:r>
          </w:p>
        </w:tc>
      </w:tr>
      <w:tr>
        <w:trPr>
          <w:trHeight w:val="196"/>
        </w:trPr>
        <w:tc>
          <w:tcPr>
            <w:tcW w:w="6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December 31, 2020</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1,171,686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65.37</w:t>
            </w: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842,477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98.67</w:t>
            </w:r>
          </w:p>
        </w:tc>
      </w:tr>
      <w:tr>
        <w:trPr>
          <w:trHeight w:val="203"/>
        </w:trPr>
        <w:tc>
          <w:tcPr>
            <w:tcW w:w="6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(295,461)</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65.22</w:t>
            </w: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(181,524)</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76.87</w:t>
            </w:r>
          </w:p>
        </w:tc>
      </w:tr>
      <w:tr>
        <w:trPr>
          <w:trHeight w:val="196"/>
        </w:trPr>
        <w:tc>
          <w:tcPr>
            <w:tcW w:w="63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September 30,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1,537,178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82.29</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60" w:right="139" w:firstLine="648"/>
        <w:spacing w:after="0" w:line="324" w:lineRule="auto"/>
        <w:rPr>
          <w:sz w:val="20"/>
          <w:szCs w:val="20"/>
          <w:color w:val="auto"/>
        </w:rPr>
      </w:pPr>
      <w:r>
        <w:rPr>
          <w:rFonts w:ascii="Arial" w:cs="Arial" w:eastAsia="Arial" w:hAnsi="Arial"/>
          <w:sz w:val="16"/>
          <w:szCs w:val="16"/>
          <w:color w:val="auto"/>
        </w:rPr>
        <w:t>As of September 30, 2021, the total unrecognized compensation expense related to unvested restricted stock units was $105.5 million, which is expected to be recognize over a weighted-average period of approximately 2.87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2021, the number of shares reserved for issuance under the 2015 ESPP was increased by 577,935 shares.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ind w:left="60" w:right="199" w:firstLine="648"/>
        <w:spacing w:after="0" w:line="241" w:lineRule="auto"/>
        <w:rPr>
          <w:sz w:val="20"/>
          <w:szCs w:val="20"/>
          <w:color w:val="auto"/>
        </w:rPr>
      </w:pPr>
      <w:r>
        <w:rPr>
          <w:rFonts w:ascii="Arial" w:cs="Arial" w:eastAsia="Arial" w:hAnsi="Arial"/>
          <w:sz w:val="18"/>
          <w:szCs w:val="18"/>
          <w:color w:val="auto"/>
        </w:rPr>
        <w:t>The Company recognized stock-based compensation expense totaling $24.0 million and $68.9 million for the three and nine months ended September 30, 2021, respectively, and $19.6 million and $56.0 million for the three and nine months ended September 30, 2020, respectively. Stock-based compensation expense by award type included within the unaudited condensed consolidated statements of operations and comprehensive income (loss) was as follows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56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5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9"/>
                <w:szCs w:val="19"/>
                <w:color w:val="auto"/>
              </w:rPr>
            </w:pPr>
          </w:p>
        </w:tc>
        <w:tc>
          <w:tcPr>
            <w:tcW w:w="156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14,842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14,419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43,949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42,764</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25,229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13,162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24,324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56,590</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costs</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line="168" w:lineRule="exact"/>
              <w:rPr>
                <w:sz w:val="20"/>
                <w:szCs w:val="20"/>
                <w:color w:val="auto"/>
              </w:rPr>
            </w:pPr>
            <w:r>
              <w:rPr>
                <w:rFonts w:ascii="Arial" w:cs="Arial" w:eastAsia="Arial" w:hAnsi="Arial"/>
                <w:sz w:val="18"/>
                <w:szCs w:val="18"/>
                <w:color w:val="auto"/>
                <w:w w:val="94"/>
              </w:rPr>
              <w:t>Stock-based compensation expense included in total cost and operating</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23,958</w:t>
            </w:r>
          </w:p>
        </w:tc>
        <w:tc>
          <w:tcPr>
            <w:tcW w:w="8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68,949</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56,022</w:t>
            </w:r>
          </w:p>
        </w:tc>
        <w:tc>
          <w:tcPr>
            <w:tcW w:w="0" w:type="dxa"/>
            <w:vAlign w:val="bottom"/>
          </w:tcPr>
          <w:p>
            <w:pPr>
              <w:spacing w:after="0"/>
              <w:rPr>
                <w:sz w:val="1"/>
                <w:szCs w:val="1"/>
                <w:color w:val="auto"/>
              </w:rPr>
            </w:pPr>
          </w:p>
        </w:tc>
      </w:tr>
      <w:tr>
        <w:trPr>
          <w:trHeight w:val="208"/>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14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00" w:firstLine="648"/>
        <w:spacing w:after="0" w:line="261" w:lineRule="auto"/>
        <w:rPr>
          <w:sz w:val="20"/>
          <w:szCs w:val="20"/>
          <w:color w:val="auto"/>
        </w:rPr>
      </w:pPr>
      <w:r>
        <w:rPr>
          <w:rFonts w:ascii="Arial" w:cs="Arial" w:eastAsia="Arial" w:hAnsi="Arial"/>
          <w:sz w:val="18"/>
          <w:szCs w:val="18"/>
          <w:color w:val="auto"/>
        </w:rPr>
        <w:t>Stock-based compensation expense by classification within the unaudited condensed consolidated statements of operations and comprehensive income (loss)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66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500" w:type="dxa"/>
            <w:vAlign w:val="bottom"/>
          </w:tcPr>
          <w:p>
            <w:pPr>
              <w:spacing w:after="0"/>
              <w:rPr>
                <w:sz w:val="16"/>
                <w:szCs w:val="16"/>
                <w:color w:val="auto"/>
              </w:rPr>
            </w:pPr>
          </w:p>
        </w:tc>
        <w:tc>
          <w:tcPr>
            <w:tcW w:w="18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September 30,</w:t>
            </w:r>
          </w:p>
        </w:tc>
        <w:tc>
          <w:tcPr>
            <w:tcW w:w="166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September 30,</w:t>
            </w:r>
          </w:p>
        </w:tc>
      </w:tr>
      <w:tr>
        <w:trPr>
          <w:trHeight w:val="155"/>
        </w:trPr>
        <w:tc>
          <w:tcPr>
            <w:tcW w:w="550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ind w:left="22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$ 10,250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8,634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$ 29,682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25,141</w:t>
            </w:r>
          </w:p>
        </w:tc>
      </w:tr>
      <w:tr>
        <w:trPr>
          <w:trHeight w:val="203"/>
        </w:trPr>
        <w:tc>
          <w:tcPr>
            <w:tcW w:w="55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13,708</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11,001</w:t>
            </w: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39,267</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30,881</w:t>
            </w:r>
          </w:p>
        </w:tc>
      </w:tr>
      <w:tr>
        <w:trPr>
          <w:trHeight w:val="196"/>
        </w:trPr>
        <w:tc>
          <w:tcPr>
            <w:tcW w:w="55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$ 23,958</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19,635</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$ 68,949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56,022</w:t>
            </w:r>
          </w:p>
        </w:tc>
      </w:tr>
      <w:tr>
        <w:trPr>
          <w:trHeight w:val="20"/>
        </w:trPr>
        <w:tc>
          <w:tcPr>
            <w:tcW w:w="5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Net Income/Loss per Share</w:t>
      </w:r>
    </w:p>
    <w:p>
      <w:pPr>
        <w:spacing w:after="0" w:line="216" w:lineRule="exact"/>
        <w:rPr>
          <w:sz w:val="20"/>
          <w:szCs w:val="20"/>
          <w:color w:val="auto"/>
        </w:rPr>
      </w:pPr>
    </w:p>
    <w:p>
      <w:pPr>
        <w:ind w:left="60" w:right="140" w:firstLine="648"/>
        <w:spacing w:after="0" w:line="255" w:lineRule="auto"/>
        <w:rPr>
          <w:sz w:val="20"/>
          <w:szCs w:val="20"/>
          <w:color w:val="auto"/>
        </w:rPr>
      </w:pPr>
      <w:r>
        <w:rPr>
          <w:rFonts w:ascii="Arial" w:cs="Arial" w:eastAsia="Arial" w:hAnsi="Arial"/>
          <w:sz w:val="17"/>
          <w:szCs w:val="17"/>
          <w:color w:val="auto"/>
        </w:rPr>
        <w:t>Basic net income/loss per share is calculated by dividing net income/loss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diluted net income per calculation, the effect of stock options, unvested restricted stock units and ESPP shares on the weighted average number of shares is calculated using the treasury stock method. In periods with reported net operating losses, all common stock equivalents are deemed anti-dilutive such that basic net loss per share and diluted net loss per share are equal.</w:t>
      </w:r>
    </w:p>
    <w:p>
      <w:pPr>
        <w:spacing w:after="0" w:line="180" w:lineRule="exact"/>
        <w:rPr>
          <w:sz w:val="20"/>
          <w:szCs w:val="20"/>
          <w:color w:val="auto"/>
        </w:rPr>
      </w:pPr>
    </w:p>
    <w:p>
      <w:pPr>
        <w:jc w:val="both"/>
        <w:ind w:left="60" w:right="120" w:firstLine="648"/>
        <w:spacing w:after="0" w:line="248" w:lineRule="auto"/>
        <w:rPr>
          <w:sz w:val="20"/>
          <w:szCs w:val="20"/>
          <w:color w:val="auto"/>
        </w:rPr>
      </w:pPr>
      <w:r>
        <w:rPr>
          <w:rFonts w:ascii="Arial" w:cs="Arial" w:eastAsia="Arial" w:hAnsi="Arial"/>
          <w:sz w:val="18"/>
          <w:szCs w:val="18"/>
          <w:color w:val="auto"/>
        </w:rPr>
        <w:t>The calculation of net income (loss) and the number of shares used to compute basic and diluted net income (loss) per share for the three and nine months ended September 30, 2021 and 2020 are as follows (in thousands, except per share data):</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3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55"/>
        </w:trPr>
        <w:tc>
          <w:tcPr>
            <w:tcW w:w="38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 basic and 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(117,241)</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633,978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(325,399)</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399,550</w:t>
            </w:r>
          </w:p>
        </w:tc>
      </w:tr>
      <w:tr>
        <w:trPr>
          <w:trHeight w:val="203"/>
        </w:trPr>
        <w:tc>
          <w:tcPr>
            <w:tcW w:w="386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58,647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55,169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58,361</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54,018</w:t>
            </w:r>
          </w:p>
        </w:tc>
      </w:tr>
      <w:tr>
        <w:trPr>
          <w:trHeight w:val="203"/>
        </w:trPr>
        <w:tc>
          <w:tcPr>
            <w:tcW w:w="3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3"/>
        </w:trPr>
        <w:tc>
          <w:tcPr>
            <w:tcW w:w="3860" w:type="dxa"/>
            <w:vAlign w:val="bottom"/>
          </w:tcPr>
          <w:p>
            <w:pPr>
              <w:ind w:left="140"/>
              <w:spacing w:after="0" w:line="202" w:lineRule="exact"/>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1,289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r>
      <w:tr>
        <w:trPr>
          <w:trHeight w:val="203"/>
        </w:trPr>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Restricted stock units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w:t>
            </w:r>
          </w:p>
        </w:tc>
      </w:tr>
      <w:tr>
        <w:trPr>
          <w:trHeight w:val="196"/>
        </w:trPr>
        <w:tc>
          <w:tcPr>
            <w:tcW w:w="3860" w:type="dxa"/>
            <w:vAlign w:val="bottom"/>
          </w:tcPr>
          <w:p>
            <w:pPr>
              <w:ind w:left="20"/>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58,647</w:t>
            </w: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56,786</w:t>
            </w: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58,361</w:t>
            </w:r>
          </w:p>
        </w:tc>
        <w:tc>
          <w:tcPr>
            <w:tcW w:w="1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55,492</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w:t>
            </w:r>
          </w:p>
        </w:tc>
      </w:tr>
    </w:tbl>
    <w:p>
      <w:pPr>
        <w:spacing w:after="0" w:line="391" w:lineRule="exact"/>
        <w:rPr>
          <w:sz w:val="20"/>
          <w:szCs w:val="20"/>
          <w:color w:val="auto"/>
        </w:rPr>
      </w:pPr>
    </w:p>
    <w:p>
      <w:pPr>
        <w:ind w:left="60" w:right="480" w:firstLine="648"/>
        <w:spacing w:after="0" w:line="291" w:lineRule="auto"/>
        <w:rPr>
          <w:sz w:val="20"/>
          <w:szCs w:val="20"/>
          <w:color w:val="auto"/>
        </w:rPr>
      </w:pPr>
      <w:r>
        <w:rPr>
          <w:rFonts w:ascii="Arial" w:cs="Arial" w:eastAsia="Arial" w:hAnsi="Arial"/>
          <w:sz w:val="17"/>
          <w:szCs w:val="17"/>
          <w:color w:val="auto"/>
        </w:rPr>
        <w:t>The following common stock equivalents were excluded from the calculation of diluted net income (loss) per share for the periods indicated because including them would have had an anti-dilutive effect (in thousands):</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5"/>
        </w:trPr>
        <w:tc>
          <w:tcPr>
            <w:tcW w:w="392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September 30,</w:t>
            </w:r>
          </w:p>
        </w:tc>
        <w:tc>
          <w:tcPr>
            <w:tcW w:w="7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65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155"/>
        </w:trPr>
        <w:tc>
          <w:tcPr>
            <w:tcW w:w="39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5,958</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4,704</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5,958</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4,543</w:t>
            </w:r>
          </w:p>
        </w:tc>
      </w:tr>
      <w:tr>
        <w:trPr>
          <w:trHeight w:val="203"/>
        </w:trPr>
        <w:tc>
          <w:tcPr>
            <w:tcW w:w="39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1,537</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1,537</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3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ESPP</w:t>
            </w: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196"/>
        </w:trPr>
        <w:tc>
          <w:tcPr>
            <w:tcW w:w="39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7,520</w:t>
            </w:r>
          </w:p>
        </w:tc>
        <w:tc>
          <w:tcPr>
            <w:tcW w:w="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4,730</w:t>
            </w:r>
          </w:p>
        </w:tc>
        <w:tc>
          <w:tcPr>
            <w:tcW w:w="180" w:type="dxa"/>
            <w:vAlign w:val="bottom"/>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7,520</w:t>
            </w:r>
          </w:p>
        </w:tc>
        <w:tc>
          <w:tcPr>
            <w:tcW w:w="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4,637</w:t>
            </w:r>
          </w:p>
        </w:tc>
      </w:tr>
      <w:tr>
        <w:trPr>
          <w:trHeight w:val="20"/>
        </w:trPr>
        <w:tc>
          <w:tcPr>
            <w:tcW w:w="3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ind w:left="60" w:right="200" w:firstLine="648"/>
        <w:spacing w:after="0" w:line="241"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 differences are expected to reverse. The Company provides a valuation allowance when it is more likely than not that deferred tax assets will not be realized.</w:t>
      </w:r>
    </w:p>
    <w:p>
      <w:pPr>
        <w:sectPr>
          <w:pgSz w:w="11900" w:h="16838" w:orient="portrait"/>
          <w:cols w:equalWidth="0" w:num="1">
            <w:col w:w="9040"/>
          </w:cols>
          <w:pgMar w:left="144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September 30, 2021, the Company has a full valuation allowance applied against its U.S. and foreign deferred tax assets.</w:t>
      </w:r>
    </w:p>
    <w:p>
      <w:pPr>
        <w:spacing w:after="0" w:line="175"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On March 11, 2021, President Joe Biden signed into law a relief and stimulus package known as the American Rescue Plan Act of 2021 (ARPA) stimulus package. While this Act provides various tax provisions including for example, extending the employee retention credit through the end of 2021, modifying the paid sick and family leave credits, repealing the worldwide interest allocation rules that were scheduled to take effect in 2021, and expanding the number of employees subject to the limit on the deduction for executive compensation under Section 162(m) beginning in 2027, among other things, based on the Company’s initial review of the various business tax provisions offered in the ARPA along with having a valuation allowance on its U.S. deferred tax assets, it does not believe that there is an impact to the Company and as such the recording of a discrete item was not required during the three and nine months ended September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Leases</w:t>
      </w:r>
    </w:p>
    <w:p>
      <w:pPr>
        <w:spacing w:after="0" w:line="216"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7"/>
          <w:szCs w:val="17"/>
          <w:color w:val="auto"/>
        </w:rPr>
        <w:t>The Company’s building leases are comprised of office and laboratory spaces under non-cancelable operating leases. The lease agreements have remaining lease terms of one to eight years and contain various clauses for renewal at the Company’s option. The renewal options were not included in the calculation of the operating lease assets and the operating lease as the renewal option is not reasonably certain of being exercised as of September 30, 2021. The lease agreements do not contain residual value guarantees and the components of lease cost for the three and nine months ended September 30, 2021 and 2020 were as follows (in thousands):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6"/>
                <w:szCs w:val="16"/>
                <w:color w:val="auto"/>
              </w:rPr>
            </w:pPr>
          </w:p>
        </w:tc>
        <w:tc>
          <w:tcPr>
            <w:tcW w:w="160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01"/>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7"/>
                <w:szCs w:val="17"/>
                <w:color w:val="auto"/>
              </w:rPr>
            </w:pPr>
          </w:p>
        </w:tc>
        <w:tc>
          <w:tcPr>
            <w:tcW w:w="18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7"/>
                <w:szCs w:val="17"/>
                <w:color w:val="auto"/>
              </w:rPr>
            </w:pPr>
          </w:p>
        </w:tc>
        <w:tc>
          <w:tcPr>
            <w:tcW w:w="160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5140" w:type="dxa"/>
            <w:vAlign w:val="bottom"/>
            <w:tcBorders>
              <w:bottom w:val="single" w:sz="8" w:color="auto"/>
            </w:tcBorders>
            <w:vMerge w:val="continue"/>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cost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4,676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4,303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13,861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13,014</w:t>
            </w:r>
          </w:p>
        </w:tc>
        <w:tc>
          <w:tcPr>
            <w:tcW w:w="0" w:type="dxa"/>
            <w:vAlign w:val="bottom"/>
          </w:tcPr>
          <w:p>
            <w:pPr>
              <w:spacing w:after="0"/>
              <w:rPr>
                <w:sz w:val="1"/>
                <w:szCs w:val="1"/>
                <w:color w:val="auto"/>
              </w:rPr>
            </w:pP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(838)</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(730)</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(1,434)</w:t>
            </w: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3,573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has not entered into any material short-term leases or financing leases as of September 30, 2021.</w:t>
      </w:r>
    </w:p>
    <w:p>
      <w:pPr>
        <w:spacing w:after="0" w:line="235" w:lineRule="exact"/>
        <w:rPr>
          <w:sz w:val="20"/>
          <w:szCs w:val="20"/>
          <w:color w:val="auto"/>
        </w:rPr>
      </w:pPr>
    </w:p>
    <w:p>
      <w:pPr>
        <w:ind w:left="60" w:right="219" w:firstLine="648"/>
        <w:spacing w:after="0" w:line="261" w:lineRule="auto"/>
        <w:rPr>
          <w:sz w:val="20"/>
          <w:szCs w:val="20"/>
          <w:color w:val="auto"/>
        </w:rPr>
      </w:pPr>
      <w:r>
        <w:rPr>
          <w:rFonts w:ascii="Arial" w:cs="Arial" w:eastAsia="Arial" w:hAnsi="Arial"/>
          <w:sz w:val="18"/>
          <w:szCs w:val="18"/>
          <w:color w:val="auto"/>
        </w:rPr>
        <w:t>Supplemental cash flow information related to leases for the nine months ended September 30, 2021 and 2020 is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201"/>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83"/>
        </w:trPr>
        <w:tc>
          <w:tcPr>
            <w:tcW w:w="6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2020</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11,121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10,789</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620" w:type="dxa"/>
            <w:vAlign w:val="bottom"/>
            <w:gridSpan w:val="3"/>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w:t>
            </w:r>
          </w:p>
        </w:tc>
      </w:tr>
      <w:tr>
        <w:trPr>
          <w:trHeight w:val="607"/>
        </w:trPr>
        <w:tc>
          <w:tcPr>
            <w:tcW w:w="8900" w:type="dxa"/>
            <w:vAlign w:val="bottom"/>
            <w:gridSpan w:val="7"/>
          </w:tcPr>
          <w:p>
            <w:pPr>
              <w:jc w:val="right"/>
              <w:ind w:right="314"/>
              <w:spacing w:after="0"/>
              <w:rPr>
                <w:sz w:val="20"/>
                <w:szCs w:val="20"/>
                <w:color w:val="auto"/>
              </w:rPr>
            </w:pPr>
            <w:r>
              <w:rPr>
                <w:rFonts w:ascii="Arial" w:cs="Arial" w:eastAsia="Arial" w:hAnsi="Arial"/>
                <w:sz w:val="18"/>
                <w:szCs w:val="18"/>
                <w:color w:val="auto"/>
                <w:w w:val="95"/>
              </w:rPr>
              <w:t>The weighted average remaining lease term and weighted average discount rate of the operating leases are as</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18"/>
        </w:trPr>
        <w:tc>
          <w:tcPr>
            <w:tcW w:w="6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Operating leases</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Commitments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212529"/>
        </w:rPr>
        <w:t xml:space="preserve">In connection with the commercialization of AYVAKIT/AYVAKYT and GAVRETO, the Company has negotiated manufacturing agreements with certain vendors that require the Company to meet minimum purchase obligations on an annual basis. During the nine months ended September 30, 2021, there were no material changes to the Company’s contractual obligations </w:t>
      </w:r>
      <w:r>
        <w:rPr>
          <w:rFonts w:ascii="Arial" w:cs="Arial" w:eastAsia="Arial" w:hAnsi="Arial"/>
          <w:sz w:val="18"/>
          <w:szCs w:val="18"/>
          <w:color w:val="000000"/>
        </w:rPr>
        <w:t>described in Note 17 to the consolidated financial statements in the Company’s Annual Report on</w:t>
      </w:r>
      <w:r>
        <w:rPr>
          <w:rFonts w:ascii="Arial" w:cs="Arial" w:eastAsia="Arial" w:hAnsi="Arial"/>
          <w:sz w:val="18"/>
          <w:szCs w:val="18"/>
          <w:color w:val="212529"/>
        </w:rPr>
        <w:t xml:space="preserve"> </w:t>
      </w:r>
      <w:r>
        <w:rPr>
          <w:rFonts w:ascii="Arial" w:cs="Arial" w:eastAsia="Arial" w:hAnsi="Arial"/>
          <w:sz w:val="18"/>
          <w:szCs w:val="18"/>
          <w:color w:val="000000"/>
        </w:rPr>
        <w:t>Form 10-K for the fiscal year ended December 31, 2020</w:t>
      </w:r>
      <w:r>
        <w:rPr>
          <w:rFonts w:ascii="Arial" w:cs="Arial" w:eastAsia="Arial" w:hAnsi="Arial"/>
          <w:sz w:val="18"/>
          <w:szCs w:val="18"/>
          <w:color w:val="212529"/>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2020, filed with the Securities and Exchange Commission, or the SEC, on February 17,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99" w:firstLine="648"/>
        <w:spacing w:after="0" w:line="256" w:lineRule="auto"/>
        <w:rPr>
          <w:sz w:val="20"/>
          <w:szCs w:val="20"/>
          <w:color w:val="auto"/>
        </w:rPr>
      </w:pPr>
      <w:r>
        <w:rPr>
          <w:rFonts w:ascii="Arial" w:cs="Arial" w:eastAsia="Arial" w:hAnsi="Arial"/>
          <w:sz w:val="16"/>
          <w:szCs w:val="16"/>
          <w:color w:val="auto"/>
        </w:rPr>
        <w:t>We are a global precision therapy company that is inventing transformative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are delivering our approved medicines, AYVAKIT™/AYVAKYT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(avapritinib) and GAVRETO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(pralsetinib), to patients in the U.S. and Europe, and we are globally advancing multiple programs for genomically defined cancers, systemic mastocytosis, and cancer immunotherapy.</w:t>
      </w:r>
    </w:p>
    <w:p>
      <w:pPr>
        <w:spacing w:after="0" w:line="20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Our drug discovery approach combines our deep understanding of kinase biology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Systemic Mastocytosis and other Mast Cell Disorders — AYVAKIT™ (avapritinib) and BLU-263</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3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7"/>
          <w:szCs w:val="17"/>
          <w:color w:val="auto"/>
        </w:rPr>
        <w:t>We are developing and commercializing avapritinib for the treatment of advanced systemic mastocytosis, or SM, and developing avapritinib for the treatment of non-advanced SM. SM is a rare hematologic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14" w:lineRule="exact"/>
        <w:rPr>
          <w:sz w:val="20"/>
          <w:szCs w:val="20"/>
          <w:color w:val="auto"/>
        </w:rPr>
      </w:pPr>
    </w:p>
    <w:p>
      <w:pPr>
        <w:ind w:left="60" w:right="619" w:firstLine="648"/>
        <w:spacing w:after="0" w:line="284" w:lineRule="auto"/>
        <w:rPr>
          <w:sz w:val="20"/>
          <w:szCs w:val="20"/>
          <w:color w:val="auto"/>
        </w:rPr>
      </w:pPr>
      <w:r>
        <w:rPr>
          <w:rFonts w:ascii="Arial" w:cs="Arial" w:eastAsia="Arial" w:hAnsi="Arial"/>
          <w:sz w:val="16"/>
          <w:szCs w:val="16"/>
          <w:color w:val="auto"/>
        </w:rPr>
        <w:t xml:space="preserve">In June 2021, the U.S. Food and Drug Administration, or FDA, approved avapritinib under the brand name AYVAKIT for the treatment of adult patients with advanced SM, including aggressive SM, SM with an associated hematological neoplasm and mast cell leukemia. </w:t>
      </w:r>
      <w:r>
        <w:rPr>
          <w:rFonts w:ascii="Arial" w:cs="Arial" w:eastAsia="Arial" w:hAnsi="Arial"/>
          <w:sz w:val="16"/>
          <w:szCs w:val="16"/>
          <w:color w:val="0A0A0A"/>
        </w:rPr>
        <w:t>In addition, the</w:t>
      </w:r>
      <w:r>
        <w:rPr>
          <w:rFonts w:ascii="Arial" w:cs="Arial" w:eastAsia="Arial" w:hAnsi="Arial"/>
          <w:sz w:val="16"/>
          <w:szCs w:val="16"/>
          <w:color w:val="auto"/>
        </w:rPr>
        <w:t xml:space="preserve"> </w:t>
      </w:r>
      <w:r>
        <w:rPr>
          <w:rFonts w:ascii="Arial" w:cs="Arial" w:eastAsia="Arial" w:hAnsi="Arial"/>
          <w:sz w:val="16"/>
          <w:szCs w:val="16"/>
          <w:color w:val="212529"/>
        </w:rPr>
        <w:t>European Medicines Agency, or</w:t>
      </w:r>
      <w:r>
        <w:rPr>
          <w:rFonts w:ascii="Arial" w:cs="Arial" w:eastAsia="Arial" w:hAnsi="Arial"/>
          <w:sz w:val="16"/>
          <w:szCs w:val="16"/>
          <w:color w:val="auto"/>
        </w:rPr>
        <w:t xml:space="preserve"> </w:t>
      </w:r>
      <w:r>
        <w:rPr>
          <w:rFonts w:ascii="Arial" w:cs="Arial" w:eastAsia="Arial" w:hAnsi="Arial"/>
          <w:sz w:val="16"/>
          <w:szCs w:val="16"/>
          <w:color w:val="0A0A0A"/>
          <w:highlight w:val="white"/>
        </w:rPr>
        <w:t>EMA, is currently</w:t>
      </w:r>
      <w:r>
        <w:rPr>
          <w:rFonts w:ascii="Arial" w:cs="Arial" w:eastAsia="Arial" w:hAnsi="Arial"/>
          <w:sz w:val="16"/>
          <w:szCs w:val="16"/>
          <w:color w:val="auto"/>
        </w:rPr>
        <w:t xml:space="preserve"> </w:t>
      </w:r>
      <w:r>
        <w:rPr>
          <w:rFonts w:ascii="Arial" w:cs="Arial" w:eastAsia="Arial" w:hAnsi="Arial"/>
          <w:sz w:val="16"/>
          <w:szCs w:val="16"/>
          <w:color w:val="0A0A0A"/>
          <w:highlight w:val="white"/>
        </w:rPr>
        <w:t xml:space="preserve">reviewing our </w:t>
      </w:r>
      <w:r>
        <w:rPr>
          <w:rFonts w:ascii="Arial" w:cs="Arial" w:eastAsia="Arial" w:hAnsi="Arial"/>
          <w:sz w:val="16"/>
          <w:szCs w:val="16"/>
          <w:color w:val="212529"/>
        </w:rPr>
        <w:t>marketing authorization application, or</w:t>
      </w:r>
      <w:r>
        <w:rPr>
          <w:rFonts w:ascii="Arial" w:cs="Arial" w:eastAsia="Arial" w:hAnsi="Arial"/>
          <w:sz w:val="16"/>
          <w:szCs w:val="16"/>
          <w:color w:val="0A0A0A"/>
          <w:highlight w:val="white"/>
        </w:rPr>
        <w:t xml:space="preserve"> MAA, for avapritinib for the treatment of advanced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-286385</wp:posOffset>
            </wp:positionV>
            <wp:extent cx="7543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54380" cy="128905"/>
                    </a:xfrm>
                    <a:prstGeom prst="rect">
                      <a:avLst/>
                    </a:prstGeom>
                    <a:noFill/>
                  </pic:spPr>
                </pic:pic>
              </a:graphicData>
            </a:graphic>
          </wp:anchor>
        </w:drawing>
      </w:r>
    </w:p>
    <w:p>
      <w:pPr>
        <w:spacing w:after="0" w:line="176"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We are evaluating avapritinib in an ongoing registration-enabling Phase 1 clinical trial in advanced SM, which we refer to as our EXPLORER trial, and an ongoing registration-enabling Phase 2 clinical trial in advanced SM, which we refer to as our PATHFINDER trial. In addition, we are evaluating avapritinib in an ongoing registration-enabling Phase 2 clinical trial in non-advanced SM, which we refer to as our PIONEER trial. We plan to report top-line data of Part 2 for the PIONEER trial in mid-2022.</w:t>
      </w:r>
    </w:p>
    <w:p>
      <w:pPr>
        <w:spacing w:after="0" w:line="216"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has granted orphan drug designation to</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261" w:lineRule="auto"/>
        <w:rPr>
          <w:sz w:val="20"/>
          <w:szCs w:val="20"/>
          <w:color w:val="auto"/>
        </w:rPr>
      </w:pPr>
      <w:r>
        <w:rPr>
          <w:rFonts w:ascii="Arial" w:cs="Arial" w:eastAsia="Arial" w:hAnsi="Arial"/>
          <w:sz w:val="18"/>
          <w:szCs w:val="18"/>
          <w:color w:val="auto"/>
        </w:rPr>
        <w:t>avapritinib for the treatment of mastocytosis, and the European Commission has granted orphan medicinal product designation to avapritinib for the treatment of mastocytosis.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5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penetration of the central nervous system, or CNS, relative to avapritinib based on preclinical data, which we believe will enable development of BLU-263 in a broad population of patients with non-advanced SM, including patients with lower disease burden requiring potentially life-long chronic therapy, and potentially patients with other mast cell disorders. We are evaluating BLU-263 in an ongoing Phase 2/3 trial in patients with non-advanced SM, which we refer to as our HARBOR trial.</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 — GAVRETO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(pralsetinib)</w:t>
      </w:r>
    </w:p>
    <w:p>
      <w:pPr>
        <w:spacing w:after="0" w:line="170"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7"/>
          <w:szCs w:val="17"/>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“—Collaborations and Licenses” below.</w:t>
      </w:r>
    </w:p>
    <w:p>
      <w:pPr>
        <w:spacing w:after="0" w:line="21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Pralsetinib is approved in the U.S. with accelerated approval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 In September 2021, the EMA Committee for Medicinal Products for Human Use, or CHMP, recommended the approval of GAVRETO as a monotherapy for the treatment of adult patients with RET fusion-positive advanced NSCLC not previously treated with a RET inhibitor. The CHMP opinion is under review by the European Commission, and we anticipate a final decision regarding the approval of GAVRETO by the end of 2021. If approved by the European Commission, Roche plans to launch pralsetinib in RET-fusion positive NSCLC in Europe by the end of 2021. In addition, GAVRETO is approved by China’s National Medical Products Administration, or NMPA, for the treatment of adult patients with locally advanced or metastatic RET fusion-positive NSCLC after platinum-based chemotherapy in connection with our CStone collaboration.</w:t>
      </w:r>
    </w:p>
    <w:p>
      <w:pPr>
        <w:spacing w:after="0" w:line="19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Roche also plans to submit a Type II variation MAA to the EMA for pralsetinib for RET-altered thyroid cancers by the end of 2021. In addition, Roche has submitted marketing applications for pralsetinib for certain RET-altered NSCLC and/or thyroid cancers across multiple additional global geographies, and has received approval in Canada, Ecuador and Switzerland. In April 2021, CStone announced that China’s NMPA accepted an NDA submitted by CStone for pralsetinib for the treatment of patients with advanced or metastatic RET-altered thyroid cancer.</w:t>
      </w:r>
    </w:p>
    <w:p>
      <w:pPr>
        <w:spacing w:after="0" w:line="214"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color w:val="auto"/>
        </w:rPr>
        <w:t>We are currently evaluating pralsetinib in an ongoing registration-enabling Phase 1/2 clinical trial in patients with RET-altered NSCLC, MTC and other advanced solid tumors, which we refer to as our ARROW trial. Pursuant to our collaboration with Roche, we plan to co-develop pralsetinib globally in RET-altered solid tumors, including NSCLC, MTC and other thyroid cancers, as well as other solid tumors.</w:t>
      </w:r>
    </w:p>
    <w:p>
      <w:pPr>
        <w:spacing w:after="0" w:line="228"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color w:val="auto"/>
        </w:rPr>
        <w:t>The FDA has granted breakthrough therapy designation to pralsetinib for (i) the treatment of patients with RET fusion-positive NSCLC that has progressed following platinum-based chemotherapy and (b)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PDGFRA-Driven Gastrointestinal Stromal Tumors — AYVAKIT™ / AYVAKYT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(avapritinib)</w:t>
      </w:r>
    </w:p>
    <w:p>
      <w:pPr>
        <w:spacing w:after="0" w:line="170"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We are commercializing avapritinib for the treatment of patients with PDGFRA exon 18 mutant gastrointestinal stromal tumors, or GIST, a rare disease that is a sarcoma, or tumor of bone or connective tissue, of the gastrointestinal tract. Avapritinib is approved in the U.S. under the brand name AYVAKIT for the treatment of adults with unresectable or metastatic gastrointestinal stromal tumors harboring a PDGFRA exon 18 mutation, including PDGFRA D842V mutations, and is approved in the European Union with conditional marketing authorization under the brand name AYVAKYT as a monotherapy for the treatment of adult patients with unresectable or metastatic GIST harboring a PDGFRA D842V mutation. In addition, AYVAKIT is approved by both China’s NMPA and the Taiwan Food and Drug Administration for the treatment of adults with unresectable or metastatic GIST harboring a PDGFRA exon 18 mutation, including PDGFRA D842V mutations in connection with our CStone collaboration.</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European Commission has granted orphan medicinal product designation to avapritinib for the treatment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GIST.</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Treatment-Resistant EGFR-Mutated NSCLC — BLU-701 and BLU-945</w:t>
      </w:r>
    </w:p>
    <w:p>
      <w:pPr>
        <w:spacing w:after="0" w:line="252"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We are developing two investigational EGFR inhibitors, BLU-701 and BLU-945, with the goal of addressing the most common on-target resistance mutations to currently available EGFR-targeted therapies. While the introduction of EGFR-targeted therapies, including osimertinib, has transformed the care of patients with EGFR-driven NSCLC, treatment resistance is a significant emerging unmet medical need.</w:t>
      </w:r>
    </w:p>
    <w:p>
      <w:pPr>
        <w:spacing w:after="0" w:line="22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In addition to targeting EGFR resistance mutations, BLU-701 and BLU-945 were specifically designed for selectivity over wild-type EGFR and other kinases to enable potential improved tolerability and combination strategies. We plan to present preclinical data supporting combination of BLU-945 and BLU-701 in treatment-naïve EGFR-driven NSCLC at a scientific conference in the first half of 2022 In addition, in preclinical tumor models, both drug candidates have shown CNS activity, highlighting the potential to treat or prevent CNS metastases, which are more common in treatment-experienced NSCLC patients.</w:t>
      </w:r>
    </w:p>
    <w:p>
      <w:pPr>
        <w:spacing w:after="0" w:line="216" w:lineRule="exact"/>
        <w:rPr>
          <w:sz w:val="20"/>
          <w:szCs w:val="20"/>
          <w:color w:val="auto"/>
        </w:rPr>
      </w:pPr>
    </w:p>
    <w:p>
      <w:pPr>
        <w:ind w:left="60" w:right="279" w:firstLine="648"/>
        <w:spacing w:after="0" w:line="324" w:lineRule="auto"/>
        <w:rPr>
          <w:sz w:val="20"/>
          <w:szCs w:val="20"/>
          <w:color w:val="auto"/>
        </w:rPr>
      </w:pPr>
      <w:r>
        <w:rPr>
          <w:rFonts w:ascii="Arial" w:cs="Arial" w:eastAsia="Arial" w:hAnsi="Arial"/>
          <w:sz w:val="16"/>
          <w:szCs w:val="16"/>
          <w:color w:val="auto"/>
        </w:rPr>
        <w:t>We plan to initially develop BLU-701 and BLU-945 as monotherapies and in combination with each other and other therapies to treat or prevent the emergence of resistance in specific patient populations with EGFR-driven NSCLC.</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Double Mutant NSCLC — BLU-701</w:t>
      </w:r>
    </w:p>
    <w:p>
      <w:pPr>
        <w:spacing w:after="0" w:line="25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BLU-701 is a selective and potent investigational inhibitor of double-mutant EGFR harboring either the activating L858R or exon 19 deletion mutations combined with the acquired C797S mutation, the most common on-target resistance mutation to osimertinib. We recently presented foundational preclinical data for BLU-701 showing strong and durable inhibition of tumor growth at doses that are EGFR wild-type sparing and potential for BLU-701 to be used in both first-and second-line settings. Based on these preclinical data, we recently submitted an Investigational New Drug application to the FDA and plan to initiate a Phase 1 trial of BLU-701 in patients with EGFR-driven NSCLC in the fourth quarter of 2021.</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Triple Mutant NSCLC — BLU-945</w:t>
      </w:r>
    </w:p>
    <w:p>
      <w:pPr>
        <w:spacing w:after="0" w:line="252" w:lineRule="exact"/>
        <w:rPr>
          <w:sz w:val="20"/>
          <w:szCs w:val="20"/>
          <w:color w:val="auto"/>
        </w:rPr>
      </w:pPr>
    </w:p>
    <w:p>
      <w:pPr>
        <w:ind w:left="60" w:right="139" w:firstLine="648"/>
        <w:spacing w:after="0" w:line="239" w:lineRule="auto"/>
        <w:rPr>
          <w:sz w:val="20"/>
          <w:szCs w:val="20"/>
          <w:color w:val="auto"/>
        </w:rPr>
      </w:pPr>
      <w:r>
        <w:rPr>
          <w:rFonts w:ascii="Arial" w:cs="Arial" w:eastAsia="Arial" w:hAnsi="Arial"/>
          <w:sz w:val="18"/>
          <w:szCs w:val="18"/>
          <w:color w:val="auto"/>
        </w:rPr>
        <w:t>BLU-945 is a selective and potent investigational inhibitor of triple-mutant EGFR harboring either the activating L858R or exon 19 deletion mutations combined with the acquired T790M and C797S mutations, the most common on-target resistance to first-generation EGFR inhibitors and osimertinib, respectively. We recently presented updated preclinical data for BLU-945 demonstrating potent anti-tumor activity in triple-mutant osimertinib-resistant tumor models, as well as activity in a triple-mutant intracranial patient-derived xenograft model. Based on these preclinical data, we recently initiated a Phase 1/2 clinical trial of BLU-945 in patients with EGFR-driven NSCLC, which we refer to as our SYMPHONY trial.</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NSCLC – Combinations with BLU-701 and/or BLU-945</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Based on their differentiated selectivity profiles and potency against resistant mutants, we believe BLU-701 and BLU-945 have the potential become backbone therapies for a range of combination strategies for EGFR-positive NSCLC across multiple treatment lines, potentially including combinations of BLU-945 or BLU-701 with other EGFR therapies or treatment modalities, as well as BLU-945 and BLU-701 together. We recently presented preclinical data showing the combination of BLU-945 with either gefitinib or osimertinib showed enhanced anti-tumor activity when compared with either gefitinib or osimertinib alone. In addition, we recently completed preclinical studies supporting the combination of BLU-701 and BLU-945, and we plan to present these data at a scientific meeting in the first half of 2022.</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E-Aberrant Cancers — BLU-222</w:t>
      </w:r>
    </w:p>
    <w:p>
      <w:pPr>
        <w:spacing w:after="0" w:line="252"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We are developing an investigational inhibitor, BLU-222, targeting CDK2. Cyclin dependent kinases, or CDKs, and their cyclin partners regulate the cell cycle. In subsets of patients across multiple cancer types, aberrant cyclin E, or CCNE, hyperactivates CDK2, resulting in cell cycle dysregulation and tumor proliferation. Aberrant CCNE has been observed as a primary driver of disease as well as a mechanism of resistance to CDK4/6 inhibitors and other therapies.</w:t>
      </w:r>
    </w:p>
    <w:p>
      <w:pPr>
        <w:spacing w:after="0" w:line="182"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7"/>
          <w:szCs w:val="17"/>
          <w:color w:val="auto"/>
        </w:rPr>
        <w:t>We recently presented preclinical data that showed CDK2 inhibition arrested the cell cycle and blocked tumor proliferation in CCNE-amplified cell lines and demonstrated robust and sustained anti-tumor activity in vivo in models of CCNE-amplified ovarian, breast and gastric cancer. A selective CDK2 inhibitor also showed improved tolerability compared to a pan-CDK inhibitor and chemotherapy, as measured by animal body weight. Based on these preclinical studies, we plan to initiate clinical development for BLU-222 in the first half of 2022.</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Fisogatinib — Hepatocellular Carcinoma</w:t>
      </w:r>
    </w:p>
    <w:p>
      <w:pPr>
        <w:spacing w:after="0" w:line="252"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As part of our collaboration with CStone, we are evaluating fisogatinib as a monotherapy and in combination with sugemalimab, a clinical-stage anti-PDL1 immunotherapy being developed by CStone, for the treatment of locally advanced or metastatic HCC in an ongoing Phase 1b/2 trial conducted at multiple clinical sites in China. The FDA has granted orphan drug designation to fisogatinib for the treatment of HCC.</w:t>
      </w: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to our EGFR program and CDK2 program, we have multiple wholly-owned pre-development candidate programs for undisclosed kinase targets.</w:t>
      </w:r>
    </w:p>
    <w:p>
      <w:pPr>
        <w:spacing w:after="0" w:line="228" w:lineRule="exact"/>
        <w:rPr>
          <w:sz w:val="20"/>
          <w:szCs w:val="20"/>
          <w:color w:val="auto"/>
        </w:rPr>
      </w:pPr>
    </w:p>
    <w:p>
      <w:pPr>
        <w:jc w:val="both"/>
        <w:ind w:left="60" w:right="619" w:firstLine="648"/>
        <w:spacing w:after="0" w:line="248" w:lineRule="auto"/>
        <w:rPr>
          <w:sz w:val="20"/>
          <w:szCs w:val="20"/>
          <w:color w:val="auto"/>
        </w:rPr>
      </w:pPr>
      <w:r>
        <w:rPr>
          <w:rFonts w:ascii="Arial" w:cs="Arial" w:eastAsia="Arial" w:hAnsi="Arial"/>
          <w:sz w:val="18"/>
          <w:szCs w:val="18"/>
          <w:color w:val="auto"/>
        </w:rPr>
        <w:t>Under our immunotherapy collaboration with Roche, we are conducting activities for up to two discovery programs, including BLU-852, a development candidate for the kinase target MAP4K1. See “—</w:t>
      </w:r>
      <w:r>
        <w:rPr>
          <w:rFonts w:ascii="Arial" w:cs="Arial" w:eastAsia="Arial" w:hAnsi="Arial"/>
          <w:sz w:val="18"/>
          <w:szCs w:val="18"/>
          <w:i w:val="1"/>
          <w:iCs w:val="1"/>
          <w:color w:val="auto"/>
        </w:rPr>
        <w:t>Collaborations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Licenses</w:t>
      </w:r>
      <w:r>
        <w:rPr>
          <w:rFonts w:ascii="Arial" w:cs="Arial" w:eastAsia="Arial" w:hAnsi="Arial"/>
          <w:sz w:val="18"/>
          <w:szCs w:val="18"/>
          <w:color w:val="auto"/>
        </w:rPr>
        <w:t>” Summary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and Commercialization Rights</w:t>
      </w:r>
    </w:p>
    <w:p>
      <w:pPr>
        <w:spacing w:after="0" w:line="252"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We currently have worldwide development and commercialization rights to avapritinib and fisogatinib, other than the rights licensed to CStone for these drug candidates in Mainland China, Hong Kong, Macau and Taiwan, or the CStone territory. Other than the discovery-stage cancer immunotherapy programs (including BLU-852) under our collaboration with Roche, we have worldwide development and commercialization rights to all of our discovery programs (including BLU-701 and BLU-222), BLU-263 and BLU-945.</w:t>
      </w:r>
    </w:p>
    <w:p>
      <w:pPr>
        <w:spacing w:after="0" w:line="23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 We have granted an exclusive worldwide license to Clementia Pharmaceuticals, Inc., or Clementia, a wholly-owned subsidiary of Ipsen S.A., to develop and commercialize BLU-782.</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5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i w:val="1"/>
          <w:iCs w:val="1"/>
          <w:color w:val="auto"/>
        </w:rPr>
        <w:t xml:space="preserve">Roche—Immunotherapy Collaboration. </w:t>
      </w:r>
      <w:r>
        <w:rPr>
          <w:rFonts w:ascii="Arial" w:cs="Arial" w:eastAsia="Arial" w:hAnsi="Arial"/>
          <w:sz w:val="16"/>
          <w:szCs w:val="16"/>
          <w:color w:val="auto"/>
        </w:rPr>
        <w:t>In March 2016, we entered into a collaboration with Roche to discover,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and commercialize up to two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96" w:lineRule="exact"/>
        <w:rPr>
          <w:sz w:val="20"/>
          <w:szCs w:val="20"/>
          <w:color w:val="auto"/>
        </w:rPr>
      </w:pPr>
    </w:p>
    <w:p>
      <w:pPr>
        <w:ind w:left="60" w:right="279" w:firstLine="648"/>
        <w:spacing w:after="0" w:line="239" w:lineRule="auto"/>
        <w:rPr>
          <w:sz w:val="20"/>
          <w:szCs w:val="20"/>
          <w:color w:val="auto"/>
        </w:rPr>
      </w:pPr>
      <w:r>
        <w:rPr>
          <w:rFonts w:ascii="Arial" w:cs="Arial" w:eastAsia="Arial" w:hAnsi="Arial"/>
          <w:sz w:val="18"/>
          <w:szCs w:val="18"/>
          <w:i w:val="1"/>
          <w:iCs w:val="1"/>
          <w:color w:val="auto"/>
        </w:rPr>
        <w:t xml:space="preserve">Roche—Pralsetinib Collaboration. </w:t>
      </w:r>
      <w:r>
        <w:rPr>
          <w:rFonts w:ascii="Arial" w:cs="Arial" w:eastAsia="Arial" w:hAnsi="Arial"/>
          <w:sz w:val="18"/>
          <w:szCs w:val="18"/>
          <w:color w:val="auto"/>
        </w:rPr>
        <w:t>In July 2020, we entered into a collaboration with Roche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also plan to co-develop pralsetinib globally in RET-altered solid tumors, including NSCLC, MTC and other thyroid cancers, and expand development of pralsetinib in multiple treatment settings. Further, we and Roche plan to explore development of a next-generation RET inhibitor as part of the collaboration.</w:t>
      </w:r>
    </w:p>
    <w:p>
      <w:pPr>
        <w:spacing w:after="0" w:line="218"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including back-up forms and certain other forms, in the CStone territory either as a monotherapy or as part of a combination therapy.</w:t>
      </w:r>
    </w:p>
    <w:p>
      <w:pPr>
        <w:spacing w:after="0" w:line="222"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7"/>
          <w:szCs w:val="17"/>
          <w:i w:val="1"/>
          <w:iCs w:val="1"/>
          <w:color w:val="auto"/>
        </w:rPr>
        <w:t xml:space="preserve">Clementia. </w:t>
      </w:r>
      <w:r>
        <w:rPr>
          <w:rFonts w:ascii="Arial" w:cs="Arial" w:eastAsia="Arial" w:hAnsi="Arial"/>
          <w:sz w:val="17"/>
          <w:szCs w:val="17"/>
          <w:color w:val="auto"/>
        </w:rPr>
        <w:t>In October 2019, we entered into a license agreement with Clementia and granted Clementia an</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21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COVID-19 Pandemic</w:t>
      </w:r>
    </w:p>
    <w:p>
      <w:pPr>
        <w:spacing w:after="0" w:line="252" w:lineRule="exact"/>
        <w:rPr>
          <w:sz w:val="20"/>
          <w:szCs w:val="20"/>
          <w:color w:val="auto"/>
        </w:rPr>
      </w:pPr>
    </w:p>
    <w:p>
      <w:pPr>
        <w:ind w:left="60" w:right="79" w:firstLine="661"/>
        <w:spacing w:after="0" w:line="276" w:lineRule="auto"/>
        <w:rPr>
          <w:sz w:val="20"/>
          <w:szCs w:val="20"/>
          <w:color w:val="auto"/>
        </w:rPr>
      </w:pPr>
      <w:r>
        <w:rPr>
          <w:rFonts w:ascii="Arial" w:cs="Arial" w:eastAsia="Arial" w:hAnsi="Arial"/>
          <w:sz w:val="16"/>
          <w:szCs w:val="16"/>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In 2020, we initially established a work-from-home policy for all employees, other than those performing or supporting business-critical activities, such as certain members of our laboratory and facilities staff. Since we implemented this policy in 2020, we have continued to evaluate and update this policy from time to time for each of our locations and field-based employees based on guidance from federal, state and</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local government authorities and the severity of the pandemic. For our ongoing and planned clinical trials, while we anticipate and have experienced some delays or disruptions due to the COVID-19 pandemic, in particular with respect to activation of additional clinical trial sites and patient enrollment rates, we have continued to work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or plans for supply to meet our anticipated global commercial and clinical development needs for our approved drugs and clinical-stage drug candidates through 2022. However, depending on the duration and impact of the ongoing COVID-19 pandemic on local and global supply chains, our suppliers could be adversely impacted, which may result in delays or disruptions in our current or future supply chain. COVID-19 may also impact and has impacted our commercial activities for AYVAKIT/AYVAKYT and GAVRETO, including patient access to testing and identification. We are committed to continuing to serve the needs of healthcare providers, patients and other stakeholders during this critical time, including by conducting commercial and medical affairs field activities across our portfolio in virtual formats where preferable.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left="60" w:right="219" w:firstLine="648"/>
        <w:spacing w:after="0" w:line="253"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and common stock, collaborations and a license agreement. Through September 30, 2021, we have received an aggregate of $2.9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$921.3 million in upfront payments and milestone payments under our collaborations with Roche and CStone, our license agreement with Clementia and our former collaboration with Alexion Pharma Holding, or Alexion. In addition, since January 2020, we have also generated revenue through the sales of our approved drug products.</w:t>
      </w:r>
    </w:p>
    <w:p>
      <w:pPr>
        <w:spacing w:after="0" w:line="21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Since inception, we have incurred significant operating losses, with the exception of the year ended December 31, 2020. Our net loss was $325.4 million for nine months ended September 30, 2021. Our net income was $313.9 million for the year ended December 31, 2020 primarily due to the collaboration revenue recorded under our collaboration with Roche for pralsetinib, and our net losses were $347.7 million and $236.6 million for the years ended December 31, 2019 and 2018, respectively. As of September 30, 2021, we had an accumulated deficit of $956.8 million. We expect to continue to incur significant expenses and operating losses over the next few years. We anticipate that our expenses will continue to increase in connection with our ongoing activities, particularly as we:</w:t>
      </w:r>
    </w:p>
    <w:p>
      <w:pPr>
        <w:spacing w:after="0" w:line="220" w:lineRule="exact"/>
        <w:rPr>
          <w:sz w:val="20"/>
          <w:szCs w:val="20"/>
          <w:color w:val="auto"/>
        </w:rPr>
      </w:pPr>
    </w:p>
    <w:p>
      <w:pPr>
        <w:ind w:left="1380" w:right="319" w:hanging="331"/>
        <w:spacing w:after="0" w:line="324"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maintain and expand our sales, marketing and distribution infrastructure to continue to commercialize our drug and any current or future drug candidates for which we may obtain marketing approval;</w:t>
      </w:r>
    </w:p>
    <w:p>
      <w:pPr>
        <w:spacing w:after="0" w:line="124" w:lineRule="exact"/>
        <w:rPr>
          <w:rFonts w:ascii="Arial" w:cs="Arial" w:eastAsia="Arial" w:hAnsi="Arial"/>
          <w:sz w:val="16"/>
          <w:szCs w:val="16"/>
          <w:color w:val="auto"/>
        </w:rPr>
      </w:pPr>
    </w:p>
    <w:p>
      <w:pPr>
        <w:ind w:left="1380" w:right="49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marketing approval for our drug candidates, including avapritinib and pralsetinib in additional indications or in additional geographies;</w:t>
      </w:r>
    </w:p>
    <w:p>
      <w:pPr>
        <w:spacing w:after="0" w:line="170"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advance clinical development activities for avapritinib and pralsetinib and initiate or advance clinical development activities for other current or future drug candidates;</w:t>
      </w:r>
    </w:p>
    <w:p>
      <w:pPr>
        <w:spacing w:after="0" w:line="170"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or development candidates, including BLU-701, BLU-945 and BLU-222;</w:t>
      </w:r>
    </w:p>
    <w:p>
      <w:pPr>
        <w:spacing w:after="0" w:line="170"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commercialization;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7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our drugs and drug candidates;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additional businesses, technologies, drugs or drug candidates, form strategic alliances or create joint ventures with third parties; and</w:t>
      </w:r>
    </w:p>
    <w:p>
      <w:pPr>
        <w:spacing w:after="0" w:line="170" w:lineRule="exact"/>
        <w:rPr>
          <w:rFonts w:ascii="Arial" w:cs="Arial" w:eastAsia="Arial" w:hAnsi="Arial"/>
          <w:sz w:val="18"/>
          <w:szCs w:val="18"/>
          <w:color w:val="auto"/>
        </w:rPr>
      </w:pPr>
    </w:p>
    <w:p>
      <w:pPr>
        <w:ind w:left="1380" w:right="67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6"/>
          <w:szCs w:val="16"/>
          <w:color w:val="auto"/>
        </w:rPr>
        <w:t>In January 2020, the FDA granted approval of avapritinib under the brand name AYVAKIT for the treatment of adults with unresectable or metastatic GIST harboring a PDGFRA exon 18 mutation, including PDGFRA D842V mutations. In June 2021, the FDA granted a subsequent approval for AYVAKIT, expanding the labeled indications to include adult patients with advanced SM, including aggressive SM, SM with an associated hematological neoplasm and mast cell leukemia. In September 2020, the FDA granted accelerated approval to pralsetinib under the brand name GAVRETO for the treatment of adult patients with metastatic RET fusion-positive NSCLC as detected by an FDA approved test, and the European Commission granted conditional marketing authorization to avapritinib under the brand name AYVAKYT as a monotherapy for the treatment of adult patients with unresectable or metastatic GIST harboring the PDGFRA D842V mutation.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198"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6"/>
          <w:szCs w:val="16"/>
          <w:color w:val="auto"/>
        </w:rPr>
        <w:t>For the three and nine months ended September 30, 2021, our revenue consisted of product sales of our drug as well as collaboration revenue under our collaborations with Roche and CStone. On July 1, 2021, we transferred certain responsibilities associated with product sales to customers, pricing and distribution matters related to U.S. product sales of GAVRETO to Roche and did not record any net product revenue from product sales of GAVRETO during the three months ended September 30, 2021. Products sales of GAVRETO were reflected as part of collaboration loss sharing in the unaudited condensed consolidated financial statements. For additional information, see Note 9</w:t>
      </w:r>
      <w:r>
        <w:rPr>
          <w:rFonts w:ascii="Arial" w:cs="Arial" w:eastAsia="Arial" w:hAnsi="Arial"/>
          <w:sz w:val="16"/>
          <w:szCs w:val="16"/>
          <w:i w:val="1"/>
          <w:iCs w:val="1"/>
          <w:color w:val="auto"/>
        </w:rPr>
        <w:t>, Collaboration and License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 to our unaudited consolidated condensed financial statements. Collaboration revenue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2021 includes amounts that were recognized related to milestone payments and amounts due to us for supply of inventory and research and development services, and royalties on drug sales.</w:t>
      </w:r>
    </w:p>
    <w:p>
      <w:pPr>
        <w:spacing w:after="0" w:line="209"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39" w:lineRule="exact"/>
        <w:rPr>
          <w:sz w:val="20"/>
          <w:szCs w:val="20"/>
          <w:color w:val="auto"/>
        </w:rPr>
      </w:pPr>
    </w:p>
    <w:p>
      <w:pPr>
        <w:ind w:left="60" w:right="179" w:firstLine="648"/>
        <w:spacing w:after="0" w:line="294" w:lineRule="auto"/>
        <w:rPr>
          <w:sz w:val="20"/>
          <w:szCs w:val="20"/>
          <w:color w:val="auto"/>
        </w:rPr>
      </w:pPr>
      <w:r>
        <w:rPr>
          <w:rFonts w:ascii="Arial" w:cs="Arial" w:eastAsia="Arial" w:hAnsi="Arial"/>
          <w:sz w:val="16"/>
          <w:szCs w:val="16"/>
          <w:color w:val="auto"/>
        </w:rPr>
        <w:t>Our cost of sales includes the cost of producing and distributing inventories that are related to product revenue as well as the sale of drug substance and drug product to our collaboration partners during the respective period, including salary related expenses and stock-based compensation expense for employees involved with production and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59"/>
        <w:spacing w:after="0" w:line="261" w:lineRule="auto"/>
        <w:rPr>
          <w:sz w:val="20"/>
          <w:szCs w:val="20"/>
          <w:color w:val="auto"/>
        </w:rPr>
      </w:pPr>
      <w:r>
        <w:rPr>
          <w:rFonts w:ascii="Arial" w:cs="Arial" w:eastAsia="Arial" w:hAnsi="Arial"/>
          <w:sz w:val="18"/>
          <w:szCs w:val="18"/>
          <w:color w:val="auto"/>
        </w:rPr>
        <w:t>distribution, freight, and indirect overhead costs. In addition, shipping and handling costs for product shipments are recorded in cost of sales as incurred.</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Prior to receiving the initial FDA approval for AYVAKIT and GAVRETO in January 2020 and September 2020, respectively, and subsequent approval for AYVAKIT in June 2021, we manufactured inventory to be sold upon commercialization and recorded approximately $37.7 million related to this inventory as research and development expense. As a result, the manufacturing costs related to the inventory build-up incurred before FDA approval were expensed in a prior period and are therefore excluded from the cost of goods sold for the three and nine months ended September 30, 2021. We estimate our cost of goods sold related to product revenue as a percentage of net product revenue will continue to be positively impacted as we sell through certain inventory that was previously expensed prior to FDA approval. We expect to utilize low cost inventory for an extended period of time. Cost of goods sold related to sales of drug products to our collaboration partners are at lower margins and will partially offset the positive impact of the previously expensed inventory.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Loss Sharing</w:t>
      </w:r>
    </w:p>
    <w:p>
      <w:pPr>
        <w:spacing w:after="0" w:line="239" w:lineRule="exact"/>
        <w:rPr>
          <w:sz w:val="20"/>
          <w:szCs w:val="20"/>
          <w:color w:val="auto"/>
        </w:rPr>
      </w:pPr>
    </w:p>
    <w:p>
      <w:pPr>
        <w:ind w:left="60" w:right="179" w:firstLine="648"/>
        <w:spacing w:after="0" w:line="276" w:lineRule="auto"/>
        <w:rPr>
          <w:sz w:val="20"/>
          <w:szCs w:val="20"/>
          <w:color w:val="auto"/>
        </w:rPr>
      </w:pPr>
      <w:r>
        <w:rPr>
          <w:rFonts w:ascii="Arial" w:cs="Arial" w:eastAsia="Arial" w:hAnsi="Arial"/>
          <w:sz w:val="16"/>
          <w:szCs w:val="16"/>
          <w:color w:val="auto"/>
        </w:rPr>
        <w:t>On July 1, 2021, Roche took over certain responsibilities associated with product sales to customers, pricing and distribution matters related to GAVRETO in the U.S. and became the principal for recording product sales to customers in the U.S.. Collaboration loss sharing consists of our share of the losses incurred from sales of GAVRETO to customers in the U.S. under our collaboration for pralsetinib with Roche. For additional information, see Note 9</w:t>
      </w:r>
      <w:r>
        <w:rPr>
          <w:rFonts w:ascii="Arial" w:cs="Arial" w:eastAsia="Arial" w:hAnsi="Arial"/>
          <w:sz w:val="16"/>
          <w:szCs w:val="16"/>
          <w:i w:val="1"/>
          <w:iCs w:val="1"/>
          <w:color w:val="auto"/>
        </w:rPr>
        <w:t>, Collaboration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License Agreements</w:t>
      </w:r>
      <w:r>
        <w:rPr>
          <w:rFonts w:ascii="Arial" w:cs="Arial" w:eastAsia="Arial" w:hAnsi="Arial"/>
          <w:sz w:val="16"/>
          <w:szCs w:val="16"/>
          <w:color w:val="auto"/>
        </w:rPr>
        <w:t>, to our unaudited condensed consolidated financial statements. We expect collaboration loss sharing</w:t>
      </w:r>
      <w:r>
        <w:rPr>
          <w:rFonts w:ascii="Arial" w:cs="Arial" w:eastAsia="Arial" w:hAnsi="Arial"/>
          <w:sz w:val="16"/>
          <w:szCs w:val="16"/>
          <w:i w:val="1"/>
          <w:iCs w:val="1"/>
          <w:color w:val="auto"/>
        </w:rPr>
        <w:t xml:space="preserve"> </w:t>
      </w:r>
      <w:r>
        <w:rPr>
          <w:rFonts w:ascii="Arial" w:cs="Arial" w:eastAsia="Arial" w:hAnsi="Arial"/>
          <w:sz w:val="16"/>
          <w:szCs w:val="16"/>
          <w:color w:val="auto"/>
        </w:rPr>
        <w:t>will fluctuate from quarter to quarter as a result of the timing and amount of product sales.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drug discovery efforts, and the development of our drug candidates, which include:</w:t>
      </w:r>
    </w:p>
    <w:p>
      <w:pPr>
        <w:spacing w:after="0" w:line="151" w:lineRule="exact"/>
        <w:rPr>
          <w:sz w:val="20"/>
          <w:szCs w:val="20"/>
          <w:color w:val="auto"/>
        </w:rPr>
      </w:pPr>
    </w:p>
    <w:p>
      <w:pPr>
        <w:ind w:left="1380" w:hanging="331"/>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80" w:right="51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70"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70" w:lineRule="exact"/>
        <w:rPr>
          <w:rFonts w:ascii="Arial" w:cs="Arial" w:eastAsia="Arial" w:hAnsi="Arial"/>
          <w:sz w:val="18"/>
          <w:szCs w:val="18"/>
          <w:color w:val="auto"/>
        </w:rPr>
      </w:pPr>
    </w:p>
    <w:p>
      <w:pPr>
        <w:ind w:left="1380" w:right="99" w:hanging="331"/>
        <w:spacing w:after="0" w:line="324"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expenses incurred in connection with research and development activities under our immunotherapy collaboration with Roche, and development activities under our collaboration for pralsetinib with Roche;</w:t>
      </w:r>
    </w:p>
    <w:p>
      <w:pPr>
        <w:spacing w:after="0" w:line="124" w:lineRule="exact"/>
        <w:rPr>
          <w:rFonts w:ascii="Arial" w:cs="Arial" w:eastAsia="Arial" w:hAnsi="Arial"/>
          <w:sz w:val="16"/>
          <w:szCs w:val="16"/>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consultants in connection with our research and development activities;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70"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13"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6"/>
          <w:szCs w:val="16"/>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200" w:lineRule="exact"/>
        <w:rPr>
          <w:sz w:val="20"/>
          <w:szCs w:val="20"/>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initiation, enrollment in, and completion of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80" w:right="959" w:hanging="331"/>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70" w:lineRule="exact"/>
        <w:rPr>
          <w:rFonts w:ascii="Arial" w:cs="Arial" w:eastAsia="Arial" w:hAnsi="Arial"/>
          <w:sz w:val="18"/>
          <w:szCs w:val="18"/>
          <w:color w:val="auto"/>
        </w:rPr>
      </w:pPr>
    </w:p>
    <w:p>
      <w:pPr>
        <w:ind w:left="1380" w:right="1139" w:hanging="331"/>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AYVAKIT/AYVAKYT, GAVRETO and our drug candidates;</w:t>
      </w:r>
    </w:p>
    <w:p>
      <w:pPr>
        <w:spacing w:after="0" w:line="170"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commercializing AYVAKIT/AYVAKYT, GAVRETO and our drug candidates, if and when approved, whether alone or in collaboration with others;</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AYVAKIT/AYVAKYT, GAVRETO and any future drug we may commercialize;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39"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8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94" w:lineRule="auto"/>
        <w:rPr>
          <w:sz w:val="20"/>
          <w:szCs w:val="20"/>
          <w:color w:val="auto"/>
        </w:rPr>
      </w:pPr>
      <w:r>
        <w:rPr>
          <w:rFonts w:ascii="Arial" w:cs="Arial" w:eastAsia="Arial" w:hAnsi="Arial"/>
          <w:sz w:val="16"/>
          <w:szCs w:val="16"/>
          <w:color w:val="auto"/>
        </w:rPr>
        <w:t>The following table summarizes our external research and development expenses by program for the three and nine months ended September 30, 2021 and 2020. Other development and pre-development candidate expenses, unallocated expenses and internal research and development expenses have been classified separately.</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50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55"/>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2020</w:t>
            </w:r>
          </w:p>
        </w:tc>
      </w:tr>
      <w:tr>
        <w:trPr>
          <w:trHeight w:val="142"/>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4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13,664</w:t>
            </w:r>
          </w:p>
        </w:tc>
        <w:tc>
          <w:tcPr>
            <w:tcW w:w="540" w:type="dxa"/>
            <w:vAlign w:val="bottom"/>
            <w:gridSpan w:val="2"/>
            <w:shd w:val="clear" w:color="auto" w:fill="CCEEFF"/>
          </w:tcPr>
          <w:p>
            <w:pPr>
              <w:jc w:val="right"/>
              <w:ind w:right="187"/>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17,477</w:t>
            </w:r>
          </w:p>
        </w:tc>
        <w:tc>
          <w:tcPr>
            <w:tcW w:w="460" w:type="dxa"/>
            <w:vAlign w:val="bottom"/>
            <w:gridSpan w:val="2"/>
            <w:shd w:val="clear" w:color="auto" w:fill="CCEEFF"/>
          </w:tcPr>
          <w:p>
            <w:pPr>
              <w:jc w:val="right"/>
              <w:ind w:right="6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46,169</w:t>
            </w:r>
          </w:p>
        </w:tc>
        <w:tc>
          <w:tcPr>
            <w:tcW w:w="5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56,412</w:t>
            </w:r>
          </w:p>
        </w:tc>
      </w:tr>
      <w:tr>
        <w:trPr>
          <w:trHeight w:val="202"/>
        </w:trPr>
        <w:tc>
          <w:tcPr>
            <w:tcW w:w="390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7,744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10,199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18,529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59,231</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3,284</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BLU-263 external expenses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6,084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4,318</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15,233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10,382</w:t>
            </w: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BLU-701/945 external expenses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10,930</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33,229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9,492</w:t>
            </w: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BLU-222 external expenses</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4,042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724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9,290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1,606</w:t>
            </w:r>
          </w:p>
        </w:tc>
      </w:tr>
      <w:tr>
        <w:trPr>
          <w:trHeight w:val="188"/>
        </w:trPr>
        <w:tc>
          <w:tcPr>
            <w:tcW w:w="39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Other development and pre-development candidate</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1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expenses and unallocated expenses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45,410</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37,216</w:t>
            </w:r>
          </w:p>
        </w:tc>
      </w:tr>
      <w:tr>
        <w:trPr>
          <w:trHeight w:val="203"/>
        </w:trPr>
        <w:tc>
          <w:tcPr>
            <w:tcW w:w="39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27,364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24,410</w:t>
            </w: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74,918</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71,833</w:t>
            </w: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84,419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74,230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244,157</w:t>
            </w:r>
          </w:p>
        </w:tc>
        <w:tc>
          <w:tcPr>
            <w:tcW w:w="5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249,456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right="259" w:hanging="322"/>
        <w:spacing w:after="0" w:line="270"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Pralsetinib external expenses includes reduction for reimbursable expenses under our collaboration for pralsetinib with Roche, and other development and pre-development candidate expenses includes reduction for reimbursable expenses under our other collaboration agreement.</w:t>
      </w:r>
    </w:p>
    <w:p>
      <w:pPr>
        <w:spacing w:after="0" w:line="204" w:lineRule="exact"/>
        <w:rPr>
          <w:sz w:val="20"/>
          <w:szCs w:val="20"/>
          <w:color w:val="auto"/>
        </w:rPr>
      </w:pPr>
    </w:p>
    <w:p>
      <w:pPr>
        <w:ind w:left="60" w:right="59" w:firstLine="648"/>
        <w:spacing w:after="0" w:line="238" w:lineRule="auto"/>
        <w:rPr>
          <w:sz w:val="20"/>
          <w:szCs w:val="20"/>
          <w:color w:val="auto"/>
        </w:rPr>
      </w:pPr>
      <w:r>
        <w:rPr>
          <w:rFonts w:ascii="Arial" w:cs="Arial" w:eastAsia="Arial" w:hAnsi="Arial"/>
          <w:sz w:val="18"/>
          <w:szCs w:val="18"/>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for pralsetinib with Roche and development activities for companion diagnostic tests for any current and future drug candidates.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Selling, general and administrative expenses consist primarily of compensation and benefits, including stock-based compensation,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00"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7"/>
          <w:szCs w:val="17"/>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substantial costs associated with operating as a public company and expanding the scope of our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39" w:lineRule="exact"/>
        <w:rPr>
          <w:sz w:val="20"/>
          <w:szCs w:val="20"/>
          <w:color w:val="auto"/>
        </w:rPr>
      </w:pPr>
    </w:p>
    <w:p>
      <w:pPr>
        <w:jc w:val="both"/>
        <w:ind w:left="60" w:right="419" w:firstLine="648"/>
        <w:spacing w:after="0" w:line="248" w:lineRule="auto"/>
        <w:rPr>
          <w:sz w:val="20"/>
          <w:szCs w:val="20"/>
          <w:color w:val="auto"/>
        </w:rPr>
      </w:pPr>
      <w:r>
        <w:rPr>
          <w:rFonts w:ascii="Arial" w:cs="Arial" w:eastAsia="Arial" w:hAnsi="Arial"/>
          <w:sz w:val="18"/>
          <w:szCs w:val="18"/>
          <w:color w:val="auto"/>
        </w:rPr>
        <w:t>Interest income, net consists primarily of income earned on cash equivalents and investments. We expect our interest income, net, will decrease in future periods due to anticipated lower rate of return on investments in the capital markets.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expense, net consists primarily of foreign currency transaction gains or losses.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consists primarily of federal and foreign income taxes incurred.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stock-based compensation and leases.</w:t>
      </w:r>
    </w:p>
    <w:p>
      <w:pPr>
        <w:spacing w:after="0" w:line="215" w:lineRule="exact"/>
        <w:rPr>
          <w:sz w:val="20"/>
          <w:szCs w:val="20"/>
          <w:color w:val="auto"/>
        </w:rPr>
      </w:pPr>
    </w:p>
    <w:p>
      <w:pPr>
        <w:ind w:left="60" w:right="419" w:firstLine="648"/>
        <w:spacing w:after="0" w:line="243" w:lineRule="auto"/>
        <w:rPr>
          <w:sz w:val="20"/>
          <w:szCs w:val="20"/>
          <w:color w:val="auto"/>
        </w:rPr>
      </w:pPr>
      <w:r>
        <w:rPr>
          <w:rFonts w:ascii="Arial" w:cs="Arial" w:eastAsia="Arial" w:hAnsi="Arial"/>
          <w:sz w:val="18"/>
          <w:szCs w:val="18"/>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2020. There have been no significant changes to our critical accounting policies since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w:t>
      </w:r>
    </w:p>
    <w:p>
      <w:pPr>
        <w:spacing w:after="0" w:line="212" w:lineRule="exact"/>
        <w:rPr>
          <w:sz w:val="20"/>
          <w:szCs w:val="20"/>
          <w:color w:val="auto"/>
        </w:rPr>
      </w:pPr>
    </w:p>
    <w:p>
      <w:pPr>
        <w:ind w:left="60" w:right="43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September 30, 2021 and 2020, together with the changes in those items in dollars and as a percentage: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6"/>
                <w:szCs w:val="16"/>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Dollar Change</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2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17,270</w:t>
            </w:r>
          </w:p>
        </w:tc>
        <w:tc>
          <w:tcPr>
            <w:tcW w:w="280" w:type="dxa"/>
            <w:vAlign w:val="bottom"/>
            <w:gridSpan w:val="2"/>
          </w:tcPr>
          <w:p>
            <w:pPr>
              <w:ind w:left="160"/>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6,308</w:t>
            </w:r>
          </w:p>
        </w:tc>
        <w:tc>
          <w:tcPr>
            <w:tcW w:w="100" w:type="dxa"/>
            <w:vAlign w:val="bottom"/>
          </w:tcPr>
          <w:p>
            <w:pPr>
              <w:spacing w:after="0"/>
              <w:rPr>
                <w:sz w:val="17"/>
                <w:szCs w:val="17"/>
                <w:color w:val="auto"/>
              </w:rPr>
            </w:pPr>
          </w:p>
        </w:tc>
        <w:tc>
          <w:tcPr>
            <w:tcW w:w="2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10,962</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738,810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(731,892)</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24,188</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745,118</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(720,930)</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3,790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3,644</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2,496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loss sharing</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74,230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10,189</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49,806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37,375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12,431</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141,284</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111,751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29,533</w:t>
            </w:r>
          </w:p>
        </w:tc>
        <w:tc>
          <w:tcPr>
            <w:tcW w:w="16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1,173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Total other income</w:t>
            </w:r>
          </w:p>
        </w:tc>
        <w:tc>
          <w:tcPr>
            <w:tcW w:w="1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(951)</w:t>
            </w:r>
          </w:p>
        </w:tc>
        <w:tc>
          <w:tcPr>
            <w:tcW w:w="16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(117,066)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634,348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(751,414)</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(195)</w:t>
            </w:r>
          </w:p>
        </w:tc>
        <w:tc>
          <w:tcPr>
            <w:tcW w:w="16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(117,241)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633,978</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(751,219)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Product revenue, net increased by $11.0 million from $6.3 million for three months ended September 30, 2020 to $17.3 million for three months ended September 30, 2021. For the three months ended September 30, 2021, our product revenue consisted of $17.3 million net product revenue from the sale of AYVAKIT/AYVAKYT. We started generating revenue from sales of AYVAKIT in the first quarter of 2020 following the initial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w:t>
      </w:r>
    </w:p>
    <w:p>
      <w:pPr>
        <w:spacing w:after="0" w:line="180"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On July 1, 2021, we transferred certain responsibilities associated with product sales to customers, pricing and distribution matters related to U.S. product sales of GAVRETO to our collaboration partner and did not record any net product revenue from product sales of GAVRETO during the three months ended September 30, 2021. Products sales of GAVRETO were reflected as part of collaboration loss sharing in the unaudited condensed consolidated financial statements. For additional information, see Note 9</w:t>
      </w:r>
      <w:r>
        <w:rPr>
          <w:rFonts w:ascii="Arial" w:cs="Arial" w:eastAsia="Arial" w:hAnsi="Arial"/>
          <w:sz w:val="17"/>
          <w:szCs w:val="17"/>
          <w:i w:val="1"/>
          <w:iCs w:val="1"/>
          <w:color w:val="auto"/>
        </w:rPr>
        <w:t>, Collaboration and License Agreements</w:t>
      </w:r>
      <w:r>
        <w:rPr>
          <w:rFonts w:ascii="Arial" w:cs="Arial" w:eastAsia="Arial" w:hAnsi="Arial"/>
          <w:sz w:val="17"/>
          <w:szCs w:val="17"/>
          <w:color w:val="auto"/>
        </w:rPr>
        <w:t>, to our unaudited condensed consolidated financial statements.</w:t>
      </w:r>
    </w:p>
    <w:p>
      <w:pPr>
        <w:spacing w:after="0" w:line="180" w:lineRule="exact"/>
        <w:rPr>
          <w:sz w:val="20"/>
          <w:szCs w:val="20"/>
          <w:color w:val="auto"/>
        </w:rPr>
      </w:pPr>
    </w:p>
    <w:p>
      <w:pPr>
        <w:ind w:left="60" w:right="99" w:firstLine="648"/>
        <w:spacing w:after="0" w:line="261" w:lineRule="auto"/>
        <w:rPr>
          <w:sz w:val="20"/>
          <w:szCs w:val="20"/>
          <w:color w:val="auto"/>
        </w:rPr>
      </w:pPr>
      <w:r>
        <w:rPr>
          <w:rFonts w:ascii="Arial" w:cs="Arial" w:eastAsia="Arial" w:hAnsi="Arial"/>
          <w:sz w:val="18"/>
          <w:szCs w:val="18"/>
          <w:color w:val="auto"/>
        </w:rPr>
        <w:t>For the three months ended September 30, 2020, we recorded net product revenue from the sale of AYVAKIT and GAVRETO of $6.1 million and $0.2 million, respectively.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Collaboration revenue decreased by $731.9 million from $738.8 million for the three months ended September 30, 2020 to $6.9 million for the three months ended September 30, 2021. For the three months ended September 30, 2021, our collaboration revenue consisted of $4.7 million in revenue under our CStone collaboration, $0.8 million in revenue under our collaboration agreement with Roche for pralsetinib, $1.4 million revenue under our cancer immunotherapy collaboration with Roche. Revenue recognized under our CStone collaboration for the three months ended September 30, 2021 was primarily generated by royalties on drug sales and the manufacturing services associated with CStone territory-specific activities during the quarter, including supply of drug products to CStone for sale in their territory. Revenue recognized under our collaboration with Roche for pralsetinib for the three months ended September 30, 2021 was associated with manufacturing and other services related to Roche territory-specific activities. Revenue recognized under our cancer immunotherapy collaboration with Roche for the three months ended September 30, 2021 was primarily related to amortization of the total $64.5 million of upfront and milestone payments received as of such period.</w:t>
      </w:r>
    </w:p>
    <w:p>
      <w:pPr>
        <w:spacing w:after="0" w:line="167"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Collaboration revenue for the three months ended September 30, 2020 primarily consisted of $736.6 million in revenue under our collaboration with Roche for pralsetinib, $2.2 million in revenue under our cancer immunotherapy collaboration with Roche. Revenue recognized under our collaboration with Roche for pralsetinib for the three months ended September 30, 2020 consisted of $675.0 million upfront cash payment, $20.7 million premium associated with the $100.0 million equity investment by Roche, $40.0 million in specified regulatory and commercialization milestone payments as a result of the initial U.S. marketing approval for GAVRETO and $0.9 million associated with services related to Roche territory-specific activities. Revenue recognized under our cancer immunotherapy collaboration with Roche for the three months ended September 30, 2020 primarily related to amortization of the total $63.0 million of upfront and milestone payments received as of such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product sales increased by $3.6 million from $0.2 million during the three months ended</w:t>
      </w:r>
    </w:p>
    <w:p>
      <w:pPr>
        <w:spacing w:after="0" w:line="12" w:lineRule="exact"/>
        <w:rPr>
          <w:sz w:val="20"/>
          <w:szCs w:val="20"/>
          <w:color w:val="auto"/>
        </w:rPr>
      </w:pPr>
    </w:p>
    <w:p>
      <w:pPr>
        <w:ind w:left="60" w:right="99"/>
        <w:spacing w:after="0" w:line="272" w:lineRule="auto"/>
        <w:rPr>
          <w:sz w:val="20"/>
          <w:szCs w:val="20"/>
          <w:color w:val="auto"/>
        </w:rPr>
      </w:pPr>
      <w:r>
        <w:rPr>
          <w:rFonts w:ascii="Arial" w:cs="Arial" w:eastAsia="Arial" w:hAnsi="Arial"/>
          <w:sz w:val="16"/>
          <w:szCs w:val="16"/>
          <w:color w:val="auto"/>
        </w:rPr>
        <w:t>September 30, 2020 to $3.8 million for the three months ended September 30, 2021 and was related to manufacturing costs associated with our products sales as well as costs associated with the sale of drug product to our collaboration partners. The increase in costs of product sales was primarily driven by the lower margin product sales to our collaboration partners during the three months ended September 30, 2021. Costs associated with product revenue, net remain at higher margins as costs associated with the manufacture of our drugs prior to FDA approval were recorded as research and development expenses and, therefore, were not included in cost of sales during such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Loss Sharing</w:t>
      </w:r>
    </w:p>
    <w:p>
      <w:pPr>
        <w:spacing w:after="0" w:line="212" w:lineRule="exact"/>
        <w:rPr>
          <w:sz w:val="20"/>
          <w:szCs w:val="20"/>
          <w:color w:val="auto"/>
        </w:rPr>
      </w:pPr>
    </w:p>
    <w:p>
      <w:pPr>
        <w:ind w:left="60" w:right="779" w:firstLine="648"/>
        <w:spacing w:after="0" w:line="324" w:lineRule="auto"/>
        <w:rPr>
          <w:sz w:val="20"/>
          <w:szCs w:val="20"/>
          <w:color w:val="auto"/>
        </w:rPr>
      </w:pPr>
      <w:r>
        <w:rPr>
          <w:rFonts w:ascii="Arial" w:cs="Arial" w:eastAsia="Arial" w:hAnsi="Arial"/>
          <w:sz w:val="16"/>
          <w:szCs w:val="16"/>
          <w:color w:val="auto"/>
        </w:rPr>
        <w:t>The net product sales of GAVRETO recorded by Roche were $5.5 million and our loss sharing under the collaboration with Roche for pralsetinib was $3.3 million for the three months ended September 30,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7"/>
          <w:szCs w:val="17"/>
          <w:color w:val="auto"/>
        </w:rPr>
        <w:t>Research and development expense increased by $10.2 million from $74.2 million for the three months ended September 30, 2020 to $84.4 million for the three months ended September 30, 2021. The increase in research and development expense was primarily due to a decrease of $8.3 million in reimbursement from the global development cost sharing arrangement under our collaboration with Roche for pralsetinib, an increase of approximately $1.9 million in costs related to early discovery efforts, and an increase in personnel expenses that was primarily driven by an increase of $1.6 million in stock-based compensation expense.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6"/>
          <w:szCs w:val="16"/>
          <w:color w:val="auto"/>
        </w:rPr>
        <w:t>Selling, general and administrative expense increased by $12.4 million from $37.4 million for the three months ended September 30, 2020 to $49.8 million for the three months ended September 30, 2021. The increase in selling, general and administrative expense was primarily related to increased costs and personnel expenses, including an increase of $2.7 million in stock-based compensation expense, as well as an increase of $4.6 million in commercial expenses to expand our commercial infrastructure for commercialization of AYVAKIT/AYVAKYT and GAVRETO.</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The increase in selling, general and administrative expense was partially offset by an additional $1.6 million reimbursement in connection with the commercialization of GAVRETO in the U.S. under our collaboration with Roche for pralsetinib.</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12" w:lineRule="exact"/>
        <w:rPr>
          <w:sz w:val="20"/>
          <w:szCs w:val="20"/>
          <w:color w:val="auto"/>
        </w:rPr>
      </w:pPr>
    </w:p>
    <w:p>
      <w:pPr>
        <w:jc w:val="both"/>
        <w:ind w:left="60" w:right="99" w:firstLine="648"/>
        <w:spacing w:after="0" w:line="248" w:lineRule="auto"/>
        <w:rPr>
          <w:sz w:val="20"/>
          <w:szCs w:val="20"/>
          <w:color w:val="auto"/>
        </w:rPr>
      </w:pPr>
      <w:r>
        <w:rPr>
          <w:rFonts w:ascii="Arial" w:cs="Arial" w:eastAsia="Arial" w:hAnsi="Arial"/>
          <w:sz w:val="18"/>
          <w:szCs w:val="18"/>
          <w:color w:val="auto"/>
        </w:rPr>
        <w:t>Interest income, net, decreased by $0.6 million from $1.2 million for the three months ended September 30, 2020 to $0.6 million for the three months ended September 30, 2021. The decrease was primarily due to a lower rate of return on investments in the capital markets.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jc w:val="both"/>
        <w:ind w:left="60" w:right="99" w:firstLine="648"/>
        <w:spacing w:after="0" w:line="261" w:lineRule="auto"/>
        <w:rPr>
          <w:sz w:val="20"/>
          <w:szCs w:val="20"/>
          <w:color w:val="auto"/>
        </w:rPr>
      </w:pPr>
      <w:r>
        <w:rPr>
          <w:rFonts w:ascii="Arial" w:cs="Arial" w:eastAsia="Arial" w:hAnsi="Arial"/>
          <w:sz w:val="18"/>
          <w:szCs w:val="18"/>
          <w:color w:val="auto"/>
        </w:rPr>
        <w:t>Other expense, net, increased by $0.3 million from $0.2 million for the three months ended September 30, 2020 to $0.5 million for the three months ended September 30,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12"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Income tax expense decreased by $0.2 million from $0.4 million for the three months ended September 30, 2020, to $0.2 million for the three months ended September 30,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w:t>
      </w:r>
    </w:p>
    <w:p>
      <w:pPr>
        <w:spacing w:after="0" w:line="212" w:lineRule="exact"/>
        <w:rPr>
          <w:sz w:val="20"/>
          <w:szCs w:val="20"/>
          <w:color w:val="auto"/>
        </w:rPr>
      </w:pPr>
    </w:p>
    <w:p>
      <w:pPr>
        <w:ind w:left="60" w:right="49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nine months ended September 30, 2021 and 2020, together with the changes in those items in dollars and as a percentage: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Dollar Change</w:t>
            </w:r>
          </w:p>
        </w:tc>
        <w:tc>
          <w:tcPr>
            <w:tcW w:w="14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37,658</w:t>
            </w:r>
          </w:p>
        </w:tc>
        <w:tc>
          <w:tcPr>
            <w:tcW w:w="60" w:type="dxa"/>
            <w:vAlign w:val="bottom"/>
          </w:tcPr>
          <w:p>
            <w:pPr>
              <w:spacing w:after="0"/>
              <w:rPr>
                <w:sz w:val="17"/>
                <w:szCs w:val="17"/>
                <w:color w:val="auto"/>
              </w:rPr>
            </w:pPr>
          </w:p>
        </w:tc>
        <w:tc>
          <w:tcPr>
            <w:tcW w:w="22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15,446</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22,212</w:t>
            </w: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744,183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(708,782)</w:t>
            </w:r>
          </w:p>
        </w:tc>
        <w:tc>
          <w:tcPr>
            <w:tcW w:w="82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73,059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759,629</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(686,570)</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and operating expenses: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10,385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10,088</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3,397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loss sharing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244,157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2"/>
              </w:rPr>
              <w:t>249,456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(5,299)</w:t>
            </w:r>
          </w:p>
        </w:tc>
        <w:tc>
          <w:tcPr>
            <w:tcW w:w="8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141,093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115,203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25,890</w:t>
            </w:r>
          </w:p>
        </w:tc>
        <w:tc>
          <w:tcPr>
            <w:tcW w:w="14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line="196" w:lineRule="exact"/>
              <w:rPr>
                <w:sz w:val="20"/>
                <w:szCs w:val="20"/>
                <w:color w:val="auto"/>
              </w:rPr>
            </w:pPr>
            <w:r>
              <w:rPr>
                <w:rFonts w:ascii="Arial" w:cs="Arial" w:eastAsia="Arial" w:hAnsi="Arial"/>
                <w:sz w:val="18"/>
                <w:szCs w:val="18"/>
                <w:color w:val="auto"/>
              </w:rPr>
              <w:t>Total cost and operating expenses</w:t>
            </w: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398,904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2"/>
              </w:rPr>
              <w:t>364,956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33,948</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1,923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5,663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(3,740)</w:t>
            </w:r>
          </w:p>
        </w:tc>
        <w:tc>
          <w:tcPr>
            <w:tcW w:w="8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(693)</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5,247</w:t>
            </w:r>
          </w:p>
        </w:tc>
        <w:tc>
          <w:tcPr>
            <w:tcW w:w="16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(4,433)</w:t>
            </w:r>
          </w:p>
        </w:tc>
        <w:tc>
          <w:tcPr>
            <w:tcW w:w="140" w:type="dxa"/>
            <w:vAlign w:val="bottom"/>
            <w:tcBorders>
              <w:bottom w:val="single" w:sz="8" w:color="CCEEFF"/>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(325,031)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399,920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(724,951)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(325,399)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399,550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(724,949)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Product revenue, net increased by $22.2 million from $15.4 million for the nine months ended</w:t>
      </w:r>
    </w:p>
    <w:p>
      <w:pPr>
        <w:spacing w:after="0" w:line="1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September 30, 2020 to $37.7 million for the nine months ended September 30, 2021. For the nine months ended September 30, 2021, our product revenue consisted of $33.0 million net product revenue from the sale of AYVAKIT/AYVAKYT and $4.7 million net product revenue from the sale of GAVRETO.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4" w:lineRule="auto"/>
        <w:rPr>
          <w:sz w:val="20"/>
          <w:szCs w:val="20"/>
          <w:color w:val="auto"/>
        </w:rPr>
      </w:pPr>
      <w:r>
        <w:rPr>
          <w:rFonts w:ascii="Arial" w:cs="Arial" w:eastAsia="Arial" w:hAnsi="Arial"/>
          <w:sz w:val="16"/>
          <w:szCs w:val="16"/>
          <w:color w:val="auto"/>
        </w:rPr>
        <w:t>We started generating revenue from sales of AYVAKIT in the first quarter of 2020 following the initial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On July 1, 2021, we transferred certain responsibilities associated with product sales to customers, pricing and distribution matters related to U.S. product sales of GAVRETO to our collaboration partner and did not record any net product revenue from product sales of GAVRETO during the three months ended September 30, 2021. Products sales of GAVRETO was reflected as part of collaboration loss sharing in the unaudited condensed consolidated financial statements. For additional information, see Note 9</w:t>
      </w:r>
      <w:r>
        <w:rPr>
          <w:rFonts w:ascii="Arial" w:cs="Arial" w:eastAsia="Arial" w:hAnsi="Arial"/>
          <w:sz w:val="17"/>
          <w:szCs w:val="17"/>
          <w:i w:val="1"/>
          <w:iCs w:val="1"/>
          <w:color w:val="auto"/>
        </w:rPr>
        <w:t>, Collaboration and License Agreements</w:t>
      </w:r>
      <w:r>
        <w:rPr>
          <w:rFonts w:ascii="Arial" w:cs="Arial" w:eastAsia="Arial" w:hAnsi="Arial"/>
          <w:sz w:val="17"/>
          <w:szCs w:val="17"/>
          <w:color w:val="auto"/>
        </w:rPr>
        <w:t>, to our unaudited condensed consolidated financial statements.</w:t>
      </w:r>
    </w:p>
    <w:p>
      <w:pPr>
        <w:spacing w:after="0" w:line="180"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 the nine months ended September 30, 2020, we recorded net product revenue from the sale of AYVAKIT and GAVRETO of $15.2 million and 0.2 million,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Collaboration revenue decreased by $708.8 million from $744.2 million for the nine months ended September 30, 2020 to $35.4 million for the nine months ended September 30, 2021. For the nine months ended September 30, 2021, our collaboration revenue mainly consisted of $26.2 million in revenue under our CStone collaboration, $4.5 million in revenue under our collaboration agreement with Roche for pralsetinib, and $4.3 million revenue under our cancer immunotherapy collaboration with Roche. Revenue recognized under our CStone collaboration for the nine months ended September 30, 2021 primarily consisted of $9.0 million in milestone revenue related to regulatory and development milestones that were achieved during the period and $13.9 million related to manufacturing services associated with CStone territory-specific activities during the period, including supply of drug substance and drug product to CStone for sale in their territory. Revenue recognized under our collaboration with Roche for pralsetinib for the nine months ended September 30, 2021 was associated with manufacturing and other services related to Roche territory-specific activities. Revenue recognized under our cancer immunotherapy collaboration with Roche for the nine months ended September 30, 2021 was primarily related to amortization of the $64.5 million of upfront and milestone payments received as of such period.</w:t>
      </w:r>
    </w:p>
    <w:p>
      <w:pPr>
        <w:spacing w:after="0" w:line="180" w:lineRule="exact"/>
        <w:rPr>
          <w:sz w:val="20"/>
          <w:szCs w:val="20"/>
          <w:color w:val="auto"/>
        </w:rPr>
      </w:pPr>
    </w:p>
    <w:p>
      <w:pPr>
        <w:ind w:left="60" w:right="199" w:firstLine="693"/>
        <w:spacing w:after="0" w:line="269" w:lineRule="auto"/>
        <w:rPr>
          <w:sz w:val="20"/>
          <w:szCs w:val="20"/>
          <w:color w:val="auto"/>
        </w:rPr>
      </w:pPr>
      <w:r>
        <w:rPr>
          <w:rFonts w:ascii="Arial" w:cs="Arial" w:eastAsia="Arial" w:hAnsi="Arial"/>
          <w:sz w:val="16"/>
          <w:szCs w:val="16"/>
          <w:color w:val="auto"/>
        </w:rPr>
        <w:t>Collaboration revenue for the nine months ended September 30, 2020 mainly consisted of $736.6 million in revenue under our collaboration agreement with Roche for pralsetinib, $3.5 million in revenue under our CStone collaboration, and $3.8 million revenue under our cancer immunotherapy collaboration with Roche. Revenue recognized under our collaboration with Roche for pralsetinib for the nine months ended September 30, 2020 consisted of $675.0 million upfront cash payment, $20.7 million premium associated with the $100.0 million equity investment by Roche, $40.0 million in specified regulatory and commercialization milestone payments as a result of the initial U.S. marketing approval for GAVRETO and $0.9 million associated with services related to Roche territory-specific activities. Revenue recognized under our CStone collaboration for the nine months ended September 30, 2020 primarily consisted of $2.0 million in revenue related to a milestone achieved during the quarter and $1.5 million associated with manufacturing services related to CStone territory-specific activities. The revenue recognized under our cancer immunotherapy collaboration with Roche for the nine months ended September 30, 2020 was primarily related to amortization of the total $63.0 million of upfront and milestone payments received as of such period.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Cost of product sales increased by $10.1 million from $0.3 million during the nine months ended</w:t>
      </w:r>
    </w:p>
    <w:p>
      <w:pPr>
        <w:spacing w:after="0" w:line="12" w:lineRule="exact"/>
        <w:rPr>
          <w:sz w:val="20"/>
          <w:szCs w:val="20"/>
          <w:color w:val="auto"/>
        </w:rPr>
      </w:pPr>
    </w:p>
    <w:p>
      <w:pPr>
        <w:ind w:left="60" w:right="59"/>
        <w:spacing w:after="0" w:line="303" w:lineRule="auto"/>
        <w:rPr>
          <w:sz w:val="20"/>
          <w:szCs w:val="20"/>
          <w:color w:val="auto"/>
        </w:rPr>
      </w:pPr>
      <w:r>
        <w:rPr>
          <w:rFonts w:ascii="Arial" w:cs="Arial" w:eastAsia="Arial" w:hAnsi="Arial"/>
          <w:sz w:val="16"/>
          <w:szCs w:val="16"/>
          <w:color w:val="auto"/>
        </w:rPr>
        <w:t>September 30, 2020 to $10.4 million for the nine months ended September 30, 2021 and was related to manufacturing costs associated with our products sales as well as costs associated with the sale of drug product to our collaboration</w:t>
      </w:r>
    </w:p>
    <w:p>
      <w:pPr>
        <w:sectPr>
          <w:pgSz w:w="11900" w:h="16838" w:orient="portrait"/>
          <w:cols w:equalWidth="0" w:num="1">
            <w:col w:w="9019"/>
          </w:cols>
          <w:pgMar w:left="1440" w:top="517" w:right="1440" w:bottom="1440" w:gutter="0" w:footer="0" w:header="0"/>
        </w:sect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4" w:lineRule="auto"/>
        <w:rPr>
          <w:sz w:val="20"/>
          <w:szCs w:val="20"/>
          <w:color w:val="auto"/>
        </w:rPr>
      </w:pPr>
      <w:r>
        <w:rPr>
          <w:rFonts w:ascii="Arial" w:cs="Arial" w:eastAsia="Arial" w:hAnsi="Arial"/>
          <w:sz w:val="16"/>
          <w:szCs w:val="16"/>
          <w:color w:val="auto"/>
        </w:rPr>
        <w:t>partners. The increase in costs of product sales was primarily driven by the lower margin product sales to our collaboration partners during the nine months ended September 30, 2021. Costs associated with product revenue, net remain at higher margins as costs associated with the manufacture of our drugs prior to FDA approval were recorded as research and development expenses and, therefore, were not included in cost of sales during such period.</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Loss Sharing</w:t>
      </w:r>
    </w:p>
    <w:p>
      <w:pPr>
        <w:spacing w:after="0" w:line="212" w:lineRule="exact"/>
        <w:rPr>
          <w:sz w:val="20"/>
          <w:szCs w:val="20"/>
          <w:color w:val="auto"/>
        </w:rPr>
      </w:pPr>
    </w:p>
    <w:p>
      <w:pPr>
        <w:ind w:left="60" w:right="779" w:firstLine="648"/>
        <w:spacing w:after="0" w:line="324" w:lineRule="auto"/>
        <w:rPr>
          <w:sz w:val="20"/>
          <w:szCs w:val="20"/>
          <w:color w:val="auto"/>
        </w:rPr>
      </w:pPr>
      <w:r>
        <w:rPr>
          <w:rFonts w:ascii="Arial" w:cs="Arial" w:eastAsia="Arial" w:hAnsi="Arial"/>
          <w:sz w:val="16"/>
          <w:szCs w:val="16"/>
          <w:color w:val="auto"/>
        </w:rPr>
        <w:t>The net product sales of GAVRETO recorded by Roche were $5.5 million and our loss sharing under the collaboration with Roche for pralsetinib was $3.3 million for the nine months ended September 30,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7"/>
          <w:szCs w:val="17"/>
          <w:color w:val="auto"/>
        </w:rPr>
        <w:t>Research and development expense decreased by $5.3 million from $249.5 million for the nine months ended September 30, 2020 to $244.2 million for the nine months ended September 30, 2021. The decrease in research and development expense was primarily related to approximately $15.9 million in decreased expenses associated with the manufacturing of clinical supply and approximately $2.7 million in decreased clinical development expenses. This decrease in research and development expense was primarily offset by an increase of approximately $10.1 million in costs related to early discovery efforts and an increase in personnel expenses that was primarily driven by an increase of $4.5 million in stock-based compensation expense.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179" w:firstLine="648"/>
        <w:spacing w:after="0" w:line="274" w:lineRule="auto"/>
        <w:rPr>
          <w:sz w:val="20"/>
          <w:szCs w:val="20"/>
          <w:color w:val="auto"/>
        </w:rPr>
      </w:pPr>
      <w:r>
        <w:rPr>
          <w:rFonts w:ascii="Arial" w:cs="Arial" w:eastAsia="Arial" w:hAnsi="Arial"/>
          <w:sz w:val="16"/>
          <w:szCs w:val="16"/>
          <w:color w:val="auto"/>
        </w:rPr>
        <w:t>Selling, general and administrative expense increased by $25.9 million from $115.2 million for the nine months ended September 30, 2020 to $141.1 million for the nine months ended September 30, 2021. The increase in selling, general and administrative expense was primarily related to increased costs and personnel expenses, including an increase of $8.4 million in stock-based compensation expense, as well as an increase of $12.6 million in commercial expenses to expand our commercial infrastructure for commercialization of AYVAKIT/AYVAKYT and GAVRETO. The increase in selling, general and administrative expense was partially offset by $6.7 million increase in reimbursement in connection with the commercialization of GAVRETO in the U.S. under our collaboration with Roche for pralsetinib.</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12" w:lineRule="exact"/>
        <w:rPr>
          <w:sz w:val="20"/>
          <w:szCs w:val="20"/>
          <w:color w:val="auto"/>
        </w:rPr>
      </w:pPr>
    </w:p>
    <w:p>
      <w:pPr>
        <w:jc w:val="both"/>
        <w:ind w:left="60" w:right="139" w:firstLine="648"/>
        <w:spacing w:after="0" w:line="248" w:lineRule="auto"/>
        <w:rPr>
          <w:sz w:val="20"/>
          <w:szCs w:val="20"/>
          <w:color w:val="auto"/>
        </w:rPr>
      </w:pPr>
      <w:r>
        <w:rPr>
          <w:rFonts w:ascii="Arial" w:cs="Arial" w:eastAsia="Arial" w:hAnsi="Arial"/>
          <w:sz w:val="18"/>
          <w:szCs w:val="18"/>
          <w:color w:val="auto"/>
        </w:rPr>
        <w:t>Interest income, net, decreased by $3.7 million from $5.7 million for the nine months ended September 30, 2020 to $1.9 million for the nine months ended September 30, 2021. The decrease was primarily due to a lower rate of return on investments in the capital markets.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left="60" w:right="1199" w:firstLine="648"/>
        <w:spacing w:after="0" w:line="291" w:lineRule="auto"/>
        <w:rPr>
          <w:sz w:val="20"/>
          <w:szCs w:val="20"/>
          <w:color w:val="auto"/>
        </w:rPr>
      </w:pPr>
      <w:r>
        <w:rPr>
          <w:rFonts w:ascii="Arial" w:cs="Arial" w:eastAsia="Arial" w:hAnsi="Arial"/>
          <w:sz w:val="17"/>
          <w:szCs w:val="17"/>
          <w:color w:val="auto"/>
        </w:rPr>
        <w:t>Other expense, net, increased by $0.7 million from $0.4 million expense for the nine months ended September 30, 2020 to $1.1 million for the nine months ended September 30, 2021.</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12" w:lineRule="exact"/>
        <w:rPr>
          <w:sz w:val="20"/>
          <w:szCs w:val="20"/>
          <w:color w:val="auto"/>
        </w:rPr>
      </w:pPr>
    </w:p>
    <w:p>
      <w:pPr>
        <w:ind w:left="60" w:right="479" w:firstLine="648"/>
        <w:spacing w:after="0" w:line="261" w:lineRule="auto"/>
        <w:rPr>
          <w:sz w:val="20"/>
          <w:szCs w:val="20"/>
          <w:color w:val="auto"/>
        </w:rPr>
      </w:pPr>
      <w:r>
        <w:rPr>
          <w:rFonts w:ascii="Arial" w:cs="Arial" w:eastAsia="Arial" w:hAnsi="Arial"/>
          <w:sz w:val="18"/>
          <w:szCs w:val="18"/>
          <w:color w:val="auto"/>
        </w:rPr>
        <w:t>Income tax expense remained at $0.4 million for the nine months ended September 30, 2021 and for the nine months ended September 30,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 September 30, 2021, we have received an aggregate of $2.9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$921.3 million in upfront payments and milestone payments under our collaborations with</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91" w:lineRule="auto"/>
        <w:rPr>
          <w:sz w:val="20"/>
          <w:szCs w:val="20"/>
          <w:color w:val="auto"/>
        </w:rPr>
      </w:pPr>
      <w:r>
        <w:rPr>
          <w:rFonts w:ascii="Arial" w:cs="Arial" w:eastAsia="Arial" w:hAnsi="Arial"/>
          <w:sz w:val="17"/>
          <w:szCs w:val="17"/>
          <w:color w:val="auto"/>
        </w:rPr>
        <w:t>Roche and CStone, our license agreement with Clementia and our former collaboration with Alexion. In addition, since January 2020, we have also generated revenue through the sales of our approved drug products.</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September 30, 2021, we had cash, cash equivalents and marketable securities of $1,293.8 million.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60" w:right="99" w:firstLine="648"/>
        <w:spacing w:after="0" w:line="261" w:lineRule="auto"/>
        <w:rPr>
          <w:sz w:val="20"/>
          <w:szCs w:val="20"/>
          <w:color w:val="auto"/>
        </w:rPr>
      </w:pPr>
      <w:r>
        <w:rPr>
          <w:rFonts w:ascii="Arial" w:cs="Arial" w:eastAsia="Arial" w:hAnsi="Arial"/>
          <w:sz w:val="18"/>
          <w:szCs w:val="18"/>
          <w:color w:val="auto"/>
        </w:rPr>
        <w:t>The following table provides information regarding our cash flows for the nine months ended September 30, 2021 and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5"/>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CEEFF"/>
            </w:tcBorders>
            <w:vMerge w:val="continue"/>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(284,539)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411,834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121,094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5"/>
              </w:rPr>
              <w:t>(358,717)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6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32,787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397,666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6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(130,658)</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450,783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i w:val="1"/>
          <w:iCs w:val="1"/>
          <w:color w:val="auto"/>
        </w:rPr>
        <w:t xml:space="preserve">Net Cash Provided by (Used in) Operating Activities. </w:t>
      </w:r>
      <w:r>
        <w:rPr>
          <w:rFonts w:ascii="Arial" w:cs="Arial" w:eastAsia="Arial" w:hAnsi="Arial"/>
          <w:sz w:val="18"/>
          <w:szCs w:val="18"/>
          <w:color w:val="auto"/>
        </w:rPr>
        <w:t>For the nine months ended September 30, 2021,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same period in 2020, the $696.4 million decrease in net cash provided by operating activities was primarily due a decrease in net income which was driven by the $675.0 million in collaboration revenue recognized under our collaboration agreement with Roche for pralsetinib in the third quarter of 2020.</w:t>
      </w:r>
    </w:p>
    <w:p>
      <w:pPr>
        <w:spacing w:after="0" w:line="161" w:lineRule="exact"/>
        <w:rPr>
          <w:sz w:val="20"/>
          <w:szCs w:val="20"/>
          <w:color w:val="auto"/>
        </w:rPr>
      </w:pPr>
    </w:p>
    <w:p>
      <w:pPr>
        <w:ind w:left="60" w:right="119" w:firstLine="648"/>
        <w:spacing w:after="0" w:line="248" w:lineRule="auto"/>
        <w:rPr>
          <w:sz w:val="20"/>
          <w:szCs w:val="20"/>
          <w:color w:val="auto"/>
        </w:rPr>
      </w:pPr>
      <w:r>
        <w:rPr>
          <w:rFonts w:ascii="Arial" w:cs="Arial" w:eastAsia="Arial" w:hAnsi="Arial"/>
          <w:sz w:val="18"/>
          <w:szCs w:val="18"/>
          <w:i w:val="1"/>
          <w:iCs w:val="1"/>
          <w:color w:val="auto"/>
        </w:rPr>
        <w:t xml:space="preserve">Net Cash Provided by (Used in) Investing Activities. </w:t>
      </w:r>
      <w:r>
        <w:rPr>
          <w:rFonts w:ascii="Arial" w:cs="Arial" w:eastAsia="Arial" w:hAnsi="Arial"/>
          <w:sz w:val="18"/>
          <w:szCs w:val="18"/>
          <w:color w:val="auto"/>
        </w:rPr>
        <w:t>For the nine months ended September 30, 2021,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2020, the $479.8 million increase in net cash provided by investing activities was primarily due to a decrease in net purchases of available-for-sale investments.</w:t>
      </w:r>
    </w:p>
    <w:p>
      <w:pPr>
        <w:spacing w:after="0" w:line="155" w:lineRule="exact"/>
        <w:rPr>
          <w:sz w:val="20"/>
          <w:szCs w:val="20"/>
          <w:color w:val="auto"/>
        </w:rPr>
      </w:pPr>
    </w:p>
    <w:p>
      <w:pPr>
        <w:ind w:left="60" w:right="79" w:firstLine="648"/>
        <w:spacing w:after="0"/>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nine months ended September 30,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the $364.9 million decrease in net cash provided by financing activities was primarily due to the $308.4 million in net proceeds received from January 2020 follow-on public offering and $79.3 million received from the issuance of common stock related to the collaboration agreement with Roche for pralsetinib, partially offset by a $22.9 million increase in net proceeds received from stock option exercises and the issuance of common stock under our employee stock purchase plan.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Funding Requirements</w:t>
      </w:r>
    </w:p>
    <w:p>
      <w:pPr>
        <w:spacing w:after="0" w:line="252"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in additional geographies, to the extent these expenses are not the responsibility of our collaborators.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19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As of September 30, 2021, we had cash, cash equivalents and marketable securities of $1,293.8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32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80" w:right="3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15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80" w:right="2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5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in additional geographies, may not achieve commercial success. Accordingly, we may need to rely on additional financing to achieve our business objectives. Adequate additional financing may not be available to us on acceptable terms, or at all.</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12"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ind w:left="60" w:right="619" w:firstLine="648"/>
        <w:spacing w:after="0" w:line="261"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21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During the nine months ended September 30, 2021, there were no material changes to our contractual obligations and commitments described under “Management’s Discussion and Analysis of Financial Condition and Results of Operations” included in the Annual Report on Form 10-K for the year ended December 31, 2020.</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jc w:val="both"/>
        <w:ind w:left="60" w:right="279" w:firstLine="648"/>
        <w:spacing w:after="0" w:line="248" w:lineRule="auto"/>
        <w:rPr>
          <w:sz w:val="20"/>
          <w:szCs w:val="20"/>
          <w:color w:val="auto"/>
        </w:rPr>
      </w:pPr>
      <w:r>
        <w:rPr>
          <w:rFonts w:ascii="Arial" w:cs="Arial" w:eastAsia="Arial" w:hAnsi="Arial"/>
          <w:sz w:val="18"/>
          <w:szCs w:val="18"/>
          <w:color w:val="auto"/>
        </w:rPr>
        <w:t>As of September 30, 2021 and December 31, 2020, we had cash, cash equivalents and marketable securities of $1,293.8 million and $1,549.7 million, respectively, consisting primarily of money market funds and investments in U.S. government agency and treasury obligations.</w:t>
      </w:r>
    </w:p>
    <w:p>
      <w:pPr>
        <w:spacing w:after="0" w:line="141"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1"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We are also exposed to market risk related to changes in foreign currency exchange rates, including recent changes resulting from the impact of the COVID-19 pandemic.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September 30, 2021 and December 31, 2020, we held limited funds and future obligations denominated in foreign currencies.</w:t>
      </w:r>
    </w:p>
    <w:p>
      <w:pPr>
        <w:spacing w:after="0" w:line="162" w:lineRule="exact"/>
        <w:rPr>
          <w:sz w:val="20"/>
          <w:szCs w:val="20"/>
          <w:color w:val="auto"/>
        </w:rPr>
      </w:pPr>
    </w:p>
    <w:p>
      <w:pPr>
        <w:ind w:left="60" w:right="15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and nine months ended September 30,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0"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2021. Based upon such evaluation, our Chief Executive Officer and Chief Financial Officer have concluded that, as of September 30, 2021, our disclosure controls and procedures were effective at the reasonable assurance level.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left="60" w:right="539" w:firstLine="648"/>
        <w:spacing w:after="0" w:line="248"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89" w:lineRule="exact"/>
        <w:rPr>
          <w:sz w:val="20"/>
          <w:szCs w:val="20"/>
          <w:color w:val="auto"/>
        </w:rPr>
      </w:pPr>
    </w:p>
    <w:p>
      <w:pPr>
        <w:ind w:left="1380" w:right="57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AYVAKIT/ AYVAKYT, GAVRETO or any future approved drugs may be unsuccessful or less successful than anticipated.</w:t>
      </w:r>
    </w:p>
    <w:p>
      <w:pPr>
        <w:spacing w:after="0" w:line="181" w:lineRule="exact"/>
        <w:rPr>
          <w:rFonts w:ascii="Arial" w:cs="Arial" w:eastAsia="Arial" w:hAnsi="Arial"/>
          <w:sz w:val="18"/>
          <w:szCs w:val="18"/>
          <w:color w:val="auto"/>
        </w:rPr>
      </w:pPr>
    </w:p>
    <w:p>
      <w:pPr>
        <w:ind w:left="1380" w:right="799" w:hanging="331"/>
        <w:spacing w:after="0" w:line="32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commercial success of our current and future drugs will depend upon the degree of market acceptance by physicians, patients, third-party payors and others in the medical community.</w:t>
      </w:r>
    </w:p>
    <w:p>
      <w:pPr>
        <w:spacing w:after="0" w:line="124" w:lineRule="exact"/>
        <w:rPr>
          <w:rFonts w:ascii="Arial" w:cs="Arial" w:eastAsia="Arial" w:hAnsi="Arial"/>
          <w:sz w:val="16"/>
          <w:szCs w:val="16"/>
          <w:color w:val="auto"/>
        </w:rPr>
      </w:pPr>
    </w:p>
    <w:p>
      <w:pPr>
        <w:ind w:left="1380" w:right="19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spacing w:after="0" w:line="170" w:lineRule="exact"/>
        <w:rPr>
          <w:rFonts w:ascii="Arial" w:cs="Arial" w:eastAsia="Arial" w:hAnsi="Arial"/>
          <w:sz w:val="18"/>
          <w:szCs w:val="18"/>
          <w:color w:val="auto"/>
        </w:rPr>
      </w:pPr>
    </w:p>
    <w:p>
      <w:pPr>
        <w:jc w:val="both"/>
        <w:ind w:left="1380" w:right="17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commercializing, developing or discovering drugs before or more successfully than we do.</w:t>
      </w:r>
    </w:p>
    <w:p>
      <w:pPr>
        <w:spacing w:after="0" w:line="170" w:lineRule="exact"/>
        <w:rPr>
          <w:rFonts w:ascii="Arial" w:cs="Arial" w:eastAsia="Arial" w:hAnsi="Arial"/>
          <w:sz w:val="18"/>
          <w:szCs w:val="18"/>
          <w:color w:val="auto"/>
        </w:rPr>
      </w:pPr>
    </w:p>
    <w:p>
      <w:pPr>
        <w:ind w:left="1380" w:right="739" w:hanging="331"/>
        <w:spacing w:after="0" w:line="32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Product liability lawsuits against us could cause us to incur substantial liabilities and could limit commercialization of any of our approved drugs or drug candidates that we may develop.</w:t>
      </w:r>
    </w:p>
    <w:p>
      <w:pPr>
        <w:spacing w:after="0" w:line="124" w:lineRule="exact"/>
        <w:rPr>
          <w:rFonts w:ascii="Arial" w:cs="Arial" w:eastAsia="Arial" w:hAnsi="Arial"/>
          <w:sz w:val="16"/>
          <w:szCs w:val="16"/>
          <w:color w:val="auto"/>
        </w:rPr>
      </w:pPr>
    </w:p>
    <w:p>
      <w:pPr>
        <w:ind w:left="1380" w:right="219" w:hanging="331"/>
        <w:spacing w:after="0" w:line="243"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unable to advance our drug candidates to clinical development,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7"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170" w:lineRule="exact"/>
        <w:rPr>
          <w:rFonts w:ascii="Arial" w:cs="Arial" w:eastAsia="Arial" w:hAnsi="Arial"/>
          <w:sz w:val="18"/>
          <w:szCs w:val="18"/>
          <w:color w:val="auto"/>
        </w:rPr>
      </w:pPr>
    </w:p>
    <w:p>
      <w:pPr>
        <w:ind w:left="1380" w:right="99" w:hanging="331"/>
        <w:spacing w:after="0" w:line="291"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for our drug candidates and, if applicable, for any related companion diagnostic tests, we will not be able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59"/>
        <w:spacing w:after="0" w:line="261" w:lineRule="auto"/>
        <w:rPr>
          <w:sz w:val="20"/>
          <w:szCs w:val="20"/>
          <w:color w:val="auto"/>
        </w:rPr>
      </w:pPr>
      <w:r>
        <w:rPr>
          <w:rFonts w:ascii="Arial" w:cs="Arial" w:eastAsia="Arial" w:hAnsi="Arial"/>
          <w:sz w:val="18"/>
          <w:szCs w:val="18"/>
          <w:color w:val="auto"/>
        </w:rPr>
        <w:t>commercialize, or may be delayed in commercializing, such drug candidates, and our ability to generate revenue will be materially impaired.</w:t>
      </w:r>
    </w:p>
    <w:p>
      <w:pPr>
        <w:spacing w:after="0" w:line="171" w:lineRule="exact"/>
        <w:rPr>
          <w:sz w:val="20"/>
          <w:szCs w:val="20"/>
          <w:color w:val="auto"/>
        </w:rPr>
      </w:pPr>
    </w:p>
    <w:p>
      <w:pPr>
        <w:ind w:left="1380" w:right="9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drug candidates.</w:t>
      </w:r>
    </w:p>
    <w:p>
      <w:pPr>
        <w:spacing w:after="0" w:line="211" w:lineRule="exact"/>
        <w:rPr>
          <w:rFonts w:ascii="Arial" w:cs="Arial" w:eastAsia="Arial" w:hAnsi="Arial"/>
          <w:sz w:val="18"/>
          <w:szCs w:val="18"/>
          <w:color w:val="auto"/>
        </w:rPr>
      </w:pPr>
    </w:p>
    <w:p>
      <w:pPr>
        <w:ind w:left="1380" w:right="359" w:hanging="331"/>
        <w:spacing w:after="0" w:line="279"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59" w:lineRule="exact"/>
        <w:rPr>
          <w:rFonts w:ascii="Arial" w:cs="Arial" w:eastAsia="Arial" w:hAnsi="Arial"/>
          <w:sz w:val="16"/>
          <w:szCs w:val="16"/>
          <w:color w:val="auto"/>
        </w:rPr>
      </w:pPr>
    </w:p>
    <w:p>
      <w:pPr>
        <w:ind w:left="1380" w:right="9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81" w:lineRule="exact"/>
        <w:rPr>
          <w:rFonts w:ascii="Arial" w:cs="Arial" w:eastAsia="Arial" w:hAnsi="Arial"/>
          <w:sz w:val="18"/>
          <w:szCs w:val="18"/>
          <w:color w:val="auto"/>
        </w:rPr>
      </w:pPr>
    </w:p>
    <w:p>
      <w:pPr>
        <w:ind w:left="1380" w:right="219" w:hanging="331"/>
        <w:spacing w:after="0" w:line="29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47" w:lineRule="exact"/>
        <w:rPr>
          <w:rFonts w:ascii="Arial" w:cs="Arial" w:eastAsia="Arial" w:hAnsi="Arial"/>
          <w:sz w:val="16"/>
          <w:szCs w:val="16"/>
          <w:color w:val="auto"/>
        </w:rPr>
      </w:pPr>
    </w:p>
    <w:p>
      <w:pPr>
        <w:ind w:left="1380" w:right="99" w:hanging="331"/>
        <w:spacing w:after="0" w:line="243"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rFonts w:ascii="Arial" w:cs="Arial" w:eastAsia="Arial" w:hAnsi="Arial"/>
          <w:sz w:val="18"/>
          <w:szCs w:val="18"/>
          <w:color w:val="auto"/>
        </w:rPr>
      </w:pPr>
    </w:p>
    <w:p>
      <w:pPr>
        <w:ind w:left="1380" w:right="159" w:hanging="331"/>
        <w:spacing w:after="0" w:line="28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5" w:lineRule="exact"/>
        <w:rPr>
          <w:rFonts w:ascii="Arial" w:cs="Arial" w:eastAsia="Arial" w:hAnsi="Arial"/>
          <w:sz w:val="16"/>
          <w:szCs w:val="16"/>
          <w:color w:val="auto"/>
        </w:rPr>
      </w:pPr>
    </w:p>
    <w:p>
      <w:pPr>
        <w:ind w:left="1380" w:right="339" w:hanging="331"/>
        <w:spacing w:after="0" w:line="24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9" w:lineRule="exact"/>
        <w:rPr>
          <w:rFonts w:ascii="Arial" w:cs="Arial" w:eastAsia="Arial" w:hAnsi="Arial"/>
          <w:sz w:val="18"/>
          <w:szCs w:val="18"/>
          <w:color w:val="auto"/>
        </w:rPr>
      </w:pPr>
    </w:p>
    <w:p>
      <w:pPr>
        <w:ind w:left="1380" w:right="13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results of operations and future growth prospects could be materially and adversely affected by the ongoing COVID-19 pandemic.</w:t>
      </w:r>
    </w:p>
    <w:p>
      <w:pPr>
        <w:spacing w:after="0" w:line="170"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4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We have two approved precision therapies, AYVAKIT/AYVAKYT and GAVRETO. While we have been commercializing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75" w:lineRule="exact"/>
        <w:rPr>
          <w:sz w:val="20"/>
          <w:szCs w:val="20"/>
          <w:color w:val="auto"/>
        </w:rPr>
      </w:pPr>
    </w:p>
    <w:p>
      <w:pPr>
        <w:ind w:left="1340" w:right="13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patients who may receive our drugs and any future drugs;</w:t>
      </w:r>
    </w:p>
    <w:p>
      <w:pPr>
        <w:spacing w:after="0" w:line="170" w:lineRule="exact"/>
        <w:rPr>
          <w:rFonts w:ascii="Arial" w:cs="Arial" w:eastAsia="Arial" w:hAnsi="Arial"/>
          <w:sz w:val="18"/>
          <w:szCs w:val="18"/>
          <w:color w:val="auto"/>
        </w:rPr>
      </w:pPr>
    </w:p>
    <w:p>
      <w:pPr>
        <w:ind w:left="1340" w:right="7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maintain adequate pricing and reimbursement for AYVAKIT/AYVAKYT, GAVRETO and any future drugs;</w:t>
      </w:r>
    </w:p>
    <w:p>
      <w:pPr>
        <w:spacing w:after="0" w:line="170" w:lineRule="exact"/>
        <w:rPr>
          <w:rFonts w:ascii="Arial" w:cs="Arial" w:eastAsia="Arial" w:hAnsi="Arial"/>
          <w:sz w:val="18"/>
          <w:szCs w:val="18"/>
          <w:color w:val="auto"/>
        </w:rPr>
      </w:pPr>
    </w:p>
    <w:p>
      <w:pPr>
        <w:ind w:left="1340" w:right="159" w:hanging="318"/>
        <w:spacing w:after="0" w:line="248"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existing collaborations with Roche and CStone Pharmaceuticals, or CStone;</w:t>
      </w:r>
    </w:p>
    <w:p>
      <w:pPr>
        <w:spacing w:after="0" w:line="211" w:lineRule="exact"/>
        <w:rPr>
          <w:rFonts w:ascii="Arial" w:cs="Arial" w:eastAsia="Arial" w:hAnsi="Arial"/>
          <w:sz w:val="18"/>
          <w:szCs w:val="18"/>
          <w:color w:val="auto"/>
        </w:rPr>
      </w:pPr>
    </w:p>
    <w:p>
      <w:pPr>
        <w:ind w:left="1340" w:right="4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global operations or enter into collaboration, partnerships or distribution arrangements in geographies where we may not have current operations or expertise; and</w:t>
      </w:r>
    </w:p>
    <w:p>
      <w:pPr>
        <w:spacing w:after="0" w:line="170" w:lineRule="exact"/>
        <w:rPr>
          <w:rFonts w:ascii="Arial" w:cs="Arial" w:eastAsia="Arial" w:hAnsi="Arial"/>
          <w:sz w:val="18"/>
          <w:szCs w:val="18"/>
          <w:color w:val="auto"/>
        </w:rPr>
      </w:pPr>
    </w:p>
    <w:p>
      <w:pPr>
        <w:ind w:left="1340" w:right="519" w:hanging="318"/>
        <w:spacing w:after="0" w:line="261" w:lineRule="auto"/>
        <w:tabs>
          <w:tab w:leader="none" w:pos="1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17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82"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74" w:lineRule="exact"/>
        <w:rPr>
          <w:sz w:val="20"/>
          <w:szCs w:val="20"/>
          <w:color w:val="auto"/>
        </w:rPr>
      </w:pPr>
    </w:p>
    <w:p>
      <w:pPr>
        <w:ind w:left="1380" w:hanging="331"/>
        <w:spacing w:after="0"/>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the drug’s approved labeling;</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willingness of eligible patients to try new therapies and of physicians to prescribe these therapies;</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drugs remain on treatment;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619" w:hanging="318"/>
        <w:spacing w:after="0" w:line="261" w:lineRule="auto"/>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pricing of our drugs and any current or future drug candidates for which we receive marketing approval;</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current and future drugs, or competing products and treatments;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75"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our drugs;</w:t>
      </w:r>
    </w:p>
    <w:p>
      <w:pPr>
        <w:spacing w:after="0" w:line="170" w:lineRule="exact"/>
        <w:rPr>
          <w:rFonts w:ascii="Arial" w:cs="Arial" w:eastAsia="Arial" w:hAnsi="Arial"/>
          <w:sz w:val="18"/>
          <w:szCs w:val="18"/>
          <w:color w:val="auto"/>
        </w:rPr>
      </w:pPr>
    </w:p>
    <w:p>
      <w:pPr>
        <w:ind w:left="1340" w:right="81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or disruptions to sales and marketing activities, including due to the COVID-19 pandemic.</w:t>
      </w:r>
    </w:p>
    <w:p>
      <w:pPr>
        <w:spacing w:after="0" w:line="223"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82"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The precise incidence and/or prevalence for SM, RET-altered cancers, EGFR-mutated NSCLC, CCNE-aberrant cancers, GIST and HCC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55" w:lineRule="exact"/>
        <w:rPr>
          <w:sz w:val="20"/>
          <w:szCs w:val="20"/>
          <w:color w:val="auto"/>
        </w:rPr>
      </w:pPr>
    </w:p>
    <w:p>
      <w:pPr>
        <w:ind w:left="60" w:right="199" w:firstLine="648"/>
        <w:spacing w:after="0"/>
        <w:rPr>
          <w:sz w:val="20"/>
          <w:szCs w:val="20"/>
          <w:color w:val="auto"/>
        </w:rPr>
      </w:pPr>
      <w:r>
        <w:rPr>
          <w:rFonts w:ascii="Arial" w:cs="Arial" w:eastAsia="Arial" w:hAnsi="Arial"/>
          <w:sz w:val="18"/>
          <w:szCs w:val="18"/>
          <w:color w:val="auto"/>
        </w:rPr>
        <w:t>Accordingly, the number of patients in the U.S., France, Germany, Italy, Spain, the United Kingdom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9"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developing or discovering drugs before or more successfully than we do.</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67"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AYVAKIT/AYVAKYT faces competition for advanced SM from Novartis AG’s midostaurin and imatinib, and may face competition from drug candidates in development, including that being developed by Cogent Biosciences, Inc. If avapritinib and BLU-263 are approved for non-advanced SM, they may face competition from drug candidates in development, including those being developed by AB Science S.A., Allakos Inc. and Cogent Biosciences, Inc.</w:t>
      </w:r>
    </w:p>
    <w:p>
      <w:pPr>
        <w:spacing w:after="0" w:line="172"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7"/>
          <w:szCs w:val="17"/>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81"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189" w:lineRule="exact"/>
        <w:rPr>
          <w:sz w:val="20"/>
          <w:szCs w:val="20"/>
          <w:color w:val="auto"/>
        </w:rPr>
      </w:pPr>
    </w:p>
    <w:p>
      <w:pPr>
        <w:ind w:left="60" w:right="59" w:firstLine="648"/>
        <w:spacing w:after="0" w:line="274" w:lineRule="auto"/>
        <w:rPr>
          <w:sz w:val="20"/>
          <w:szCs w:val="20"/>
          <w:color w:val="auto"/>
        </w:rPr>
      </w:pPr>
      <w:r>
        <w:rPr>
          <w:rFonts w:ascii="Arial" w:cs="Arial" w:eastAsia="Arial" w:hAnsi="Arial"/>
          <w:sz w:val="16"/>
          <w:szCs w:val="16"/>
          <w:color w:val="auto"/>
        </w:rPr>
        <w:t>We are developing fisogatinib for patients with advanced HCC. If fisogatinib receives marketing approval for patients with FGFR4-activated HCC, it will face competition from Bristol-Myers Squibb Company’s nivolumab and Merck</w:t>
      </w:r>
    </w:p>
    <w:p>
      <w:pPr>
        <w:spacing w:after="0" w:line="1" w:lineRule="exact"/>
        <w:rPr>
          <w:sz w:val="20"/>
          <w:szCs w:val="20"/>
          <w:color w:val="auto"/>
        </w:rPr>
      </w:pPr>
    </w:p>
    <w:p>
      <w:pPr>
        <w:ind w:left="60" w:right="79" w:hanging="10"/>
        <w:spacing w:after="0" w:line="253" w:lineRule="auto"/>
        <w:tabs>
          <w:tab w:leader="none" w:pos="2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 Inc.’s pembrolizumab, immune checkpoint inhibitors approved by the FDA for the treatment of HCC, as well as sorafenib, cabozantinib, regorafenib and lenvatinib, multi-kinase inhibitors approved for the treatment of HCC and atezolizumab plus bevacizumab for the treatment of patients with advanced unresectable or metastatic HCC. In addition, fisogatinib may face competition from other drug candidates in development by Abbisko Therapeutics Co., Ltd, Bayer AG, CSPC Pharmaceutical Group, Eisai Inc., H3 Biomedicine Inc., InnoCare Pharma Limited, Johnson &amp; Johnson, Novartis AG, Orion Corporation, Taiho Pharmaceutical Co., Ltd. and Betta Pharmaceuticals.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We are developing BLU-701 and BLU-945 for treatment-resistant EGFR-mutated NSCLC, which, if approved, will face competition from AstraZeneca plc’s osimertinib and aumolertinib, which is under collaboration between Jiangsu Hansoh Pharmaceutical Group Co., Ltd. and EQRX, Inc. and approved in China. In addition, BLU-701 and BLU-945 may face competition from drug candidates in development for EGFR-mutated NSCLC, including those being developed by Allist Pharmaceuticals, Alpha Biopharma Inc., Astellas Pharma Inc., Betta Pharmaceuticals, Boehringer Ingelheim RCV GmbH &amp; Co KG, Bridge Biotherapeutics, Inc., C4 Therapeutics, Inc., Centessa Pharmaceuticals, Chia Tai Tianqing Pharmaceutical Group, Daiichi Sankyo Company, Limited, Janssen Pharmaceuticals, Inc. and Takeda Pharmaceuticals.</w:t>
      </w:r>
    </w:p>
    <w:p>
      <w:pPr>
        <w:spacing w:after="0" w:line="163"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1"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71"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4" w:lineRule="exact"/>
        <w:rPr>
          <w:sz w:val="20"/>
          <w:szCs w:val="20"/>
          <w:color w:val="auto"/>
        </w:rPr>
      </w:pPr>
    </w:p>
    <w:p>
      <w:pPr>
        <w:ind w:left="1380" w:right="899" w:hanging="331"/>
        <w:spacing w:after="0" w:line="261"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any of our approved drugs or drug candidates that we may develop and commercialize;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commercialize any of approved drugs or drug candidates that we may develop.</w:t>
      </w:r>
    </w:p>
    <w:p>
      <w:pPr>
        <w:spacing w:after="0" w:line="212" w:lineRule="exact"/>
        <w:rPr>
          <w:sz w:val="20"/>
          <w:szCs w:val="20"/>
          <w:color w:val="auto"/>
        </w:rPr>
      </w:pPr>
    </w:p>
    <w:p>
      <w:pPr>
        <w:jc w:val="both"/>
        <w:ind w:left="60" w:right="179" w:firstLine="648"/>
        <w:spacing w:after="0" w:line="29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may not be able to maintain insurance coverage at a reasonable cost or in an amount adequate to satisfy any liability that may arise.</w:t>
      </w:r>
    </w:p>
    <w:p>
      <w:pPr>
        <w:spacing w:after="0" w:line="171"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Increasing demand for compassionate use of our drug candidates could negatively affect our reputation and harm our business.</w:t>
      </w:r>
    </w:p>
    <w:p>
      <w:pPr>
        <w:spacing w:after="0" w:line="157"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6"/>
          <w:szCs w:val="16"/>
          <w:color w:val="auto"/>
        </w:rPr>
        <w:t>Recent 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59"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167"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82"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for AYVAKIT/AYVAKYT in order to identify GIST patients with the PDGFRA D842V mutation, pralsetinib in order to identify NSCLC patients with RET fusions and MTC patients with RET mutations and fisogatinib in order to identify HCC patients with FGFR4 pathway activation.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659" w:hanging="31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70" w:lineRule="exact"/>
        <w:rPr>
          <w:rFonts w:ascii="Arial" w:cs="Arial" w:eastAsia="Arial" w:hAnsi="Arial"/>
          <w:sz w:val="18"/>
          <w:szCs w:val="18"/>
          <w:color w:val="auto"/>
        </w:rPr>
      </w:pPr>
    </w:p>
    <w:p>
      <w:pPr>
        <w:jc w:val="both"/>
        <w:ind w:left="1340" w:right="319" w:hanging="318"/>
        <w:spacing w:after="0" w:line="248"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1340" w:right="359" w:hanging="318"/>
        <w:spacing w:after="0" w:line="261" w:lineRule="auto"/>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a companion diagnostic test;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2" w:lineRule="exact"/>
        <w:rPr>
          <w:sz w:val="20"/>
          <w:szCs w:val="20"/>
          <w:color w:val="auto"/>
        </w:rPr>
      </w:pPr>
    </w:p>
    <w:p>
      <w:pPr>
        <w:ind w:left="1340" w:right="23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approved drugs and drug candidates may be adversely affected if we are unable to appropriately select patients for enrollment in our clinical trials;</w:t>
      </w:r>
    </w:p>
    <w:p>
      <w:pPr>
        <w:spacing w:after="0" w:line="170" w:lineRule="exact"/>
        <w:rPr>
          <w:rFonts w:ascii="Arial" w:cs="Arial" w:eastAsia="Arial" w:hAnsi="Arial"/>
          <w:sz w:val="18"/>
          <w:szCs w:val="18"/>
          <w:color w:val="auto"/>
        </w:rPr>
      </w:pPr>
    </w:p>
    <w:p>
      <w:pPr>
        <w:ind w:left="1340" w:right="31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drug candidates may not receive marketing approval if safe and effective use of a therapeutic drug candidate depends on an in vitro diagnostic;</w:t>
      </w:r>
    </w:p>
    <w:p>
      <w:pPr>
        <w:spacing w:after="0" w:line="170" w:lineRule="exact"/>
        <w:rPr>
          <w:rFonts w:ascii="Arial" w:cs="Arial" w:eastAsia="Arial" w:hAnsi="Arial"/>
          <w:sz w:val="18"/>
          <w:szCs w:val="18"/>
          <w:color w:val="auto"/>
        </w:rPr>
      </w:pPr>
    </w:p>
    <w:p>
      <w:pPr>
        <w:ind w:left="1340" w:right="819" w:hanging="318"/>
        <w:spacing w:after="0" w:line="324" w:lineRule="auto"/>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impose post-marketing requirements regarding the development and commercialization of companion diagnostic tests for our drugs and drug candidates; and</w:t>
      </w:r>
    </w:p>
    <w:p>
      <w:pPr>
        <w:spacing w:after="0" w:line="124" w:lineRule="exact"/>
        <w:rPr>
          <w:rFonts w:ascii="Arial" w:cs="Arial" w:eastAsia="Arial" w:hAnsi="Arial"/>
          <w:sz w:val="16"/>
          <w:szCs w:val="16"/>
          <w:color w:val="auto"/>
        </w:rPr>
      </w:pPr>
    </w:p>
    <w:p>
      <w:pPr>
        <w:ind w:left="1340" w:right="279" w:hanging="318"/>
        <w:spacing w:after="0" w:line="248"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result, our business may be materially harmed.</w:t>
      </w:r>
    </w:p>
    <w:p>
      <w:pPr>
        <w:spacing w:after="0" w:line="21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1"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71"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sufficient quantities of our drugs or any other drug candidates that may be approved in the future, which could have a material adverse effect on our business as a whole.</w:t>
      </w:r>
    </w:p>
    <w:p>
      <w:pPr>
        <w:spacing w:after="0" w:line="171"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82"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9"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left="60" w:right="399"/>
        <w:spacing w:after="0" w:line="322"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67" w:lineRule="exact"/>
        <w:rPr>
          <w:sz w:val="20"/>
          <w:szCs w:val="20"/>
          <w:color w:val="auto"/>
        </w:rPr>
      </w:pPr>
    </w:p>
    <w:p>
      <w:pPr>
        <w:ind w:left="1340" w:right="499" w:hanging="31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enrollment in, and initiation and completion of, clinical trials, including our ongoing and planned clinical trials for our drugs and drug candidates;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for our other drug candidates;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successful development of any companion diagnostic tests for use with our drugs and drug candidates;</w:t>
      </w:r>
    </w:p>
    <w:p>
      <w:pPr>
        <w:spacing w:after="0" w:line="234" w:lineRule="exact"/>
        <w:rPr>
          <w:rFonts w:ascii="Arial" w:cs="Arial" w:eastAsia="Arial" w:hAnsi="Arial"/>
          <w:sz w:val="16"/>
          <w:szCs w:val="16"/>
          <w:color w:val="auto"/>
        </w:rPr>
      </w:pPr>
    </w:p>
    <w:p>
      <w:pPr>
        <w:ind w:left="1340" w:right="279" w:hanging="31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and transitioning any conditional marketing authorizations to full approvals;</w:t>
      </w:r>
    </w:p>
    <w:p>
      <w:pPr>
        <w:spacing w:after="0" w:line="170" w:lineRule="exact"/>
        <w:rPr>
          <w:rFonts w:ascii="Arial" w:cs="Arial" w:eastAsia="Arial" w:hAnsi="Arial"/>
          <w:sz w:val="18"/>
          <w:szCs w:val="18"/>
          <w:color w:val="auto"/>
        </w:rPr>
      </w:pPr>
    </w:p>
    <w:p>
      <w:pPr>
        <w:ind w:left="1340" w:right="339" w:hanging="318"/>
        <w:spacing w:after="0" w:line="291" w:lineRule="auto"/>
        <w:tabs>
          <w:tab w:leader="none" w:pos="1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in-house commercial manufacturing capabilities or arrangements with third-parties for clinical supply and commercial manufacturing, packaging and labeling and the receipt by such third-party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79"/>
        <w:spacing w:after="0" w:line="261" w:lineRule="auto"/>
        <w:rPr>
          <w:sz w:val="20"/>
          <w:szCs w:val="20"/>
          <w:color w:val="auto"/>
        </w:rPr>
      </w:pPr>
      <w:r>
        <w:rPr>
          <w:rFonts w:ascii="Arial" w:cs="Arial" w:eastAsia="Arial" w:hAnsi="Arial"/>
          <w:sz w:val="18"/>
          <w:szCs w:val="18"/>
          <w:color w:val="auto"/>
        </w:rPr>
        <w:t>manufacturers of requisite approvals to supply commercial inventories of our approved drugs and drug candidates;</w:t>
      </w:r>
    </w:p>
    <w:p>
      <w:pPr>
        <w:spacing w:after="0" w:line="171" w:lineRule="exact"/>
        <w:rPr>
          <w:sz w:val="20"/>
          <w:szCs w:val="20"/>
          <w:color w:val="auto"/>
        </w:rPr>
      </w:pPr>
    </w:p>
    <w:p>
      <w:pPr>
        <w:ind w:left="1340" w:right="23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drugs and drug candidates;</w:t>
      </w:r>
    </w:p>
    <w:p>
      <w:pPr>
        <w:spacing w:after="0" w:line="170" w:lineRule="exact"/>
        <w:rPr>
          <w:rFonts w:ascii="Arial" w:cs="Arial" w:eastAsia="Arial" w:hAnsi="Arial"/>
          <w:sz w:val="18"/>
          <w:szCs w:val="18"/>
          <w:color w:val="auto"/>
        </w:rPr>
      </w:pPr>
    </w:p>
    <w:p>
      <w:pPr>
        <w:ind w:left="1340" w:right="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commercialization of our approved drugs and drug candidates, if and when approved, whether alone or in collaboration with others;</w:t>
      </w:r>
    </w:p>
    <w:p>
      <w:pPr>
        <w:spacing w:after="0" w:line="170" w:lineRule="exact"/>
        <w:rPr>
          <w:rFonts w:ascii="Arial" w:cs="Arial" w:eastAsia="Arial" w:hAnsi="Arial"/>
          <w:sz w:val="18"/>
          <w:szCs w:val="18"/>
          <w:color w:val="auto"/>
        </w:rPr>
      </w:pPr>
    </w:p>
    <w:p>
      <w:pPr>
        <w:ind w:left="1340" w:right="2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of our approved drugs and drug candidates, if and when approved, by patients, the medical community and third-party payors;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drugs and drug candidates following approval.</w:t>
      </w:r>
    </w:p>
    <w:p>
      <w:pPr>
        <w:spacing w:after="0" w:line="235"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47"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In addition, we have experienced some delays or disruptions in enrollment in our ongoing clinical trials due to the COVID-19 pandemic, and we anticipate we may experience additional delays or disruptions in the future due to the ongoing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81"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47"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7"/>
          <w:szCs w:val="17"/>
          <w:color w:val="auto"/>
        </w:rPr>
        <w:t>Our drug candidates and any companion diagnostic tests related to our approved drugs or drug candidates, including the companion diagnostic tests that we are developing or have developed for AYVAKIT/AYVAKYT in order to identify GIST patients with the PDGFRA D842V mutation, pralsetinib in order to identify NSCLC patients with RET fusions and MTC patients with RET mutations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fisogatinib.</w:t>
      </w:r>
    </w:p>
    <w:p>
      <w:pPr>
        <w:spacing w:after="0" w:line="180"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7"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6"/>
          <w:szCs w:val="16"/>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89"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171" w:lineRule="exact"/>
        <w:rPr>
          <w:sz w:val="20"/>
          <w:szCs w:val="20"/>
          <w:color w:val="auto"/>
        </w:rPr>
      </w:pPr>
    </w:p>
    <w:p>
      <w:pPr>
        <w:ind w:left="1380" w:right="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380" w:right="219" w:hanging="331"/>
        <w:spacing w:after="0" w:line="248"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U.S. or elsewhere;</w:t>
      </w:r>
    </w:p>
    <w:p>
      <w:pPr>
        <w:spacing w:after="0" w:line="124" w:lineRule="exact"/>
        <w:rPr>
          <w:rFonts w:ascii="Arial" w:cs="Arial" w:eastAsia="Arial" w:hAnsi="Arial"/>
          <w:sz w:val="16"/>
          <w:szCs w:val="16"/>
          <w:color w:val="auto"/>
        </w:rPr>
      </w:pPr>
    </w:p>
    <w:p>
      <w:pPr>
        <w:ind w:left="1380" w:right="279" w:hanging="331"/>
        <w:spacing w:after="0" w:line="248"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81" w:lineRule="exact"/>
        <w:rPr>
          <w:rFonts w:ascii="Arial" w:cs="Arial" w:eastAsia="Arial" w:hAnsi="Arial"/>
          <w:sz w:val="18"/>
          <w:szCs w:val="18"/>
          <w:color w:val="auto"/>
        </w:rPr>
      </w:pPr>
    </w:p>
    <w:p>
      <w:pPr>
        <w:ind w:left="1380" w:right="659" w:hanging="331"/>
        <w:spacing w:after="0" w:line="291" w:lineRule="auto"/>
        <w:tabs>
          <w:tab w:leader="none" w:pos="13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 and</w:t>
      </w:r>
    </w:p>
    <w:p>
      <w:pPr>
        <w:spacing w:after="0" w:line="146" w:lineRule="exact"/>
        <w:rPr>
          <w:rFonts w:ascii="Arial" w:cs="Arial" w:eastAsia="Arial" w:hAnsi="Arial"/>
          <w:sz w:val="17"/>
          <w:szCs w:val="17"/>
          <w:color w:val="auto"/>
        </w:rPr>
      </w:pPr>
    </w:p>
    <w:p>
      <w:pPr>
        <w:ind w:left="1380" w:right="71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disruptions impacting the FDA or comparable foreign regulatory authorities due to the COVID-19 pandemic.</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2021,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5"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1" w:lineRule="exact"/>
        <w:rPr>
          <w:sz w:val="20"/>
          <w:szCs w:val="20"/>
          <w:color w:val="auto"/>
        </w:rPr>
      </w:pPr>
    </w:p>
    <w:p>
      <w:pPr>
        <w:ind w:left="1380" w:right="119" w:hanging="331"/>
        <w:spacing w:after="0" w:line="248"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81" w:lineRule="exact"/>
        <w:rPr>
          <w:rFonts w:ascii="Arial" w:cs="Arial" w:eastAsia="Arial" w:hAnsi="Arial"/>
          <w:sz w:val="18"/>
          <w:szCs w:val="18"/>
          <w:color w:val="auto"/>
        </w:rPr>
      </w:pPr>
    </w:p>
    <w:p>
      <w:pPr>
        <w:ind w:left="1380" w:right="43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211"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drug candidate uneconomical; and</w:t>
      </w:r>
    </w:p>
    <w:p>
      <w:pPr>
        <w:spacing w:after="0" w:line="170"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drug candidates from being commercialized.</w:t>
      </w:r>
    </w:p>
    <w:p>
      <w:pPr>
        <w:spacing w:after="0" w:line="171"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7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9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2"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48" w:lineRule="auto"/>
        <w:rPr>
          <w:sz w:val="20"/>
          <w:szCs w:val="20"/>
          <w:color w:val="auto"/>
        </w:rPr>
      </w:pPr>
      <w:r>
        <w:rPr>
          <w:rFonts w:ascii="Arial" w:cs="Arial" w:eastAsia="Arial" w:hAnsi="Arial"/>
          <w:sz w:val="18"/>
          <w:szCs w:val="18"/>
          <w:color w:val="auto"/>
        </w:rPr>
        <w:t>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2" w:lineRule="exact"/>
        <w:rPr>
          <w:sz w:val="20"/>
          <w:szCs w:val="20"/>
          <w:color w:val="auto"/>
        </w:rPr>
      </w:pPr>
    </w:p>
    <w:p>
      <w:pPr>
        <w:ind w:left="60" w:right="199" w:firstLine="648"/>
        <w:spacing w:after="0" w:line="276" w:lineRule="auto"/>
        <w:rPr>
          <w:sz w:val="20"/>
          <w:szCs w:val="20"/>
          <w:color w:val="auto"/>
        </w:rPr>
      </w:pPr>
      <w:r>
        <w:rPr>
          <w:rFonts w:ascii="Arial" w:cs="Arial" w:eastAsia="Arial" w:hAnsi="Arial"/>
          <w:sz w:val="16"/>
          <w:szCs w:val="16"/>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74" w:lineRule="exact"/>
        <w:rPr>
          <w:sz w:val="20"/>
          <w:szCs w:val="20"/>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70"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380" w:right="55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the way such drug is distributed or administered, conduct additional clinical trials or change the labeling of such drug;</w:t>
      </w:r>
    </w:p>
    <w:p>
      <w:pPr>
        <w:spacing w:after="0" w:line="170" w:lineRule="exact"/>
        <w:rPr>
          <w:rFonts w:ascii="Arial" w:cs="Arial" w:eastAsia="Arial" w:hAnsi="Arial"/>
          <w:sz w:val="18"/>
          <w:szCs w:val="18"/>
          <w:color w:val="auto"/>
        </w:rPr>
      </w:pPr>
    </w:p>
    <w:p>
      <w:pPr>
        <w:jc w:val="both"/>
        <w:ind w:left="1380" w:right="99" w:hanging="331"/>
        <w:spacing w:after="0" w:line="294" w:lineRule="auto"/>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to remove such drug from the marketplace;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drugs and drug candidates;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8" w:lineRule="exact"/>
        <w:rPr>
          <w:sz w:val="20"/>
          <w:szCs w:val="20"/>
          <w:color w:val="auto"/>
        </w:rPr>
      </w:pPr>
    </w:p>
    <w:p>
      <w:pPr>
        <w:jc w:val="both"/>
        <w:ind w:left="60" w:right="53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may seek breakthrough therapy designation for some of our current or future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FDA has granted breakthrough therapy designation to avapritinib for the treatment of moderate to severe indolent SM. In addition, the FDA previously granted breakthrough designation to our drugs, AYVAKIT and GAVRETO, for the treatment of certain patients with GIST, advanced SM and RET-altered cancers, respectively.</w:t>
      </w:r>
    </w:p>
    <w:p>
      <w:pPr>
        <w:spacing w:after="0" w:line="17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 On May 26. 2021, the FDA noted it is continuing to ensure timely reviews of applications for medical products during the COVID-19 pandemic in line with its user fee performance goals; however, the FDA may not be able to continue its current pace and review timelines could be extended, including due to the inability for the FDA to complete any inspections of manufacturing facilities or clinical sites that may be required for an approval.</w:t>
      </w:r>
    </w:p>
    <w:p>
      <w:pPr>
        <w:spacing w:after="0" w:line="180"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7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71"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1" w:lineRule="exact"/>
        <w:rPr>
          <w:sz w:val="20"/>
          <w:szCs w:val="20"/>
          <w:color w:val="auto"/>
        </w:rPr>
      </w:pPr>
    </w:p>
    <w:p>
      <w:pPr>
        <w:ind w:left="60" w:right="279" w:firstLine="648"/>
        <w:spacing w:after="0" w:line="324"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24" w:lineRule="auto"/>
        <w:rPr>
          <w:sz w:val="20"/>
          <w:szCs w:val="20"/>
          <w:color w:val="auto"/>
        </w:rPr>
      </w:pPr>
      <w:r>
        <w:rPr>
          <w:rFonts w:ascii="Arial" w:cs="Arial" w:eastAsia="Arial" w:hAnsi="Arial"/>
          <w:sz w:val="16"/>
          <w:szCs w:val="16"/>
          <w:color w:val="auto"/>
        </w:rPr>
        <w:t>approved, the FDA can subsequently approve the same drug for the same condition if the FDA concludes that the later drug is clinically superior in that it is shown to be safer, more effective or makes a major contribution to patient care.</w:t>
      </w:r>
    </w:p>
    <w:p>
      <w:pPr>
        <w:spacing w:after="0" w:line="124" w:lineRule="exact"/>
        <w:rPr>
          <w:sz w:val="20"/>
          <w:szCs w:val="20"/>
          <w:color w:val="auto"/>
        </w:rPr>
      </w:pPr>
    </w:p>
    <w:p>
      <w:pPr>
        <w:ind w:left="60" w:right="119" w:firstLine="648"/>
        <w:spacing w:after="0" w:line="251" w:lineRule="auto"/>
        <w:rPr>
          <w:sz w:val="20"/>
          <w:szCs w:val="20"/>
          <w:color w:val="auto"/>
        </w:rPr>
      </w:pPr>
      <w:r>
        <w:rPr>
          <w:rFonts w:ascii="Arial" w:cs="Arial" w:eastAsia="Arial" w:hAnsi="Arial"/>
          <w:sz w:val="17"/>
          <w:szCs w:val="17"/>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85"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drug candidates.</w:t>
      </w:r>
    </w:p>
    <w:p>
      <w:pPr>
        <w:spacing w:after="0" w:line="21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acquisition or in-license.</w:t>
      </w:r>
    </w:p>
    <w:p>
      <w:pPr>
        <w:spacing w:after="0" w:line="180"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9"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Legislations and Regulations</w:t>
      </w:r>
    </w:p>
    <w:p>
      <w:pPr>
        <w:spacing w:after="0" w:line="216"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0"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6" w:lineRule="exact"/>
        <w:rPr>
          <w:sz w:val="20"/>
          <w:szCs w:val="20"/>
          <w:color w:val="auto"/>
        </w:rPr>
      </w:pPr>
    </w:p>
    <w:p>
      <w:pPr>
        <w:ind w:left="1340" w:right="5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“dear doctor” letters or drug recalls;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39" w:hanging="318"/>
        <w:spacing w:after="0" w:line="261" w:lineRule="auto"/>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Regulatory agencies may also impose requirements for costly post-marketing studies or clinical trials and surveillance to monitor the safety or efficacy of a product. The FDA and other agencies, including the Department of Justice, or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1"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products. It is unclear what effect, if any, American Rescue Plan and other government efforts to expand coverage will have on the number of covered individuals.</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46" w:lineRule="exact"/>
        <w:rPr>
          <w:sz w:val="20"/>
          <w:szCs w:val="20"/>
          <w:color w:val="auto"/>
        </w:rPr>
      </w:pPr>
    </w:p>
    <w:p>
      <w:pPr>
        <w:jc w:val="both"/>
        <w:ind w:left="60" w:right="139" w:firstLine="648"/>
        <w:spacing w:after="0" w:line="271" w:lineRule="auto"/>
        <w:rPr>
          <w:sz w:val="20"/>
          <w:szCs w:val="20"/>
          <w:color w:val="auto"/>
        </w:rPr>
      </w:pPr>
      <w:r>
        <w:rPr>
          <w:rFonts w:ascii="Arial" w:cs="Arial" w:eastAsia="Arial" w:hAnsi="Arial"/>
          <w:sz w:val="16"/>
          <w:szCs w:val="16"/>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ind w:left="60" w:right="179"/>
        <w:spacing w:after="0" w:line="26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ind w:left="60" w:right="59" w:hanging="10"/>
        <w:spacing w:after="0" w:line="268" w:lineRule="auto"/>
        <w:tabs>
          <w:tab w:leader="none" w:pos="3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The ACA, among other things, made several changes to the Medicare Drug Rebate Program, establishes annual fees and taxes on manufacturers of certain branded prescription drugs, and creates a new Medicare Part D coverage gap discount program, in which manufacturers must agree to offer 50% (increased to 70% pursuant to the Bipartisan Budget Act of 2018,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reform through legislation and Executive Orders by the previous U.S. presidential administration and to judicial challenges. In 2012, the U.S. Supreme Court heard challenges to the constitutionality of the individual mandate and the viability of certain provisions of the ACA. The Supreme Court's decision upheld most of the ACA and determined that requiring individuals to maintain "minimum essential" health insurance coverage or pay a penalty to the Internal Revenue Service was within Congress's constitutional taxing authority. However, as a result of tax reform legislation enacted into law in late December 2017, the individual mandate has been eliminated, effective January 1, 2019. On December 14, 2018, a U.S. District Court Judge in the Northern District of Texas ruled that the individual mandate is a critical and inseverable feature of the ACA, and therefore, because it was repealed as part of the 2017 Tax Reform Act, the remaining provisions of the ACA are invalid as well. On December 18, 2019, the Fifth Circuit U.S. Court of Appeals held that the individual mandate is unconstitutional. On March 2, 2020, the United States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through Medicaid or the ACA. It is unclear how other healthcare reform measures of the Biden administration or other efforts, if any, to challenge, repeal or replace the ACA will impact our business.</w:t>
      </w:r>
    </w:p>
    <w:p>
      <w:pPr>
        <w:spacing w:after="0" w:line="171"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6"/>
          <w:szCs w:val="16"/>
          <w:color w:val="auto"/>
        </w:rPr>
        <w:t>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pacing w:after="0" w:line="175" w:lineRule="exact"/>
        <w:rPr>
          <w:sz w:val="20"/>
          <w:szCs w:val="20"/>
          <w:color w:val="auto"/>
        </w:rPr>
      </w:pPr>
    </w:p>
    <w:p>
      <w:pPr>
        <w:ind w:left="60" w:right="439" w:firstLine="648"/>
        <w:spacing w:after="0" w:line="262"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6"/>
          <w:szCs w:val="16"/>
          <w:color w:val="auto"/>
        </w:rPr>
        <w:t>We may face competition in the U.S.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 challenging multiple aspects of the final rule, and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On July 9, 2021, President Biden issued an executive order directing the FDA to, among other things, work with states and tribes to safely import prescription drugs from Canada, continue to clarify and improve the approval framework for generic drugs and biosimilars, and identify and address any efforts to impede generic drug and biosimilar competition.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81"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7"/>
          <w:szCs w:val="17"/>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color w:val="auto"/>
        </w:rPr>
        <w:t>product samples or allocate additional resources to responding to such requests or any legal challenges under this law, our business could be adversely impacted.</w:t>
      </w:r>
    </w:p>
    <w:p>
      <w:pPr>
        <w:spacing w:after="0" w:line="171"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7"/>
          <w:szCs w:val="17"/>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7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74" w:lineRule="exact"/>
        <w:rPr>
          <w:sz w:val="20"/>
          <w:szCs w:val="20"/>
          <w:color w:val="auto"/>
        </w:rPr>
      </w:pPr>
    </w:p>
    <w:p>
      <w:pPr>
        <w:ind w:left="60" w:right="139"/>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29"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or HIPAA, the Physician Payment Sunshine Act, HIPAA, as amended by the Health Information Technology for Economic and Clinical Health Act of 2009, or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w:t>
      </w:r>
    </w:p>
    <w:p>
      <w:pPr>
        <w:spacing w:after="0" w:line="18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84"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0"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1" w:lineRule="exact"/>
        <w:rPr>
          <w:sz w:val="20"/>
          <w:szCs w:val="20"/>
          <w:color w:val="auto"/>
        </w:rPr>
      </w:pPr>
    </w:p>
    <w:p>
      <w:pPr>
        <w:ind w:left="60" w:right="259" w:firstLine="648"/>
        <w:spacing w:after="0" w:line="324" w:lineRule="auto"/>
        <w:rPr>
          <w:sz w:val="20"/>
          <w:szCs w:val="20"/>
          <w:color w:val="auto"/>
        </w:rPr>
      </w:pPr>
      <w:r>
        <w:rPr>
          <w:rFonts w:ascii="Arial" w:cs="Arial" w:eastAsia="Arial" w:hAnsi="Arial"/>
          <w:sz w:val="16"/>
          <w:szCs w:val="16"/>
          <w:color w:val="auto"/>
        </w:rPr>
        <w:t>Our future profitability may depend, in part, on our ability to commercialize current or future drug candidates in foreign markets for which we may rely on collaboration with third parties. We are not permitted to market or promote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6" w:lineRule="auto"/>
        <w:rPr>
          <w:sz w:val="20"/>
          <w:szCs w:val="20"/>
          <w:color w:val="auto"/>
        </w:rPr>
      </w:pPr>
      <w:r>
        <w:rPr>
          <w:rFonts w:ascii="Arial" w:cs="Arial" w:eastAsia="Arial" w:hAnsi="Arial"/>
          <w:sz w:val="16"/>
          <w:szCs w:val="16"/>
          <w:color w:val="auto"/>
        </w:rPr>
        <w:t>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2" w:lineRule="exact"/>
        <w:rPr>
          <w:sz w:val="20"/>
          <w:szCs w:val="20"/>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35"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Governments outside the U.S. tend to impose strict price controls, which may adversely affect our revenues, if any.</w:t>
      </w:r>
    </w:p>
    <w:p>
      <w:pPr>
        <w:spacing w:after="0" w:line="23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on June 23, 2016, the electorate in the United Kingdom voted in favor of leaving the European Union, commonly referred to as Brexit. Thereafter, on March 29, 2017, the country formally notified the European Union of its intention to withdraw pursuant to Article 50 of the Lisbon Treaty and the United Kingdom formally left the European Union on January 31, 2020. A transition period began on February 1, 2020, during which European Union pharmaceutical law remained applicable to the United Kingdom, however this ended on December 31, 2020. Since the regulatory framework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in the United Kingdom, including the regulation of pricing of prescription pharmaceuticals, as the United Kingdom legislation now has the potential to diverge from European Union legislation. If the United Kingdom were to significantly alter its regulations affecting the pricing of prescription</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color w:val="auto"/>
        </w:rPr>
        <w:t>pharmaceuticals, we could face significant new costs. As a result, Brexit could impair our ability to transact business in the European Union and the United Kingdom.</w:t>
      </w:r>
    </w:p>
    <w:p>
      <w:pPr>
        <w:spacing w:after="0" w:line="171"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2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8"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63"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 September 30, 2021, we have received an aggregate of $2.9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$921.3 million in upfront payments and milestone payments under our collaborations with Roche and CStone, our license agreement with Clementia and our former collaboration with Alexion. In addition, since January 2020, we also have generated revenue through sales of our drug products.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 inception, we have incurred significant operating losses, with the exception of the year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Our net loss was $325.4 million for the nine months ended September 30, 2021. Our net income was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7"/>
          <w:szCs w:val="17"/>
          <w:color w:val="auto"/>
        </w:rPr>
        <w:t>$313.9 million for the year ended December 31, 2020 primarily due to the collaboration revenue recorded under our</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collaboration with Roche for pralsetinib, and our net losses were $347.7 million and $236.6 million for the years ended</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and 2018, respectively. As of September 30, 2021, we had an accumulated deficit of $956.8 million.</w:t>
      </w:r>
    </w:p>
    <w:p>
      <w:pPr>
        <w:spacing w:after="0" w:line="219"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to continue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70" w:lineRule="auto"/>
        <w:rPr>
          <w:sz w:val="20"/>
          <w:szCs w:val="20"/>
          <w:color w:val="auto"/>
        </w:rPr>
      </w:pPr>
      <w:r>
        <w:rPr>
          <w:rFonts w:ascii="Arial" w:cs="Arial" w:eastAsia="Arial" w:hAnsi="Arial"/>
          <w:sz w:val="16"/>
          <w:szCs w:val="16"/>
          <w:color w:val="auto"/>
        </w:rPr>
        <w:t>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67"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To date, we have not generated substantial revenue from drug sales. Our ability to generate substantial revenue depends on a number of factors, including, but not limited to, our ability to:</w:t>
      </w:r>
    </w:p>
    <w:p>
      <w:pPr>
        <w:spacing w:after="0" w:line="171" w:lineRule="exact"/>
        <w:rPr>
          <w:sz w:val="20"/>
          <w:szCs w:val="20"/>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459" w:hanging="318"/>
        <w:spacing w:after="0" w:line="291" w:lineRule="auto"/>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46" w:lineRule="exact"/>
        <w:rPr>
          <w:rFonts w:ascii="Arial" w:cs="Arial" w:eastAsia="Arial" w:hAnsi="Arial"/>
          <w:sz w:val="17"/>
          <w:szCs w:val="17"/>
          <w:color w:val="auto"/>
        </w:rPr>
      </w:pPr>
    </w:p>
    <w:p>
      <w:pPr>
        <w:ind w:left="1340" w:right="37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achieve market acceptance in the medical community and with third-party payors for AYVAKIT/AYVAKYT, GAVRETO and any current or future drug candidates for which we receive marketing approval.</w:t>
      </w:r>
    </w:p>
    <w:p>
      <w:pPr>
        <w:spacing w:after="0" w:line="182" w:lineRule="exact"/>
        <w:rPr>
          <w:sz w:val="20"/>
          <w:szCs w:val="20"/>
          <w:color w:val="auto"/>
        </w:rPr>
      </w:pPr>
    </w:p>
    <w:p>
      <w:pPr>
        <w:ind w:left="60" w:right="399" w:firstLine="648"/>
        <w:spacing w:after="0" w:line="255" w:lineRule="auto"/>
        <w:rPr>
          <w:sz w:val="20"/>
          <w:szCs w:val="20"/>
          <w:color w:val="auto"/>
        </w:rPr>
      </w:pPr>
      <w:r>
        <w:rPr>
          <w:rFonts w:ascii="Arial" w:cs="Arial" w:eastAsia="Arial" w:hAnsi="Arial"/>
          <w:sz w:val="17"/>
          <w:szCs w:val="17"/>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substantial drug revenue, we will not become profitable and may be unable to continue operations without continued funding.</w:t>
      </w:r>
    </w:p>
    <w:p>
      <w:pPr>
        <w:spacing w:after="0" w:line="180"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0"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399" w:hanging="318"/>
        <w:spacing w:after="0" w:line="324"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40" w:right="3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40" w:right="99" w:hanging="318"/>
        <w:spacing w:after="0" w:line="294" w:lineRule="auto"/>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 as applicable;</w:t>
      </w:r>
    </w:p>
    <w:p>
      <w:pPr>
        <w:spacing w:after="0" w:line="147" w:lineRule="exact"/>
        <w:rPr>
          <w:rFonts w:ascii="Arial" w:cs="Arial" w:eastAsia="Arial" w:hAnsi="Arial"/>
          <w:sz w:val="16"/>
          <w:szCs w:val="16"/>
          <w:color w:val="auto"/>
        </w:rPr>
      </w:pPr>
    </w:p>
    <w:p>
      <w:pPr>
        <w:ind w:left="1340" w:right="17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40" w:right="3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40" w:right="25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40" w:right="799" w:hanging="318"/>
        <w:spacing w:after="0" w:line="291"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40" w:right="27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40" w:right="719" w:hanging="318"/>
        <w:spacing w:after="0" w:line="261" w:lineRule="auto"/>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40" w:right="779" w:hanging="318"/>
        <w:spacing w:after="0" w:line="291" w:lineRule="auto"/>
        <w:tabs>
          <w:tab w:leader="none" w:pos="1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12" w:lineRule="exact"/>
        <w:rPr>
          <w:sz w:val="20"/>
          <w:szCs w:val="20"/>
          <w:color w:val="auto"/>
        </w:rPr>
      </w:pPr>
    </w:p>
    <w:p>
      <w:pPr>
        <w:ind w:left="60" w:right="159" w:firstLine="693"/>
        <w:spacing w:after="0" w:line="253" w:lineRule="auto"/>
        <w:rPr>
          <w:sz w:val="20"/>
          <w:szCs w:val="20"/>
          <w:color w:val="auto"/>
        </w:rPr>
      </w:pPr>
      <w:r>
        <w:rPr>
          <w:rFonts w:ascii="Arial" w:cs="Arial" w:eastAsia="Arial" w:hAnsi="Arial"/>
          <w:sz w:val="17"/>
          <w:szCs w:val="17"/>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0" w:lineRule="exact"/>
        <w:rPr>
          <w:sz w:val="20"/>
          <w:szCs w:val="20"/>
          <w:color w:val="auto"/>
        </w:rPr>
      </w:pPr>
    </w:p>
    <w:p>
      <w:pPr>
        <w:ind w:left="60" w:right="399" w:firstLine="648"/>
        <w:spacing w:after="0" w:line="324" w:lineRule="auto"/>
        <w:rPr>
          <w:sz w:val="20"/>
          <w:szCs w:val="20"/>
          <w:color w:val="auto"/>
        </w:rPr>
      </w:pPr>
      <w:r>
        <w:rPr>
          <w:rFonts w:ascii="Arial" w:cs="Arial" w:eastAsia="Arial" w:hAnsi="Arial"/>
          <w:sz w:val="16"/>
          <w:szCs w:val="16"/>
          <w:color w:val="auto"/>
        </w:rPr>
        <w:t>If we are unable to obtain funding on a timely basis or on attractive terms, we may be required to significantly curtail, delay or discontinue one or more of our research or development programs or the commercialization of any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91" w:lineRule="auto"/>
        <w:rPr>
          <w:sz w:val="20"/>
          <w:szCs w:val="20"/>
          <w:color w:val="auto"/>
        </w:rPr>
      </w:pPr>
      <w:r>
        <w:rPr>
          <w:rFonts w:ascii="Arial" w:cs="Arial" w:eastAsia="Arial" w:hAnsi="Arial"/>
          <w:sz w:val="17"/>
          <w:szCs w:val="17"/>
          <w:color w:val="auto"/>
        </w:rPr>
        <w:t>our approved drugs or be unable to expand our operations or otherwise capitalize on our business opportunities, as desired, which could materially affect our business, financial condition and results of operations.</w:t>
      </w:r>
    </w:p>
    <w:p>
      <w:pPr>
        <w:spacing w:after="0" w:line="147"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64"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We have entered into collaborations and licenses with Roche, CStone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71"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or Clementia, or of any future collaboration or license agreement, could adversely affect us financially or harm our business reputation.</w:t>
      </w:r>
    </w:p>
    <w:p>
      <w:pPr>
        <w:spacing w:after="0" w:line="189" w:lineRule="exact"/>
        <w:rPr>
          <w:sz w:val="20"/>
          <w:szCs w:val="20"/>
          <w:color w:val="auto"/>
        </w:rPr>
      </w:pPr>
    </w:p>
    <w:p>
      <w:pPr>
        <w:ind w:left="60" w:right="579"/>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1"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left="60" w:right="159" w:firstLine="648"/>
        <w:spacing w:after="0" w:line="276" w:lineRule="auto"/>
        <w:rPr>
          <w:sz w:val="20"/>
          <w:szCs w:val="20"/>
          <w:color w:val="auto"/>
        </w:rPr>
      </w:pPr>
      <w:r>
        <w:rPr>
          <w:rFonts w:ascii="Arial" w:cs="Arial" w:eastAsia="Arial" w:hAnsi="Arial"/>
          <w:sz w:val="16"/>
          <w:szCs w:val="16"/>
          <w:color w:val="auto"/>
        </w:rPr>
        <w:t>Although we intend to design and sponsor the clinical trials for our approved drugs and drug candidates, CROs will conduct all of our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1" w:lineRule="exact"/>
        <w:rPr>
          <w:sz w:val="20"/>
          <w:szCs w:val="20"/>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6"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6" w:lineRule="auto"/>
        <w:rPr>
          <w:sz w:val="20"/>
          <w:szCs w:val="20"/>
          <w:color w:val="auto"/>
        </w:rPr>
      </w:pPr>
      <w:r>
        <w:rPr>
          <w:rFonts w:ascii="Arial" w:cs="Arial" w:eastAsia="Arial" w:hAnsi="Arial"/>
          <w:sz w:val="16"/>
          <w:szCs w:val="16"/>
          <w:color w:val="auto"/>
        </w:rPr>
        <w:t>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62" w:lineRule="exact"/>
        <w:rPr>
          <w:sz w:val="20"/>
          <w:szCs w:val="20"/>
          <w:color w:val="auto"/>
        </w:rPr>
      </w:pPr>
    </w:p>
    <w:p>
      <w:pPr>
        <w:ind w:left="60" w:right="99"/>
        <w:spacing w:after="0" w:line="26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72"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9"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The facilities used by our contract manufacturers to manufacture our drugs and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70"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Further, if there is inadequate information to make a determination on the acceptability of a facility, FDA may defer action on the application until an inspection can be completed. In 2020 and 2021, a number of companies announced receipt of complete response letters due to the FDA’s inability to complete required inspections for their applications. Regulatory authorities outside the U.S. may adopt</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61" w:lineRule="auto"/>
        <w:rPr>
          <w:sz w:val="20"/>
          <w:szCs w:val="20"/>
          <w:color w:val="auto"/>
        </w:rPr>
      </w:pPr>
      <w:r>
        <w:rPr>
          <w:rFonts w:ascii="Arial" w:cs="Arial" w:eastAsia="Arial" w:hAnsi="Arial"/>
          <w:sz w:val="18"/>
          <w:szCs w:val="18"/>
          <w:color w:val="auto"/>
        </w:rPr>
        <w:t>similar restrictions or other policy measures in response to the COVID-19 pandemic and may experience delays in their regulatory activities.</w:t>
      </w:r>
    </w:p>
    <w:p>
      <w:pPr>
        <w:spacing w:after="0" w:line="17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6"/>
          <w:szCs w:val="16"/>
          <w:color w:val="auto"/>
        </w:rPr>
        <w:t>We do not have long-term supply agreements with all of our contract manufacturers, and may purchase our required drug supply, including the API, drug product and drug substance used in our drugs and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59" w:lineRule="exact"/>
        <w:rPr>
          <w:sz w:val="20"/>
          <w:szCs w:val="20"/>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159" w:hanging="318"/>
        <w:spacing w:after="0" w:line="26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70"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71" w:lineRule="exact"/>
        <w:rPr>
          <w:sz w:val="20"/>
          <w:szCs w:val="20"/>
          <w:color w:val="auto"/>
        </w:rPr>
      </w:pPr>
    </w:p>
    <w:p>
      <w:pPr>
        <w:ind w:left="60" w:right="179" w:firstLine="648"/>
        <w:spacing w:after="0" w:line="238" w:lineRule="auto"/>
        <w:rPr>
          <w:sz w:val="20"/>
          <w:szCs w:val="20"/>
          <w:color w:val="auto"/>
        </w:rPr>
      </w:pPr>
      <w:r>
        <w:rPr>
          <w:rFonts w:ascii="Arial" w:cs="Arial" w:eastAsia="Arial" w:hAnsi="Arial"/>
          <w:sz w:val="18"/>
          <w:szCs w:val="18"/>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 response to the U.S. COVID-19 pandemic. Throughout the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w:t>
      </w:r>
    </w:p>
    <w:p>
      <w:pPr>
        <w:spacing w:after="0" w:line="191"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61"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88" w:lineRule="exact"/>
        <w:rPr>
          <w:sz w:val="20"/>
          <w:szCs w:val="20"/>
          <w:color w:val="auto"/>
        </w:rPr>
      </w:pPr>
    </w:p>
    <w:p>
      <w:pPr>
        <w:ind w:left="60" w:right="37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2"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COVID-19 pandemic could adversely impact our suppliers and result in delays or disruptions in our current or future supply chain.</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94" w:lineRule="exact"/>
        <w:rPr>
          <w:sz w:val="20"/>
          <w:szCs w:val="20"/>
          <w:color w:val="auto"/>
        </w:rPr>
      </w:pPr>
    </w:p>
    <w:p>
      <w:pPr>
        <w:ind w:left="60" w:right="199"/>
        <w:spacing w:after="0" w:line="262" w:lineRule="auto"/>
        <w:rPr>
          <w:sz w:val="20"/>
          <w:szCs w:val="20"/>
          <w:color w:val="auto"/>
        </w:rPr>
      </w:pPr>
      <w:r>
        <w:rPr>
          <w:rFonts w:ascii="Arial" w:cs="Arial" w:eastAsia="Arial" w:hAnsi="Arial"/>
          <w:sz w:val="17"/>
          <w:szCs w:val="17"/>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7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sz w:val="20"/>
          <w:szCs w:val="20"/>
          <w:color w:val="auto"/>
        </w:rPr>
      </w:pPr>
    </w:p>
    <w:p>
      <w:pPr>
        <w:jc w:val="both"/>
        <w:ind w:left="60" w:right="99" w:firstLine="648"/>
        <w:spacing w:after="0" w:line="276"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color w:val="auto"/>
        </w:rPr>
        <w:t>trade secrets, know-how and continuing technological innovation to develop and maintain our proprietary and intellectual property position.</w:t>
      </w:r>
    </w:p>
    <w:p>
      <w:pPr>
        <w:spacing w:after="0" w:line="17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 or patent term extension could result in a later expiration date for fisogatinib.</w:t>
      </w:r>
    </w:p>
    <w:p>
      <w:pPr>
        <w:spacing w:after="0" w:line="181"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As of October 15, 2021, we owned 12 issued U.S. patents, 15 issued foreign patents, including one European patent validated in 38 countries, four pending U.S. non-provisional patent applications, three pending U.S. provisional applications, six pending PCT international patent applications and 40 pending foreign patent applications directed to our KIT and PDGFRA program, including avapritinib and BLU-263. The patents that have issued or will issue covering our KIT and PDGFRA program will have a statutory expiration date between 2034 and 2042. Patent term adjustments or patent term extensions could result in later expiration dates.</w:t>
      </w:r>
    </w:p>
    <w:p>
      <w:pPr>
        <w:spacing w:after="0" w:line="18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As of October 15, 2021, we owned seven issued U.S. patents, seven pending U.S. non-provisional patent applications, three pending U.S. provisional patent applications, two pending PCT international applications, 54 pending foreign patent applications and eight issued foreign patents directed to our RET program, including pralsetinib. The patents that have issued or will issue covering our RET program will have a statutory expiration date between 2036 and 2042. Patent term adjustments or patent term extensions could result in later expiration dates.</w:t>
      </w:r>
    </w:p>
    <w:p>
      <w:pPr>
        <w:spacing w:after="0" w:line="174" w:lineRule="exact"/>
        <w:rPr>
          <w:sz w:val="20"/>
          <w:szCs w:val="20"/>
          <w:color w:val="auto"/>
        </w:rPr>
      </w:pPr>
    </w:p>
    <w:p>
      <w:pPr>
        <w:ind w:left="60" w:right="319" w:firstLine="648"/>
        <w:spacing w:after="0" w:line="241" w:lineRule="auto"/>
        <w:rPr>
          <w:sz w:val="20"/>
          <w:szCs w:val="20"/>
          <w:color w:val="auto"/>
        </w:rPr>
      </w:pPr>
      <w:r>
        <w:rPr>
          <w:rFonts w:ascii="Arial" w:cs="Arial" w:eastAsia="Arial" w:hAnsi="Arial"/>
          <w:sz w:val="18"/>
          <w:szCs w:val="18"/>
          <w:color w:val="auto"/>
        </w:rPr>
        <w:t>As of October 15, 2021, we owned one issued foreign patent, eight pending U.S. provisional applications, one pending PCT international patent application and 10 pending foreign patent applications directed to our EGFR program, including BLU-945 and BLU-701. The patents that have issued or will issue covering our EGFR program will have a statutory expiration date between 2040 and 2042. Patent term adjustments or patent term extensions could result in later expiration dates.</w:t>
      </w:r>
    </w:p>
    <w:p>
      <w:pPr>
        <w:spacing w:after="0" w:line="189" w:lineRule="exact"/>
        <w:rPr>
          <w:sz w:val="20"/>
          <w:szCs w:val="20"/>
          <w:color w:val="auto"/>
        </w:rPr>
      </w:pPr>
    </w:p>
    <w:p>
      <w:pPr>
        <w:ind w:left="60" w:right="499" w:firstLine="648"/>
        <w:spacing w:after="0" w:line="241" w:lineRule="auto"/>
        <w:rPr>
          <w:sz w:val="20"/>
          <w:szCs w:val="20"/>
          <w:color w:val="auto"/>
        </w:rPr>
      </w:pPr>
      <w:r>
        <w:rPr>
          <w:rFonts w:ascii="Arial" w:cs="Arial" w:eastAsia="Arial" w:hAnsi="Arial"/>
          <w:sz w:val="18"/>
          <w:szCs w:val="18"/>
          <w:color w:val="auto"/>
        </w:rPr>
        <w:t>As of October 15, 2021, we owned nine issued U.S. patents, two pending U.S. non-provisional patent applications, one pending PCT international application, 25 pending foreign patent applications and 29 issued foreign patents directed to our FGFR4 program, including fisogatinib. The patents that have issued or will issue covering our FGFR4 program will have a statutory expiration date between 2033 and 2040. Patent term adjustments or patent term extensions could result in later expiration dates.</w:t>
      </w:r>
    </w:p>
    <w:p>
      <w:pPr>
        <w:spacing w:after="0" w:line="189"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October 15, 2021, we owned eight issued U.S. patents, five pending U.S. non-provisional patent applications, three pending European Union patent applications and six issued European patents directed to this technology. Any U.S. or ex-U.S. patent issuing from the pending applications directed to this technology, if issued, will have statutory expiration dates ranging from 2034 to 2035.</w:t>
      </w:r>
    </w:p>
    <w:p>
      <w:pPr>
        <w:spacing w:after="0" w:line="189" w:lineRule="exact"/>
        <w:rPr>
          <w:sz w:val="20"/>
          <w:szCs w:val="20"/>
          <w:color w:val="auto"/>
        </w:rPr>
      </w:pPr>
    </w:p>
    <w:p>
      <w:pPr>
        <w:ind w:left="60" w:right="599" w:firstLine="648"/>
        <w:spacing w:after="0" w:line="29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47"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6"/>
          <w:szCs w:val="16"/>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48" w:lineRule="auto"/>
        <w:rPr>
          <w:sz w:val="20"/>
          <w:szCs w:val="20"/>
          <w:color w:val="auto"/>
        </w:rPr>
      </w:pPr>
      <w:r>
        <w:rPr>
          <w:rFonts w:ascii="Arial" w:cs="Arial" w:eastAsia="Arial" w:hAnsi="Arial"/>
          <w:sz w:val="18"/>
          <w:szCs w:val="18"/>
          <w:color w:val="auto"/>
        </w:rPr>
        <w:t>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2"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38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75" w:lineRule="exact"/>
        <w:rPr>
          <w:sz w:val="20"/>
          <w:szCs w:val="20"/>
          <w:color w:val="auto"/>
        </w:rPr>
      </w:pPr>
    </w:p>
    <w:p>
      <w:pPr>
        <w:ind w:left="60" w:right="279" w:firstLine="648"/>
        <w:spacing w:after="0" w:line="276" w:lineRule="auto"/>
        <w:rPr>
          <w:sz w:val="20"/>
          <w:szCs w:val="20"/>
          <w:color w:val="auto"/>
        </w:rPr>
      </w:pPr>
      <w:r>
        <w:rPr>
          <w:rFonts w:ascii="Arial" w:cs="Arial" w:eastAsia="Arial" w:hAnsi="Arial"/>
          <w:sz w:val="16"/>
          <w:szCs w:val="16"/>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agreements with such parties will be upheld in the face of a potential challenge, or that they will not be breached, for which we may not have an adequate remedy.</w:t>
      </w:r>
    </w:p>
    <w:p>
      <w:pPr>
        <w:spacing w:after="0" w:line="17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8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1" w:lineRule="exact"/>
        <w:rPr>
          <w:sz w:val="20"/>
          <w:szCs w:val="20"/>
          <w:color w:val="auto"/>
        </w:rPr>
      </w:pPr>
    </w:p>
    <w:p>
      <w:pPr>
        <w:ind w:left="60" w:right="69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37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69" w:lineRule="exact"/>
        <w:rPr>
          <w:sz w:val="20"/>
          <w:szCs w:val="20"/>
          <w:color w:val="auto"/>
        </w:rPr>
      </w:pPr>
    </w:p>
    <w:p>
      <w:pPr>
        <w:ind w:left="60" w:right="79" w:firstLine="648"/>
        <w:spacing w:after="0" w:line="324" w:lineRule="auto"/>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 such third party to continue developing and marketing our drug candidates and technology. However, we may not</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0"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0"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9"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72"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9"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71"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and costs surrounding the prosecution of our patent applications and the enforcement or defense of our issued patents, all of which could harm our business, results of operations and financial condition.</w:t>
      </w:r>
    </w:p>
    <w:p>
      <w:pPr>
        <w:spacing w:after="0" w:line="171"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ind w:left="60" w:right="7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38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2" w:lineRule="auto"/>
        <w:rPr>
          <w:sz w:val="20"/>
          <w:szCs w:val="20"/>
          <w:color w:val="auto"/>
        </w:rPr>
      </w:pPr>
      <w:r>
        <w:rPr>
          <w:rFonts w:ascii="Arial" w:cs="Arial" w:eastAsia="Arial" w:hAnsi="Arial"/>
          <w:sz w:val="17"/>
          <w:szCs w:val="17"/>
          <w:color w:val="auto"/>
        </w:rPr>
        <w:t>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 including Employee Matters, Managing Growth and Others</w:t>
      </w:r>
    </w:p>
    <w:p>
      <w:pPr>
        <w:spacing w:after="0" w:line="21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future growth prospects could be materially and adversely affected by the ongoing COVID-19 pandemic.</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the ongoing COVID-19 pandemic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9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example, public health actions being undertaken globally in response to the ongoing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67" w:lineRule="exact"/>
        <w:rPr>
          <w:sz w:val="20"/>
          <w:szCs w:val="20"/>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ongoing and planned clinical trials;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employees and business operations;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personnel at our third-party suppliers and other vendors in the U.S. and other countries;</w:t>
      </w:r>
    </w:p>
    <w:p>
      <w:pPr>
        <w:spacing w:after="0" w:line="211" w:lineRule="exact"/>
        <w:rPr>
          <w:rFonts w:ascii="Arial" w:cs="Arial" w:eastAsia="Arial" w:hAnsi="Arial"/>
          <w:sz w:val="18"/>
          <w:szCs w:val="18"/>
          <w:color w:val="auto"/>
        </w:rPr>
      </w:pPr>
    </w:p>
    <w:p>
      <w:pPr>
        <w:jc w:val="both"/>
        <w:ind w:left="1340" w:right="15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81" w:lineRule="exact"/>
        <w:rPr>
          <w:rFonts w:ascii="Arial" w:cs="Arial" w:eastAsia="Arial" w:hAnsi="Arial"/>
          <w:sz w:val="18"/>
          <w:szCs w:val="18"/>
          <w:color w:val="auto"/>
        </w:rPr>
      </w:pPr>
    </w:p>
    <w:p>
      <w:pPr>
        <w:ind w:left="1340" w:right="159" w:hanging="318"/>
        <w:spacing w:after="0" w:line="291" w:lineRule="auto"/>
        <w:tabs>
          <w:tab w:leader="none" w:pos="1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sales and marketing activities related to AYVAKIT/AYVAKYT, GAVRETO and any drug candidates for which we may receive marketing approval in the U.S. or other geographies in the future.</w:t>
      </w:r>
    </w:p>
    <w:p>
      <w:pPr>
        <w:spacing w:after="0" w:line="147"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To the extent the ongoing COVID-19 pandemic adversely affects our business, results of operations and future growth prospects, it may also have the effect of heightening many of the other risks described in this “Risk Factors” section.</w:t>
      </w:r>
    </w:p>
    <w:p>
      <w:pPr>
        <w:spacing w:after="0" w:line="182" w:lineRule="exact"/>
        <w:rPr>
          <w:sz w:val="20"/>
          <w:szCs w:val="20"/>
          <w:color w:val="auto"/>
        </w:rPr>
      </w:pPr>
    </w:p>
    <w:p>
      <w:pPr>
        <w:ind w:left="60" w:right="83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89"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As of October 15, 2021, we had 476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5"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ongoing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5"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Political development can also lead to uncertainty to regulations and rules that may materially affect our business. For example, Brexit could result in the United Kingdom or the European Union significantly altering its regulations affecting the clearance or approval of our drug or drug candidates that are developed in the United Kingdom.</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Any new regulations could add time and expense to the conduct of our business, as well as the process by which our 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91" w:lineRule="exact"/>
        <w:rPr>
          <w:sz w:val="20"/>
          <w:szCs w:val="20"/>
          <w:color w:val="auto"/>
        </w:rPr>
      </w:pPr>
    </w:p>
    <w:p>
      <w:pPr>
        <w:ind w:left="60" w:right="21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8"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7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362"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0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69"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2"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Notably, for example,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w:t>
      </w:r>
    </w:p>
    <w:p>
      <w:pPr>
        <w:spacing w:after="0" w:line="179"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Further, European data protection laws also prohibit the transfer of personal data from the European Economic Area and Switzerland to other countries, including the United States, unless adequate protections are provided for personal data in such recipient countries. With regard to transfers of personal data from the European Union, transfers to third countries that have not been approved as “adequate” are prohibited unless an appropriate safeguard specified by the GDPR is implemented, such as the Standard Contractual Clauses, or SCCs, approved by the European Commission or binding corporate rules, or a derogation applies. The Court of Justice of the European Union, or the CJEU, recently deemed that transfers made pursuant to the European Union SCCs and other alternative transfer mechanisms, including binding corporate rules, need to be analyzed on a case-by-case basis to ensure EU standards of data protection are met in the jurisdiction where the data importer is based, and there continue to be concerns about whether these transfer mechanisms will face additional challenges. European regulators have issued recent guidance following the CJEU case that imposes significant new diligence requirements on transferring data outside the European Union, including under an approved transfer mechanism. This guidance requires an “essential equivalency” assessment of the laws of the destination country transferred. If essentially equivalent protections are not available in the destination country, the exporting entity must then assess if supplemental measures can be put in place that, in combination with the chosen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transfer mechanism, would address the deficiency in the laws and ensure that essentially equivalent protection can be given to the data.</w:t>
      </w:r>
    </w:p>
    <w:p>
      <w:pPr>
        <w:spacing w:after="0" w:line="171" w:lineRule="exact"/>
        <w:rPr>
          <w:sz w:val="20"/>
          <w:szCs w:val="20"/>
          <w:color w:val="auto"/>
        </w:rPr>
      </w:pPr>
    </w:p>
    <w:p>
      <w:pPr>
        <w:ind w:left="60" w:right="199" w:firstLine="648"/>
        <w:spacing w:after="0" w:line="239" w:lineRule="auto"/>
        <w:rPr>
          <w:sz w:val="20"/>
          <w:szCs w:val="20"/>
          <w:color w:val="auto"/>
        </w:rPr>
      </w:pPr>
      <w:r>
        <w:rPr>
          <w:rFonts w:ascii="Arial" w:cs="Arial" w:eastAsia="Arial" w:hAnsi="Arial"/>
          <w:sz w:val="18"/>
          <w:szCs w:val="18"/>
          <w:color w:val="auto"/>
        </w:rPr>
        <w:t>On June 4, 2021, the European Commission issued new SCCs that account for the CJEU’s decision and other developments, which need to be put in place for new contracts involving the transfer of personal data from the European Economic Area to a third country as of September 27, 2021, and incorporated into existing contracts by December 27, 2022. Complying with these obligations and applicable guidance regarding cross-border data transfers could be expensive and time consuming, may require us to modify our data handling policies and procedures and may ultimately prevent or restrict us from transferring personal data outside the European Economic Area which could cause significant business disruption.</w:t>
      </w:r>
    </w:p>
    <w:p>
      <w:pPr>
        <w:spacing w:after="0" w:line="191"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6"/>
          <w:szCs w:val="16"/>
          <w:color w:val="auto"/>
        </w:rPr>
        <w:t>While we have taken steps to mitigate the impact on us with respect to transfers of data, such as implementing the SCCs in new contracts with our service providers, customers, subsidiaries, and are updating existing contracts with the new SCCs in anticipation of the December 2022 deadline, the validity of these transfer mechanisms remains uncertain.</w:t>
      </w:r>
    </w:p>
    <w:p>
      <w:pPr>
        <w:ind w:left="60" w:right="179"/>
        <w:spacing w:after="0" w:line="238" w:lineRule="auto"/>
        <w:rPr>
          <w:sz w:val="20"/>
          <w:szCs w:val="20"/>
          <w:color w:val="auto"/>
        </w:rPr>
      </w:pPr>
      <w:r>
        <w:rPr>
          <w:rFonts w:ascii="Arial" w:cs="Arial" w:eastAsia="Arial" w:hAnsi="Arial"/>
          <w:sz w:val="18"/>
          <w:szCs w:val="18"/>
          <w:color w:val="auto"/>
        </w:rPr>
        <w:t>Complying with this guidance as it exists today and evolves will be expensive and time consuming and may ultimately prevent us from transferring personal data outside the European Union, which would cause significant business disruption for ourselves and our customers and potentially require the changes in the way our products are configured, hosted and supported.</w:t>
      </w:r>
    </w:p>
    <w:p>
      <w:pPr>
        <w:spacing w:after="0" w:line="18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In addition, we are subject to Swiss data protection laws, including the Federal Act on Data Protection, or the FADP. While the FADP provides broad protections to personal data, on September 25, 2020, the Swiss federal Parliament enacted a revised version of the FADP, which is anticipated to become effective in 2022 or the beginning of 2023. The new version of the FADP aligns Swiss data protection law with the GDPR.</w:t>
      </w:r>
    </w:p>
    <w:p>
      <w:pPr>
        <w:spacing w:after="0" w:line="188"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Further, in addition to existing European data protection law, the European Union also is considering another draft data protection regulation. The proposed regulation, known as the Regulation on Privacy and Electronic Communications, or ePrivacy Regulation, would replace the current ePrivacy Directive. Originally planned to be adopted and implemented at the same time as the GDPR, the ePrivacy Regulation has been delayed but could be enacted sometime in the relatively near future. While the new regulation contains protections for those using communications services (for example, protections against online tracking technologies), the potential timing of its enactment significantly later than the GDPR means that additional time and effort may need to be spent addressing differences between the ePrivacy Regulation and the GDPR. New rules related to the ePrivacy Regulation are likely to include enhanced consent requirements in order to use communications content and communications metadata, as well as obligations and restrictions on the processing of data from an end-user’s terminal equipment, which may negatively impact our product offerings and our relationships with our customers.</w:t>
      </w:r>
    </w:p>
    <w:p>
      <w:pPr>
        <w:spacing w:after="0" w:line="186"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Preparing for and complying with the evolving application of the GDPR, national laws in Switzerland and the UK, as well as ePrivacy Regulation (if and when it becomes effective) has required and will continue to require us to incur substantial operational costs and may require us to change our business practices. Despite our efforts to bring practices into compliance with the GDPR, appliable national data protection laws and before the effective date of the ePrivacy Regulation, we may not be successful either due to internal or external factors such as resource allocation limitations. Non-compliance could result in proceedings, fines or penalties against us by governmental entities, customers, data subjects, consumer associations or others.</w:t>
      </w:r>
    </w:p>
    <w:p>
      <w:pPr>
        <w:spacing w:after="0" w:line="191"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As another prominent example, we are also subject to data protection regulation in the United Kingdom. Following the United Kingdom’s withdrawal from the European Union on January 31, 2020 and the end of the transitional arrangements agreed between the United Kingdom and European Union as of January 1, 2021, the GDPR has been incorporated into United Kingdom domestic law by virtue of section 3 of the European Union (Withdrawal) Act 2018 and amended by the Data Protection, Privacy and Electronic Communications (Amendments etc.) (EU Exit) Regulations 2019, or the UK GDPR. United Kingdom-based organizations doing business in the European Union will need to continue to comply with the GDPR. Further, there is uncertainty with regard to how data transfers to and from the United Kingdom will be regulated.</w:t>
      </w:r>
    </w:p>
    <w:p>
      <w:pPr>
        <w:spacing w:after="0" w:line="19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In addition,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w:t>
      </w:r>
    </w:p>
    <w:p>
      <w:pPr>
        <w:spacing w:after="0" w:line="188"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63" w:lineRule="exact"/>
        <w:rPr>
          <w:sz w:val="20"/>
          <w:szCs w:val="20"/>
          <w:color w:val="auto"/>
        </w:rPr>
      </w:pPr>
    </w:p>
    <w:p>
      <w:pPr>
        <w:ind w:left="60" w:right="79" w:firstLine="648"/>
        <w:spacing w:after="0" w:line="265" w:lineRule="auto"/>
        <w:rPr>
          <w:sz w:val="20"/>
          <w:szCs w:val="20"/>
          <w:color w:val="auto"/>
        </w:rPr>
      </w:pPr>
      <w:r>
        <w:rPr>
          <w:rFonts w:ascii="Arial" w:cs="Arial" w:eastAsia="Arial" w:hAnsi="Arial"/>
          <w:sz w:val="16"/>
          <w:szCs w:val="16"/>
          <w:color w:val="auto"/>
        </w:rPr>
        <w:t>Also, on March 2, 2021, Virginia enacted the Consumer Data Protection Act, or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w:t>
      </w:r>
    </w:p>
    <w:p>
      <w:pPr>
        <w:spacing w:after="0" w:line="8" w:lineRule="exact"/>
        <w:rPr>
          <w:sz w:val="20"/>
          <w:szCs w:val="20"/>
          <w:color w:val="auto"/>
        </w:rPr>
      </w:pPr>
    </w:p>
    <w:p>
      <w:pPr>
        <w:ind w:left="60" w:right="139" w:hanging="10"/>
        <w:spacing w:after="0" w:line="239"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p>
    <w:p>
      <w:pPr>
        <w:spacing w:after="0" w:line="18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With the CPA, Colorado became the third state to enact a comprehensive privacy law but it is quite possible that other states will follow suit. We expect anticipate that more states to may enact legislation similar to the CCPA and the other recent consumer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81"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9"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9" w:lineRule="auto"/>
        <w:rPr>
          <w:sz w:val="20"/>
          <w:szCs w:val="20"/>
          <w:color w:val="auto"/>
        </w:rPr>
      </w:pPr>
      <w:r>
        <w:rPr>
          <w:rFonts w:ascii="Arial" w:cs="Arial" w:eastAsia="Arial" w:hAnsi="Arial"/>
          <w:sz w:val="16"/>
          <w:szCs w:val="16"/>
          <w:color w:val="auto"/>
        </w:rPr>
        <w:t>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1" w:lineRule="exact"/>
        <w:rPr>
          <w:sz w:val="20"/>
          <w:szCs w:val="20"/>
          <w:color w:val="auto"/>
        </w:rPr>
      </w:pPr>
    </w:p>
    <w:p>
      <w:pPr>
        <w:jc w:val="both"/>
        <w:ind w:left="60" w:right="119"/>
        <w:spacing w:after="0" w:line="270" w:lineRule="auto"/>
        <w:rPr>
          <w:sz w:val="20"/>
          <w:szCs w:val="20"/>
          <w:color w:val="auto"/>
        </w:rPr>
      </w:pPr>
      <w:r>
        <w:rPr>
          <w:rFonts w:ascii="Arial" w:cs="Arial" w:eastAsia="Arial" w:hAnsi="Arial"/>
          <w:sz w:val="17"/>
          <w:szCs w:val="17"/>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For example, in December 2017, the U.S. enacted the Tax Cuts and Jobs Act of 2017, or TCJA. The TCJA significantly reformed the Internal Revenue Code of 1986, as amended, and among other things, included changes to U.S. federal tax rates, imposed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Additionally, in March 2020, the U.S. enacted the CARES Act, which included certain changes in tax law intended to stimulate the U.S. economy in light of the COVID-19 pandemic, including delaying the effective date of the net operating loss restrictions imposed by the TJCA, temporarily relaxing (but not eliminating) the TJCA’s interest deductibility limitations, and making temporary beneficial changes to the payroll tax regime. We continue to examine the impact this tax reform legislation may have on our business. The impact of these and other future changes in tax laws is uncertain and could have an adverse effect on our business, cash flow,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jc w:val="both"/>
        <w:ind w:left="60" w:right="259" w:firstLine="648"/>
        <w:spacing w:after="0" w:line="243" w:lineRule="auto"/>
        <w:rPr>
          <w:sz w:val="20"/>
          <w:szCs w:val="20"/>
          <w:color w:val="auto"/>
        </w:rPr>
      </w:pPr>
      <w:r>
        <w:rPr>
          <w:rFonts w:ascii="Arial" w:cs="Arial" w:eastAsia="Arial" w:hAnsi="Arial"/>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October 27, 2021. As a result of this volatility, our stockholders could incur substantial losses.</w:t>
      </w:r>
    </w:p>
    <w:p>
      <w:pPr>
        <w:spacing w:after="0" w:line="18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commercialization of our drugs and drug candidates, if approved;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23" w:lineRule="exact"/>
        <w:rPr>
          <w:rFonts w:ascii="Arial" w:cs="Arial" w:eastAsia="Arial" w:hAnsi="Arial"/>
          <w:sz w:val="17"/>
          <w:szCs w:val="17"/>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80" w:right="1179" w:hanging="331"/>
        <w:spacing w:after="0" w:line="261"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80" w:right="399" w:hanging="331"/>
        <w:spacing w:after="0" w:line="261"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including the COVID-19 pandemic, trade wars, political unrest or other similar events;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left="60" w:right="179" w:firstLine="648"/>
        <w:spacing w:after="0" w:line="274" w:lineRule="auto"/>
        <w:rPr>
          <w:sz w:val="20"/>
          <w:szCs w:val="20"/>
          <w:color w:val="auto"/>
        </w:rPr>
      </w:pPr>
      <w:r>
        <w:rPr>
          <w:rFonts w:ascii="Arial" w:cs="Arial" w:eastAsia="Arial" w:hAnsi="Arial"/>
          <w:sz w:val="16"/>
          <w:szCs w:val="16"/>
          <w:color w:val="auto"/>
        </w:rPr>
        <w:t>Future sales or issuances of common stock or other equity related securities may also adversely affect the market price of our common stock. For example, In July 2020, we entered into a sales agreement with Cowen through which we may, from time to time, issue and sell shares of our common stock having an aggregate offering price of up to $250.0 million, subject to the terms and conditions of the sales agreement. In the year ended December 31, 2020, we issued and sold 1,784,926 shares of our common stock under the sales agreement at an average price of $112.05 per share for net and gross proceeds of $194.7 million and $200.0 million, respectively. We did not sell any shares of common stock under the sales agreement in the nine months ended September 30, 2021. If we seek authorization to sell</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spacing w:after="0" w:line="248" w:lineRule="auto"/>
        <w:rPr>
          <w:sz w:val="20"/>
          <w:szCs w:val="20"/>
          <w:color w:val="auto"/>
        </w:rPr>
      </w:pPr>
      <w:r>
        <w:rPr>
          <w:rFonts w:ascii="Arial" w:cs="Arial" w:eastAsia="Arial" w:hAnsi="Arial"/>
          <w:sz w:val="18"/>
          <w:szCs w:val="18"/>
          <w:color w:val="auto"/>
        </w:rPr>
        <w:t>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82"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2"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71" w:lineRule="exact"/>
        <w:rPr>
          <w:sz w:val="20"/>
          <w:szCs w:val="20"/>
          <w:color w:val="auto"/>
        </w:rPr>
      </w:pPr>
    </w:p>
    <w:p>
      <w:pPr>
        <w:ind w:left="60" w:right="2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9"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71"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21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5"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71"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Moreover, these rules and regulations will increase our legal and financial compliance costs and make some activities more time-consuming and costlier.</w:t>
      </w:r>
    </w:p>
    <w:p>
      <w:pPr>
        <w:spacing w:after="0" w:line="17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6" w:lineRule="exact"/>
        <w:rPr>
          <w:sz w:val="20"/>
          <w:szCs w:val="20"/>
          <w:color w:val="auto"/>
        </w:rPr>
      </w:pPr>
    </w:p>
    <w:p>
      <w:pPr>
        <w:ind w:left="60" w:right="879"/>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3"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analyzed shifts in the stock ownership to determine if its net operating losses and tax credit carryforwards may be subject to limitation under Sections 382 and 383. Based on this analysis, we determined that it is more likely than not that an ownership change occurred on the following dates: March 24, 2011; April 5, 2011; November 10, 2014; and February 7, 2017. As a consequence of these ownership changes, our net operating loss carryforwards allocable for the period preceding each ownership change are subject to limitations under Section 382. In addition, pursuant to the TCJA (as modified by the CARES Act), we may not use net operating loss carry-forwards generated in taxable years beginning after December 31, 2017 to reduce our taxable income in any year beginning after December 31, 2020 by more than 80%, and we may not carry back any net operating losses generated in taxable years beginning after December 31, 2020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6"/>
          </w:tcPr>
          <w:p>
            <w:pPr>
              <w:ind w:left="26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7800" w:type="dxa"/>
            <w:vAlign w:val="bottom"/>
            <w:tcBorders>
              <w:bottom w:val="single" w:sz="8" w:color="auto"/>
            </w:tcBorders>
            <w:gridSpan w:val="6"/>
          </w:tcPr>
          <w:p>
            <w:pPr>
              <w:ind w:left="3040"/>
              <w:spacing w:after="0"/>
              <w:rPr>
                <w:sz w:val="20"/>
                <w:szCs w:val="20"/>
                <w:color w:val="auto"/>
              </w:rPr>
            </w:pPr>
            <w:r>
              <w:rPr>
                <w:rFonts w:ascii="Arial" w:cs="Arial" w:eastAsia="Arial" w:hAnsi="Arial"/>
                <w:sz w:val="18"/>
                <w:szCs w:val="18"/>
                <w:b w:val="1"/>
                <w:bCs w:val="1"/>
                <w:color w:val="auto"/>
              </w:rPr>
              <w:t>Description of Exhibit</w:t>
            </w:r>
          </w:p>
        </w:tc>
      </w:tr>
      <w:tr>
        <w:trPr>
          <w:trHeight w:val="466"/>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800" w:type="dxa"/>
            <w:vAlign w:val="bottom"/>
            <w:gridSpan w:val="6"/>
          </w:tcPr>
          <w:p>
            <w:pPr>
              <w:spacing w:after="0"/>
              <w:rPr>
                <w:rFonts w:ascii="Arial" w:cs="Arial" w:eastAsia="Arial" w:hAnsi="Arial"/>
                <w:sz w:val="18"/>
                <w:szCs w:val="18"/>
                <w:color w:val="0000EE"/>
                <w:w w:val="93"/>
              </w:rPr>
            </w:pPr>
            <w:hyperlink w:anchor="page96">
              <w:r>
                <w:rPr>
                  <w:rFonts w:ascii="Arial" w:cs="Arial" w:eastAsia="Arial" w:hAnsi="Arial"/>
                  <w:sz w:val="18"/>
                  <w:szCs w:val="18"/>
                  <w:color w:val="0000EE"/>
                  <w:w w:val="93"/>
                </w:rPr>
                <w:t>Certification of Principal Executive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00" w:type="dxa"/>
            <w:vAlign w:val="bottom"/>
            <w:gridSpan w:val="6"/>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Certification of Principal Financial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97">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6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98">
              <w:r>
                <w:rPr>
                  <w:rFonts w:ascii="Arial" w:cs="Arial" w:eastAsia="Arial" w:hAnsi="Arial"/>
                  <w:sz w:val="18"/>
                  <w:szCs w:val="18"/>
                  <w:color w:val="0000EE"/>
                  <w:w w:val="92"/>
                </w:rPr>
                <w:t>Certifications of Principal Executive Officer and Principal Financial Officer pursuant to 18 U.S.C. Section</w:t>
              </w:r>
            </w:hyperlink>
          </w:p>
        </w:tc>
        <w:tc>
          <w:tcPr>
            <w:tcW w:w="1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1350, as adopted pursuant to Section 906 of the Sarbanes-Oxley Act of 2002</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w:t>
            </w:r>
          </w:p>
        </w:tc>
      </w:t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7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0" w:lineRule="exact"/>
        <w:rPr>
          <w:sz w:val="20"/>
          <w:szCs w:val="20"/>
          <w:color w:val="auto"/>
        </w:rPr>
      </w:pPr>
    </w:p>
    <w:p>
      <w:pPr>
        <w:ind w:left="1160" w:right="339" w:hanging="1104"/>
        <w:spacing w:after="0" w:line="277" w:lineRule="auto"/>
        <w:tabs>
          <w:tab w:leader="none" w:pos="11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-198755</wp:posOffset>
            </wp:positionV>
            <wp:extent cx="1414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84" w:lineRule="exact"/>
        <w:rPr>
          <w:sz w:val="20"/>
          <w:szCs w:val="20"/>
          <w:color w:val="auto"/>
        </w:rPr>
      </w:pPr>
    </w:p>
    <w:p>
      <w:pPr>
        <w:ind w:left="6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 or arrangement.</w:t>
      </w:r>
    </w:p>
    <w:p>
      <w:pPr>
        <w:spacing w:after="0" w:line="104" w:lineRule="exact"/>
        <w:rPr>
          <w:sz w:val="20"/>
          <w:szCs w:val="20"/>
          <w:color w:val="auto"/>
        </w:rPr>
      </w:pPr>
    </w:p>
    <w:p>
      <w:pPr>
        <w:ind w:left="300" w:right="499" w:hanging="250"/>
        <w:spacing w:after="0" w:line="261"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Regulation S-K Item 601(b) because it is both (i) not material to investors and (ii) information that the Company treats as private or confidential.</w:t>
      </w:r>
    </w:p>
    <w:p>
      <w:pPr>
        <w:spacing w:after="0" w:line="63" w:lineRule="exact"/>
        <w:rPr>
          <w:sz w:val="20"/>
          <w:szCs w:val="20"/>
          <w:color w:val="auto"/>
        </w:rPr>
      </w:pPr>
    </w:p>
    <w:p>
      <w:pPr>
        <w:ind w:left="300" w:right="119" w:hanging="250"/>
        <w:spacing w:after="0" w:line="262" w:lineRule="auto"/>
        <w:tabs>
          <w:tab w:leader="none" w:pos="3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60" w:right="27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October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October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Jeffrey W. Albers, certify that:</w:t>
      </w:r>
    </w:p>
    <w:p>
      <w:pPr>
        <w:spacing w:after="0" w:line="212" w:lineRule="exact"/>
        <w:rPr>
          <w:sz w:val="20"/>
          <w:szCs w:val="20"/>
          <w:color w:val="auto"/>
        </w:rPr>
      </w:pPr>
    </w:p>
    <w:p>
      <w:pPr>
        <w:ind w:left="1500" w:hanging="643"/>
        <w:spacing w:after="0"/>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October 28, 2021</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6350</wp:posOffset>
            </wp:positionV>
            <wp:extent cx="25546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6" w:name="page97"/>
    <w:bookmarkEnd w:id="96"/>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Date: October 28, 2021</w:t>
      </w:r>
      <w:r>
        <w:rPr>
          <w:sz w:val="20"/>
          <w:szCs w:val="20"/>
          <w:color w:val="auto"/>
        </w:rPr>
        <w:tab/>
      </w:r>
      <w:r>
        <w:rPr>
          <w:rFonts w:ascii="Arial" w:cs="Arial" w:eastAsia="Arial" w:hAnsi="Arial"/>
          <w:sz w:val="16"/>
          <w:szCs w:val="16"/>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Michael Landsittel</w:t>
      </w:r>
    </w:p>
    <w:p>
      <w:pPr>
        <w:ind w:left="4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1" w:lineRule="exact"/>
        <w:rPr>
          <w:sz w:val="20"/>
          <w:szCs w:val="20"/>
          <w:color w:val="auto"/>
        </w:rPr>
      </w:pPr>
    </w:p>
    <w:p>
      <w:pPr>
        <w:ind w:left="200" w:right="239" w:firstLine="648"/>
        <w:spacing w:after="0" w:line="243"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September 30, 2021 as filed with the Securities and Exchange Commission on the date hereof (the “Report”), each of the undersigned officers of the Company hereby certifies, pursuant to 18 U.S.C. Section 1350, that to his knowledge:</w:t>
      </w:r>
    </w:p>
    <w:p>
      <w:pPr>
        <w:spacing w:after="0" w:line="188" w:lineRule="exact"/>
        <w:rPr>
          <w:sz w:val="20"/>
          <w:szCs w:val="20"/>
          <w:color w:val="auto"/>
        </w:rPr>
      </w:pPr>
    </w:p>
    <w:p>
      <w:pPr>
        <w:ind w:left="1500" w:right="259" w:hanging="562"/>
        <w:spacing w:after="0" w:line="261"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899" w:hanging="562"/>
        <w:spacing w:after="0" w:line="261" w:lineRule="auto"/>
        <w:tabs>
          <w:tab w:leader="none" w:pos="1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October 28, 2021</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5114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Jeffrey W. Albers</w:t>
      </w:r>
    </w:p>
    <w:p>
      <w:pPr>
        <w:ind w:left="48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Executive Officer)</w:t>
      </w:r>
    </w:p>
    <w:p>
      <w:pPr>
        <w:spacing w:after="0" w:line="196"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October 28, 2021</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5114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Michael Landsittel</w:t>
      </w:r>
    </w:p>
    <w:p>
      <w:pPr>
        <w:ind w:left="48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Roman"/>
      <w:start w:val="1"/>
    </w:lvl>
  </w:abstractNum>
  <w:abstractNum w:abstractNumId="7">
    <w:nsid w:val="2CA88611"/>
    <w:multiLevelType w:val="hybridMultilevel"/>
    <w:lvl w:ilvl="0">
      <w:lvlJc w:val="left"/>
      <w:lvlText w:val="(%1)"/>
      <w:numFmt w:val="decimal"/>
      <w:start w:val="3"/>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lvl w:ilvl="1">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amp;"/>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lowerRoman"/>
      <w:start w:val="3"/>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lvl w:ilvl="1">
      <w:lvlJc w:val="left"/>
      <w:lvlText w:val="%2"/>
      <w:numFmt w:val="decimal"/>
      <w:start w:val="104"/>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2021-10-28T15:14:20Z</dcterms:created>
  <dcterms:modified xsi:type="dcterms:W3CDTF">2021-10-28T15:14:20Z</dcterms:modified>
</cp:coreProperties>
</file>