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3020" w:space="720"/>
            <w:col w:w="2200"/>
          </w:cols>
          <w:pgMar w:left="920" w:top="206" w:right="999" w:bottom="1440" w:gutter="0" w:footer="0" w:header="0"/>
          <w:type w:val="continuous"/>
        </w:sectPr>
      </w:pPr>
    </w:p>
    <w:p>
      <w:pPr>
        <w:spacing w:after="0" w:line="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215 First Street, Cambridge, Massachusetts 02142</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211455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60" w:hanging="812"/>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MS PGothic" w:cs="MS PGothic" w:eastAsia="MS PGothic" w:hAnsi="MS PGothic"/>
          <w:sz w:val="17"/>
          <w:szCs w:val="17"/>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spacing w:after="0"/>
        <w:tabs>
          <w:tab w:leader="none" w:pos="18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November 9, 2015, Blueprint Medicines Corporation (the “Company”) announced its financial results for the quarter and nine-months ended June 30, 2015. The full text of the press release issued in connection with the announcement is furnished as Exhibit 99.1 to this Current Report on Form 8-K and is incorporated by reference herein.</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6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12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November 9, 2015</w:t>
            </w:r>
          </w:p>
        </w:tc>
        <w:tc>
          <w:tcPr>
            <w:tcW w:w="0" w:type="dxa"/>
            <w:vAlign w:val="bottom"/>
          </w:tcPr>
          <w:p>
            <w:pPr>
              <w:spacing w:after="0"/>
              <w:rPr>
                <w:sz w:val="1"/>
                <w:szCs w:val="1"/>
                <w:color w:val="auto"/>
              </w:rPr>
            </w:pPr>
          </w:p>
        </w:tc>
      </w:tr>
      <w:tr>
        <w:trPr>
          <w:trHeight w:val="864"/>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60" w:type="dxa"/>
            <w:vAlign w:val="bottom"/>
          </w:tcPr>
          <w:p>
            <w:pPr>
              <w:jc w:val="right"/>
              <w:ind w:right="43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9"/>
        </w:trPr>
        <w:tc>
          <w:tcPr>
            <w:tcW w:w="1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500" w:type="dxa"/>
            <w:vAlign w:val="bottom"/>
            <w:gridSpan w:val="2"/>
          </w:tcPr>
          <w:p>
            <w:pPr>
              <w:ind w:left="1400"/>
              <w:spacing w:after="0"/>
              <w:rPr>
                <w:sz w:val="20"/>
                <w:szCs w:val="20"/>
                <w:color w:val="auto"/>
              </w:rPr>
            </w:pPr>
            <w:r>
              <w:rPr>
                <w:rFonts w:ascii="Arial" w:cs="Arial" w:eastAsia="Arial" w:hAnsi="Arial"/>
                <w:sz w:val="18"/>
                <w:szCs w:val="18"/>
                <w:b w:val="1"/>
                <w:bCs w:val="1"/>
                <w:color w:val="auto"/>
              </w:rPr>
              <w:t>BLUEPRINT MEDICINES CORPORATION</w:t>
            </w:r>
          </w:p>
        </w:tc>
        <w:tc>
          <w:tcPr>
            <w:tcW w:w="420" w:type="dxa"/>
            <w:vAlign w:val="bottom"/>
          </w:tcPr>
          <w:p>
            <w:pPr>
              <w:spacing w:after="0"/>
              <w:rPr>
                <w:sz w:val="20"/>
                <w:szCs w:val="20"/>
                <w:color w:val="auto"/>
              </w:rPr>
            </w:pPr>
          </w:p>
        </w:tc>
      </w:tr>
      <w:tr>
        <w:trPr>
          <w:trHeight w:val="661"/>
        </w:trPr>
        <w:tc>
          <w:tcPr>
            <w:tcW w:w="3140" w:type="dxa"/>
            <w:vAlign w:val="bottom"/>
          </w:tcPr>
          <w:p>
            <w:pPr>
              <w:spacing w:after="0"/>
              <w:rPr>
                <w:sz w:val="20"/>
                <w:szCs w:val="20"/>
                <w:color w:val="auto"/>
              </w:rPr>
            </w:pPr>
            <w:r>
              <w:rPr>
                <w:rFonts w:ascii="Arial" w:cs="Arial" w:eastAsia="Arial" w:hAnsi="Arial"/>
                <w:sz w:val="18"/>
                <w:szCs w:val="18"/>
                <w:color w:val="auto"/>
              </w:rPr>
              <w:t>Date: November 9, 2015</w:t>
            </w:r>
          </w:p>
        </w:tc>
        <w:tc>
          <w:tcPr>
            <w:tcW w:w="5500" w:type="dxa"/>
            <w:vAlign w:val="bottom"/>
            <w:gridSpan w:val="2"/>
          </w:tcPr>
          <w:p>
            <w:pPr>
              <w:ind w:left="1400"/>
              <w:spacing w:after="0"/>
              <w:rPr>
                <w:sz w:val="20"/>
                <w:szCs w:val="20"/>
                <w:color w:val="auto"/>
              </w:rPr>
            </w:pPr>
            <w:r>
              <w:rPr>
                <w:rFonts w:ascii="Arial" w:cs="Arial" w:eastAsia="Arial" w:hAnsi="Arial"/>
                <w:sz w:val="18"/>
                <w:szCs w:val="18"/>
                <w:color w:val="auto"/>
              </w:rPr>
              <w:t>By: /s/ Jeffrey W.</w:t>
            </w:r>
          </w:p>
        </w:tc>
        <w:tc>
          <w:tcPr>
            <w:tcW w:w="42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20" w:type="dxa"/>
            <w:vAlign w:val="bottom"/>
          </w:tcPr>
          <w:p>
            <w:pPr>
              <w:spacing w:after="0"/>
              <w:rPr>
                <w:sz w:val="20"/>
                <w:szCs w:val="20"/>
                <w:color w:val="auto"/>
              </w:rPr>
            </w:pPr>
          </w:p>
        </w:tc>
      </w:tr>
      <w:tr>
        <w:trPr>
          <w:trHeight w:val="195"/>
        </w:trPr>
        <w:tc>
          <w:tcPr>
            <w:tcW w:w="3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20" w:type="dxa"/>
            <w:vAlign w:val="bottom"/>
          </w:tcPr>
          <w:p>
            <w:pPr>
              <w:spacing w:after="0"/>
              <w:rPr>
                <w:sz w:val="16"/>
                <w:szCs w:val="16"/>
                <w:color w:val="auto"/>
              </w:rPr>
            </w:pPr>
          </w:p>
        </w:tc>
      </w:tr>
      <w:tr>
        <w:trPr>
          <w:trHeight w:val="230"/>
        </w:trPr>
        <w:tc>
          <w:tcPr>
            <w:tcW w:w="3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20" w:type="dxa"/>
            <w:vAlign w:val="bottom"/>
          </w:tcPr>
          <w:p>
            <w:pPr>
              <w:spacing w:after="0"/>
              <w:rPr>
                <w:sz w:val="20"/>
                <w:szCs w:val="20"/>
                <w:color w:val="auto"/>
              </w:rPr>
            </w:pPr>
          </w:p>
        </w:tc>
      </w:tr>
      <w:tr>
        <w:trPr>
          <w:trHeight w:val="864"/>
        </w:trPr>
        <w:tc>
          <w:tcPr>
            <w:tcW w:w="3140" w:type="dxa"/>
            <w:vAlign w:val="bottom"/>
          </w:tcPr>
          <w:p>
            <w:pPr>
              <w:spacing w:after="0"/>
              <w:rPr>
                <w:sz w:val="24"/>
                <w:szCs w:val="24"/>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29"/>
        </w:trPr>
        <w:tc>
          <w:tcPr>
            <w:tcW w:w="31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337" w:right="14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60" w:type="dxa"/>
            <w:vAlign w:val="bottom"/>
          </w:tcPr>
          <w:p>
            <w:pPr>
              <w:jc w:val="center"/>
              <w:ind w:right="149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81"/>
        </w:trPr>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6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12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460" w:type="dxa"/>
            <w:vAlign w:val="bottom"/>
          </w:tcPr>
          <w:p>
            <w:pPr>
              <w:jc w:val="center"/>
              <w:ind w:right="1450"/>
              <w:spacing w:after="0"/>
              <w:rPr>
                <w:sz w:val="20"/>
                <w:szCs w:val="20"/>
                <w:color w:val="auto"/>
              </w:rPr>
            </w:pPr>
            <w:r>
              <w:rPr>
                <w:rFonts w:ascii="Arial" w:cs="Arial" w:eastAsia="Arial" w:hAnsi="Arial"/>
                <w:sz w:val="18"/>
                <w:szCs w:val="18"/>
                <w:color w:val="auto"/>
                <w:w w:val="90"/>
              </w:rPr>
              <w:t>Press release issued by Blueprint Medicines Corporation on November 9, 2015</w:t>
            </w:r>
          </w:p>
        </w:tc>
        <w:tc>
          <w:tcPr>
            <w:tcW w:w="0" w:type="dxa"/>
            <w:vAlign w:val="bottom"/>
          </w:tcPr>
          <w:p>
            <w:pPr>
              <w:spacing w:after="0"/>
              <w:rPr>
                <w:sz w:val="1"/>
                <w:szCs w:val="1"/>
                <w:color w:val="auto"/>
              </w:rPr>
            </w:pPr>
          </w:p>
        </w:tc>
      </w:tr>
      <w:tr>
        <w:trPr>
          <w:trHeight w:val="891"/>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60" w:type="dxa"/>
            <w:vAlign w:val="bottom"/>
          </w:tcPr>
          <w:p>
            <w:pPr>
              <w:jc w:val="center"/>
              <w:ind w:right="15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29"/>
        </w:trPr>
        <w:tc>
          <w:tcPr>
            <w:tcW w:w="1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292100</wp:posOffset>
            </wp:positionV>
            <wp:extent cx="1724025"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3333"/>
        </w:rPr>
        <w:t>Blueprint Medicines Reports Third Quarter 2015 Financial Results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9"/>
          <w:szCs w:val="19"/>
          <w:i w:val="1"/>
          <w:iCs w:val="1"/>
          <w:color w:val="333333"/>
        </w:rPr>
        <w:t>– Initiated Phase 1 clinical trial for BLU-285 for the treatment of unresectable, treatment-resistant</w:t>
      </w:r>
    </w:p>
    <w:p>
      <w:pPr>
        <w:spacing w:after="0" w:line="15" w:lineRule="exact"/>
        <w:rPr>
          <w:sz w:val="20"/>
          <w:szCs w:val="20"/>
          <w:color w:val="auto"/>
        </w:rPr>
      </w:pPr>
    </w:p>
    <w:p>
      <w:pPr>
        <w:ind w:left="3080"/>
        <w:spacing w:after="0"/>
        <w:rPr>
          <w:sz w:val="20"/>
          <w:szCs w:val="20"/>
          <w:color w:val="auto"/>
        </w:rPr>
      </w:pPr>
      <w:r>
        <w:rPr>
          <w:rFonts w:ascii="Arial" w:cs="Arial" w:eastAsia="Arial" w:hAnsi="Arial"/>
          <w:sz w:val="22"/>
          <w:szCs w:val="22"/>
          <w:i w:val="1"/>
          <w:iCs w:val="1"/>
          <w:color w:val="333333"/>
        </w:rPr>
        <w:t>gastrointestinal stromal tumors –</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21"/>
          <w:szCs w:val="21"/>
          <w:i w:val="1"/>
          <w:iCs w:val="1"/>
          <w:color w:val="333333"/>
        </w:rPr>
        <w:t>– Initiated Phase 1 clinical trial for BLU-554 for the treatment of advanced hepatocellular</w:t>
      </w:r>
    </w:p>
    <w:p>
      <w:pPr>
        <w:ind w:left="2860"/>
        <w:spacing w:after="0"/>
        <w:rPr>
          <w:sz w:val="20"/>
          <w:szCs w:val="20"/>
          <w:color w:val="auto"/>
        </w:rPr>
      </w:pPr>
      <w:r>
        <w:rPr>
          <w:rFonts w:ascii="Arial" w:cs="Arial" w:eastAsia="Arial" w:hAnsi="Arial"/>
          <w:sz w:val="22"/>
          <w:szCs w:val="22"/>
          <w:i w:val="1"/>
          <w:iCs w:val="1"/>
          <w:color w:val="333333"/>
        </w:rPr>
        <w:t>carcinoma and cholangiocarcinoma –</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9"/>
          <w:szCs w:val="19"/>
          <w:i w:val="1"/>
          <w:iCs w:val="1"/>
          <w:color w:val="333333"/>
        </w:rPr>
        <w:t>– Received U.S. Food and Drug Administration (FDA) authorization to proceed with Phase 1</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22"/>
          <w:szCs w:val="22"/>
          <w:i w:val="1"/>
          <w:iCs w:val="1"/>
          <w:color w:val="333333"/>
        </w:rPr>
        <w:t>clinical trial for BLU-285 in advanced systemic mastocytosis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287655</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200" w:right="339"/>
        <w:spacing w:after="0" w:line="218" w:lineRule="auto"/>
        <w:rPr>
          <w:sz w:val="20"/>
          <w:szCs w:val="20"/>
          <w:color w:val="auto"/>
        </w:rPr>
      </w:pPr>
      <w:r>
        <w:rPr>
          <w:rFonts w:ascii="Arial" w:cs="Arial" w:eastAsia="Arial" w:hAnsi="Arial"/>
          <w:sz w:val="22"/>
          <w:szCs w:val="22"/>
          <w:color w:val="auto"/>
        </w:rPr>
        <w:t>CAMBRIDGE, Mass., November 9, 2015 -- Blueprint Medicines (NASDAQ: BPMC), a leader in discovering and developing highly selective kinase medicines for patients with genomically defined diseases, today reported financial results and provided a business update for the third quarter ended September 30, 2015.</w:t>
      </w:r>
    </w:p>
    <w:p>
      <w:pPr>
        <w:spacing w:after="0" w:line="161" w:lineRule="exact"/>
        <w:rPr>
          <w:sz w:val="20"/>
          <w:szCs w:val="20"/>
          <w:color w:val="auto"/>
        </w:rPr>
      </w:pPr>
    </w:p>
    <w:p>
      <w:pPr>
        <w:ind w:left="200" w:right="279"/>
        <w:spacing w:after="0" w:line="223" w:lineRule="auto"/>
        <w:rPr>
          <w:sz w:val="20"/>
          <w:szCs w:val="20"/>
          <w:color w:val="auto"/>
        </w:rPr>
      </w:pPr>
      <w:r>
        <w:rPr>
          <w:rFonts w:ascii="Arial" w:cs="Arial" w:eastAsia="Arial" w:hAnsi="Arial"/>
          <w:sz w:val="21"/>
          <w:szCs w:val="21"/>
          <w:color w:val="auto"/>
        </w:rPr>
        <w:t>“We continued to make significant progress on our 2015 objectives in the third quarter, as we successfully initiated and began enrolling patients in two Phase 1 clinical trials and received FDA authorization to begin a third one,” said Jeffrey Albers, Chief Executive Officer of Blueprint Medicines. “In addition to our ongoing clinical programs, we are also advancing multiple early-stage efforts, including our RET program, which is entering preclinical development. These efforts continue to validate our proprietary approach to discovering and developing drug candidates targeting kinases as drivers of disease.”</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Third Quarter 2015 and Recent Business Highlights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Platform and Pipeline</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21"/>
          <w:szCs w:val="21"/>
          <w:b w:val="1"/>
          <w:bCs w:val="1"/>
          <w:color w:val="auto"/>
        </w:rPr>
        <w:t>Initiated Phase 1 clinical trials for BLU-285 and BLU-554</w:t>
      </w:r>
      <w:r>
        <w:rPr>
          <w:rFonts w:ascii="Arial" w:cs="Arial" w:eastAsia="Arial" w:hAnsi="Arial"/>
          <w:sz w:val="21"/>
          <w:szCs w:val="21"/>
          <w:color w:val="auto"/>
        </w:rPr>
        <w:t>: Blueprint Medicines is</w:t>
      </w:r>
    </w:p>
    <w:p>
      <w:pPr>
        <w:spacing w:after="0" w:line="12" w:lineRule="exact"/>
        <w:rPr>
          <w:sz w:val="20"/>
          <w:szCs w:val="20"/>
          <w:color w:val="auto"/>
        </w:rPr>
      </w:pPr>
    </w:p>
    <w:p>
      <w:pPr>
        <w:ind w:left="840" w:right="259"/>
        <w:spacing w:after="0" w:line="258" w:lineRule="auto"/>
        <w:rPr>
          <w:sz w:val="20"/>
          <w:szCs w:val="20"/>
          <w:color w:val="auto"/>
        </w:rPr>
      </w:pPr>
      <w:r>
        <w:rPr>
          <w:rFonts w:ascii="Arial" w:cs="Arial" w:eastAsia="Arial" w:hAnsi="Arial"/>
          <w:sz w:val="19"/>
          <w:szCs w:val="19"/>
          <w:color w:val="auto"/>
        </w:rPr>
        <w:t xml:space="preserve">enrolling patients in dose-escalation, Phase 1 clinical trials of BLU-285 for the treatment of unresectable, treatment-resistant </w:t>
      </w:r>
      <w:r>
        <w:rPr>
          <w:rFonts w:ascii="Arial" w:cs="Arial" w:eastAsia="Arial" w:hAnsi="Arial"/>
          <w:sz w:val="19"/>
          <w:szCs w:val="19"/>
          <w:color w:val="333333"/>
        </w:rPr>
        <w:t>gastrointestinal stromal tumors (GIST)</w:t>
      </w:r>
      <w:r>
        <w:rPr>
          <w:rFonts w:ascii="Arial" w:cs="Arial" w:eastAsia="Arial" w:hAnsi="Arial"/>
          <w:sz w:val="19"/>
          <w:szCs w:val="19"/>
          <w:color w:val="auto"/>
        </w:rPr>
        <w:t xml:space="preserve"> and BLU-554 for the treatment of advanced </w:t>
      </w:r>
      <w:r>
        <w:rPr>
          <w:rFonts w:ascii="Arial" w:cs="Arial" w:eastAsia="Arial" w:hAnsi="Arial"/>
          <w:sz w:val="19"/>
          <w:szCs w:val="19"/>
          <w:color w:val="333333"/>
        </w:rPr>
        <w:t>hepatocellular carcinoma (</w:t>
      </w:r>
      <w:r>
        <w:rPr>
          <w:rFonts w:ascii="Arial" w:cs="Arial" w:eastAsia="Arial" w:hAnsi="Arial"/>
          <w:sz w:val="19"/>
          <w:szCs w:val="19"/>
          <w:color w:val="auto"/>
        </w:rPr>
        <w:t>HCC) and cholangiocarcinoma.</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auto"/>
        </w:rPr>
        <w:t>Received FDA authorization to proceed with Phase 1 clinical trial for BLU-285 for the</w:t>
      </w:r>
    </w:p>
    <w:p>
      <w:pPr>
        <w:spacing w:after="0" w:line="35" w:lineRule="exact"/>
        <w:rPr>
          <w:sz w:val="20"/>
          <w:szCs w:val="20"/>
          <w:color w:val="auto"/>
        </w:rPr>
      </w:pPr>
    </w:p>
    <w:p>
      <w:pPr>
        <w:ind w:left="840" w:right="299"/>
        <w:spacing w:after="0" w:line="214" w:lineRule="auto"/>
        <w:rPr>
          <w:sz w:val="20"/>
          <w:szCs w:val="20"/>
          <w:color w:val="auto"/>
        </w:rPr>
      </w:pPr>
      <w:r>
        <w:rPr>
          <w:rFonts w:ascii="Arial" w:cs="Arial" w:eastAsia="Arial" w:hAnsi="Arial"/>
          <w:sz w:val="22"/>
          <w:szCs w:val="22"/>
          <w:b w:val="1"/>
          <w:bCs w:val="1"/>
          <w:color w:val="auto"/>
        </w:rPr>
        <w:t>treatment of advanced systemic mastocytosis (SM)</w:t>
      </w:r>
      <w:r>
        <w:rPr>
          <w:rFonts w:ascii="Arial" w:cs="Arial" w:eastAsia="Arial" w:hAnsi="Arial"/>
          <w:sz w:val="22"/>
          <w:szCs w:val="22"/>
          <w:color w:val="auto"/>
        </w:rPr>
        <w:t>: In September, the FDA accepted</w:t>
      </w:r>
      <w:r>
        <w:rPr>
          <w:rFonts w:ascii="Arial" w:cs="Arial" w:eastAsia="Arial" w:hAnsi="Arial"/>
          <w:sz w:val="22"/>
          <w:szCs w:val="22"/>
          <w:b w:val="1"/>
          <w:bCs w:val="1"/>
          <w:color w:val="auto"/>
        </w:rPr>
        <w:t xml:space="preserve"> </w:t>
      </w:r>
      <w:r>
        <w:rPr>
          <w:rFonts w:ascii="Arial" w:cs="Arial" w:eastAsia="Arial" w:hAnsi="Arial"/>
          <w:sz w:val="22"/>
          <w:szCs w:val="22"/>
          <w:color w:val="auto"/>
        </w:rPr>
        <w:t>Blueprint Medicines’ Investigational New Drug application to begin a Phase 1 clinical trial of BLU-285 for the treatment of advanced SM. Blueprint Medicines is in the process of initiating clinical sites for this trial.</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auto"/>
        </w:rPr>
        <w:t xml:space="preserve">Received FDA orphan drug designation for BLU-554 for HCC: </w:t>
      </w:r>
      <w:r>
        <w:rPr>
          <w:rFonts w:ascii="Arial" w:cs="Arial" w:eastAsia="Arial" w:hAnsi="Arial"/>
          <w:sz w:val="19"/>
          <w:szCs w:val="19"/>
          <w:color w:val="auto"/>
        </w:rPr>
        <w:t>In September, Blueprint</w:t>
      </w:r>
    </w:p>
    <w:p>
      <w:pPr>
        <w:spacing w:after="0" w:line="35" w:lineRule="exact"/>
        <w:rPr>
          <w:sz w:val="20"/>
          <w:szCs w:val="20"/>
          <w:color w:val="auto"/>
        </w:rPr>
      </w:pPr>
    </w:p>
    <w:p>
      <w:pPr>
        <w:ind w:left="840" w:right="519"/>
        <w:spacing w:after="0" w:line="224" w:lineRule="auto"/>
        <w:rPr>
          <w:sz w:val="20"/>
          <w:szCs w:val="20"/>
          <w:color w:val="auto"/>
        </w:rPr>
      </w:pPr>
      <w:r>
        <w:rPr>
          <w:rFonts w:ascii="Arial" w:cs="Arial" w:eastAsia="Arial" w:hAnsi="Arial"/>
          <w:sz w:val="21"/>
          <w:szCs w:val="21"/>
          <w:color w:val="auto"/>
        </w:rPr>
        <w:t>Medicines announced that the FDA granted orphan drug designation to BLU-554 for the treatment of HCC. Orphan drug designation may provide certain benefits, including a seven-year period of market exclusivity if the drug is approved, tax credits for qualified clinical trials and an exemption from FDA application fees.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Third Quarter 2015 Financial Results</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auto"/>
        </w:rPr>
        <w:t>Cash Position</w:t>
      </w:r>
      <w:r>
        <w:rPr>
          <w:rFonts w:ascii="Arial" w:cs="Arial" w:eastAsia="Arial" w:hAnsi="Arial"/>
          <w:sz w:val="19"/>
          <w:szCs w:val="19"/>
          <w:color w:val="auto"/>
        </w:rPr>
        <w:t>: As of September 30, 2015, cash and cash equivalents were $179.8 million,</w:t>
      </w:r>
    </w:p>
    <w:p>
      <w:pPr>
        <w:spacing w:after="0" w:line="35" w:lineRule="exact"/>
        <w:rPr>
          <w:sz w:val="20"/>
          <w:szCs w:val="20"/>
          <w:color w:val="auto"/>
        </w:rPr>
      </w:pPr>
    </w:p>
    <w:p>
      <w:pPr>
        <w:ind w:left="840" w:right="199"/>
        <w:spacing w:after="0" w:line="228" w:lineRule="auto"/>
        <w:rPr>
          <w:sz w:val="20"/>
          <w:szCs w:val="20"/>
          <w:color w:val="auto"/>
        </w:rPr>
      </w:pPr>
      <w:r>
        <w:rPr>
          <w:rFonts w:ascii="Arial" w:cs="Arial" w:eastAsia="Arial" w:hAnsi="Arial"/>
          <w:sz w:val="21"/>
          <w:szCs w:val="21"/>
          <w:color w:val="auto"/>
        </w:rPr>
        <w:t>as compared to $47.2 million as of December 31, 2014. Blueprint Medicines expects that its existing cash and cash equivalents will be sufficient to enable it to fund its operating expenses and capital expenditure requirements through at least early 2017.</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auto"/>
        </w:rPr>
        <w:t>Collaboration Revenue</w:t>
      </w:r>
      <w:r>
        <w:rPr>
          <w:rFonts w:ascii="Arial" w:cs="Arial" w:eastAsia="Arial" w:hAnsi="Arial"/>
          <w:sz w:val="19"/>
          <w:szCs w:val="19"/>
          <w:color w:val="auto"/>
        </w:rPr>
        <w:t>: Collaboration revenues were $3.4 million for the third quarter of</w:t>
      </w:r>
    </w:p>
    <w:p>
      <w:pPr>
        <w:spacing w:after="0" w:line="35" w:lineRule="exact"/>
        <w:rPr>
          <w:sz w:val="20"/>
          <w:szCs w:val="20"/>
          <w:color w:val="auto"/>
        </w:rPr>
      </w:pPr>
    </w:p>
    <w:p>
      <w:pPr>
        <w:ind w:left="840" w:right="259"/>
        <w:spacing w:after="0" w:line="224" w:lineRule="auto"/>
        <w:rPr>
          <w:sz w:val="20"/>
          <w:szCs w:val="20"/>
          <w:color w:val="auto"/>
        </w:rPr>
      </w:pPr>
      <w:r>
        <w:rPr>
          <w:rFonts w:ascii="Arial" w:cs="Arial" w:eastAsia="Arial" w:hAnsi="Arial"/>
          <w:sz w:val="21"/>
          <w:szCs w:val="21"/>
          <w:color w:val="auto"/>
        </w:rPr>
        <w:t>2015. This revenue reflected reimbursement from Alexion Pharma Holding for work conducted in the third quarter by Blueprint Medicines under the parties’ collaboration, as well as a portion of the $15.0 million upfront payment and $1.8 million milestone payment, which will be amortized over the period of the research term.</w:t>
      </w:r>
    </w:p>
    <w:p>
      <w:pPr>
        <w:spacing w:after="0" w:line="33"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auto"/>
        </w:rPr>
        <w:t>R&amp;D Expenses</w:t>
      </w:r>
      <w:r>
        <w:rPr>
          <w:rFonts w:ascii="Arial" w:cs="Arial" w:eastAsia="Arial" w:hAnsi="Arial"/>
          <w:sz w:val="19"/>
          <w:szCs w:val="19"/>
          <w:color w:val="auto"/>
        </w:rPr>
        <w:t>: Research and development expenses were $11.7 million for the third</w:t>
      </w:r>
    </w:p>
    <w:p>
      <w:pPr>
        <w:spacing w:after="0" w:line="35" w:lineRule="exact"/>
        <w:rPr>
          <w:sz w:val="20"/>
          <w:szCs w:val="20"/>
          <w:color w:val="auto"/>
        </w:rPr>
      </w:pPr>
    </w:p>
    <w:p>
      <w:pPr>
        <w:ind w:left="840" w:right="199"/>
        <w:spacing w:after="0" w:line="243" w:lineRule="auto"/>
        <w:rPr>
          <w:sz w:val="20"/>
          <w:szCs w:val="20"/>
          <w:color w:val="auto"/>
        </w:rPr>
      </w:pPr>
      <w:r>
        <w:rPr>
          <w:rFonts w:ascii="Arial" w:cs="Arial" w:eastAsia="Arial" w:hAnsi="Arial"/>
          <w:sz w:val="19"/>
          <w:szCs w:val="19"/>
          <w:color w:val="auto"/>
        </w:rPr>
        <w:t>quarter of 2015, as compared to $8.4 million for the same period last year. This increase was primarily attributable to approximately $1.3 million in increased personnel expense and stock-based compensation expense, approximately $2.3 million in external clinical activities associated with advancing Blueprint Medicines’ two lead programs into clinical trials and approximately $1.0 million associated with building Blueprint Medicines’ platform and advancing its discovery pipeline forward. These increases were partially offset by $1.3 million of lower expenses associated with external IND-enabling pre-clinical and toxicology studies as well as manufacturing activities.</w:t>
      </w:r>
    </w:p>
    <w:p>
      <w:pPr>
        <w:spacing w:after="0" w:line="16" w:lineRule="exact"/>
        <w:rPr>
          <w:sz w:val="20"/>
          <w:szCs w:val="20"/>
          <w:color w:val="auto"/>
        </w:rPr>
      </w:pPr>
    </w:p>
    <w:p>
      <w:pPr>
        <w:ind w:left="840"/>
        <w:spacing w:after="0"/>
        <w:rPr>
          <w:sz w:val="20"/>
          <w:szCs w:val="20"/>
          <w:color w:val="auto"/>
        </w:rPr>
      </w:pPr>
      <w:r>
        <w:rPr>
          <w:rFonts w:ascii="Arial" w:cs="Arial" w:eastAsia="Arial" w:hAnsi="Arial"/>
          <w:sz w:val="21"/>
          <w:szCs w:val="21"/>
          <w:b w:val="1"/>
          <w:bCs w:val="1"/>
          <w:color w:val="auto"/>
        </w:rPr>
        <w:t>G&amp;A Expenses</w:t>
      </w:r>
      <w:r>
        <w:rPr>
          <w:rFonts w:ascii="Arial" w:cs="Arial" w:eastAsia="Arial" w:hAnsi="Arial"/>
          <w:sz w:val="21"/>
          <w:szCs w:val="21"/>
          <w:color w:val="auto"/>
        </w:rPr>
        <w:t>: General and administrative expenses were $4.2 million for the third</w:t>
      </w:r>
    </w:p>
    <w:p>
      <w:pPr>
        <w:spacing w:after="0" w:line="12" w:lineRule="exact"/>
        <w:rPr>
          <w:sz w:val="20"/>
          <w:szCs w:val="20"/>
          <w:color w:val="auto"/>
        </w:rPr>
      </w:pPr>
    </w:p>
    <w:p>
      <w:pPr>
        <w:ind w:left="840" w:right="459"/>
        <w:spacing w:after="0" w:line="214" w:lineRule="auto"/>
        <w:rPr>
          <w:sz w:val="20"/>
          <w:szCs w:val="20"/>
          <w:color w:val="auto"/>
        </w:rPr>
      </w:pPr>
      <w:r>
        <w:rPr>
          <w:rFonts w:ascii="Arial" w:cs="Arial" w:eastAsia="Arial" w:hAnsi="Arial"/>
          <w:sz w:val="22"/>
          <w:szCs w:val="22"/>
          <w:color w:val="auto"/>
        </w:rPr>
        <w:t>quarter of 2015, as compared to $1.9 million for the same period last year. This increase was primarily attributable to approximately $0.7 million in increased personnel costs and stock-based compensation expense and approximately $1.4 million in increased professional fees.</w:t>
      </w:r>
    </w:p>
    <w:p>
      <w:pPr>
        <w:spacing w:after="0" w:line="33"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auto"/>
        </w:rPr>
        <w:t>Net Loss</w:t>
      </w:r>
      <w:r>
        <w:rPr>
          <w:rFonts w:ascii="Arial" w:cs="Arial" w:eastAsia="Arial" w:hAnsi="Arial"/>
          <w:sz w:val="19"/>
          <w:szCs w:val="19"/>
          <w:color w:val="auto"/>
        </w:rPr>
        <w:t>: Net loss was $12.6 million for the third quarter of 2015, or a basic and diluted</w:t>
      </w:r>
    </w:p>
    <w:p>
      <w:pPr>
        <w:spacing w:after="0" w:line="35" w:lineRule="exact"/>
        <w:rPr>
          <w:sz w:val="20"/>
          <w:szCs w:val="20"/>
          <w:color w:val="auto"/>
        </w:rPr>
      </w:pPr>
    </w:p>
    <w:p>
      <w:pPr>
        <w:ind w:left="840" w:right="379"/>
        <w:spacing w:after="0" w:line="217" w:lineRule="auto"/>
        <w:rPr>
          <w:sz w:val="20"/>
          <w:szCs w:val="20"/>
          <w:color w:val="auto"/>
        </w:rPr>
      </w:pPr>
      <w:r>
        <w:rPr>
          <w:rFonts w:ascii="Arial" w:cs="Arial" w:eastAsia="Arial" w:hAnsi="Arial"/>
          <w:sz w:val="22"/>
          <w:szCs w:val="22"/>
          <w:color w:val="auto"/>
        </w:rPr>
        <w:t>net loss per share available to common stockholders of $0.47, as compared to a net loss of $11.8 million for the same period last year, or a basic and diluted net loss per share available to common stockholders of $8.13.</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About the Phase 1 Clinical Trials for BLU-285 and BLU-554</w:t>
      </w:r>
    </w:p>
    <w:p>
      <w:pPr>
        <w:spacing w:after="0" w:line="185" w:lineRule="exact"/>
        <w:rPr>
          <w:sz w:val="20"/>
          <w:szCs w:val="20"/>
          <w:color w:val="auto"/>
        </w:rPr>
      </w:pPr>
    </w:p>
    <w:p>
      <w:pPr>
        <w:ind w:left="200" w:right="219"/>
        <w:spacing w:after="0" w:line="245" w:lineRule="auto"/>
        <w:rPr>
          <w:sz w:val="20"/>
          <w:szCs w:val="20"/>
          <w:color w:val="auto"/>
        </w:rPr>
      </w:pPr>
      <w:r>
        <w:rPr>
          <w:rFonts w:ascii="Arial" w:cs="Arial" w:eastAsia="Arial" w:hAnsi="Arial"/>
          <w:sz w:val="19"/>
          <w:szCs w:val="19"/>
          <w:color w:val="auto"/>
        </w:rPr>
        <w:t>The Phase 1 clinical trial for BLU-285 for the treatment of unresectable, treatment-resistant GIST will evaluate the safety and tolerability of BLU-285 in multiple ascending doses with the goal of establishing a maximum tolerated dose (MTD) or a recommended dose if the MTD is not achieved. Blueprint Medicines expects to enroll approximately 60 patients in this clinical trial at multiple sites in the United States, European Union and Asia. All patients will be tested retrospectively for both KIT Exon 17 and PDGFRα D842V mutational status. Once the MTD is reached, or a recommended dose is established, Blueprint Medicines will open expansion cohorts for genomically selected patients. Secondary objectives include assessing response rate by Response Evaluation Criteria In Solid Tumors (RECIST) criteria commonly used to measure clinical</w:t>
      </w:r>
    </w:p>
    <w:p>
      <w:pPr>
        <w:sectPr>
          <w:pgSz w:w="11900" w:h="16838" w:orient="portrait"/>
          <w:cols w:equalWidth="0" w:num="1">
            <w:col w:w="9019"/>
          </w:cols>
          <w:pgMar w:left="1440" w:top="145" w:right="1440" w:bottom="0" w:gutter="0" w:footer="0" w:header="0"/>
        </w:sectPr>
      </w:pPr>
    </w:p>
    <w:bookmarkStart w:id="6" w:name="page7"/>
    <w:bookmarkEnd w:id="6"/>
    <w:p>
      <w:pPr>
        <w:ind w:left="200" w:right="459"/>
        <w:spacing w:after="0" w:line="233" w:lineRule="auto"/>
        <w:rPr>
          <w:sz w:val="20"/>
          <w:szCs w:val="20"/>
          <w:color w:val="auto"/>
        </w:rPr>
      </w:pPr>
      <w:r>
        <w:rPr>
          <w:rFonts w:ascii="Arial" w:cs="Arial" w:eastAsia="Arial" w:hAnsi="Arial"/>
          <w:sz w:val="22"/>
          <w:szCs w:val="22"/>
          <w:color w:val="auto"/>
        </w:rPr>
        <w:t>responses in solid tumors, the pharmacokinetics of BLU-285 and allelic burden using circulating tumor DNA.</w:t>
      </w:r>
    </w:p>
    <w:p>
      <w:pPr>
        <w:spacing w:after="0" w:line="158" w:lineRule="exact"/>
        <w:rPr>
          <w:sz w:val="20"/>
          <w:szCs w:val="20"/>
          <w:color w:val="auto"/>
        </w:rPr>
      </w:pPr>
    </w:p>
    <w:p>
      <w:pPr>
        <w:ind w:left="200" w:right="199"/>
        <w:spacing w:after="0" w:line="220" w:lineRule="auto"/>
        <w:rPr>
          <w:sz w:val="20"/>
          <w:szCs w:val="20"/>
          <w:color w:val="auto"/>
        </w:rPr>
      </w:pPr>
      <w:r>
        <w:rPr>
          <w:rFonts w:ascii="Arial" w:cs="Arial" w:eastAsia="Arial" w:hAnsi="Arial"/>
          <w:sz w:val="21"/>
          <w:szCs w:val="21"/>
          <w:color w:val="auto"/>
        </w:rPr>
        <w:t>The planned Phase 1 clinical trial for BLU-285 for the treatment of advanced SM will evaluate the safety and tolerability of BLU-285 in multiple ascending doses with the goal of establishing an MTD or a recommended dose if the MTD is not achieved. Blueprint Medicines expects to enroll approximately 60 patients in this clinical trial at multiple sites in the United States and European Union. All patients will be tested retrospectively for KIT D816V mutational status. Once the MTD is reached, or a recommended dose is established, Blueprint Medicines will open expansion cohorts for specific subtypes of SM. Secondary objectives include assessment of the pharmacokinetic profile of BLU-285, assessment of response rate by the International Working Group Myeloproliferative Neoplasms Research and Treatment criteria, changes in KIT D816V mutant allele fractions in bone marrow and circulating tumor DNA, and changes in patient reported outcomes.</w:t>
      </w:r>
    </w:p>
    <w:p>
      <w:pPr>
        <w:spacing w:after="0" w:line="158" w:lineRule="exact"/>
        <w:rPr>
          <w:sz w:val="20"/>
          <w:szCs w:val="20"/>
          <w:color w:val="auto"/>
        </w:rPr>
      </w:pPr>
    </w:p>
    <w:p>
      <w:pPr>
        <w:ind w:left="200" w:right="399"/>
        <w:spacing w:after="0" w:line="244" w:lineRule="auto"/>
        <w:rPr>
          <w:sz w:val="20"/>
          <w:szCs w:val="20"/>
          <w:color w:val="auto"/>
        </w:rPr>
      </w:pPr>
      <w:r>
        <w:rPr>
          <w:rFonts w:ascii="Arial" w:cs="Arial" w:eastAsia="Arial" w:hAnsi="Arial"/>
          <w:sz w:val="19"/>
          <w:szCs w:val="19"/>
          <w:color w:val="auto"/>
        </w:rPr>
        <w:t>The Phase 1 clinical trial for BLU-554 will evaluate the safety and tolerability of BLU-554 in multiple ascending doses in patients with HCC with the goal of establishing an MTD or a recommended dose if the MTD is not achieved. Blueprint Medicines expects to enroll up to 50 patients with advanced, unresectable HCC and up to an additional 10 patients with advanced, unresectable cholangiocarcinoma in this clinical trial at multiple sites in the United States, European Union and Asia. Cholangiocarcinoma is another cancer in which aberrantly activated FGFR4 signaling may play a role. Once the MTD is reached, or a recommended dose is established, Blueprint Medicines will open expansion cohorts with genomically selected patients. Secondary objectives include assessing overall response rate by RECIST criteria, the pharmacokinetics of BLU-554 and pharmacodynamics markers of BLU-554 activity.</w:t>
      </w:r>
    </w:p>
    <w:p>
      <w:pPr>
        <w:spacing w:after="0" w:line="156" w:lineRule="exact"/>
        <w:rPr>
          <w:sz w:val="20"/>
          <w:szCs w:val="20"/>
          <w:color w:val="auto"/>
        </w:rPr>
      </w:pPr>
    </w:p>
    <w:p>
      <w:pPr>
        <w:ind w:left="200" w:right="1119"/>
        <w:spacing w:after="0" w:line="410" w:lineRule="auto"/>
        <w:rPr>
          <w:sz w:val="20"/>
          <w:szCs w:val="20"/>
          <w:color w:val="auto"/>
        </w:rPr>
      </w:pPr>
      <w:r>
        <w:rPr>
          <w:rFonts w:ascii="Arial" w:cs="Arial" w:eastAsia="Arial" w:hAnsi="Arial"/>
          <w:sz w:val="22"/>
          <w:szCs w:val="22"/>
          <w:color w:val="auto"/>
        </w:rPr>
        <w:t xml:space="preserve">Please refer to www.clinicaltrials.gov for additional details regarding these clinical trials. </w:t>
      </w:r>
      <w:r>
        <w:rPr>
          <w:rFonts w:ascii="Arial" w:cs="Arial" w:eastAsia="Arial" w:hAnsi="Arial"/>
          <w:sz w:val="22"/>
          <w:szCs w:val="22"/>
          <w:b w:val="1"/>
          <w:bCs w:val="1"/>
          <w:color w:val="auto"/>
        </w:rPr>
        <w:t>About Blueprint Medicines</w:t>
      </w:r>
    </w:p>
    <w:p>
      <w:pPr>
        <w:ind w:left="200" w:right="379"/>
        <w:spacing w:after="0" w:line="247" w:lineRule="auto"/>
        <w:rPr>
          <w:sz w:val="20"/>
          <w:szCs w:val="20"/>
          <w:color w:val="auto"/>
        </w:rPr>
      </w:pPr>
      <w:r>
        <w:rPr>
          <w:rFonts w:ascii="Arial" w:cs="Arial" w:eastAsia="Arial" w:hAnsi="Arial"/>
          <w:sz w:val="19"/>
          <w:szCs w:val="19"/>
          <w:color w:val="auto"/>
        </w:rPr>
        <w:t>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85" w:lineRule="exact"/>
        <w:rPr>
          <w:sz w:val="20"/>
          <w:szCs w:val="20"/>
          <w:color w:val="auto"/>
        </w:rPr>
      </w:pPr>
    </w:p>
    <w:p>
      <w:pPr>
        <w:ind w:left="200" w:right="219"/>
        <w:spacing w:after="0"/>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including, without limitation, statements regarding the potential benefits of orphan drug designation for BLU-554 and expectations regarding Blueprint Medicines’ existing cash and cash equivalents.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the benefits of orphan drug designation; Blueprint Medicines’ advancement of multiple early-stage efforts, including its RET program;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These and other risks and uncertainties are described in greater detail in the section entitled "Risk Factors" in Blueprint Medicines' Quarterly Reports on Form 10-Q for the quarters ended March 31, 2015 and June 30, 2015, as filed with the Securities and Exchange Commission (SEC) on June 11, 2015 and August 10, 2015,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421640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tbl>
      <w:tblPr>
        <w:tblLayout w:type="fixed"/>
        <w:tblInd w:w="160" w:type="dxa"/>
        <w:tblCellMar>
          <w:top w:w="0" w:type="dxa"/>
          <w:left w:w="0" w:type="dxa"/>
          <w:bottom w:w="0" w:type="dxa"/>
          <w:right w:w="0" w:type="dxa"/>
        </w:tblCellMar>
      </w:tblPr>
      <w:tr>
        <w:trPr>
          <w:trHeight w:val="256"/>
        </w:trPr>
        <w:tc>
          <w:tcPr>
            <w:tcW w:w="2580" w:type="dxa"/>
            <w:vAlign w:val="bottom"/>
          </w:tcPr>
          <w:p>
            <w:pPr>
              <w:spacing w:after="0"/>
              <w:rPr>
                <w:sz w:val="22"/>
                <w:szCs w:val="22"/>
                <w:color w:val="auto"/>
              </w:rPr>
            </w:pPr>
          </w:p>
        </w:tc>
        <w:tc>
          <w:tcPr>
            <w:tcW w:w="4380" w:type="dxa"/>
            <w:vAlign w:val="bottom"/>
            <w:gridSpan w:val="6"/>
          </w:tcPr>
          <w:p>
            <w:pPr>
              <w:jc w:val="center"/>
              <w:ind w:right="750"/>
              <w:spacing w:after="0"/>
              <w:rPr>
                <w:sz w:val="20"/>
                <w:szCs w:val="20"/>
                <w:color w:val="auto"/>
              </w:rPr>
            </w:pPr>
            <w:r>
              <w:rPr>
                <w:rFonts w:ascii="Arial" w:cs="Arial" w:eastAsia="Arial" w:hAnsi="Arial"/>
                <w:sz w:val="20"/>
                <w:szCs w:val="20"/>
                <w:b w:val="1"/>
                <w:bCs w:val="1"/>
                <w:color w:val="auto"/>
                <w:w w:val="90"/>
              </w:rPr>
              <w:t>Blueprint Medicines Corporation</w:t>
            </w:r>
          </w:p>
        </w:tc>
      </w:tr>
      <w:tr>
        <w:trPr>
          <w:trHeight w:val="324"/>
        </w:trPr>
        <w:tc>
          <w:tcPr>
            <w:tcW w:w="2580" w:type="dxa"/>
            <w:vAlign w:val="bottom"/>
          </w:tcPr>
          <w:p>
            <w:pPr>
              <w:spacing w:after="0"/>
              <w:rPr>
                <w:sz w:val="24"/>
                <w:szCs w:val="24"/>
                <w:color w:val="auto"/>
              </w:rPr>
            </w:pPr>
          </w:p>
        </w:tc>
        <w:tc>
          <w:tcPr>
            <w:tcW w:w="4380" w:type="dxa"/>
            <w:vAlign w:val="bottom"/>
            <w:gridSpan w:val="6"/>
          </w:tcPr>
          <w:p>
            <w:pPr>
              <w:jc w:val="center"/>
              <w:ind w:right="730"/>
              <w:spacing w:after="0"/>
              <w:rPr>
                <w:sz w:val="20"/>
                <w:szCs w:val="20"/>
                <w:color w:val="auto"/>
              </w:rPr>
            </w:pPr>
            <w:r>
              <w:rPr>
                <w:rFonts w:ascii="Arial" w:cs="Arial" w:eastAsia="Arial" w:hAnsi="Arial"/>
                <w:sz w:val="20"/>
                <w:szCs w:val="20"/>
                <w:b w:val="1"/>
                <w:bCs w:val="1"/>
                <w:color w:val="auto"/>
                <w:w w:val="86"/>
              </w:rPr>
              <w:t>Selected Condensed Balance Sheet Data</w:t>
            </w:r>
          </w:p>
        </w:tc>
      </w:tr>
      <w:tr>
        <w:trPr>
          <w:trHeight w:val="338"/>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20"/>
                <w:szCs w:val="20"/>
                <w:b w:val="1"/>
                <w:bCs w:val="1"/>
                <w:color w:val="auto"/>
                <w:w w:val="87"/>
              </w:rPr>
              <w:t>(in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8"/>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20"/>
                <w:szCs w:val="20"/>
                <w:b w:val="1"/>
                <w:bCs w:val="1"/>
                <w:color w:val="auto"/>
                <w:w w:val="88"/>
              </w:rPr>
              <w:t>(</w:t>
            </w:r>
            <w:r>
              <w:rPr>
                <w:rFonts w:ascii="Arial" w:cs="Arial" w:eastAsia="Arial" w:hAnsi="Arial"/>
                <w:sz w:val="20"/>
                <w:szCs w:val="20"/>
                <w:b w:val="1"/>
                <w:bCs w:val="1"/>
                <w:i w:val="1"/>
                <w:iCs w:val="1"/>
                <w:color w:val="auto"/>
                <w:w w:val="88"/>
              </w:rPr>
              <w:t>unaudited</w:t>
            </w:r>
            <w:r>
              <w:rPr>
                <w:rFonts w:ascii="Arial" w:cs="Arial" w:eastAsia="Arial" w:hAnsi="Arial"/>
                <w:sz w:val="20"/>
                <w:szCs w:val="20"/>
                <w:b w:val="1"/>
                <w:bCs w:val="1"/>
                <w:color w:val="auto"/>
                <w:w w:val="88"/>
              </w:rPr>
              <w:t>)</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12"/>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519"/>
        </w:trPr>
        <w:tc>
          <w:tcPr>
            <w:tcW w:w="2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179,780</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47,240</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2,470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Working capital (1)</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169,296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41,510</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195,288</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49,925</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14,861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Term loan payable</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7,871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9,042</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Lease incentive obligation</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4,093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Warrant liability</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114,811</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w w:val="95"/>
              </w:rPr>
              <w:t>Total stockholders’ equity (deficit)</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158,142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(79,382)</w:t>
            </w:r>
          </w:p>
        </w:tc>
      </w:tr>
    </w:tbl>
    <w:p>
      <w:pPr>
        <w:spacing w:after="0" w:line="283"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Blueprint Medicines defines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263525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Blueprint Medicines Corporation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Statements of Operations Data</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per share data)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0"/>
                <w:szCs w:val="20"/>
                <w:color w:val="auto"/>
              </w:rPr>
            </w:pPr>
          </w:p>
        </w:tc>
        <w:tc>
          <w:tcPr>
            <w:tcW w:w="18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1"/>
                <w:szCs w:val="21"/>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3,426</w:t>
            </w:r>
          </w:p>
        </w:tc>
        <w:tc>
          <w:tcPr>
            <w:tcW w:w="26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6,765</w:t>
            </w:r>
          </w:p>
        </w:tc>
        <w:tc>
          <w:tcPr>
            <w:tcW w:w="26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11,681</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8,368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32,157</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20,511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15,903</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10,289</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42,989</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25,440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2"/>
                <w:szCs w:val="2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2"/>
                <w:szCs w:val="2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(10,503)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(37,194)</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Convertible preferred stock dividends</w:t>
            </w:r>
          </w:p>
        </w:tc>
        <w:tc>
          <w:tcPr>
            <w:tcW w:w="14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(1,313)</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(3,153)</w:t>
            </w: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(11,816)</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(40,347)</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line="162" w:lineRule="exact"/>
              <w:rPr>
                <w:sz w:val="20"/>
                <w:szCs w:val="20"/>
                <w:color w:val="auto"/>
              </w:rPr>
            </w:pPr>
            <w:r>
              <w:rPr>
                <w:rFonts w:ascii="Arial" w:cs="Arial" w:eastAsia="Arial" w:hAnsi="Arial"/>
                <w:sz w:val="18"/>
                <w:szCs w:val="18"/>
                <w:color w:val="auto"/>
              </w:rPr>
              <w:t>Net loss per share applicable to common stockholders —</w:t>
            </w: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620" w:type="dxa"/>
            <w:vAlign w:val="bottom"/>
            <w:vMerge w:val="continue"/>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(0.47)</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(8.13)</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64)</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(21.65)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20"/>
              <w:spacing w:after="0" w:line="189" w:lineRule="exact"/>
              <w:rPr>
                <w:sz w:val="20"/>
                <w:szCs w:val="20"/>
                <w:color w:val="auto"/>
              </w:rPr>
            </w:pPr>
            <w:r>
              <w:rPr>
                <w:rFonts w:ascii="Arial" w:cs="Arial" w:eastAsia="Arial" w:hAnsi="Arial"/>
                <w:sz w:val="18"/>
                <w:szCs w:val="18"/>
                <w:color w:val="auto"/>
              </w:rPr>
              <w:t>basic and diluted</w:t>
            </w:r>
          </w:p>
        </w:tc>
        <w:tc>
          <w:tcPr>
            <w:tcW w:w="14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5"/>
                <w:szCs w:val="15"/>
                <w:color w:val="auto"/>
              </w:rPr>
              <w:t>Weighted-average number of common shares used in net</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20"/>
              <w:spacing w:after="0" w:line="176" w:lineRule="exact"/>
              <w:rPr>
                <w:sz w:val="20"/>
                <w:szCs w:val="20"/>
                <w:color w:val="auto"/>
              </w:rPr>
            </w:pPr>
            <w:r>
              <w:rPr>
                <w:rFonts w:ascii="Arial" w:cs="Arial" w:eastAsia="Arial" w:hAnsi="Arial"/>
                <w:sz w:val="18"/>
                <w:szCs w:val="18"/>
                <w:color w:val="auto"/>
              </w:rPr>
              <w:t>loss per share applicable to common stockholders —</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26,835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1,453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15,298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20"/>
              <w:spacing w:after="0" w:line="189" w:lineRule="exact"/>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Contact:</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Investor Relations: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Hannah Deresiewicz</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Stern Investor Relations, Inc.</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212-362-1200</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hannahd@sternir.com</w:t>
      </w:r>
    </w:p>
    <w:p>
      <w:pPr>
        <w:spacing w:after="0" w:line="35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Media Relations: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Naomi Aoki</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Ten Bridge Communications, Inc.</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617-283-4298</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naomi@tenbridgecommunications.com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135890</wp:posOffset>
            </wp:positionV>
            <wp:extent cx="55486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2019-12-09T04:09:36Z</dcterms:created>
  <dcterms:modified xsi:type="dcterms:W3CDTF">2019-12-09T04:09:36Z</dcterms:modified>
</cp:coreProperties>
</file>