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Boral Anthony L.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02/16/2018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81.44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02/16/2028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208,544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with respect to 1/48th of the shares underlying the option on March 16, 2018 and as to an additional 1/48th of the shares underlying the option each month thereafter.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Christopher Frankenfield,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8468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2019-12-08T09:41:44Z</dcterms:created>
  <dcterms:modified xsi:type="dcterms:W3CDTF">2019-12-08T09:41:44Z</dcterms:modified>
</cp:coreProperties>
</file>