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942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80" w:type="dxa"/>
            <w:vAlign w:val="bottom"/>
            <w:gridSpan w:val="2"/>
            <w:vMerge w:val="restart"/>
          </w:tcPr>
          <w:p>
            <w:pPr>
              <w:spacing w:after="0"/>
              <w:rPr>
                <w:rFonts w:ascii="Arial" w:cs="Arial" w:eastAsia="Arial" w:hAnsi="Arial"/>
                <w:sz w:val="22"/>
                <w:szCs w:val="22"/>
                <w:color w:val="0000EE"/>
                <w:w w:val="91"/>
              </w:rPr>
            </w:pPr>
            <w:hyperlink r:id="rId12">
              <w:r>
                <w:rPr>
                  <w:rFonts w:ascii="Arial" w:cs="Arial" w:eastAsia="Arial" w:hAnsi="Arial"/>
                  <w:sz w:val="22"/>
                  <w:szCs w:val="22"/>
                  <w:color w:val="0000EE"/>
                  <w:w w:val="91"/>
                </w:rPr>
                <w:t>Haviland Kate</w:t>
              </w:r>
            </w:hyperlink>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260" w:type="dxa"/>
            <w:vAlign w:val="bottom"/>
            <w:tcBorders>
              <w:top w:val="single" w:sz="8" w:color="0000EE"/>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(Last)</w:t>
            </w:r>
          </w:p>
        </w:tc>
        <w:tc>
          <w:tcPr>
            <w:tcW w:w="820" w:type="dxa"/>
            <w:vAlign w:val="bottom"/>
          </w:tcPr>
          <w:p>
            <w:pPr>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10/05/2017</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38 SIDNEY STREET,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43"/>
        <w:spacing w:after="0"/>
        <w:rPr>
          <w:sz w:val="20"/>
          <w:szCs w:val="20"/>
          <w:color w:val="auto"/>
        </w:rPr>
      </w:pPr>
      <w:r>
        <w:rPr>
          <w:rFonts w:ascii="Arial" w:cs="Arial" w:eastAsia="Arial" w:hAnsi="Arial"/>
          <w:sz w:val="18"/>
          <w:szCs w:val="18"/>
          <w:color w:val="0000FF"/>
        </w:rPr>
        <w:t>Chief Business Officer</w:t>
      </w:r>
    </w:p>
    <w:p>
      <w:pPr>
        <w:spacing w:after="0" w:line="406" w:lineRule="exact"/>
        <w:rPr>
          <w:sz w:val="20"/>
          <w:szCs w:val="20"/>
          <w:color w:val="auto"/>
        </w:rPr>
      </w:pPr>
    </w:p>
    <w:p>
      <w:pPr>
        <w:sectPr>
          <w:pgSz w:w="11900" w:h="16838" w:orient="portrait"/>
          <w:cols w:equalWidth="0" w:num="2">
            <w:col w:w="7980" w:space="7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7"/>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9"/>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0" w:type="dxa"/>
            <w:vAlign w:val="bottom"/>
            <w:gridSpan w:val="9"/>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02139</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3"/>
          </w:tcPr>
          <w:p>
            <w:pPr>
              <w:jc w:val="center"/>
              <w:ind w:left="507"/>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7"/>
              <w:spacing w:after="0"/>
              <w:rPr>
                <w:sz w:val="20"/>
                <w:szCs w:val="20"/>
                <w:color w:val="auto"/>
              </w:rPr>
            </w:pPr>
            <w:r>
              <w:rPr>
                <w:rFonts w:ascii="Arial" w:cs="Arial" w:eastAsia="Arial" w:hAnsi="Arial"/>
                <w:sz w:val="18"/>
                <w:szCs w:val="18"/>
                <w:color w:val="0000FF"/>
                <w:w w:val="88"/>
              </w:rPr>
              <w:t>10/05/2017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2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88"/>
              </w:rPr>
              <w:t>5,449</w:t>
            </w:r>
          </w:p>
        </w:tc>
        <w:tc>
          <w:tcPr>
            <w:tcW w:w="700" w:type="dxa"/>
            <w:vAlign w:val="bottom"/>
            <w:tcBorders>
              <w:bottom w:val="single" w:sz="8" w:color="2C2C2C"/>
            </w:tcBorders>
          </w:tcPr>
          <w:p>
            <w:pPr>
              <w:jc w:val="right"/>
              <w:ind w:right="151"/>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16.28</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5,449</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7"/>
              <w:spacing w:after="0"/>
              <w:rPr>
                <w:sz w:val="20"/>
                <w:szCs w:val="20"/>
                <w:color w:val="auto"/>
              </w:rPr>
            </w:pPr>
            <w:r>
              <w:rPr>
                <w:rFonts w:ascii="Arial" w:cs="Arial" w:eastAsia="Arial" w:hAnsi="Arial"/>
                <w:sz w:val="18"/>
                <w:szCs w:val="18"/>
                <w:color w:val="0000FF"/>
                <w:w w:val="88"/>
              </w:rPr>
              <w:t>10/05/2017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93"/>
              </w:rPr>
              <w:t>885</w:t>
            </w:r>
          </w:p>
        </w:tc>
        <w:tc>
          <w:tcPr>
            <w:tcW w:w="700" w:type="dxa"/>
            <w:vAlign w:val="bottom"/>
            <w:tcBorders>
              <w:bottom w:val="single" w:sz="8" w:color="2C2C2C"/>
            </w:tcBorders>
          </w:tcPr>
          <w:p>
            <w:pPr>
              <w:jc w:val="right"/>
              <w:ind w:right="151"/>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67.33</w:t>
            </w:r>
            <w:r>
              <w:rPr>
                <w:rFonts w:ascii="Arial" w:cs="Arial" w:eastAsia="Arial" w:hAnsi="Arial"/>
                <w:sz w:val="22"/>
                <w:szCs w:val="22"/>
                <w:color w:val="008000"/>
                <w:w w:val="93"/>
                <w:vertAlign w:val="superscript"/>
              </w:rPr>
              <w:t>(3)</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4,564</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7"/>
              <w:spacing w:after="0"/>
              <w:rPr>
                <w:sz w:val="20"/>
                <w:szCs w:val="20"/>
                <w:color w:val="auto"/>
              </w:rPr>
            </w:pPr>
            <w:r>
              <w:rPr>
                <w:rFonts w:ascii="Arial" w:cs="Arial" w:eastAsia="Arial" w:hAnsi="Arial"/>
                <w:sz w:val="18"/>
                <w:szCs w:val="18"/>
                <w:color w:val="0000FF"/>
                <w:w w:val="88"/>
              </w:rPr>
              <w:t>10/05/2017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88"/>
              </w:rPr>
              <w:t>3,303</w:t>
            </w:r>
          </w:p>
        </w:tc>
        <w:tc>
          <w:tcPr>
            <w:tcW w:w="700" w:type="dxa"/>
            <w:vAlign w:val="bottom"/>
            <w:tcBorders>
              <w:bottom w:val="single" w:sz="8" w:color="2C2C2C"/>
            </w:tcBorders>
          </w:tcPr>
          <w:p>
            <w:pPr>
              <w:jc w:val="right"/>
              <w:ind w:right="151"/>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66.58</w:t>
            </w:r>
            <w:r>
              <w:rPr>
                <w:rFonts w:ascii="Arial" w:cs="Arial" w:eastAsia="Arial" w:hAnsi="Arial"/>
                <w:sz w:val="22"/>
                <w:szCs w:val="22"/>
                <w:color w:val="008000"/>
                <w:w w:val="93"/>
                <w:vertAlign w:val="superscript"/>
              </w:rPr>
              <w:t>(4)</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1,261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7"/>
              <w:spacing w:after="0"/>
              <w:rPr>
                <w:sz w:val="20"/>
                <w:szCs w:val="20"/>
                <w:color w:val="auto"/>
              </w:rPr>
            </w:pPr>
            <w:r>
              <w:rPr>
                <w:rFonts w:ascii="Arial" w:cs="Arial" w:eastAsia="Arial" w:hAnsi="Arial"/>
                <w:sz w:val="18"/>
                <w:szCs w:val="18"/>
                <w:color w:val="0000FF"/>
                <w:w w:val="88"/>
              </w:rPr>
              <w:t>10/05/2017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88"/>
              </w:rPr>
              <w:t>1,261</w:t>
            </w:r>
          </w:p>
        </w:tc>
        <w:tc>
          <w:tcPr>
            <w:tcW w:w="700" w:type="dxa"/>
            <w:vAlign w:val="bottom"/>
            <w:tcBorders>
              <w:bottom w:val="single" w:sz="8" w:color="2C2C2C"/>
            </w:tcBorders>
          </w:tcPr>
          <w:p>
            <w:pPr>
              <w:jc w:val="right"/>
              <w:ind w:right="151"/>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65.45</w:t>
            </w:r>
            <w:r>
              <w:rPr>
                <w:rFonts w:ascii="Arial" w:cs="Arial" w:eastAsia="Arial" w:hAnsi="Arial"/>
                <w:sz w:val="22"/>
                <w:szCs w:val="22"/>
                <w:color w:val="008000"/>
                <w:w w:val="93"/>
                <w:vertAlign w:val="superscript"/>
              </w:rPr>
              <w:t>(5)</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79"/>
              </w:rPr>
              <w:t>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1"/>
          </w:tcPr>
          <w:p>
            <w:pPr>
              <w:jc w:val="center"/>
              <w:ind w:left="347"/>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16.28</w:t>
            </w:r>
          </w:p>
        </w:tc>
        <w:tc>
          <w:tcPr>
            <w:tcW w:w="1080" w:type="dxa"/>
            <w:vAlign w:val="bottom"/>
          </w:tcPr>
          <w:p>
            <w:pPr>
              <w:ind w:left="260"/>
              <w:spacing w:after="0"/>
              <w:rPr>
                <w:sz w:val="20"/>
                <w:szCs w:val="20"/>
                <w:color w:val="auto"/>
              </w:rPr>
            </w:pPr>
            <w:r>
              <w:rPr>
                <w:rFonts w:ascii="Arial" w:cs="Arial" w:eastAsia="Arial" w:hAnsi="Arial"/>
                <w:sz w:val="14"/>
                <w:szCs w:val="14"/>
                <w:color w:val="0000FF"/>
              </w:rPr>
              <w:t>10/05/2017</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22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4"/>
                <w:szCs w:val="14"/>
                <w:color w:val="0000FF"/>
              </w:rPr>
              <w:t>5,449</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(6)</w:t>
            </w:r>
          </w:p>
        </w:tc>
        <w:tc>
          <w:tcPr>
            <w:tcW w:w="720" w:type="dxa"/>
            <w:vAlign w:val="bottom"/>
          </w:tcPr>
          <w:p>
            <w:pPr>
              <w:ind w:left="40"/>
              <w:spacing w:after="0"/>
              <w:rPr>
                <w:sz w:val="20"/>
                <w:szCs w:val="20"/>
                <w:color w:val="auto"/>
              </w:rPr>
            </w:pPr>
            <w:r>
              <w:rPr>
                <w:rFonts w:ascii="Arial" w:cs="Arial" w:eastAsia="Arial" w:hAnsi="Arial"/>
                <w:sz w:val="14"/>
                <w:szCs w:val="14"/>
                <w:color w:val="0000FF"/>
                <w:w w:val="94"/>
              </w:rPr>
              <w:t>02/01/2026</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5,449</w:t>
            </w:r>
          </w:p>
        </w:tc>
        <w:tc>
          <w:tcPr>
            <w:tcW w:w="18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tcPr>
          <w:p>
            <w:pPr>
              <w:ind w:left="200"/>
              <w:spacing w:after="0"/>
              <w:rPr>
                <w:sz w:val="20"/>
                <w:szCs w:val="20"/>
                <w:color w:val="auto"/>
              </w:rPr>
            </w:pPr>
            <w:r>
              <w:rPr>
                <w:rFonts w:ascii="Arial" w:cs="Arial" w:eastAsia="Arial" w:hAnsi="Arial"/>
                <w:sz w:val="14"/>
                <w:szCs w:val="14"/>
                <w:color w:val="0000FF"/>
                <w:w w:val="86"/>
              </w:rPr>
              <w:t>101,859</w:t>
            </w:r>
          </w:p>
        </w:tc>
        <w:tc>
          <w:tcPr>
            <w:tcW w:w="26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jc w:val="right"/>
              <w:ind w:right="151"/>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exercise reported on this Form 4 was effected pursuant to a trading plan adopted on December 20, 2016 pursuant to Rule 10b5-1 under the Securities Exchange Act of 1934, as amended (the "Exchange Act").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trading plan adopted on December 20, 2016 pursuant to Rule 10b5-1 under the Exchange Act.</w:t>
      </w:r>
    </w:p>
    <w:p>
      <w:pPr>
        <w:spacing w:after="0" w:line="41"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$67.02 to $68.00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3 through 5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$65.98 to $66.97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$65.13 to $65.96 per share.</w:t>
      </w:r>
    </w:p>
    <w:p>
      <w:pPr>
        <w:spacing w:after="0" w:line="4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was granted on February 1, 2016. This option vested with respect to 25% of the shares underlying the option on January 5, 2017 and as to an additional 1/48th of the shares underlying the option each month thereafter.</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8"/>
                <w:szCs w:val="18"/>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10/10/2017</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2019-12-04T02:33:24Z</dcterms:created>
  <dcterms:modified xsi:type="dcterms:W3CDTF">2019-12-04T02:33:24Z</dcterms:modified>
</cp:coreProperties>
</file>