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Hewes L. Becker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03/16/2022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31,671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Effected pursuant to a trading plan adopted on August 13, 2021 pursuant to Rule 10b5-1 under the Securities Exchange Act of 1934, as amended.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Ariel Hurley,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-2753360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011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2022-03-18T15:13:18Z</dcterms:created>
  <dcterms:modified xsi:type="dcterms:W3CDTF">2022-03-18T15:13:18Z</dcterms:modified>
</cp:coreProperties>
</file>